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20440D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</w:rPr>
      </w:pPr>
      <w:r w:rsidRPr="0020440D">
        <w:rPr>
          <w:rFonts w:ascii="Cambria" w:hAnsi="Cambria" w:cs="Cambria"/>
          <w:noProof/>
          <w:lang w:val="sr-Latn-CS" w:eastAsia="sr-Latn-C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CRNA GORA</w:t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MINISTARSTVO FINANSIJA</w:t>
      </w:r>
    </w:p>
    <w:p w:rsidR="0082570B" w:rsidRPr="0020440D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Direktorat</w:t>
      </w:r>
      <w:r w:rsidR="0082570B" w:rsidRPr="0020440D">
        <w:rPr>
          <w:b/>
          <w:bCs/>
          <w:noProof/>
          <w:sz w:val="28"/>
          <w:szCs w:val="28"/>
        </w:rPr>
        <w:t xml:space="preserve"> za ekonomsku politiku i razvoj</w:t>
      </w:r>
    </w:p>
    <w:p w:rsidR="0082570B" w:rsidRPr="0020440D" w:rsidRDefault="0082570B" w:rsidP="00D61692">
      <w:pPr>
        <w:rPr>
          <w:rFonts w:cs="Calibri"/>
          <w:noProof/>
        </w:rPr>
      </w:pPr>
    </w:p>
    <w:p w:rsidR="0082570B" w:rsidRPr="0020440D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</w:rPr>
      </w:pPr>
      <w:r w:rsidRPr="0020440D">
        <w:rPr>
          <w:rFonts w:cs="Calibri"/>
          <w:b/>
          <w:bCs/>
          <w:iCs/>
          <w:noProof/>
          <w:sz w:val="52"/>
          <w:szCs w:val="52"/>
        </w:rPr>
        <w:t>MJESEČNI MAKROEKONOMSKI INDIKATORI</w:t>
      </w:r>
    </w:p>
    <w:p w:rsidR="0082570B" w:rsidRPr="0020440D" w:rsidRDefault="005612C5" w:rsidP="005D48A0">
      <w:pPr>
        <w:spacing w:line="240" w:lineRule="auto"/>
        <w:ind w:firstLine="720"/>
        <w:jc w:val="center"/>
        <w:outlineLvl w:val="0"/>
        <w:rPr>
          <w:rFonts w:cs="Calibri"/>
          <w:b/>
          <w:bCs/>
          <w:noProof/>
          <w:sz w:val="32"/>
          <w:szCs w:val="32"/>
        </w:rPr>
      </w:pPr>
      <w:r>
        <w:rPr>
          <w:rFonts w:cs="Calibri"/>
          <w:b/>
          <w:bCs/>
          <w:noProof/>
          <w:sz w:val="32"/>
          <w:szCs w:val="32"/>
        </w:rPr>
        <w:t xml:space="preserve">Maj </w:t>
      </w:r>
      <w:r w:rsidR="00C45B95">
        <w:rPr>
          <w:rFonts w:cs="Calibri"/>
          <w:b/>
          <w:bCs/>
          <w:noProof/>
          <w:sz w:val="32"/>
          <w:szCs w:val="32"/>
        </w:rPr>
        <w:t>2015</w:t>
      </w:r>
      <w:r w:rsidR="0082570B" w:rsidRPr="0020440D">
        <w:rPr>
          <w:rFonts w:cs="Calibri"/>
          <w:b/>
          <w:bCs/>
          <w:noProof/>
          <w:sz w:val="32"/>
          <w:szCs w:val="32"/>
        </w:rPr>
        <w:t>.</w:t>
      </w:r>
    </w:p>
    <w:p w:rsidR="0082570B" w:rsidRPr="0020440D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9F74C6" w:rsidRPr="0020440D" w:rsidRDefault="009F74C6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Pr="0020440D" w:rsidRDefault="001C30E3" w:rsidP="00D20CDA">
      <w:pPr>
        <w:spacing w:after="0" w:line="240" w:lineRule="auto"/>
        <w:rPr>
          <w:rFonts w:cs="Calibri"/>
          <w:bCs/>
          <w:noProof/>
          <w:sz w:val="28"/>
          <w:szCs w:val="28"/>
        </w:rPr>
      </w:pPr>
      <w:r w:rsidRPr="001C30E3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.1pt;margin-top:5in;width:252.6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84848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B3EDA" w:rsidRDefault="003B3EDA" w:rsidP="00E876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3B3EDA" w:rsidRDefault="003B3EDA" w:rsidP="00DF3850">
                  <w:pPr>
                    <w:pStyle w:val="NoSpacing"/>
                    <w:ind w:left="1080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3B3EDA" w:rsidRDefault="003B3EDA" w:rsidP="00DF3850">
                  <w:pPr>
                    <w:pStyle w:val="NoSpacing"/>
                    <w:ind w:left="1080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3B3EDA" w:rsidRPr="005C4379" w:rsidRDefault="005C4379" w:rsidP="006C5919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5C4379">
                    <w:rPr>
                      <w:b/>
                      <w:sz w:val="24"/>
                      <w:szCs w:val="20"/>
                    </w:rPr>
                    <w:t>EURIBOR u maju zabilježio vrijednost od 0,161%, što je najniži nivo od 1999</w:t>
                  </w:r>
                </w:p>
                <w:p w:rsidR="005C4379" w:rsidRPr="005C4379" w:rsidRDefault="005C4379" w:rsidP="006C5919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5C4379">
                    <w:rPr>
                      <w:b/>
                      <w:sz w:val="24"/>
                      <w:szCs w:val="20"/>
                    </w:rPr>
                    <w:t>Rast prerađivačke industrije u apr</w:t>
                  </w:r>
                  <w:r>
                    <w:rPr>
                      <w:b/>
                      <w:sz w:val="24"/>
                      <w:szCs w:val="20"/>
                    </w:rPr>
                    <w:t xml:space="preserve">ilu uticao </w:t>
                  </w:r>
                  <w:r w:rsidRPr="005C4379">
                    <w:rPr>
                      <w:b/>
                      <w:sz w:val="24"/>
                      <w:szCs w:val="20"/>
                    </w:rPr>
                    <w:t xml:space="preserve"> na rast ukupne industrijske proizvodnje</w:t>
                  </w:r>
                </w:p>
                <w:p w:rsidR="005C4379" w:rsidRPr="005C4379" w:rsidRDefault="005C4379" w:rsidP="006C5919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  <w:rPr>
                      <w:b/>
                      <w:sz w:val="24"/>
                      <w:szCs w:val="20"/>
                    </w:rPr>
                  </w:pPr>
                  <w:r w:rsidRPr="005C4379">
                    <w:rPr>
                      <w:b/>
                      <w:sz w:val="24"/>
                      <w:szCs w:val="20"/>
                    </w:rPr>
                    <w:t>Godišnja stopa infl</w:t>
                  </w:r>
                  <w:r>
                    <w:rPr>
                      <w:b/>
                      <w:sz w:val="24"/>
                      <w:szCs w:val="20"/>
                    </w:rPr>
                    <w:t xml:space="preserve">acije u aprilu iznosila </w:t>
                  </w:r>
                  <w:r w:rsidRPr="005C4379">
                    <w:rPr>
                      <w:b/>
                      <w:sz w:val="24"/>
                      <w:szCs w:val="20"/>
                    </w:rPr>
                    <w:t xml:space="preserve"> 2,1%</w:t>
                  </w:r>
                </w:p>
                <w:p w:rsidR="005C4379" w:rsidRPr="005C4379" w:rsidRDefault="005C4379" w:rsidP="006C5919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  <w:rPr>
                      <w:b/>
                      <w:sz w:val="24"/>
                      <w:szCs w:val="20"/>
                    </w:rPr>
                  </w:pPr>
                  <w:r w:rsidRPr="005C4379">
                    <w:rPr>
                      <w:b/>
                      <w:sz w:val="24"/>
                      <w:szCs w:val="20"/>
                      <w:lang w:val="sr-Latn-CS"/>
                    </w:rPr>
                    <w:t>Na tržištu rada je nastavljen trend rasta  zaposlenosti</w:t>
                  </w:r>
                  <w:r w:rsidR="00DF3A27">
                    <w:rPr>
                      <w:b/>
                      <w:sz w:val="24"/>
                      <w:szCs w:val="20"/>
                      <w:lang w:val="sr-Latn-CS"/>
                    </w:rPr>
                    <w:t>,</w:t>
                  </w:r>
                  <w:r w:rsidRPr="005C4379">
                    <w:rPr>
                      <w:b/>
                      <w:sz w:val="24"/>
                      <w:szCs w:val="20"/>
                      <w:lang w:val="sr-Latn-CS"/>
                    </w:rPr>
                    <w:t xml:space="preserve"> prekinut trend rasta nezaposlenosti</w:t>
                  </w:r>
                </w:p>
                <w:p w:rsidR="005C4379" w:rsidRPr="005C4379" w:rsidRDefault="005C4379" w:rsidP="006C5919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  <w:rPr>
                      <w:b/>
                      <w:sz w:val="24"/>
                      <w:szCs w:val="20"/>
                    </w:rPr>
                  </w:pPr>
                  <w:r w:rsidRPr="005C4379">
                    <w:rPr>
                      <w:b/>
                      <w:noProof/>
                      <w:sz w:val="24"/>
                      <w:szCs w:val="20"/>
                    </w:rPr>
                    <w:t xml:space="preserve">U aprilu zabilježeno povećanje kreditne aktivnosti, depozita i kapitala </w:t>
                  </w:r>
                </w:p>
                <w:p w:rsidR="003B3EDA" w:rsidRDefault="003B3EDA"/>
              </w:txbxContent>
            </v:textbox>
            <w10:wrap type="tight" anchorx="margin" anchory="margin"/>
          </v:shape>
        </w:pict>
      </w:r>
    </w:p>
    <w:p w:rsidR="0082570B" w:rsidRPr="0020440D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</w:rPr>
      </w:pPr>
    </w:p>
    <w:p w:rsidR="0082570B" w:rsidRPr="0020440D" w:rsidRDefault="0082570B" w:rsidP="00D61692">
      <w:pPr>
        <w:pStyle w:val="NoSpacing"/>
        <w:rPr>
          <w:bCs/>
          <w:iCs/>
          <w:noProof/>
          <w:sz w:val="26"/>
          <w:szCs w:val="26"/>
        </w:rPr>
      </w:pPr>
    </w:p>
    <w:p w:rsidR="0082570B" w:rsidRPr="0020440D" w:rsidRDefault="0085138D" w:rsidP="00694445">
      <w:pPr>
        <w:pStyle w:val="NoSpacing"/>
        <w:rPr>
          <w:bCs/>
          <w:noProof/>
          <w:sz w:val="28"/>
          <w:szCs w:val="20"/>
        </w:rPr>
      </w:pPr>
      <w:r w:rsidRPr="0020440D">
        <w:rPr>
          <w:bCs/>
          <w:noProof/>
          <w:sz w:val="28"/>
          <w:szCs w:val="20"/>
          <w:lang w:val="sr-Latn-CS" w:eastAsia="sr-Latn-C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  <w:r w:rsidRPr="0020440D">
        <w:rPr>
          <w:b/>
          <w:bCs/>
          <w:noProof/>
          <w:color w:val="000000"/>
          <w:sz w:val="16"/>
          <w:szCs w:val="16"/>
        </w:rPr>
        <w:t xml:space="preserve">Autori priloga: </w:t>
      </w:r>
      <w:r w:rsidR="00423EE9" w:rsidRPr="0020440D">
        <w:rPr>
          <w:bCs/>
          <w:noProof/>
          <w:color w:val="000000"/>
          <w:sz w:val="16"/>
          <w:szCs w:val="16"/>
        </w:rPr>
        <w:t>Radovan Živković</w:t>
      </w:r>
      <w:r w:rsidR="002A2CED" w:rsidRPr="0020440D">
        <w:rPr>
          <w:bCs/>
          <w:noProof/>
          <w:color w:val="000000"/>
          <w:sz w:val="16"/>
          <w:szCs w:val="16"/>
        </w:rPr>
        <w:t>, Radojka Martinović</w:t>
      </w:r>
      <w:r w:rsidR="00423EE9" w:rsidRPr="0020440D">
        <w:rPr>
          <w:bCs/>
          <w:noProof/>
          <w:color w:val="000000"/>
          <w:sz w:val="16"/>
          <w:szCs w:val="16"/>
        </w:rPr>
        <w:t xml:space="preserve">, Olja Tomanović, </w:t>
      </w:r>
      <w:r w:rsidR="004B5F63" w:rsidRPr="0020440D">
        <w:rPr>
          <w:bCs/>
          <w:noProof/>
          <w:color w:val="000000"/>
          <w:sz w:val="16"/>
          <w:szCs w:val="16"/>
        </w:rPr>
        <w:t>Marija Novosel</w:t>
      </w:r>
      <w:r w:rsidR="00A423C3" w:rsidRPr="0020440D">
        <w:rPr>
          <w:bCs/>
          <w:noProof/>
          <w:color w:val="000000"/>
          <w:sz w:val="16"/>
          <w:szCs w:val="16"/>
        </w:rPr>
        <w:t>,</w:t>
      </w:r>
      <w:r w:rsidR="002A2CED" w:rsidRPr="0020440D">
        <w:rPr>
          <w:bCs/>
          <w:noProof/>
          <w:color w:val="000000"/>
          <w:sz w:val="16"/>
          <w:szCs w:val="16"/>
        </w:rPr>
        <w:t xml:space="preserve"> ZdenkaDabović</w:t>
      </w:r>
      <w:r w:rsidR="00E2362B" w:rsidRPr="0020440D">
        <w:rPr>
          <w:bCs/>
          <w:noProof/>
          <w:color w:val="000000"/>
          <w:sz w:val="16"/>
          <w:szCs w:val="16"/>
        </w:rPr>
        <w:t>, Milanka Jovanović</w:t>
      </w:r>
      <w:r w:rsidR="00A73F8B" w:rsidRPr="0020440D">
        <w:rPr>
          <w:bCs/>
          <w:noProof/>
          <w:color w:val="000000"/>
          <w:sz w:val="16"/>
          <w:szCs w:val="16"/>
        </w:rPr>
        <w:t>,</w:t>
      </w:r>
      <w:r w:rsidR="006D2C44">
        <w:rPr>
          <w:bCs/>
          <w:noProof/>
          <w:color w:val="000000"/>
          <w:sz w:val="16"/>
          <w:szCs w:val="16"/>
        </w:rPr>
        <w:t xml:space="preserve"> </w:t>
      </w:r>
      <w:r w:rsidR="00A73F8B" w:rsidRPr="0020440D">
        <w:rPr>
          <w:bCs/>
          <w:noProof/>
          <w:color w:val="000000"/>
          <w:sz w:val="16"/>
          <w:szCs w:val="16"/>
        </w:rPr>
        <w:t>Vesna Obradović</w:t>
      </w:r>
      <w:r w:rsidR="00625243">
        <w:rPr>
          <w:bCs/>
          <w:noProof/>
          <w:color w:val="000000"/>
          <w:sz w:val="16"/>
          <w:szCs w:val="16"/>
        </w:rPr>
        <w:t>.</w:t>
      </w:r>
    </w:p>
    <w:tbl>
      <w:tblPr>
        <w:tblpPr w:leftFromText="141" w:rightFromText="141" w:horzAnchor="margin" w:tblpX="108" w:tblpY="420"/>
        <w:tblW w:w="4936" w:type="pct"/>
        <w:tblBorders>
          <w:top w:val="threeDEmboss" w:sz="12" w:space="0" w:color="auto"/>
          <w:bottom w:val="threeDEmboss" w:sz="12" w:space="0" w:color="auto"/>
          <w:insideH w:val="threeDEmboss" w:sz="12" w:space="0" w:color="auto"/>
        </w:tblBorders>
        <w:tblLook w:val="04A0"/>
      </w:tblPr>
      <w:tblGrid>
        <w:gridCol w:w="7081"/>
        <w:gridCol w:w="4326"/>
      </w:tblGrid>
      <w:tr w:rsidR="00C45B95" w:rsidRPr="00D05BDB" w:rsidTr="00464A12">
        <w:trPr>
          <w:trHeight w:hRule="exact" w:val="3752"/>
        </w:trPr>
        <w:tc>
          <w:tcPr>
            <w:tcW w:w="3104" w:type="pct"/>
          </w:tcPr>
          <w:p w:rsidR="001B7C2A" w:rsidRPr="007917BF" w:rsidRDefault="001B7C2A" w:rsidP="00464A1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7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Međunarodno okruženje</w:t>
            </w:r>
          </w:p>
          <w:p w:rsidR="007917BF" w:rsidRPr="007917BF" w:rsidRDefault="007917BF" w:rsidP="00464A12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464A12">
              <w:rPr>
                <w:b/>
                <w:sz w:val="20"/>
                <w:szCs w:val="20"/>
              </w:rPr>
              <w:t xml:space="preserve">EURIBOR (Evropska međubankarska stopa) je u maju zabilježio vrijednost od 0,161%, što je najniži nivo od 1999. godine kad je ova stopa prvi put objavljena. </w:t>
            </w:r>
            <w:r w:rsidRPr="007917BF">
              <w:rPr>
                <w:sz w:val="20"/>
                <w:szCs w:val="20"/>
              </w:rPr>
              <w:t>EURIBOR je referentna kamatna stopa po kojoj banke pozajmljuju novac jedna drugoj na tržištu. Maksimalna vrijednost je zabilježena 2008 godine i iznosila je oko 5,5%. Visina stope zavisi svakako od ponude i tražnje a uslovljena je i inflacijom i inflatornim očekivanjima, kao i  stanjem u ekonomiji. Glavni razlog ovako niske stope EURIBOR-a je intervencija Evropske centralne banke</w:t>
            </w:r>
            <w:r w:rsidR="004149B0">
              <w:rPr>
                <w:sz w:val="20"/>
                <w:szCs w:val="20"/>
              </w:rPr>
              <w:t>,</w:t>
            </w:r>
            <w:r w:rsidRPr="007917BF">
              <w:rPr>
                <w:sz w:val="20"/>
                <w:szCs w:val="20"/>
              </w:rPr>
              <w:t xml:space="preserve"> u vidu otkupa suverenih obveznica u vrijednosti od 60 mlrd.€ mjesečno</w:t>
            </w:r>
            <w:r w:rsidR="004149B0">
              <w:rPr>
                <w:sz w:val="20"/>
                <w:szCs w:val="20"/>
              </w:rPr>
              <w:t>,</w:t>
            </w:r>
            <w:r w:rsidRPr="007917BF">
              <w:rPr>
                <w:sz w:val="20"/>
                <w:szCs w:val="20"/>
              </w:rPr>
              <w:t xml:space="preserve"> do septembra 2016. Ovako jaka ponuda novca obara kamatne stope, a koristi ima i realni sektor ekonomije u vidu vrlo niskih stopa na zaduživanje. Ova mjera za krajnji cilj ima približavanje inflacije ciljanim vrijednostima, jačanje kreditne aktivnosti</w:t>
            </w:r>
            <w:r w:rsidR="0001302D">
              <w:rPr>
                <w:sz w:val="20"/>
                <w:szCs w:val="20"/>
              </w:rPr>
              <w:t>,</w:t>
            </w:r>
            <w:r w:rsidRPr="007917BF">
              <w:rPr>
                <w:sz w:val="20"/>
                <w:szCs w:val="20"/>
              </w:rPr>
              <w:t xml:space="preserve"> a time i jačanj</w:t>
            </w:r>
            <w:r w:rsidR="008C604B">
              <w:rPr>
                <w:sz w:val="20"/>
                <w:szCs w:val="20"/>
              </w:rPr>
              <w:t>e</w:t>
            </w:r>
            <w:r w:rsidRPr="007917BF">
              <w:rPr>
                <w:sz w:val="20"/>
                <w:szCs w:val="20"/>
              </w:rPr>
              <w:t xml:space="preserve"> ukupne ekonomske aktivnosti. </w:t>
            </w:r>
          </w:p>
          <w:p w:rsidR="00C45B95" w:rsidRPr="007917BF" w:rsidRDefault="00C45B95" w:rsidP="00464A12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6" w:type="pct"/>
            <w:vAlign w:val="center"/>
          </w:tcPr>
          <w:p w:rsidR="00C45B95" w:rsidRPr="007917BF" w:rsidRDefault="007917BF" w:rsidP="00464A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7BF">
              <w:rPr>
                <w:rFonts w:asciiTheme="minorHAnsi" w:hAnsiTheme="minorHAnsi" w:cstheme="minorHAnsi"/>
                <w:noProof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2391641" cy="2097365"/>
                  <wp:effectExtent l="0" t="0" r="0" b="0"/>
                  <wp:docPr id="6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45B95" w:rsidRPr="00D05BDB" w:rsidTr="00464A12">
        <w:trPr>
          <w:trHeight w:hRule="exact" w:val="3960"/>
        </w:trPr>
        <w:tc>
          <w:tcPr>
            <w:tcW w:w="3104" w:type="pct"/>
          </w:tcPr>
          <w:p w:rsidR="00000106" w:rsidRPr="00D05BDB" w:rsidRDefault="003D49BD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Realni sek</w:t>
            </w:r>
            <w:r w:rsidR="00000106" w:rsidRPr="00D05BDB">
              <w:rPr>
                <w:rFonts w:asciiTheme="minorHAnsi" w:hAnsiTheme="minorHAnsi" w:cstheme="minorHAnsi"/>
                <w:b/>
                <w:sz w:val="20"/>
              </w:rPr>
              <w:t>tor</w:t>
            </w:r>
          </w:p>
          <w:p w:rsidR="00C45B95" w:rsidRPr="00D05BDB" w:rsidRDefault="00CA3D81" w:rsidP="00464A12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Rast prerađivačke industrije u aprilu uticao je na rast ukupne industrijske proizvodnje. </w:t>
            </w:r>
            <w:r w:rsidRPr="00D0310A">
              <w:rPr>
                <w:sz w:val="20"/>
                <w:szCs w:val="20"/>
              </w:rPr>
              <w:t xml:space="preserve">Industrijska proizvodnja u </w:t>
            </w:r>
            <w:r>
              <w:rPr>
                <w:sz w:val="20"/>
                <w:szCs w:val="20"/>
              </w:rPr>
              <w:t>aprilu</w:t>
            </w:r>
            <w:r w:rsidRPr="00D0310A">
              <w:rPr>
                <w:sz w:val="20"/>
                <w:szCs w:val="20"/>
              </w:rPr>
              <w:t xml:space="preserve"> 2015. bilježi </w:t>
            </w:r>
            <w:r>
              <w:rPr>
                <w:sz w:val="20"/>
                <w:szCs w:val="20"/>
              </w:rPr>
              <w:t>g</w:t>
            </w:r>
            <w:r w:rsidRPr="00201897">
              <w:rPr>
                <w:sz w:val="20"/>
                <w:szCs w:val="20"/>
              </w:rPr>
              <w:t xml:space="preserve">odišnji rast </w:t>
            </w:r>
            <w:r>
              <w:rPr>
                <w:sz w:val="20"/>
                <w:szCs w:val="20"/>
              </w:rPr>
              <w:t>od</w:t>
            </w:r>
            <w:r w:rsidRPr="00201897">
              <w:rPr>
                <w:sz w:val="20"/>
                <w:szCs w:val="20"/>
              </w:rPr>
              <w:t xml:space="preserve"> je </w:t>
            </w:r>
            <w:r>
              <w:rPr>
                <w:sz w:val="20"/>
                <w:szCs w:val="20"/>
              </w:rPr>
              <w:t>11,4%,</w:t>
            </w:r>
            <w:r w:rsidRPr="002018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usljed rasta u sektoru „prerađivačka industrija“ 40,5%, dok</w:t>
            </w:r>
            <w:r w:rsidRPr="00201897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e u sektoru „vađenje rude i kamena“ i „snabdijevanje el.energ, gasom i parom“, zabilježen pad od 33,1 i 15,3% g-n-g, respektivno. Na godišnji rast prerađivačke industrije uticao je rast proizvodnje farmaceutskih proizvoda (indeks preko 200,0 koji ukazuje na </w:t>
            </w:r>
            <w:r w:rsidRPr="002021DB">
              <w:rPr>
                <w:sz w:val="20"/>
              </w:rPr>
              <w:t>izra</w:t>
            </w:r>
            <w:r>
              <w:rPr>
                <w:sz w:val="20"/>
              </w:rPr>
              <w:t>zita oscilatorna</w:t>
            </w:r>
            <w:r w:rsidRPr="002021DB">
              <w:rPr>
                <w:sz w:val="20"/>
              </w:rPr>
              <w:t xml:space="preserve"> kretanja</w:t>
            </w:r>
            <w:r>
              <w:rPr>
                <w:sz w:val="20"/>
              </w:rPr>
              <w:t xml:space="preserve"> u ovoj proizvodnji) i rast osnovnih metala (7,9%), kao rezultat ponovnog pokretanja proizvodnje čelika, dok značajan pad bilježe proizvodnja prehrambenih proizvoda (36,0%) i proizvodnja pića (32,6%)</w:t>
            </w:r>
            <w:r>
              <w:rPr>
                <w:sz w:val="20"/>
                <w:szCs w:val="20"/>
              </w:rPr>
              <w:t>. Crnu Goru je u aprilu posjetilo 43,8 hilj.turista i ostvareno 144,9 hilj.noćenja, što je rast od 20,4 i 11,1% g-n-g, respektivno.</w:t>
            </w:r>
            <w:r w:rsidRPr="00297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Promet u trgovini na malo u aprilu 2015, </w:t>
            </w:r>
            <w:r w:rsidRPr="00604D5F">
              <w:rPr>
                <w:sz w:val="20"/>
                <w:szCs w:val="20"/>
              </w:rPr>
              <w:t xml:space="preserve">u tekućim cijenama, veći je za </w:t>
            </w:r>
            <w:r>
              <w:rPr>
                <w:sz w:val="20"/>
                <w:szCs w:val="20"/>
              </w:rPr>
              <w:t>1,1</w:t>
            </w:r>
            <w:r w:rsidRPr="00604D5F">
              <w:rPr>
                <w:sz w:val="20"/>
                <w:szCs w:val="20"/>
              </w:rPr>
              <w:t>% g-n-g, dok je za period januar-</w:t>
            </w:r>
            <w:r>
              <w:rPr>
                <w:sz w:val="20"/>
                <w:szCs w:val="20"/>
              </w:rPr>
              <w:t>april rast iznosio 2,1</w:t>
            </w:r>
            <w:r w:rsidRPr="00604D5F">
              <w:rPr>
                <w:sz w:val="20"/>
                <w:szCs w:val="20"/>
              </w:rPr>
              <w:t>%.</w:t>
            </w:r>
          </w:p>
        </w:tc>
        <w:tc>
          <w:tcPr>
            <w:tcW w:w="1896" w:type="pct"/>
            <w:vAlign w:val="center"/>
          </w:tcPr>
          <w:p w:rsidR="00000106" w:rsidRPr="00D05BDB" w:rsidRDefault="00CA3D81" w:rsidP="00464A1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A3D81"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inline distT="0" distB="0" distL="0" distR="0">
                  <wp:extent cx="2232000" cy="2228850"/>
                  <wp:effectExtent l="0" t="0" r="34950" b="0"/>
                  <wp:docPr id="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45B95" w:rsidRPr="00D05BDB" w:rsidTr="00464A12">
        <w:trPr>
          <w:trHeight w:hRule="exact" w:val="3690"/>
        </w:trPr>
        <w:tc>
          <w:tcPr>
            <w:tcW w:w="3104" w:type="pct"/>
          </w:tcPr>
          <w:p w:rsidR="00561716" w:rsidRPr="00D05BDB" w:rsidRDefault="00000106" w:rsidP="00464A1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Inflacija</w:t>
            </w:r>
          </w:p>
          <w:p w:rsidR="00C45B95" w:rsidRPr="00D05BDB" w:rsidRDefault="00BD09FF" w:rsidP="00464A12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Potrošačke cijene u aprilu 2015. bilježe rast po svim indikatorima. 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 xml:space="preserve">Godišnja stopa </w:t>
            </w:r>
            <w:r>
              <w:rPr>
                <w:rFonts w:asciiTheme="minorHAnsi" w:hAnsiTheme="minorHAnsi"/>
                <w:sz w:val="20"/>
                <w:szCs w:val="20"/>
              </w:rPr>
              <w:t>inflacije u aprilu (CPI) iznosila je 2,1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 xml:space="preserve">%, mjesečna </w:t>
            </w:r>
            <w:r>
              <w:rPr>
                <w:rFonts w:asciiTheme="minorHAnsi" w:hAnsiTheme="minorHAnsi"/>
                <w:sz w:val="20"/>
                <w:szCs w:val="20"/>
              </w:rPr>
              <w:t>0,3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>%, dok je u periodu jan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>ar-</w:t>
            </w:r>
            <w:r>
              <w:rPr>
                <w:rFonts w:asciiTheme="minorHAnsi" w:hAnsiTheme="minorHAnsi"/>
                <w:sz w:val="20"/>
                <w:szCs w:val="20"/>
              </w:rPr>
              <w:t>april zabilježen rast od 1,1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 xml:space="preserve">% g-n-g. Najveći uticaj na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godišnju stopu inflacije imale su cijene iz oblasti „hrana i bezalkoholna pića“ (rast 4,1% i uticaj 1,57 p.p), „odjeća i obuća“ (rast 3,5% i uticaj 0,25 p.p), „stanovanje, voda, struja i gas“ (rast 2,7% i uticaj 0,41 p.p) i cijene iz oblasti „prevoz“ (pad 4,4% i uticaj -0,44 p.p). Inflacija mjerena HICP-om u aprilu bilježi mjesečni rast od 0,2,% i godišnji rast od 1,3%, pri čemu je najveći godišnji rast zabilježen kod cijena iz oblasti „hrana i bezalkoholna pića“ (4,2%). Cijene proizvođača industrijskih proizvoda u aprilu bilježe rast 0,3% g-n-g, i rast od 0,6% u periodu januar-april g-n-g. </w:t>
            </w:r>
            <w:r w:rsidR="00464A12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ijene industrijskih proizvoda za izvoz u aprilu bile veće za 8,6% g-n-g, usljed rasta cijena osnovnih metala od 11,1%. </w:t>
            </w:r>
          </w:p>
        </w:tc>
        <w:tc>
          <w:tcPr>
            <w:tcW w:w="1896" w:type="pct"/>
            <w:vAlign w:val="center"/>
          </w:tcPr>
          <w:p w:rsidR="00C45B95" w:rsidRPr="00D05BDB" w:rsidRDefault="00BD09FF" w:rsidP="00464A12">
            <w:pPr>
              <w:rPr>
                <w:rFonts w:asciiTheme="minorHAnsi" w:hAnsiTheme="minorHAnsi" w:cstheme="minorHAnsi"/>
              </w:rPr>
            </w:pPr>
            <w:r w:rsidRPr="00BD09FF"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inline distT="0" distB="0" distL="0" distR="0">
                  <wp:extent cx="2337955" cy="2060863"/>
                  <wp:effectExtent l="0" t="0" r="0" b="0"/>
                  <wp:docPr id="9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45B95" w:rsidRPr="00D05BDB" w:rsidTr="00A339DF">
        <w:trPr>
          <w:trHeight w:hRule="exact" w:val="3819"/>
        </w:trPr>
        <w:tc>
          <w:tcPr>
            <w:tcW w:w="3104" w:type="pct"/>
          </w:tcPr>
          <w:p w:rsidR="00000106" w:rsidRPr="00D05BDB" w:rsidRDefault="00000106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Zaposlenost i zarade</w:t>
            </w:r>
          </w:p>
          <w:p w:rsidR="008E1957" w:rsidRDefault="008E1957" w:rsidP="00464A12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  <w:lang w:val="sr-Latn-CS"/>
              </w:rPr>
            </w:pPr>
            <w:r w:rsidRPr="003A6B3C">
              <w:rPr>
                <w:b/>
                <w:sz w:val="20"/>
                <w:szCs w:val="20"/>
                <w:lang w:val="sr-Latn-CS"/>
              </w:rPr>
              <w:t>Na tržištu rada je nastavljena tendencija</w:t>
            </w:r>
            <w:r w:rsidR="00464A12">
              <w:rPr>
                <w:b/>
                <w:sz w:val="20"/>
                <w:szCs w:val="20"/>
                <w:lang w:val="sr-Latn-CS"/>
              </w:rPr>
              <w:t xml:space="preserve"> rasta </w:t>
            </w:r>
            <w:r w:rsidR="00464A12" w:rsidRPr="003A6B3C">
              <w:rPr>
                <w:b/>
                <w:sz w:val="20"/>
                <w:szCs w:val="20"/>
                <w:lang w:val="sr-Latn-CS"/>
              </w:rPr>
              <w:t xml:space="preserve"> zaposlenosti</w:t>
            </w:r>
            <w:r w:rsidRPr="003A6B3C">
              <w:rPr>
                <w:b/>
                <w:sz w:val="20"/>
                <w:szCs w:val="20"/>
                <w:lang w:val="sr-Latn-CS"/>
              </w:rPr>
              <w:t xml:space="preserve">, </w:t>
            </w:r>
            <w:r w:rsidR="006B5B1D">
              <w:rPr>
                <w:b/>
                <w:sz w:val="20"/>
                <w:szCs w:val="20"/>
                <w:lang w:val="sr-Latn-CS"/>
              </w:rPr>
              <w:t xml:space="preserve">dok je zbog uticaja sezone zaustavljen trend </w:t>
            </w:r>
            <w:r w:rsidRPr="003A6B3C">
              <w:rPr>
                <w:b/>
                <w:sz w:val="20"/>
                <w:szCs w:val="20"/>
                <w:lang w:val="sr-Latn-CS"/>
              </w:rPr>
              <w:t>povećanja nezaposlenosti</w:t>
            </w:r>
            <w:r w:rsidR="006B5B1D">
              <w:rPr>
                <w:b/>
                <w:sz w:val="20"/>
                <w:szCs w:val="20"/>
                <w:lang w:val="sr-Latn-CS"/>
              </w:rPr>
              <w:t>.</w:t>
            </w:r>
            <w:r>
              <w:rPr>
                <w:sz w:val="20"/>
                <w:szCs w:val="20"/>
                <w:lang w:val="sr-Latn-CS"/>
              </w:rPr>
              <w:t xml:space="preserve"> Broj zaposlenih u aprilu 2015. je iznosio 174.208</w:t>
            </w:r>
            <w:r w:rsidR="00AB4336">
              <w:rPr>
                <w:sz w:val="20"/>
                <w:szCs w:val="20"/>
                <w:lang w:val="sr-Latn-CS"/>
              </w:rPr>
              <w:t xml:space="preserve"> i povećan je 1,1% </w:t>
            </w:r>
            <w:r>
              <w:rPr>
                <w:sz w:val="20"/>
                <w:szCs w:val="20"/>
                <w:lang w:val="sr-Latn-CS"/>
              </w:rPr>
              <w:t xml:space="preserve"> za četvoromjesečni uporedni period</w:t>
            </w:r>
            <w:r w:rsidR="00AB4336">
              <w:rPr>
                <w:sz w:val="20"/>
                <w:szCs w:val="20"/>
                <w:lang w:val="sr-Latn-CS"/>
              </w:rPr>
              <w:t>.</w:t>
            </w:r>
            <w:r>
              <w:rPr>
                <w:sz w:val="20"/>
                <w:szCs w:val="20"/>
                <w:lang w:val="sr-Latn-CS"/>
              </w:rPr>
              <w:t xml:space="preserve"> Broj nezaposlenih u aprilu 2015. je iznosio 33.975, smanjen je 2,7% u odnosu na mart, dok je u periodu januar-april 2015.</w:t>
            </w:r>
            <w:r w:rsidR="00464A12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 xml:space="preserve"> povećan 0,4%. Broj lica koja prvi put traže zaposlenje je smanjen u aprilu 2015. u odnosu na prethodni mjesec </w:t>
            </w:r>
            <w:r w:rsidR="00A339DF">
              <w:rPr>
                <w:sz w:val="20"/>
                <w:szCs w:val="20"/>
                <w:lang w:val="sr-Latn-CS"/>
              </w:rPr>
              <w:t xml:space="preserve">za </w:t>
            </w:r>
            <w:r>
              <w:rPr>
                <w:sz w:val="20"/>
                <w:szCs w:val="20"/>
                <w:lang w:val="sr-Latn-CS"/>
              </w:rPr>
              <w:t>1,1%, dok je 6,0%</w:t>
            </w:r>
            <w:r w:rsidR="00DA4FC9">
              <w:rPr>
                <w:sz w:val="20"/>
                <w:szCs w:val="20"/>
                <w:lang w:val="sr-Latn-CS"/>
              </w:rPr>
              <w:t xml:space="preserve"> povećan</w:t>
            </w:r>
            <w:r w:rsidR="00A339DF">
              <w:rPr>
                <w:sz w:val="20"/>
                <w:szCs w:val="20"/>
                <w:lang w:val="sr-Latn-CS"/>
              </w:rPr>
              <w:t xml:space="preserve"> g-n-g.</w:t>
            </w:r>
            <w:r>
              <w:rPr>
                <w:sz w:val="20"/>
                <w:szCs w:val="20"/>
                <w:lang w:val="sr-Latn-CS"/>
              </w:rPr>
              <w:t xml:space="preserve"> U periodu januar-april 2015. oglašeno je 15.553 slobodnih radnih mjesta ili 47,3% više nego u istom periodu 2014. godine. Prosječna </w:t>
            </w:r>
            <w:r w:rsidR="00A339DF">
              <w:rPr>
                <w:sz w:val="20"/>
                <w:szCs w:val="20"/>
                <w:lang w:val="sr-Latn-CS"/>
              </w:rPr>
              <w:t xml:space="preserve">bruto </w:t>
            </w:r>
            <w:r>
              <w:rPr>
                <w:sz w:val="20"/>
                <w:szCs w:val="20"/>
                <w:lang w:val="sr-Latn-CS"/>
              </w:rPr>
              <w:t>zarada u aprilu 2015. je iznosila 723€</w:t>
            </w:r>
            <w:r w:rsidR="00CF7D4E">
              <w:rPr>
                <w:sz w:val="20"/>
                <w:szCs w:val="20"/>
                <w:lang w:val="sr-Latn-CS"/>
              </w:rPr>
              <w:t xml:space="preserve"> i </w:t>
            </w:r>
            <w:r>
              <w:rPr>
                <w:sz w:val="20"/>
                <w:szCs w:val="20"/>
                <w:lang w:val="sr-Latn-CS"/>
              </w:rPr>
              <w:t>povećana je u odno</w:t>
            </w:r>
            <w:r w:rsidR="00A339DF">
              <w:rPr>
                <w:sz w:val="20"/>
                <w:szCs w:val="20"/>
                <w:lang w:val="sr-Latn-CS"/>
              </w:rPr>
              <w:t>su na prethodni mjesec za 0,3% i 0</w:t>
            </w:r>
            <w:r>
              <w:rPr>
                <w:sz w:val="20"/>
                <w:szCs w:val="20"/>
                <w:lang w:val="sr-Latn-CS"/>
              </w:rPr>
              <w:t>,4%</w:t>
            </w:r>
            <w:r w:rsidR="00A339DF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>. Neto zarada je iznosila 478€</w:t>
            </w:r>
            <w:r w:rsidR="00072932">
              <w:rPr>
                <w:sz w:val="20"/>
                <w:szCs w:val="20"/>
                <w:lang w:val="sr-Latn-CS"/>
              </w:rPr>
              <w:t xml:space="preserve"> i</w:t>
            </w:r>
            <w:r>
              <w:rPr>
                <w:sz w:val="20"/>
                <w:szCs w:val="20"/>
                <w:lang w:val="sr-Latn-CS"/>
              </w:rPr>
              <w:t xml:space="preserve"> u o</w:t>
            </w:r>
            <w:r w:rsidR="00A339DF">
              <w:rPr>
                <w:sz w:val="20"/>
                <w:szCs w:val="20"/>
                <w:lang w:val="sr-Latn-CS"/>
              </w:rPr>
              <w:t>dnosu na mart je povećana 0,4% i</w:t>
            </w:r>
            <w:r>
              <w:rPr>
                <w:sz w:val="20"/>
                <w:szCs w:val="20"/>
                <w:lang w:val="sr-Latn-CS"/>
              </w:rPr>
              <w:t xml:space="preserve"> 0,4%</w:t>
            </w:r>
            <w:r w:rsidR="00A339DF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>. Realna neto zarada je smanjena 0,7%</w:t>
            </w:r>
            <w:r w:rsidR="00A339DF">
              <w:rPr>
                <w:sz w:val="20"/>
                <w:szCs w:val="20"/>
                <w:lang w:val="sr-Latn-CS"/>
              </w:rPr>
              <w:t xml:space="preserve">  g-n-g</w:t>
            </w:r>
            <w:r>
              <w:rPr>
                <w:sz w:val="20"/>
                <w:szCs w:val="20"/>
                <w:lang w:val="sr-Latn-CS"/>
              </w:rPr>
              <w:t>, a u aprilu 2015. u odnosu na mart 2015. povećana je za 0,1%.</w:t>
            </w:r>
          </w:p>
          <w:p w:rsidR="00F55DC8" w:rsidRPr="008E1957" w:rsidRDefault="00F55DC8" w:rsidP="00464A12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7F5F68" w:rsidRPr="00D05BDB" w:rsidRDefault="007F5F68" w:rsidP="00464A12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6" w:type="pct"/>
            <w:vAlign w:val="center"/>
          </w:tcPr>
          <w:p w:rsidR="00C45B95" w:rsidRPr="00D05BDB" w:rsidRDefault="00464A12" w:rsidP="00464A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-2374265</wp:posOffset>
                  </wp:positionV>
                  <wp:extent cx="2461260" cy="2320925"/>
                  <wp:effectExtent l="0" t="0" r="0" b="0"/>
                  <wp:wrapSquare wrapText="bothSides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  <w:r w:rsidR="001C30E3">
              <w:rPr>
                <w:rFonts w:asciiTheme="minorHAnsi" w:hAnsiTheme="minorHAnsi" w:cstheme="minorHAnsi"/>
                <w:noProof/>
                <w:lang w:val="sr-Latn-CS" w:eastAsia="sr-Latn-C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7.8pt;margin-top:8.6pt;width:73.85pt;height:13.65pt;z-index:251659264;mso-position-horizontal-relative:text;mso-position-vertical-relative:text;v-text-anchor:middle" strokecolor="white [3212]">
                  <v:textbox style="mso-next-textbox:#_x0000_s1027" inset="1mm,.3mm,1mm,.3mm">
                    <w:txbxContent>
                      <w:p w:rsidR="003B3EDA" w:rsidRPr="0012343E" w:rsidRDefault="003B3EDA" w:rsidP="0012343E"/>
                    </w:txbxContent>
                  </v:textbox>
                </v:shape>
              </w:pict>
            </w:r>
          </w:p>
        </w:tc>
      </w:tr>
      <w:tr w:rsidR="00C45B95" w:rsidRPr="00D05BDB" w:rsidTr="009F52DD">
        <w:trPr>
          <w:trHeight w:hRule="exact" w:val="3746"/>
        </w:trPr>
        <w:tc>
          <w:tcPr>
            <w:tcW w:w="3104" w:type="pct"/>
          </w:tcPr>
          <w:p w:rsidR="00FF2790" w:rsidRPr="00AF7AA0" w:rsidRDefault="00FF2790" w:rsidP="00464A12">
            <w:pPr>
              <w:pStyle w:val="ListParagraph"/>
              <w:numPr>
                <w:ilvl w:val="0"/>
                <w:numId w:val="36"/>
              </w:numPr>
              <w:spacing w:after="0"/>
              <w:ind w:left="0" w:hanging="11"/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0"/>
              </w:rPr>
            </w:pPr>
            <w:r w:rsidRPr="00AF7AA0">
              <w:rPr>
                <w:rFonts w:asciiTheme="minorHAnsi" w:hAnsiTheme="minorHAnsi" w:cstheme="minorHAnsi"/>
                <w:b/>
                <w:sz w:val="20"/>
              </w:rPr>
              <w:lastRenderedPageBreak/>
              <w:t>Javne finansije</w:t>
            </w:r>
          </w:p>
          <w:p w:rsidR="00354656" w:rsidRPr="00464A12" w:rsidRDefault="00354656" w:rsidP="009F52DD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  <w:rPr>
                <w:rFonts w:asciiTheme="minorHAnsi" w:hAnsiTheme="minorHAnsi" w:cstheme="minorHAnsi"/>
                <w:sz w:val="20"/>
              </w:rPr>
            </w:pPr>
            <w:r w:rsidRPr="00464A12">
              <w:rPr>
                <w:b/>
                <w:bCs/>
                <w:sz w:val="20"/>
                <w:lang w:val="sr-Latn-CS"/>
              </w:rPr>
              <w:t>Izvorni prihodi budžeta Crne Gore u aprilu 2015. godine iznosili su 111,5 mil. € i  veći su za 2,2 % u odnosu na april 2014. godine</w:t>
            </w:r>
            <w:r w:rsidRPr="00464A12">
              <w:rPr>
                <w:sz w:val="20"/>
              </w:rPr>
              <w:t>. Bolju naplatu u odnosu na isti mjesec prošle godine bilježe:</w:t>
            </w:r>
            <w:r w:rsidR="00A339DF">
              <w:rPr>
                <w:sz w:val="20"/>
              </w:rPr>
              <w:t xml:space="preserve"> </w:t>
            </w:r>
            <w:r w:rsidRPr="00464A12">
              <w:rPr>
                <w:sz w:val="20"/>
              </w:rPr>
              <w:t>porez na dobit pravnih lica 33,9</w:t>
            </w:r>
            <w:r w:rsidR="00A50BD2">
              <w:rPr>
                <w:sz w:val="20"/>
              </w:rPr>
              <w:t>%</w:t>
            </w:r>
            <w:r w:rsidRPr="00464A12">
              <w:rPr>
                <w:sz w:val="20"/>
              </w:rPr>
              <w:t>, porezi i doprinosi na zarade  8,9% i prihodi po osnovu akciza 2,1%.To je rezultat intenzivne borbe protiv sive ekonomije posebno na tržištu rada i akciznih proizvoda, a samim tim porasta poreske discipline.</w:t>
            </w:r>
            <w:r w:rsidR="00A339DF">
              <w:rPr>
                <w:sz w:val="20"/>
              </w:rPr>
              <w:t xml:space="preserve"> </w:t>
            </w:r>
            <w:r w:rsidRPr="00464A12">
              <w:rPr>
                <w:b/>
                <w:sz w:val="20"/>
              </w:rPr>
              <w:t>Izdaci budžeta</w:t>
            </w:r>
            <w:r w:rsidRPr="00464A12">
              <w:rPr>
                <w:sz w:val="20"/>
              </w:rPr>
              <w:t xml:space="preserve"> u aprilu 2015  iznosili su 121,8 mil. € i niži su u odnosu na isti mjesec 2014.</w:t>
            </w:r>
            <w:r w:rsidR="001C237D">
              <w:rPr>
                <w:sz w:val="20"/>
              </w:rPr>
              <w:t xml:space="preserve"> </w:t>
            </w:r>
            <w:r w:rsidRPr="00464A12">
              <w:rPr>
                <w:sz w:val="20"/>
              </w:rPr>
              <w:t>godine za 1,8%</w:t>
            </w:r>
            <w:r w:rsidR="001C237D">
              <w:rPr>
                <w:sz w:val="20"/>
              </w:rPr>
              <w:t>,</w:t>
            </w:r>
            <w:r w:rsidRPr="00464A12">
              <w:rPr>
                <w:sz w:val="20"/>
              </w:rPr>
              <w:t xml:space="preserve"> što je rezultat preduzetih mjera štednje. Deficit budžeta u aprilu</w:t>
            </w:r>
            <w:r w:rsidR="00A339DF">
              <w:rPr>
                <w:sz w:val="20"/>
              </w:rPr>
              <w:t xml:space="preserve"> 2015. iznosio je 10,3 mil €, i </w:t>
            </w:r>
            <w:r w:rsidRPr="00464A12">
              <w:rPr>
                <w:sz w:val="20"/>
              </w:rPr>
              <w:t>niži je</w:t>
            </w:r>
            <w:r w:rsidR="00FB0150" w:rsidRPr="00464A12">
              <w:rPr>
                <w:sz w:val="20"/>
              </w:rPr>
              <w:t xml:space="preserve"> u odnosu na planirani za 47,1%</w:t>
            </w:r>
            <w:r w:rsidRPr="00464A12">
              <w:rPr>
                <w:sz w:val="20"/>
              </w:rPr>
              <w:t>.</w:t>
            </w:r>
            <w:r w:rsidR="00FB0150" w:rsidRPr="00464A12">
              <w:rPr>
                <w:sz w:val="20"/>
              </w:rPr>
              <w:t xml:space="preserve"> </w:t>
            </w:r>
            <w:r w:rsidRPr="00464A12">
              <w:rPr>
                <w:b/>
                <w:sz w:val="20"/>
              </w:rPr>
              <w:t>Državni dug</w:t>
            </w:r>
            <w:r w:rsidRPr="00464A12">
              <w:rPr>
                <w:sz w:val="20"/>
              </w:rPr>
              <w:t xml:space="preserve"> na kraju </w:t>
            </w:r>
            <w:r w:rsidR="00B323C3" w:rsidRPr="00464A12">
              <w:rPr>
                <w:sz w:val="20"/>
              </w:rPr>
              <w:t xml:space="preserve">marta </w:t>
            </w:r>
            <w:r w:rsidRPr="00464A12">
              <w:rPr>
                <w:sz w:val="20"/>
              </w:rPr>
              <w:t xml:space="preserve">2015. </w:t>
            </w:r>
            <w:r w:rsidRPr="00464A12">
              <w:rPr>
                <w:rFonts w:asciiTheme="minorHAnsi" w:hAnsiTheme="minorHAnsi" w:cstheme="minorHAnsi"/>
                <w:sz w:val="20"/>
              </w:rPr>
              <w:t>(uključujući depozite) iznosio je 1.938,0 mil.€, što predstavlja 54,</w:t>
            </w:r>
            <w:r w:rsidR="00B323C3" w:rsidRPr="00464A12">
              <w:rPr>
                <w:rFonts w:asciiTheme="minorHAnsi" w:hAnsiTheme="minorHAnsi" w:cstheme="minorHAnsi"/>
                <w:sz w:val="20"/>
              </w:rPr>
              <w:t>1</w:t>
            </w:r>
            <w:r w:rsidRPr="00464A12">
              <w:rPr>
                <w:rFonts w:asciiTheme="minorHAnsi" w:hAnsiTheme="minorHAnsi" w:cstheme="minorHAnsi"/>
                <w:sz w:val="20"/>
              </w:rPr>
              <w:t>% procijenjenog BDP-a, od čega se na spoljni dug odnosi 2.047,7mil.€, unutrašnji 395,9mil.€ i depozite 505,6mil.€ (u skladu sa Zakonom o budžetu i fiskalnoj odgovornosti).</w:t>
            </w:r>
          </w:p>
          <w:p w:rsidR="00C45B95" w:rsidRPr="00354656" w:rsidRDefault="00C45B95" w:rsidP="00464A12">
            <w:pPr>
              <w:pStyle w:val="ListParagraph"/>
              <w:pBdr>
                <w:top w:val="single" w:sz="4" w:space="1" w:color="auto"/>
              </w:pBdr>
              <w:spacing w:after="0" w:line="240" w:lineRule="auto"/>
              <w:ind w:left="0" w:hanging="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6" w:type="pct"/>
            <w:vAlign w:val="center"/>
          </w:tcPr>
          <w:p w:rsidR="00C45B95" w:rsidRPr="00D05BDB" w:rsidRDefault="00110756" w:rsidP="00464A12">
            <w:pPr>
              <w:rPr>
                <w:rFonts w:asciiTheme="minorHAnsi" w:hAnsiTheme="minorHAnsi" w:cstheme="minorHAnsi"/>
              </w:rPr>
            </w:pPr>
            <w:r w:rsidRPr="00110756"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inline distT="0" distB="0" distL="0" distR="0">
                  <wp:extent cx="2436268" cy="2135732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45B95" w:rsidRPr="00D05BDB" w:rsidTr="00E013C2">
        <w:trPr>
          <w:trHeight w:hRule="exact" w:val="4954"/>
        </w:trPr>
        <w:tc>
          <w:tcPr>
            <w:tcW w:w="3104" w:type="pct"/>
          </w:tcPr>
          <w:p w:rsidR="006E7A12" w:rsidRPr="00D05BDB" w:rsidRDefault="006E7A12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noProof/>
                <w:sz w:val="20"/>
              </w:rPr>
              <w:t>Monetarni sektor</w:t>
            </w:r>
          </w:p>
          <w:p w:rsidR="00C45B95" w:rsidRPr="00D05BDB" w:rsidRDefault="00DD2817" w:rsidP="009B6EE0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noProof/>
                <w:sz w:val="20"/>
                <w:szCs w:val="20"/>
              </w:rPr>
              <w:t>Povećanje kreditne aktivnosti, depozita i kapitala na mjesečnom nivou su osnovne karakteristike poslovanja banaka u aprilu.</w:t>
            </w:r>
            <w:r w:rsidRPr="00C20FA8">
              <w:rPr>
                <w:noProof/>
                <w:sz w:val="20"/>
                <w:szCs w:val="20"/>
              </w:rPr>
              <w:t xml:space="preserve"> Ukupno odobreni </w:t>
            </w:r>
            <w:r w:rsidRPr="00C20FA8">
              <w:rPr>
                <w:b/>
                <w:noProof/>
                <w:sz w:val="20"/>
                <w:szCs w:val="20"/>
              </w:rPr>
              <w:t>krediti</w:t>
            </w:r>
            <w:r w:rsidRPr="00C20FA8">
              <w:rPr>
                <w:noProof/>
                <w:sz w:val="20"/>
                <w:szCs w:val="20"/>
              </w:rPr>
              <w:t xml:space="preserve"> i ostala potraživanja su iznosili </w:t>
            </w:r>
            <w:r>
              <w:rPr>
                <w:noProof/>
                <w:sz w:val="20"/>
                <w:szCs w:val="20"/>
              </w:rPr>
              <w:t>2.366,7</w:t>
            </w:r>
            <w:r w:rsidRPr="00C20FA8">
              <w:rPr>
                <w:noProof/>
                <w:sz w:val="20"/>
                <w:szCs w:val="20"/>
              </w:rPr>
              <w:t xml:space="preserve"> mil.€ i </w:t>
            </w:r>
            <w:r>
              <w:rPr>
                <w:noProof/>
                <w:sz w:val="20"/>
                <w:szCs w:val="20"/>
              </w:rPr>
              <w:t>povećani su za 1,1%</w:t>
            </w:r>
            <w:r w:rsidRPr="00C20FA8">
              <w:rPr>
                <w:noProof/>
                <w:sz w:val="20"/>
                <w:szCs w:val="20"/>
              </w:rPr>
              <w:t xml:space="preserve"> u odnosu na prethodni mjesec</w:t>
            </w:r>
            <w:r>
              <w:rPr>
                <w:noProof/>
                <w:sz w:val="20"/>
                <w:szCs w:val="20"/>
              </w:rPr>
              <w:t>, čemu je doprinio rast kredita privrede od 1,6%, i kredita stanovništva od  0,4%. Iako je ukupna kreditna aktivnost smanjena na godišnjem nivou za 0,8%, pozitivni pomaci se primjećuju kod novoodobrenih kredita. Za četiri mjeseca ove</w:t>
            </w:r>
            <w:r w:rsidR="00A339DF">
              <w:rPr>
                <w:noProof/>
                <w:sz w:val="20"/>
                <w:szCs w:val="20"/>
              </w:rPr>
              <w:t xml:space="preserve"> godine odobreno je 281,5 mil.€ </w:t>
            </w:r>
            <w:r>
              <w:rPr>
                <w:noProof/>
                <w:sz w:val="20"/>
                <w:szCs w:val="20"/>
              </w:rPr>
              <w:t>ili 10,7% više novih kredita nego u istom periodu prethodne godine.</w:t>
            </w:r>
            <w:r w:rsidR="00A339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Nastavljen je trend rasta </w:t>
            </w:r>
            <w:r w:rsidRPr="00DE37C3">
              <w:rPr>
                <w:b/>
                <w:noProof/>
                <w:sz w:val="20"/>
                <w:szCs w:val="20"/>
              </w:rPr>
              <w:t xml:space="preserve">depozita </w:t>
            </w:r>
            <w:r>
              <w:rPr>
                <w:noProof/>
                <w:sz w:val="20"/>
                <w:szCs w:val="20"/>
              </w:rPr>
              <w:t xml:space="preserve">u bankama, koji su u aprilu povećani za 11,6% u odnosu na isti mjesec prethodne godine. </w:t>
            </w:r>
            <w:r w:rsidRPr="00C20FA8">
              <w:rPr>
                <w:noProof/>
                <w:sz w:val="20"/>
                <w:szCs w:val="20"/>
              </w:rPr>
              <w:t>Najznačajniji deponenti banaka su fizička lica</w:t>
            </w:r>
            <w:r>
              <w:rPr>
                <w:noProof/>
                <w:sz w:val="20"/>
                <w:szCs w:val="20"/>
              </w:rPr>
              <w:t>,</w:t>
            </w:r>
            <w:r w:rsidR="00DE129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koji sa iznosom od 1.363,6 mil.€ čine 58,3</w:t>
            </w:r>
            <w:r w:rsidRPr="00C20FA8">
              <w:rPr>
                <w:noProof/>
                <w:sz w:val="20"/>
                <w:szCs w:val="20"/>
              </w:rPr>
              <w:t>%</w:t>
            </w:r>
            <w:r>
              <w:rPr>
                <w:noProof/>
                <w:sz w:val="20"/>
                <w:szCs w:val="20"/>
              </w:rPr>
              <w:t xml:space="preserve"> ukupnih depozita</w:t>
            </w:r>
            <w:r w:rsidR="00A339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i ostvarenim rastom od 9,3% na godišnjem nivou. Sobzirom da je prosječno ponderisana efektivna kamatna stopa na kredite bila 9,07%, a pasivna 1,59%, kamatni spred je iznosio 7,48p.p. V</w:t>
            </w:r>
            <w:r w:rsidRPr="00C20FA8">
              <w:rPr>
                <w:noProof/>
                <w:sz w:val="20"/>
                <w:szCs w:val="20"/>
              </w:rPr>
              <w:t xml:space="preserve">isok stepen </w:t>
            </w:r>
            <w:r w:rsidRPr="00C20FA8">
              <w:rPr>
                <w:b/>
                <w:noProof/>
                <w:sz w:val="20"/>
                <w:szCs w:val="20"/>
              </w:rPr>
              <w:t>nelikvidnosti privrede</w:t>
            </w:r>
            <w:r w:rsidRPr="00C20FA8">
              <w:rPr>
                <w:noProof/>
                <w:sz w:val="20"/>
                <w:szCs w:val="20"/>
              </w:rPr>
              <w:t xml:space="preserve"> i rastući nivo zaduženosti</w:t>
            </w:r>
            <w:r>
              <w:rPr>
                <w:noProof/>
                <w:sz w:val="20"/>
                <w:szCs w:val="20"/>
              </w:rPr>
              <w:t xml:space="preserve"> predstavljaju i dalje faktore rizika za finansijsku stabilnost.</w:t>
            </w:r>
            <w:r w:rsidRPr="00C20FA8">
              <w:rPr>
                <w:noProof/>
                <w:sz w:val="20"/>
                <w:szCs w:val="20"/>
              </w:rPr>
              <w:t xml:space="preserve"> U</w:t>
            </w:r>
            <w:r>
              <w:rPr>
                <w:noProof/>
                <w:sz w:val="20"/>
                <w:szCs w:val="20"/>
              </w:rPr>
              <w:t xml:space="preserve"> aprilu </w:t>
            </w:r>
            <w:r w:rsidRPr="00C20FA8">
              <w:rPr>
                <w:noProof/>
                <w:sz w:val="20"/>
                <w:szCs w:val="20"/>
              </w:rPr>
              <w:t>su u blokadi</w:t>
            </w:r>
            <w:r w:rsidR="00A339DF">
              <w:rPr>
                <w:noProof/>
                <w:sz w:val="20"/>
                <w:szCs w:val="20"/>
              </w:rPr>
              <w:t xml:space="preserve"> </w:t>
            </w:r>
            <w:r w:rsidR="00A339DF" w:rsidRPr="00C20FA8">
              <w:rPr>
                <w:noProof/>
                <w:sz w:val="20"/>
                <w:szCs w:val="20"/>
              </w:rPr>
              <w:t xml:space="preserve">bila </w:t>
            </w:r>
            <w:r>
              <w:rPr>
                <w:noProof/>
                <w:sz w:val="20"/>
                <w:szCs w:val="20"/>
              </w:rPr>
              <w:t>14.370</w:t>
            </w:r>
            <w:r w:rsidRPr="00C20FA8">
              <w:rPr>
                <w:noProof/>
                <w:sz w:val="20"/>
                <w:szCs w:val="20"/>
              </w:rPr>
              <w:t xml:space="preserve"> izvršna dužnika, što na mjesečnom nivou predstavlja </w:t>
            </w:r>
            <w:r>
              <w:rPr>
                <w:noProof/>
                <w:sz w:val="20"/>
                <w:szCs w:val="20"/>
              </w:rPr>
              <w:t>smanjenje</w:t>
            </w:r>
            <w:r w:rsidRPr="00C20FA8">
              <w:rPr>
                <w:noProof/>
                <w:sz w:val="20"/>
                <w:szCs w:val="20"/>
              </w:rPr>
              <w:t xml:space="preserve"> od </w:t>
            </w:r>
            <w:r>
              <w:rPr>
                <w:noProof/>
                <w:sz w:val="20"/>
                <w:szCs w:val="20"/>
              </w:rPr>
              <w:t>0,45</w:t>
            </w:r>
            <w:r w:rsidR="00A339DF">
              <w:rPr>
                <w:noProof/>
                <w:sz w:val="20"/>
                <w:szCs w:val="20"/>
              </w:rPr>
              <w:t>%. Pri tome jeukupan iznos duga</w:t>
            </w:r>
            <w:r w:rsidRPr="00C20FA8">
              <w:rPr>
                <w:noProof/>
                <w:sz w:val="20"/>
                <w:szCs w:val="20"/>
              </w:rPr>
              <w:t xml:space="preserve"> po osnovu koga j</w:t>
            </w:r>
            <w:r w:rsidR="00A339DF">
              <w:rPr>
                <w:noProof/>
                <w:sz w:val="20"/>
                <w:szCs w:val="20"/>
              </w:rPr>
              <w:t xml:space="preserve">e izvršeno blokiranje računa, </w:t>
            </w:r>
            <w:r w:rsidRPr="00C20FA8">
              <w:rPr>
                <w:noProof/>
                <w:sz w:val="20"/>
                <w:szCs w:val="20"/>
              </w:rPr>
              <w:t xml:space="preserve">iznosio </w:t>
            </w:r>
            <w:r>
              <w:rPr>
                <w:noProof/>
                <w:sz w:val="20"/>
                <w:szCs w:val="20"/>
              </w:rPr>
              <w:t>510,4</w:t>
            </w:r>
            <w:r w:rsidRPr="00C20FA8">
              <w:rPr>
                <w:noProof/>
                <w:sz w:val="20"/>
                <w:szCs w:val="20"/>
              </w:rPr>
              <w:t xml:space="preserve"> mil.€ i povećan je za </w:t>
            </w:r>
            <w:r>
              <w:rPr>
                <w:noProof/>
                <w:sz w:val="20"/>
                <w:szCs w:val="20"/>
              </w:rPr>
              <w:t>1,84</w:t>
            </w:r>
            <w:r w:rsidRPr="00C20FA8">
              <w:rPr>
                <w:noProof/>
                <w:sz w:val="20"/>
                <w:szCs w:val="20"/>
              </w:rPr>
              <w:t xml:space="preserve">% u odnosu na prethodni mjesec i </w:t>
            </w:r>
            <w:r>
              <w:rPr>
                <w:noProof/>
                <w:sz w:val="20"/>
                <w:szCs w:val="20"/>
              </w:rPr>
              <w:t>10,8%</w:t>
            </w:r>
            <w:r w:rsidRPr="00C20FA8">
              <w:rPr>
                <w:noProof/>
                <w:sz w:val="20"/>
                <w:szCs w:val="20"/>
              </w:rPr>
              <w:t xml:space="preserve"> na godišnjem nivou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96" w:type="pct"/>
            <w:vAlign w:val="center"/>
          </w:tcPr>
          <w:p w:rsidR="00C45B95" w:rsidRPr="00D05BDB" w:rsidRDefault="00132E99" w:rsidP="00464A12">
            <w:pPr>
              <w:rPr>
                <w:rFonts w:asciiTheme="minorHAnsi" w:hAnsiTheme="minorHAnsi" w:cstheme="minorHAnsi"/>
              </w:rPr>
            </w:pPr>
            <w:r w:rsidRPr="00132E99"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inline distT="0" distB="0" distL="0" distR="0">
                  <wp:extent cx="2438400" cy="1962150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013C2" w:rsidRPr="00D05BDB" w:rsidTr="00AF7AA0">
        <w:trPr>
          <w:trHeight w:hRule="exact" w:val="6674"/>
        </w:trPr>
        <w:tc>
          <w:tcPr>
            <w:tcW w:w="3104" w:type="pct"/>
          </w:tcPr>
          <w:p w:rsidR="00E013C2" w:rsidRPr="00E013C2" w:rsidRDefault="00E013C2" w:rsidP="00E013C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E013C2">
              <w:rPr>
                <w:rFonts w:asciiTheme="minorHAnsi" w:hAnsiTheme="minorHAnsi" w:cstheme="minorHAnsi"/>
                <w:b/>
                <w:noProof/>
                <w:sz w:val="20"/>
              </w:rPr>
              <w:t>Spoljnotrgovinska razmjena</w:t>
            </w:r>
          </w:p>
          <w:p w:rsidR="00E013C2" w:rsidRDefault="00E013C2" w:rsidP="00AF7AA0">
            <w:pPr>
              <w:pBdr>
                <w:top w:val="single" w:sz="4" w:space="1" w:color="auto"/>
              </w:pBd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93048">
              <w:rPr>
                <w:rFonts w:cstheme="minorHAnsi"/>
                <w:b/>
                <w:sz w:val="20"/>
                <w:szCs w:val="20"/>
                <w:lang w:val="sr-Latn-CS"/>
              </w:rPr>
              <w:t>Početak proizvodnje u željezari Nikšić pozitivno je uticao na sektor prerađivačke industrije i opredijelio značajan rast izvoza gvožđa i čelika</w:t>
            </w:r>
            <w:r w:rsidRPr="00535DA8">
              <w:rPr>
                <w:rFonts w:cstheme="minorHAnsi"/>
                <w:sz w:val="20"/>
                <w:szCs w:val="20"/>
                <w:lang w:val="sr-Latn-CS"/>
              </w:rPr>
              <w:t xml:space="preserve">. </w:t>
            </w:r>
            <w:r w:rsidRPr="00535DA8">
              <w:rPr>
                <w:rFonts w:cstheme="minorHAnsi"/>
                <w:sz w:val="20"/>
                <w:szCs w:val="20"/>
              </w:rPr>
              <w:t>Spoljnotrgovinska razmjena u periodu januar-april 2015. povećana je za 1,8% i iznosi</w:t>
            </w:r>
            <w:r w:rsidRPr="00535DA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35DA8">
              <w:rPr>
                <w:rFonts w:cstheme="minorHAnsi"/>
                <w:sz w:val="20"/>
                <w:szCs w:val="20"/>
              </w:rPr>
              <w:t xml:space="preserve">603,0 mil.€. Spoljnotrgovinski deficit iznosi  419,1mil.€, što je za 2,9% više, kao posljedica veće nominalne vrijednosti uvoza roba. Stepen pokrivenosti uvoza izvozom je ostao na nivou prošle godine i iznosi 18,0%. Ukupan izvoz roba vrijedio je 92,0 mil.€, što je na  nivou 2014. Izvoz aluminijuma, iznosi 20,6 mil. ili  9,0% manje g-n-g. Izvoz gvožđa i čelika je zabilježio visoku stopu godišnjeg rasta, i to pet puta, uslovljenu niskom bazom iz prethodne. Izvoz navedene kategorije, uglavnom je pod uticajem rasta fizičkog obima proizvodnje osnovnih metala od 6,5% i izvoznih cijena osnovnih metala 18,8%. </w:t>
            </w:r>
            <w:r>
              <w:rPr>
                <w:rFonts w:cstheme="minorHAnsi"/>
                <w:sz w:val="20"/>
                <w:szCs w:val="20"/>
              </w:rPr>
              <w:t>Izvoz</w:t>
            </w:r>
            <w:r w:rsidRPr="00535DA8">
              <w:rPr>
                <w:rFonts w:cstheme="minorHAnsi"/>
                <w:sz w:val="20"/>
                <w:szCs w:val="20"/>
              </w:rPr>
              <w:t xml:space="preserve"> električne energije,</w:t>
            </w:r>
            <w:r>
              <w:rPr>
                <w:rFonts w:cstheme="minorHAnsi"/>
                <w:sz w:val="20"/>
                <w:szCs w:val="20"/>
              </w:rPr>
              <w:t xml:space="preserve"> je niži</w:t>
            </w:r>
            <w:r w:rsidRPr="00535DA8">
              <w:rPr>
                <w:rFonts w:cstheme="minorHAnsi"/>
                <w:sz w:val="20"/>
                <w:szCs w:val="20"/>
              </w:rPr>
              <w:t xml:space="preserve"> 29,0%</w:t>
            </w:r>
            <w:r>
              <w:rPr>
                <w:rFonts w:cstheme="minorHAnsi"/>
                <w:sz w:val="20"/>
                <w:szCs w:val="20"/>
              </w:rPr>
              <w:t xml:space="preserve"> g-n-g.</w:t>
            </w:r>
            <w:r w:rsidRPr="00535DA8">
              <w:rPr>
                <w:rFonts w:cstheme="minorHAnsi"/>
                <w:sz w:val="20"/>
                <w:szCs w:val="20"/>
              </w:rPr>
              <w:t xml:space="preserve"> Ukupan uvoz roba vrijedio je 511,0 mil.€, što je za 2,2% više g-n-g. U strukturi uvoza najveće učešće imaju hrana i žive životinje (107,2 mil.€), mašine i transportni uređaji (101,7mil.€) i razni industrjiski proizvodia (86,2 mil.€), na koje se odnosi  58,8% ukupnog uvoza. </w:t>
            </w:r>
          </w:p>
          <w:p w:rsidR="00AF7AA0" w:rsidRDefault="00AF7AA0" w:rsidP="00AF7AA0">
            <w:pPr>
              <w:pBdr>
                <w:top w:val="single" w:sz="4" w:space="1" w:color="auto"/>
              </w:pBdr>
              <w:spacing w:after="0"/>
              <w:jc w:val="both"/>
              <w:rPr>
                <w:b/>
                <w:noProof/>
                <w:sz w:val="20"/>
                <w:szCs w:val="20"/>
              </w:rPr>
            </w:pPr>
          </w:p>
          <w:p w:rsidR="00E013C2" w:rsidRPr="008C37A2" w:rsidRDefault="00E013C2" w:rsidP="00AF7AA0">
            <w:pPr>
              <w:pBdr>
                <w:top w:val="single" w:sz="4" w:space="1" w:color="auto"/>
              </w:pBd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7AA0">
              <w:rPr>
                <w:b/>
                <w:noProof/>
                <w:sz w:val="20"/>
                <w:szCs w:val="20"/>
              </w:rPr>
              <w:t>U</w:t>
            </w:r>
            <w:r w:rsidRPr="008C37A2">
              <w:rPr>
                <w:noProof/>
                <w:sz w:val="20"/>
                <w:szCs w:val="20"/>
              </w:rPr>
              <w:t xml:space="preserve"> </w:t>
            </w:r>
            <w:r w:rsidRPr="00AF7AA0">
              <w:rPr>
                <w:b/>
                <w:noProof/>
                <w:sz w:val="20"/>
                <w:szCs w:val="20"/>
              </w:rPr>
              <w:t xml:space="preserve">periodu januar-mart 2015. zabilježen je </w:t>
            </w:r>
            <w:r w:rsidRPr="00AF7AA0">
              <w:rPr>
                <w:b/>
                <w:noProof/>
                <w:sz w:val="20"/>
                <w:szCs w:val="20"/>
                <w:lang w:val="sr-Latn-CS"/>
              </w:rPr>
              <w:t xml:space="preserve">rast </w:t>
            </w:r>
            <w:r w:rsidRPr="00AF7AA0">
              <w:rPr>
                <w:b/>
                <w:noProof/>
                <w:sz w:val="20"/>
                <w:szCs w:val="20"/>
              </w:rPr>
              <w:t>neto SDI koje su iznosile 86,2 mil.€,</w:t>
            </w:r>
            <w:r w:rsidRPr="008C37A2">
              <w:rPr>
                <w:noProof/>
                <w:sz w:val="20"/>
                <w:szCs w:val="20"/>
              </w:rPr>
              <w:t xml:space="preserve"> što je za 9,3% više nego u istom periodu 2014. (78,9 mil.€). Ukupan priliv SDI iznosio je 100,0 mil.€, </w:t>
            </w:r>
            <w:r w:rsidRPr="008C37A2">
              <w:rPr>
                <w:noProof/>
                <w:sz w:val="20"/>
                <w:szCs w:val="20"/>
                <w:lang w:val="sr-Latn-CS"/>
              </w:rPr>
              <w:t xml:space="preserve">što je za </w:t>
            </w:r>
            <w:r w:rsidRPr="008C37A2">
              <w:rPr>
                <w:noProof/>
                <w:sz w:val="20"/>
                <w:szCs w:val="20"/>
              </w:rPr>
              <w:t>5,4% manje nego u 2014.</w:t>
            </w:r>
            <w:r w:rsidRPr="008C37A2">
              <w:rPr>
                <w:noProof/>
                <w:sz w:val="20"/>
                <w:szCs w:val="20"/>
                <w:lang w:val="sr-Latn-CS"/>
              </w:rPr>
              <w:t>(105,7 mil.€).</w:t>
            </w:r>
            <w:r w:rsidRPr="008C37A2">
              <w:rPr>
                <w:noProof/>
                <w:sz w:val="20"/>
                <w:szCs w:val="20"/>
              </w:rPr>
              <w:t xml:space="preserve"> Priliv po osnovu vlasničkih ulaganja u periodu januar-mart 2015. ostvaren je u iznosu od 52,5 mil.€, (10,4% više nego u 2014) što čini 52,5% ukupnog priliva. Struktura ukupnog priliva SDI: investicije u preduzeća i banke 17,7%, (78,9% više) i investicije u nekretnine 34,7% (7,7% manje). </w:t>
            </w:r>
          </w:p>
          <w:p w:rsidR="00E013C2" w:rsidRPr="00E013C2" w:rsidRDefault="00E013C2" w:rsidP="00E013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</w:p>
        </w:tc>
        <w:tc>
          <w:tcPr>
            <w:tcW w:w="1896" w:type="pct"/>
            <w:vAlign w:val="center"/>
          </w:tcPr>
          <w:p w:rsidR="00E013C2" w:rsidRPr="00132E99" w:rsidRDefault="00E013C2" w:rsidP="00464A12">
            <w:pPr>
              <w:rPr>
                <w:rFonts w:asciiTheme="minorHAnsi" w:hAnsiTheme="minorHAnsi" w:cstheme="minorHAnsi"/>
                <w:noProof/>
                <w:lang w:val="sr-Latn-CS" w:eastAsia="sr-Latn-CS"/>
              </w:rPr>
            </w:pPr>
            <w:r w:rsidRPr="00E013C2">
              <w:rPr>
                <w:rFonts w:asciiTheme="minorHAnsi" w:hAnsiTheme="minorHAnsi" w:cstheme="minorHAnsi"/>
                <w:noProof/>
                <w:lang w:val="sr-Latn-CS" w:eastAsia="sr-Latn-CS"/>
              </w:rPr>
              <w:drawing>
                <wp:inline distT="0" distB="0" distL="0" distR="0">
                  <wp:extent cx="2233061" cy="1876926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013C2" w:rsidRDefault="00E013C2" w:rsidP="00C45B95">
      <w:pPr>
        <w:spacing w:after="0"/>
        <w:jc w:val="center"/>
        <w:outlineLvl w:val="0"/>
        <w:rPr>
          <w:noProof/>
          <w:sz w:val="17"/>
          <w:szCs w:val="16"/>
        </w:rPr>
      </w:pPr>
    </w:p>
    <w:p w:rsidR="00E013C2" w:rsidRDefault="00E013C2" w:rsidP="00C45B95">
      <w:pPr>
        <w:spacing w:after="0"/>
        <w:jc w:val="center"/>
        <w:outlineLvl w:val="0"/>
        <w:rPr>
          <w:noProof/>
          <w:sz w:val="17"/>
          <w:szCs w:val="16"/>
        </w:rPr>
      </w:pPr>
    </w:p>
    <w:p w:rsidR="00AF7AA0" w:rsidRDefault="00E013C2">
      <w:pPr>
        <w:spacing w:after="0" w:line="240" w:lineRule="auto"/>
        <w:rPr>
          <w:noProof/>
          <w:sz w:val="17"/>
          <w:szCs w:val="16"/>
        </w:rPr>
        <w:sectPr w:rsidR="00AF7AA0" w:rsidSect="00E013C2">
          <w:pgSz w:w="11907" w:h="16839" w:code="9"/>
          <w:pgMar w:top="254" w:right="284" w:bottom="426" w:left="284" w:header="720" w:footer="720" w:gutter="0"/>
          <w:cols w:space="720"/>
          <w:docGrid w:linePitch="360"/>
        </w:sectPr>
      </w:pPr>
      <w:r>
        <w:rPr>
          <w:noProof/>
          <w:sz w:val="17"/>
          <w:szCs w:val="16"/>
        </w:rPr>
        <w:br w:type="page"/>
      </w:r>
    </w:p>
    <w:p w:rsidR="00C45B95" w:rsidRDefault="00C45B95" w:rsidP="00C45B95">
      <w:pPr>
        <w:spacing w:after="0"/>
        <w:jc w:val="center"/>
        <w:outlineLvl w:val="0"/>
        <w:rPr>
          <w:noProof/>
          <w:sz w:val="17"/>
          <w:szCs w:val="16"/>
        </w:rPr>
      </w:pPr>
      <w:r w:rsidRPr="0020440D">
        <w:rPr>
          <w:noProof/>
          <w:sz w:val="17"/>
          <w:szCs w:val="16"/>
        </w:rPr>
        <w:lastRenderedPageBreak/>
        <w:t xml:space="preserve">Tabela 1: </w:t>
      </w:r>
      <w:r w:rsidRPr="0020440D">
        <w:rPr>
          <w:b/>
          <w:bCs/>
          <w:noProof/>
          <w:sz w:val="17"/>
          <w:szCs w:val="16"/>
        </w:rPr>
        <w:t>MAKROEKONOMSKI INDIKATORI</w:t>
      </w:r>
      <w:r w:rsidRPr="0020440D">
        <w:rPr>
          <w:noProof/>
          <w:sz w:val="17"/>
          <w:szCs w:val="16"/>
        </w:rPr>
        <w:t xml:space="preserve"> –</w:t>
      </w:r>
      <w:r w:rsidR="00E05647">
        <w:rPr>
          <w:noProof/>
          <w:sz w:val="17"/>
          <w:szCs w:val="16"/>
        </w:rPr>
        <w:t xml:space="preserve"> april</w:t>
      </w:r>
      <w:r w:rsidR="00BC1B61">
        <w:rPr>
          <w:noProof/>
          <w:sz w:val="17"/>
          <w:szCs w:val="16"/>
        </w:rPr>
        <w:t xml:space="preserve"> </w:t>
      </w:r>
      <w:r w:rsidR="00745D7B">
        <w:rPr>
          <w:noProof/>
          <w:sz w:val="17"/>
          <w:szCs w:val="16"/>
        </w:rPr>
        <w:t>2015</w:t>
      </w:r>
      <w:r w:rsidRPr="0020440D">
        <w:rPr>
          <w:noProof/>
          <w:sz w:val="17"/>
          <w:szCs w:val="16"/>
        </w:rPr>
        <w:t>.</w:t>
      </w:r>
    </w:p>
    <w:p w:rsidR="00782553" w:rsidRDefault="00782553" w:rsidP="00C45B95">
      <w:pPr>
        <w:spacing w:after="0"/>
        <w:jc w:val="center"/>
        <w:outlineLvl w:val="0"/>
        <w:rPr>
          <w:noProof/>
          <w:sz w:val="17"/>
          <w:szCs w:val="16"/>
        </w:rPr>
      </w:pPr>
    </w:p>
    <w:p w:rsidR="00C45B95" w:rsidRPr="0020440D" w:rsidRDefault="00C45B95" w:rsidP="00C45B95">
      <w:pPr>
        <w:spacing w:after="0"/>
        <w:outlineLvl w:val="0"/>
        <w:rPr>
          <w:b/>
          <w:i/>
          <w:noProof/>
          <w:sz w:val="16"/>
          <w:szCs w:val="16"/>
        </w:rPr>
      </w:pPr>
      <w:r w:rsidRPr="0020440D">
        <w:rPr>
          <w:b/>
          <w:i/>
          <w:noProof/>
          <w:sz w:val="16"/>
          <w:szCs w:val="16"/>
        </w:rPr>
        <w:t>Izvor: MONSTAT, Centralna Banka, Zavod za zapošljavanje Crne Gore</w:t>
      </w:r>
    </w:p>
    <w:p w:rsidR="00C45B95" w:rsidRPr="0020440D" w:rsidRDefault="00C45B95" w:rsidP="00C45B95">
      <w:pPr>
        <w:spacing w:after="0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C45B95" w:rsidRDefault="00C45B95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M-n-M označava mjesečnu promjenu (stopa promjene indikatora u posmatranom mjesecu u odnosu na prethodni mjesec u %)g-n-g označava godišnju promjenu (stopa promjene indikatora u posmatranom mjesecuili periodu  u odnosu na isti mmjesec ili periodprethodne godine u %)</w:t>
      </w:r>
      <w:r w:rsidR="00BF2D81">
        <w:rPr>
          <w:i/>
          <w:iCs/>
          <w:noProof/>
          <w:sz w:val="12"/>
          <w:szCs w:val="12"/>
        </w:rPr>
        <w:t>.</w:t>
      </w: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561716" w:rsidRDefault="00561716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tbl>
      <w:tblPr>
        <w:tblW w:w="4975" w:type="pct"/>
        <w:tblLayout w:type="fixed"/>
        <w:tblCellMar>
          <w:left w:w="0" w:type="dxa"/>
          <w:right w:w="0" w:type="dxa"/>
        </w:tblCellMar>
        <w:tblLook w:val="04A0"/>
      </w:tblPr>
      <w:tblGrid>
        <w:gridCol w:w="3463"/>
        <w:gridCol w:w="786"/>
        <w:gridCol w:w="786"/>
        <w:gridCol w:w="789"/>
        <w:gridCol w:w="786"/>
        <w:gridCol w:w="786"/>
        <w:gridCol w:w="788"/>
        <w:gridCol w:w="785"/>
        <w:gridCol w:w="785"/>
        <w:gridCol w:w="788"/>
        <w:gridCol w:w="785"/>
        <w:gridCol w:w="785"/>
        <w:gridCol w:w="785"/>
        <w:gridCol w:w="785"/>
        <w:gridCol w:w="785"/>
        <w:gridCol w:w="849"/>
        <w:gridCol w:w="772"/>
      </w:tblGrid>
      <w:tr w:rsidR="003B3EDA" w:rsidRPr="00C278F8" w:rsidTr="00C278F8">
        <w:trPr>
          <w:divId w:val="688065351"/>
          <w:trHeight w:hRule="exact" w:val="20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IV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V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VI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VII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VIII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IX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XI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XII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2015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II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III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IV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M-n-M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april 2015/april</w:t>
            </w:r>
            <w:r w:rsid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 xml:space="preserve"> </w:t>
            </w: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2014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DA" w:rsidRPr="00C278F8" w:rsidRDefault="003B3EDA" w:rsidP="003B3EDA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jan-ap</w:t>
            </w:r>
            <w:r w:rsid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r</w:t>
            </w:r>
            <w:r w:rsidRPr="00C278F8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2015/jan-ap2014</w:t>
            </w:r>
          </w:p>
        </w:tc>
      </w:tr>
      <w:tr w:rsidR="003B3EDA" w:rsidRPr="003B3EDA" w:rsidTr="00C278F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81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-27,90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-23,40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-26,40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-16,30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-12,70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-19,80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-7,00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19,30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-6,2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8,1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-44,90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-10,90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-5,00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-24,60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-19,70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-20,50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12,7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-4,20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12,80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28,30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21,00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64,6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14,5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</w:t>
            </w:r>
            <w:r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3,3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-5,5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Harmonizovani indeks potrošačkih cijena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n/p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172.202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174.917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179.774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181.408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178.558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173.942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172.306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172.273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171.158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169.719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170.486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171.855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174.208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33.906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32.763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31.115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31.163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33.744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34.733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34.687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35.152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35.172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34.903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33.975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18,5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18,1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5.399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4.984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3.616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2.563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2.098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3.735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3.504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4.529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33,7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2.386,6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2.383,1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2.376,2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2.402,7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2.453,0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2.443,2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2.424,1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2.426,5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2.367,2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2.355,3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2.375,2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2.340,8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2.366,7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Krediti u kašnjenju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494,1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562,6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512,2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533,1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524,8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469,1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489,2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464,3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444,9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481,1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458,4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492,2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kredita u kašnjenju u ukupnim kreditima (u %)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21,4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19,1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19,3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406,1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417,6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402,6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417,2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422,4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398,9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391,8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375,6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389,7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388,4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369,4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2.094,8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2.114,3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2.146,4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2.188,2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2.254,5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2.268,0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2.251,5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2.274,9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2.308,1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2.311,3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2.295,4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2.314,6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2.337,5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57,7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958,5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959,8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950,4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932,3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911,3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900,9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898,1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917,9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917,7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925,6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938,3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953,7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887,4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895,4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893,8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899,2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904,6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907,9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533,0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551,7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576,4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596,1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639,4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633,5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634,2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647,5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640,7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635,0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624,6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635,1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644,1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20,8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1.247,8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1.245,5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1.244,5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1.270,1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1.288,5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1.299,3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1.305,9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1.331,7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1.334,5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1.335,9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1.352,7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1.363,6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1,89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1,77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1,73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1,66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1,59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-31,2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23,1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25,7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27,1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33,9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28,1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25,3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-30,9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-24,3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158,4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172,0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184,3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158,5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132,7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121,5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149,4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154,2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-2,7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2,2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-135,3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-132,2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-143,8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-152,8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-137,3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-120,4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-126,7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-98,8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-131,6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-60,0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-98,2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-124,1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-136,7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2,8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29,7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40,4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27,2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26,5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34,4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-19,5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9,3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109,6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112,5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103,0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94,8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85,9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70,2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56,7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66,3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16,9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-38,6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-45,2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1.810,7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1.751,1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1.839,0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1.948,3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2.030,5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1.990,4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1.946,2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2.055,6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1.909,5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1.814,7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1.817,8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1.773,9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1.819,2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3,9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0,61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</w:tr>
      <w:tr w:rsidR="003B3EDA" w:rsidRPr="003B3EDA" w:rsidTr="005F16C8">
        <w:trPr>
          <w:divId w:val="688065351"/>
          <w:trHeight w:hRule="exact" w:val="20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3B3EDA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3B3EDA" w:rsidRPr="003B3EDA" w:rsidRDefault="003B3EDA" w:rsidP="003B3EDA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3B3EDA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</w:tr>
    </w:tbl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A90070" w:rsidRDefault="00A3689A" w:rsidP="00355F01">
      <w:pPr>
        <w:spacing w:after="0"/>
        <w:jc w:val="center"/>
        <w:outlineLvl w:val="0"/>
        <w:rPr>
          <w:noProof/>
          <w:sz w:val="17"/>
          <w:szCs w:val="16"/>
        </w:rPr>
      </w:pPr>
      <w:r>
        <w:rPr>
          <w:noProof/>
          <w:sz w:val="17"/>
          <w:szCs w:val="16"/>
        </w:rPr>
        <w:t>T</w:t>
      </w:r>
      <w:r w:rsidR="00A90070" w:rsidRPr="00355F01">
        <w:rPr>
          <w:noProof/>
          <w:sz w:val="17"/>
          <w:szCs w:val="16"/>
        </w:rPr>
        <w:t xml:space="preserve">abela </w:t>
      </w:r>
      <w:r w:rsidR="001C30E3" w:rsidRPr="00355F01">
        <w:rPr>
          <w:noProof/>
          <w:sz w:val="17"/>
          <w:szCs w:val="16"/>
        </w:rPr>
        <w:fldChar w:fldCharType="begin"/>
      </w:r>
      <w:r w:rsidR="003A12AD" w:rsidRPr="00355F01">
        <w:rPr>
          <w:noProof/>
          <w:sz w:val="17"/>
          <w:szCs w:val="16"/>
        </w:rPr>
        <w:instrText xml:space="preserve"> SEQ Tabela \* ARABIC </w:instrText>
      </w:r>
      <w:r w:rsidR="001C30E3" w:rsidRPr="00355F01">
        <w:rPr>
          <w:noProof/>
          <w:sz w:val="17"/>
          <w:szCs w:val="16"/>
        </w:rPr>
        <w:fldChar w:fldCharType="separate"/>
      </w:r>
      <w:r w:rsidR="003B3EDA">
        <w:rPr>
          <w:noProof/>
          <w:sz w:val="17"/>
          <w:szCs w:val="16"/>
        </w:rPr>
        <w:t>2</w:t>
      </w:r>
      <w:r w:rsidR="001C30E3" w:rsidRPr="00355F01">
        <w:rPr>
          <w:noProof/>
          <w:sz w:val="17"/>
          <w:szCs w:val="16"/>
        </w:rPr>
        <w:fldChar w:fldCharType="end"/>
      </w:r>
      <w:r w:rsidR="00D52F3D">
        <w:rPr>
          <w:noProof/>
          <w:sz w:val="17"/>
          <w:szCs w:val="16"/>
        </w:rPr>
        <w:t xml:space="preserve">: </w:t>
      </w:r>
      <w:r w:rsidR="006D6A98" w:rsidRPr="00355F01">
        <w:rPr>
          <w:b/>
          <w:noProof/>
          <w:sz w:val="20"/>
          <w:szCs w:val="16"/>
        </w:rPr>
        <w:t>Fiskalni indikatori</w:t>
      </w:r>
      <w:r w:rsidR="006D6A98" w:rsidRPr="00355F01">
        <w:rPr>
          <w:noProof/>
          <w:sz w:val="17"/>
          <w:szCs w:val="16"/>
        </w:rPr>
        <w:t>–</w:t>
      </w:r>
      <w:r w:rsidR="00DD48CB">
        <w:rPr>
          <w:noProof/>
          <w:sz w:val="17"/>
          <w:szCs w:val="16"/>
        </w:rPr>
        <w:t>april</w:t>
      </w:r>
      <w:r w:rsidR="009C1DC4">
        <w:rPr>
          <w:noProof/>
          <w:sz w:val="17"/>
          <w:szCs w:val="16"/>
        </w:rPr>
        <w:t xml:space="preserve"> </w:t>
      </w:r>
      <w:r w:rsidR="00745D7B" w:rsidRPr="00355F01">
        <w:rPr>
          <w:noProof/>
          <w:sz w:val="17"/>
          <w:szCs w:val="16"/>
        </w:rPr>
        <w:t>2015</w:t>
      </w:r>
      <w:r w:rsidR="006D6A98" w:rsidRPr="00355F01">
        <w:rPr>
          <w:noProof/>
          <w:sz w:val="17"/>
          <w:szCs w:val="16"/>
        </w:rPr>
        <w:t xml:space="preserve">. </w:t>
      </w:r>
    </w:p>
    <w:p w:rsidR="00782553" w:rsidRDefault="00782553" w:rsidP="00355F01">
      <w:pPr>
        <w:spacing w:after="0"/>
        <w:jc w:val="center"/>
        <w:outlineLvl w:val="0"/>
        <w:rPr>
          <w:noProof/>
          <w:sz w:val="17"/>
          <w:szCs w:val="16"/>
        </w:rPr>
      </w:pPr>
    </w:p>
    <w:tbl>
      <w:tblPr>
        <w:tblW w:w="16466" w:type="dxa"/>
        <w:tblInd w:w="85" w:type="dxa"/>
        <w:tblLook w:val="04A0"/>
      </w:tblPr>
      <w:tblGrid>
        <w:gridCol w:w="32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97"/>
        <w:gridCol w:w="750"/>
        <w:gridCol w:w="744"/>
        <w:gridCol w:w="723"/>
        <w:gridCol w:w="801"/>
        <w:gridCol w:w="685"/>
        <w:gridCol w:w="801"/>
        <w:gridCol w:w="983"/>
      </w:tblGrid>
      <w:tr w:rsidR="00110756" w:rsidRPr="00110756" w:rsidTr="00110756">
        <w:trPr>
          <w:trHeight w:val="315"/>
        </w:trPr>
        <w:tc>
          <w:tcPr>
            <w:tcW w:w="320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BUDŽET CRNE GORE</w:t>
            </w:r>
          </w:p>
        </w:tc>
        <w:tc>
          <w:tcPr>
            <w:tcW w:w="7079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2014</w:t>
            </w:r>
          </w:p>
        </w:tc>
        <w:tc>
          <w:tcPr>
            <w:tcW w:w="14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2015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 </w:t>
            </w:r>
          </w:p>
        </w:tc>
        <w:tc>
          <w:tcPr>
            <w:tcW w:w="8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plan 2015</w:t>
            </w:r>
          </w:p>
        </w:tc>
        <w:tc>
          <w:tcPr>
            <w:tcW w:w="246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Analitika-April</w:t>
            </w:r>
          </w:p>
        </w:tc>
      </w:tr>
      <w:tr w:rsidR="00110756" w:rsidRPr="00110756" w:rsidTr="00110756">
        <w:trPr>
          <w:trHeight w:val="735"/>
        </w:trPr>
        <w:tc>
          <w:tcPr>
            <w:tcW w:w="320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VI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VII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VIII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IX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X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XI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XII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II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III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IV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IV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april 2015/ april 2014 (%)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jan-april 2015 / jan-april 2014(%)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10756">
              <w:rPr>
                <w:sz w:val="14"/>
                <w:szCs w:val="14"/>
              </w:rPr>
              <w:t>april 2015/april 2015plan (%)</w:t>
            </w:r>
          </w:p>
        </w:tc>
      </w:tr>
      <w:tr w:rsidR="00110756" w:rsidRPr="00110756" w:rsidTr="00110756">
        <w:trPr>
          <w:trHeight w:val="330"/>
        </w:trPr>
        <w:tc>
          <w:tcPr>
            <w:tcW w:w="32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109,93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120,72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126,56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158,21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155,25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71,18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86,77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111,52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110,87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2,23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0,58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Porezi i doprinosi na  zarade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44,52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43,27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23,46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42,09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38,61</w:t>
            </w:r>
          </w:p>
        </w:tc>
        <w:tc>
          <w:tcPr>
            <w:tcW w:w="68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8,91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13,44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Porez na dobit pravnih lica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9,85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12,30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33,93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23,11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Porez na dodatu vrijednost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39,01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37,06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45,61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49,31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74,54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33,89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37,18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32,50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33,29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39,69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-14,68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-7,73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-16,14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Akcize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10,78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19,49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17,28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9,93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11,61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12,14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-5,21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Porez na medj trgovinu i transak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2,58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1,93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-0,69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11,89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-5,80</w:t>
            </w:r>
          </w:p>
        </w:tc>
      </w:tr>
      <w:tr w:rsidR="00110756" w:rsidRPr="00110756" w:rsidTr="00110756">
        <w:trPr>
          <w:trHeight w:val="330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124,04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115,30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118,22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116,09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122,09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159,65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111,38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173,92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93,12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108,06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111,31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121,85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130,41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-1,77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-6,56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Bruto zarade i doprinosi na teret poslodavca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33,40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33,99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32,19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31,42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29,75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31,61</w:t>
            </w:r>
          </w:p>
        </w:tc>
        <w:tc>
          <w:tcPr>
            <w:tcW w:w="68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-10,94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-1,68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-5,91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Rashodi za materijal i usluge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8,69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5,91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20,56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6,98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Kamate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24,66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4,72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6,31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-97,65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-67,16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-90,83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Transferi za socijalnu zaštitu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41,82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39,29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42,07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-1,28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-3,73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Transferi instit, pojed i NVO sektoru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8,71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7,34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8,85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7,11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10,69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70,42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53,14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40,30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Kapitalni izdaci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6,63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9,38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5,21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24,72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24,88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331,72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166,90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-33,17</w:t>
            </w:r>
          </w:p>
        </w:tc>
      </w:tr>
      <w:tr w:rsidR="00110756" w:rsidRPr="00110756" w:rsidTr="00110756">
        <w:trPr>
          <w:trHeight w:val="330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-14,96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-5,52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-5,36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10,46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-4,19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-1,44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-12,89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-18,67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-21,94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-21,31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-10,98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-10,34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-19,55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-30,89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-4,32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-47,11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Primarni bilans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9,70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-0,79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-0,85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-12,33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-12,99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-19,73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-18,42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-5,94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-9,76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-13,23</w:t>
            </w:r>
          </w:p>
        </w:tc>
        <w:tc>
          <w:tcPr>
            <w:tcW w:w="68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-200,57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54,86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-26,25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Otplata dugova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9,65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51,08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31,42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4,55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5,47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31,22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17,04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30,82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33,19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-73,97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-70,73</w:t>
            </w:r>
          </w:p>
        </w:tc>
      </w:tr>
      <w:tr w:rsidR="00110756" w:rsidRPr="00110756" w:rsidTr="00110756">
        <w:trPr>
          <w:trHeight w:val="330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1.990,30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2.180,50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2.022,10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1.985,20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1.982,50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1.969,53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1.964,90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1.961,90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1.893,40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1938,00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0756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110756" w:rsidRPr="00110756" w:rsidTr="00110756">
        <w:trPr>
          <w:trHeight w:val="315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Domaći dug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588,10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583,30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438,30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412,10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406,90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394,93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392,20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389,80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381,20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395,90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</w:tr>
      <w:tr w:rsidR="00110756" w:rsidRPr="00110756" w:rsidTr="00110756">
        <w:trPr>
          <w:trHeight w:val="300"/>
        </w:trPr>
        <w:tc>
          <w:tcPr>
            <w:tcW w:w="320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Inostrani dug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1.402,20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1.597,20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1.583,80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1.573,10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1.575,60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1.574,60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1.572,70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1.572,10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1.561,70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2047,70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0756">
              <w:rPr>
                <w:sz w:val="16"/>
                <w:szCs w:val="16"/>
              </w:rPr>
              <w:t>-</w:t>
            </w:r>
          </w:p>
        </w:tc>
      </w:tr>
      <w:tr w:rsidR="00110756" w:rsidRPr="00110756" w:rsidTr="00110756">
        <w:trPr>
          <w:trHeight w:val="480"/>
        </w:trPr>
        <w:tc>
          <w:tcPr>
            <w:tcW w:w="3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10756">
              <w:rPr>
                <w:color w:val="000000"/>
                <w:sz w:val="16"/>
                <w:szCs w:val="16"/>
              </w:rPr>
              <w:t>Depoziti*     (U skladu sa Zakonom o budžetu i fiskalnoj odgovornosti)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color w:val="000000"/>
              </w:rPr>
            </w:pPr>
            <w:r w:rsidRPr="00110756">
              <w:rPr>
                <w:color w:val="000000"/>
              </w:rPr>
              <w:t>-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505,60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0756" w:rsidRPr="00110756" w:rsidRDefault="00110756" w:rsidP="0011075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75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782553" w:rsidRDefault="00782553" w:rsidP="00355F01">
      <w:pPr>
        <w:spacing w:after="0"/>
        <w:jc w:val="center"/>
        <w:outlineLvl w:val="0"/>
        <w:rPr>
          <w:noProof/>
          <w:sz w:val="17"/>
          <w:szCs w:val="16"/>
        </w:rPr>
      </w:pPr>
    </w:p>
    <w:p w:rsidR="00110756" w:rsidRPr="006A50FA" w:rsidRDefault="00110756" w:rsidP="00110756">
      <w:pPr>
        <w:spacing w:after="0" w:line="240" w:lineRule="auto"/>
        <w:rPr>
          <w:i/>
          <w:iCs/>
          <w:sz w:val="16"/>
          <w:szCs w:val="16"/>
        </w:rPr>
      </w:pPr>
      <w:r w:rsidRPr="006A50FA">
        <w:rPr>
          <w:i/>
          <w:iCs/>
          <w:sz w:val="16"/>
          <w:szCs w:val="16"/>
        </w:rPr>
        <w:t>Izvor: Ministarstvo finansija Crne Gore</w:t>
      </w:r>
    </w:p>
    <w:sectPr w:rsidR="00110756" w:rsidRPr="006A50FA" w:rsidSect="00AF7AA0">
      <w:pgSz w:w="16839" w:h="11907" w:orient="landscape" w:code="9"/>
      <w:pgMar w:top="284" w:right="426" w:bottom="284" w:left="25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3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7C" w:rsidRDefault="00501A7C" w:rsidP="00965FCD">
      <w:pPr>
        <w:spacing w:after="0" w:line="240" w:lineRule="auto"/>
      </w:pPr>
      <w:r>
        <w:separator/>
      </w:r>
    </w:p>
  </w:endnote>
  <w:endnote w:type="continuationSeparator" w:id="0">
    <w:p w:rsidR="00501A7C" w:rsidRDefault="00501A7C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7C" w:rsidRDefault="00501A7C" w:rsidP="00965FCD">
      <w:pPr>
        <w:spacing w:after="0" w:line="240" w:lineRule="auto"/>
      </w:pPr>
      <w:r>
        <w:separator/>
      </w:r>
    </w:p>
  </w:footnote>
  <w:footnote w:type="continuationSeparator" w:id="0">
    <w:p w:rsidR="00501A7C" w:rsidRDefault="00501A7C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29"/>
    <w:multiLevelType w:val="hybridMultilevel"/>
    <w:tmpl w:val="91FAB53C"/>
    <w:lvl w:ilvl="0" w:tplc="72EA0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4420"/>
    <w:multiLevelType w:val="hybridMultilevel"/>
    <w:tmpl w:val="6D141CC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5D"/>
    <w:multiLevelType w:val="hybridMultilevel"/>
    <w:tmpl w:val="D5861986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455C5"/>
    <w:multiLevelType w:val="hybridMultilevel"/>
    <w:tmpl w:val="A3349FA2"/>
    <w:lvl w:ilvl="0" w:tplc="0D8ACA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0F0C99"/>
    <w:multiLevelType w:val="hybridMultilevel"/>
    <w:tmpl w:val="B010D43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668F7"/>
    <w:multiLevelType w:val="hybridMultilevel"/>
    <w:tmpl w:val="B6A42554"/>
    <w:lvl w:ilvl="0" w:tplc="8524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76453A"/>
    <w:multiLevelType w:val="hybridMultilevel"/>
    <w:tmpl w:val="C51085F4"/>
    <w:lvl w:ilvl="0" w:tplc="58DA0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6A9E"/>
    <w:multiLevelType w:val="hybridMultilevel"/>
    <w:tmpl w:val="7FB84D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99401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D6498"/>
    <w:multiLevelType w:val="hybridMultilevel"/>
    <w:tmpl w:val="D71CF9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E7D4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34FA9"/>
    <w:multiLevelType w:val="hybridMultilevel"/>
    <w:tmpl w:val="28C6A5DE"/>
    <w:lvl w:ilvl="0" w:tplc="A99EAD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E58CA"/>
    <w:multiLevelType w:val="hybridMultilevel"/>
    <w:tmpl w:val="F788E09E"/>
    <w:lvl w:ilvl="0" w:tplc="72EA0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2292"/>
    <w:multiLevelType w:val="hybridMultilevel"/>
    <w:tmpl w:val="C1E0685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38"/>
  </w:num>
  <w:num w:numId="4">
    <w:abstractNumId w:val="2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8"/>
  </w:num>
  <w:num w:numId="8">
    <w:abstractNumId w:val="3"/>
  </w:num>
  <w:num w:numId="9">
    <w:abstractNumId w:val="0"/>
  </w:num>
  <w:num w:numId="10">
    <w:abstractNumId w:val="36"/>
  </w:num>
  <w:num w:numId="11">
    <w:abstractNumId w:val="2"/>
  </w:num>
  <w:num w:numId="12">
    <w:abstractNumId w:val="34"/>
  </w:num>
  <w:num w:numId="13">
    <w:abstractNumId w:val="30"/>
  </w:num>
  <w:num w:numId="14">
    <w:abstractNumId w:val="10"/>
  </w:num>
  <w:num w:numId="15">
    <w:abstractNumId w:val="8"/>
  </w:num>
  <w:num w:numId="16">
    <w:abstractNumId w:val="21"/>
  </w:num>
  <w:num w:numId="17">
    <w:abstractNumId w:val="12"/>
  </w:num>
  <w:num w:numId="18">
    <w:abstractNumId w:val="25"/>
  </w:num>
  <w:num w:numId="19">
    <w:abstractNumId w:val="11"/>
  </w:num>
  <w:num w:numId="20">
    <w:abstractNumId w:val="22"/>
  </w:num>
  <w:num w:numId="21">
    <w:abstractNumId w:val="24"/>
  </w:num>
  <w:num w:numId="22">
    <w:abstractNumId w:val="17"/>
  </w:num>
  <w:num w:numId="23">
    <w:abstractNumId w:val="16"/>
  </w:num>
  <w:num w:numId="24">
    <w:abstractNumId w:val="32"/>
  </w:num>
  <w:num w:numId="25">
    <w:abstractNumId w:val="6"/>
  </w:num>
  <w:num w:numId="26">
    <w:abstractNumId w:val="13"/>
  </w:num>
  <w:num w:numId="27">
    <w:abstractNumId w:val="29"/>
  </w:num>
  <w:num w:numId="28">
    <w:abstractNumId w:val="5"/>
  </w:num>
  <w:num w:numId="29">
    <w:abstractNumId w:val="7"/>
  </w:num>
  <w:num w:numId="30">
    <w:abstractNumId w:val="23"/>
  </w:num>
  <w:num w:numId="31">
    <w:abstractNumId w:val="33"/>
  </w:num>
  <w:num w:numId="32">
    <w:abstractNumId w:val="19"/>
  </w:num>
  <w:num w:numId="33">
    <w:abstractNumId w:val="37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4"/>
  </w:num>
  <w:num w:numId="37">
    <w:abstractNumId w:val="27"/>
  </w:num>
  <w:num w:numId="38">
    <w:abstractNumId w:val="18"/>
  </w:num>
  <w:num w:numId="39">
    <w:abstractNumId w:val="4"/>
  </w:num>
  <w:num w:numId="40">
    <w:abstractNumId w:val="1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D61692"/>
    <w:rsid w:val="000000CB"/>
    <w:rsid w:val="00000106"/>
    <w:rsid w:val="000009E1"/>
    <w:rsid w:val="000010A3"/>
    <w:rsid w:val="00003D78"/>
    <w:rsid w:val="000040B3"/>
    <w:rsid w:val="00004B56"/>
    <w:rsid w:val="00005AD2"/>
    <w:rsid w:val="00005D5A"/>
    <w:rsid w:val="00007424"/>
    <w:rsid w:val="00012F84"/>
    <w:rsid w:val="0001302D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11E4"/>
    <w:rsid w:val="000216CA"/>
    <w:rsid w:val="000224B4"/>
    <w:rsid w:val="00022789"/>
    <w:rsid w:val="00022F81"/>
    <w:rsid w:val="0002327A"/>
    <w:rsid w:val="00024DC9"/>
    <w:rsid w:val="0002564B"/>
    <w:rsid w:val="00025AC0"/>
    <w:rsid w:val="000263A4"/>
    <w:rsid w:val="00026971"/>
    <w:rsid w:val="00027D5E"/>
    <w:rsid w:val="000300F0"/>
    <w:rsid w:val="00030DAB"/>
    <w:rsid w:val="000314E5"/>
    <w:rsid w:val="00031722"/>
    <w:rsid w:val="00031FAD"/>
    <w:rsid w:val="00032524"/>
    <w:rsid w:val="00032D34"/>
    <w:rsid w:val="0003370D"/>
    <w:rsid w:val="000341DE"/>
    <w:rsid w:val="000347DB"/>
    <w:rsid w:val="00034923"/>
    <w:rsid w:val="0003497A"/>
    <w:rsid w:val="00034D42"/>
    <w:rsid w:val="00034F07"/>
    <w:rsid w:val="0003544A"/>
    <w:rsid w:val="0003620F"/>
    <w:rsid w:val="00036822"/>
    <w:rsid w:val="000369E1"/>
    <w:rsid w:val="00037558"/>
    <w:rsid w:val="00037B58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101"/>
    <w:rsid w:val="00050D3F"/>
    <w:rsid w:val="00050EAB"/>
    <w:rsid w:val="000525B8"/>
    <w:rsid w:val="00052732"/>
    <w:rsid w:val="00052BB7"/>
    <w:rsid w:val="00052DC4"/>
    <w:rsid w:val="00054068"/>
    <w:rsid w:val="000547A1"/>
    <w:rsid w:val="00054837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395"/>
    <w:rsid w:val="000645F3"/>
    <w:rsid w:val="00065B6F"/>
    <w:rsid w:val="00067726"/>
    <w:rsid w:val="00067FD6"/>
    <w:rsid w:val="00070965"/>
    <w:rsid w:val="000712B9"/>
    <w:rsid w:val="0007229B"/>
    <w:rsid w:val="00072932"/>
    <w:rsid w:val="000734AF"/>
    <w:rsid w:val="00073786"/>
    <w:rsid w:val="0007424D"/>
    <w:rsid w:val="00074378"/>
    <w:rsid w:val="000746C7"/>
    <w:rsid w:val="000747AC"/>
    <w:rsid w:val="00074C3E"/>
    <w:rsid w:val="00074D69"/>
    <w:rsid w:val="0007530C"/>
    <w:rsid w:val="0007555E"/>
    <w:rsid w:val="000771F2"/>
    <w:rsid w:val="00077211"/>
    <w:rsid w:val="00080AEE"/>
    <w:rsid w:val="000812E2"/>
    <w:rsid w:val="0008138F"/>
    <w:rsid w:val="00082395"/>
    <w:rsid w:val="00082D87"/>
    <w:rsid w:val="000831EE"/>
    <w:rsid w:val="00083320"/>
    <w:rsid w:val="00084C03"/>
    <w:rsid w:val="00085B67"/>
    <w:rsid w:val="0008654B"/>
    <w:rsid w:val="00087B90"/>
    <w:rsid w:val="00090FDD"/>
    <w:rsid w:val="00091154"/>
    <w:rsid w:val="00091539"/>
    <w:rsid w:val="000915D3"/>
    <w:rsid w:val="000917D8"/>
    <w:rsid w:val="000924C0"/>
    <w:rsid w:val="000925F7"/>
    <w:rsid w:val="00094311"/>
    <w:rsid w:val="000945C9"/>
    <w:rsid w:val="000947A0"/>
    <w:rsid w:val="0009505C"/>
    <w:rsid w:val="0009548F"/>
    <w:rsid w:val="000956EB"/>
    <w:rsid w:val="000963A6"/>
    <w:rsid w:val="000963C2"/>
    <w:rsid w:val="00097527"/>
    <w:rsid w:val="00097E38"/>
    <w:rsid w:val="000A01B0"/>
    <w:rsid w:val="000A0BBC"/>
    <w:rsid w:val="000A1159"/>
    <w:rsid w:val="000A1459"/>
    <w:rsid w:val="000A14DA"/>
    <w:rsid w:val="000A2350"/>
    <w:rsid w:val="000A2E85"/>
    <w:rsid w:val="000A2F52"/>
    <w:rsid w:val="000A33CB"/>
    <w:rsid w:val="000A4226"/>
    <w:rsid w:val="000A42FE"/>
    <w:rsid w:val="000A43CE"/>
    <w:rsid w:val="000A47FF"/>
    <w:rsid w:val="000A4E37"/>
    <w:rsid w:val="000A5E23"/>
    <w:rsid w:val="000A787A"/>
    <w:rsid w:val="000A7FBB"/>
    <w:rsid w:val="000B19D0"/>
    <w:rsid w:val="000B1DD7"/>
    <w:rsid w:val="000B28FC"/>
    <w:rsid w:val="000B2B16"/>
    <w:rsid w:val="000B34E4"/>
    <w:rsid w:val="000B37A3"/>
    <w:rsid w:val="000B40A4"/>
    <w:rsid w:val="000B45AB"/>
    <w:rsid w:val="000B4800"/>
    <w:rsid w:val="000B48EE"/>
    <w:rsid w:val="000B502D"/>
    <w:rsid w:val="000B54A3"/>
    <w:rsid w:val="000B5DD4"/>
    <w:rsid w:val="000B6252"/>
    <w:rsid w:val="000B62D3"/>
    <w:rsid w:val="000B67B1"/>
    <w:rsid w:val="000B69BF"/>
    <w:rsid w:val="000B788B"/>
    <w:rsid w:val="000B7AE2"/>
    <w:rsid w:val="000C06C5"/>
    <w:rsid w:val="000C0B0A"/>
    <w:rsid w:val="000C108E"/>
    <w:rsid w:val="000C1965"/>
    <w:rsid w:val="000C26C8"/>
    <w:rsid w:val="000C2FAD"/>
    <w:rsid w:val="000C3655"/>
    <w:rsid w:val="000C36DB"/>
    <w:rsid w:val="000C4998"/>
    <w:rsid w:val="000C5764"/>
    <w:rsid w:val="000C5FBB"/>
    <w:rsid w:val="000C64EF"/>
    <w:rsid w:val="000C65A2"/>
    <w:rsid w:val="000C6818"/>
    <w:rsid w:val="000C7278"/>
    <w:rsid w:val="000C72DD"/>
    <w:rsid w:val="000D0368"/>
    <w:rsid w:val="000D0374"/>
    <w:rsid w:val="000D09EB"/>
    <w:rsid w:val="000D0BE6"/>
    <w:rsid w:val="000D1AA8"/>
    <w:rsid w:val="000D2DFE"/>
    <w:rsid w:val="000D52CF"/>
    <w:rsid w:val="000D588E"/>
    <w:rsid w:val="000D5D48"/>
    <w:rsid w:val="000D5ED7"/>
    <w:rsid w:val="000D6CD4"/>
    <w:rsid w:val="000D6DF1"/>
    <w:rsid w:val="000D765B"/>
    <w:rsid w:val="000D7A66"/>
    <w:rsid w:val="000E13EB"/>
    <w:rsid w:val="000E2251"/>
    <w:rsid w:val="000E2351"/>
    <w:rsid w:val="000E294A"/>
    <w:rsid w:val="000E3987"/>
    <w:rsid w:val="000E3AEE"/>
    <w:rsid w:val="000E40CC"/>
    <w:rsid w:val="000E4DD4"/>
    <w:rsid w:val="000E5DCB"/>
    <w:rsid w:val="000E6096"/>
    <w:rsid w:val="000E621C"/>
    <w:rsid w:val="000E77A4"/>
    <w:rsid w:val="000E7A16"/>
    <w:rsid w:val="000E7E9D"/>
    <w:rsid w:val="000F1010"/>
    <w:rsid w:val="000F1186"/>
    <w:rsid w:val="000F1AA9"/>
    <w:rsid w:val="000F260E"/>
    <w:rsid w:val="000F4D73"/>
    <w:rsid w:val="000F5B09"/>
    <w:rsid w:val="000F6577"/>
    <w:rsid w:val="000F6C6B"/>
    <w:rsid w:val="000F756E"/>
    <w:rsid w:val="000F7DDF"/>
    <w:rsid w:val="00100371"/>
    <w:rsid w:val="001021CB"/>
    <w:rsid w:val="00102786"/>
    <w:rsid w:val="001030CC"/>
    <w:rsid w:val="0010339D"/>
    <w:rsid w:val="00103CA9"/>
    <w:rsid w:val="00103FF0"/>
    <w:rsid w:val="001040F3"/>
    <w:rsid w:val="0010452C"/>
    <w:rsid w:val="00105464"/>
    <w:rsid w:val="00105AEF"/>
    <w:rsid w:val="00106446"/>
    <w:rsid w:val="0010656B"/>
    <w:rsid w:val="00107128"/>
    <w:rsid w:val="00107647"/>
    <w:rsid w:val="00107A07"/>
    <w:rsid w:val="00110756"/>
    <w:rsid w:val="001119DE"/>
    <w:rsid w:val="00111C8A"/>
    <w:rsid w:val="001124C4"/>
    <w:rsid w:val="001124FF"/>
    <w:rsid w:val="00112853"/>
    <w:rsid w:val="00112E23"/>
    <w:rsid w:val="00114109"/>
    <w:rsid w:val="001141E2"/>
    <w:rsid w:val="00114378"/>
    <w:rsid w:val="00115519"/>
    <w:rsid w:val="00115C83"/>
    <w:rsid w:val="00116365"/>
    <w:rsid w:val="001164A1"/>
    <w:rsid w:val="00116A8F"/>
    <w:rsid w:val="00117393"/>
    <w:rsid w:val="00117AB0"/>
    <w:rsid w:val="001209D0"/>
    <w:rsid w:val="00120A3A"/>
    <w:rsid w:val="0012343E"/>
    <w:rsid w:val="00123909"/>
    <w:rsid w:val="00123BF5"/>
    <w:rsid w:val="00123CBD"/>
    <w:rsid w:val="00124730"/>
    <w:rsid w:val="001251D5"/>
    <w:rsid w:val="0012708A"/>
    <w:rsid w:val="0012719F"/>
    <w:rsid w:val="001276C7"/>
    <w:rsid w:val="00127B5A"/>
    <w:rsid w:val="00130DCC"/>
    <w:rsid w:val="00131185"/>
    <w:rsid w:val="001321AB"/>
    <w:rsid w:val="001326B7"/>
    <w:rsid w:val="00132E99"/>
    <w:rsid w:val="00133348"/>
    <w:rsid w:val="00134816"/>
    <w:rsid w:val="00134A21"/>
    <w:rsid w:val="00134C6C"/>
    <w:rsid w:val="00136C72"/>
    <w:rsid w:val="00136E70"/>
    <w:rsid w:val="00141D67"/>
    <w:rsid w:val="00141FDD"/>
    <w:rsid w:val="00143FCB"/>
    <w:rsid w:val="00144C86"/>
    <w:rsid w:val="00144E08"/>
    <w:rsid w:val="00144EE5"/>
    <w:rsid w:val="0014607D"/>
    <w:rsid w:val="00147278"/>
    <w:rsid w:val="00150230"/>
    <w:rsid w:val="00150707"/>
    <w:rsid w:val="00151155"/>
    <w:rsid w:val="00152409"/>
    <w:rsid w:val="00152E4F"/>
    <w:rsid w:val="001530CE"/>
    <w:rsid w:val="0015322D"/>
    <w:rsid w:val="00153490"/>
    <w:rsid w:val="00154145"/>
    <w:rsid w:val="0015515C"/>
    <w:rsid w:val="00156A83"/>
    <w:rsid w:val="00156C2D"/>
    <w:rsid w:val="00156E33"/>
    <w:rsid w:val="001575F1"/>
    <w:rsid w:val="00157601"/>
    <w:rsid w:val="001577A1"/>
    <w:rsid w:val="00160183"/>
    <w:rsid w:val="00160A29"/>
    <w:rsid w:val="001610BD"/>
    <w:rsid w:val="001613FC"/>
    <w:rsid w:val="001627A3"/>
    <w:rsid w:val="00163041"/>
    <w:rsid w:val="00163A7B"/>
    <w:rsid w:val="00163AF0"/>
    <w:rsid w:val="001644C7"/>
    <w:rsid w:val="001646BA"/>
    <w:rsid w:val="00165773"/>
    <w:rsid w:val="00165DE6"/>
    <w:rsid w:val="00167281"/>
    <w:rsid w:val="001672AB"/>
    <w:rsid w:val="001678F1"/>
    <w:rsid w:val="001708D0"/>
    <w:rsid w:val="00170C82"/>
    <w:rsid w:val="00170CCE"/>
    <w:rsid w:val="00172053"/>
    <w:rsid w:val="00172816"/>
    <w:rsid w:val="00172D59"/>
    <w:rsid w:val="00172F78"/>
    <w:rsid w:val="001730BE"/>
    <w:rsid w:val="00174836"/>
    <w:rsid w:val="00174FD6"/>
    <w:rsid w:val="00175115"/>
    <w:rsid w:val="0017540F"/>
    <w:rsid w:val="001754F5"/>
    <w:rsid w:val="0017563A"/>
    <w:rsid w:val="00175718"/>
    <w:rsid w:val="00177AD9"/>
    <w:rsid w:val="00181309"/>
    <w:rsid w:val="0018179A"/>
    <w:rsid w:val="001824C2"/>
    <w:rsid w:val="00182872"/>
    <w:rsid w:val="0018289E"/>
    <w:rsid w:val="0018331D"/>
    <w:rsid w:val="00184FDC"/>
    <w:rsid w:val="0018592D"/>
    <w:rsid w:val="0018626E"/>
    <w:rsid w:val="0018666E"/>
    <w:rsid w:val="00186BEF"/>
    <w:rsid w:val="00186F09"/>
    <w:rsid w:val="0018739E"/>
    <w:rsid w:val="0018794A"/>
    <w:rsid w:val="00187C66"/>
    <w:rsid w:val="00190285"/>
    <w:rsid w:val="00191F90"/>
    <w:rsid w:val="00192506"/>
    <w:rsid w:val="00192F1E"/>
    <w:rsid w:val="00193080"/>
    <w:rsid w:val="001931C2"/>
    <w:rsid w:val="00193785"/>
    <w:rsid w:val="001942BA"/>
    <w:rsid w:val="001971A8"/>
    <w:rsid w:val="001A0035"/>
    <w:rsid w:val="001A0A6C"/>
    <w:rsid w:val="001A2829"/>
    <w:rsid w:val="001A2F7A"/>
    <w:rsid w:val="001A392F"/>
    <w:rsid w:val="001A594D"/>
    <w:rsid w:val="001A5B99"/>
    <w:rsid w:val="001A65F4"/>
    <w:rsid w:val="001A7319"/>
    <w:rsid w:val="001A783E"/>
    <w:rsid w:val="001B0396"/>
    <w:rsid w:val="001B0D03"/>
    <w:rsid w:val="001B17AD"/>
    <w:rsid w:val="001B1D1D"/>
    <w:rsid w:val="001B259F"/>
    <w:rsid w:val="001B25FF"/>
    <w:rsid w:val="001B3267"/>
    <w:rsid w:val="001B399F"/>
    <w:rsid w:val="001B3BE3"/>
    <w:rsid w:val="001B4CB9"/>
    <w:rsid w:val="001B4F99"/>
    <w:rsid w:val="001B6D24"/>
    <w:rsid w:val="001B725A"/>
    <w:rsid w:val="001B7AD0"/>
    <w:rsid w:val="001B7C2A"/>
    <w:rsid w:val="001B7D00"/>
    <w:rsid w:val="001C0237"/>
    <w:rsid w:val="001C0AB4"/>
    <w:rsid w:val="001C1490"/>
    <w:rsid w:val="001C1928"/>
    <w:rsid w:val="001C1F7E"/>
    <w:rsid w:val="001C2278"/>
    <w:rsid w:val="001C22CB"/>
    <w:rsid w:val="001C237D"/>
    <w:rsid w:val="001C23DD"/>
    <w:rsid w:val="001C264C"/>
    <w:rsid w:val="001C2751"/>
    <w:rsid w:val="001C30E3"/>
    <w:rsid w:val="001C51EC"/>
    <w:rsid w:val="001C5CE9"/>
    <w:rsid w:val="001C6120"/>
    <w:rsid w:val="001C6698"/>
    <w:rsid w:val="001C6750"/>
    <w:rsid w:val="001C6781"/>
    <w:rsid w:val="001C6817"/>
    <w:rsid w:val="001C6D1F"/>
    <w:rsid w:val="001C70BA"/>
    <w:rsid w:val="001D0226"/>
    <w:rsid w:val="001D0A32"/>
    <w:rsid w:val="001D21BD"/>
    <w:rsid w:val="001D37FD"/>
    <w:rsid w:val="001D4E81"/>
    <w:rsid w:val="001D7822"/>
    <w:rsid w:val="001E2403"/>
    <w:rsid w:val="001E29C8"/>
    <w:rsid w:val="001E29D1"/>
    <w:rsid w:val="001E2BC7"/>
    <w:rsid w:val="001E33FE"/>
    <w:rsid w:val="001E4EAE"/>
    <w:rsid w:val="001E53D5"/>
    <w:rsid w:val="001E5BE3"/>
    <w:rsid w:val="001E5E69"/>
    <w:rsid w:val="001E698E"/>
    <w:rsid w:val="001F1378"/>
    <w:rsid w:val="001F181F"/>
    <w:rsid w:val="001F19CC"/>
    <w:rsid w:val="001F27F8"/>
    <w:rsid w:val="001F2B57"/>
    <w:rsid w:val="001F3E69"/>
    <w:rsid w:val="001F4118"/>
    <w:rsid w:val="001F4C02"/>
    <w:rsid w:val="001F69DD"/>
    <w:rsid w:val="001F7445"/>
    <w:rsid w:val="001F7741"/>
    <w:rsid w:val="001F7C33"/>
    <w:rsid w:val="001F7C4B"/>
    <w:rsid w:val="002000E5"/>
    <w:rsid w:val="00200602"/>
    <w:rsid w:val="00200A3F"/>
    <w:rsid w:val="002010F0"/>
    <w:rsid w:val="00201AEB"/>
    <w:rsid w:val="0020246C"/>
    <w:rsid w:val="00203447"/>
    <w:rsid w:val="0020440D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7F9"/>
    <w:rsid w:val="002128D8"/>
    <w:rsid w:val="002129D4"/>
    <w:rsid w:val="00212CDE"/>
    <w:rsid w:val="002135A2"/>
    <w:rsid w:val="002135B1"/>
    <w:rsid w:val="002138EC"/>
    <w:rsid w:val="0021614C"/>
    <w:rsid w:val="002167C4"/>
    <w:rsid w:val="00216A75"/>
    <w:rsid w:val="00216C6D"/>
    <w:rsid w:val="00220834"/>
    <w:rsid w:val="00220B59"/>
    <w:rsid w:val="002210E9"/>
    <w:rsid w:val="00222175"/>
    <w:rsid w:val="0022227F"/>
    <w:rsid w:val="00223E45"/>
    <w:rsid w:val="00224AD0"/>
    <w:rsid w:val="00224D43"/>
    <w:rsid w:val="002251C3"/>
    <w:rsid w:val="00225534"/>
    <w:rsid w:val="00225F74"/>
    <w:rsid w:val="002260FD"/>
    <w:rsid w:val="002263B3"/>
    <w:rsid w:val="0022695C"/>
    <w:rsid w:val="0022764C"/>
    <w:rsid w:val="00227682"/>
    <w:rsid w:val="00227D75"/>
    <w:rsid w:val="0023090D"/>
    <w:rsid w:val="00230C34"/>
    <w:rsid w:val="00230DE8"/>
    <w:rsid w:val="00230FA2"/>
    <w:rsid w:val="00231268"/>
    <w:rsid w:val="00232185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535"/>
    <w:rsid w:val="002427AE"/>
    <w:rsid w:val="00243419"/>
    <w:rsid w:val="00245A6C"/>
    <w:rsid w:val="00245B04"/>
    <w:rsid w:val="00247F1B"/>
    <w:rsid w:val="002503CE"/>
    <w:rsid w:val="0025102C"/>
    <w:rsid w:val="0025137D"/>
    <w:rsid w:val="00252FF6"/>
    <w:rsid w:val="002537BD"/>
    <w:rsid w:val="00253ECF"/>
    <w:rsid w:val="00253F71"/>
    <w:rsid w:val="00256550"/>
    <w:rsid w:val="0025660E"/>
    <w:rsid w:val="0025713F"/>
    <w:rsid w:val="0025757E"/>
    <w:rsid w:val="00257D9D"/>
    <w:rsid w:val="00257EFB"/>
    <w:rsid w:val="00260066"/>
    <w:rsid w:val="00260465"/>
    <w:rsid w:val="00260688"/>
    <w:rsid w:val="00260976"/>
    <w:rsid w:val="00260EF0"/>
    <w:rsid w:val="002611D1"/>
    <w:rsid w:val="0026475B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26D"/>
    <w:rsid w:val="002723A7"/>
    <w:rsid w:val="002723D9"/>
    <w:rsid w:val="00273280"/>
    <w:rsid w:val="00273D6D"/>
    <w:rsid w:val="0027442C"/>
    <w:rsid w:val="00274EBC"/>
    <w:rsid w:val="00275609"/>
    <w:rsid w:val="0027672F"/>
    <w:rsid w:val="0027697B"/>
    <w:rsid w:val="00277445"/>
    <w:rsid w:val="0027775D"/>
    <w:rsid w:val="00277D24"/>
    <w:rsid w:val="00280105"/>
    <w:rsid w:val="00281E75"/>
    <w:rsid w:val="0028233F"/>
    <w:rsid w:val="002823F9"/>
    <w:rsid w:val="00282488"/>
    <w:rsid w:val="00282B2B"/>
    <w:rsid w:val="00282DBE"/>
    <w:rsid w:val="00283704"/>
    <w:rsid w:val="00283DB5"/>
    <w:rsid w:val="002843B8"/>
    <w:rsid w:val="00284B2C"/>
    <w:rsid w:val="00285B0F"/>
    <w:rsid w:val="00287019"/>
    <w:rsid w:val="00287A18"/>
    <w:rsid w:val="00290CF1"/>
    <w:rsid w:val="002916F7"/>
    <w:rsid w:val="0029214C"/>
    <w:rsid w:val="00292EC3"/>
    <w:rsid w:val="00294586"/>
    <w:rsid w:val="00294DE0"/>
    <w:rsid w:val="00296127"/>
    <w:rsid w:val="002961DB"/>
    <w:rsid w:val="00296B08"/>
    <w:rsid w:val="002977E4"/>
    <w:rsid w:val="00297AC4"/>
    <w:rsid w:val="002A046A"/>
    <w:rsid w:val="002A08D7"/>
    <w:rsid w:val="002A0CAC"/>
    <w:rsid w:val="002A0D49"/>
    <w:rsid w:val="002A10A8"/>
    <w:rsid w:val="002A1639"/>
    <w:rsid w:val="002A1B2B"/>
    <w:rsid w:val="002A1CC2"/>
    <w:rsid w:val="002A1DC4"/>
    <w:rsid w:val="002A235B"/>
    <w:rsid w:val="002A2BD6"/>
    <w:rsid w:val="002A2CED"/>
    <w:rsid w:val="002A4910"/>
    <w:rsid w:val="002A5A8C"/>
    <w:rsid w:val="002A5C73"/>
    <w:rsid w:val="002A68B8"/>
    <w:rsid w:val="002B0705"/>
    <w:rsid w:val="002B0DED"/>
    <w:rsid w:val="002B10AE"/>
    <w:rsid w:val="002B210C"/>
    <w:rsid w:val="002B318C"/>
    <w:rsid w:val="002B3824"/>
    <w:rsid w:val="002B5129"/>
    <w:rsid w:val="002B552A"/>
    <w:rsid w:val="002B74C5"/>
    <w:rsid w:val="002B77D8"/>
    <w:rsid w:val="002B7CC9"/>
    <w:rsid w:val="002C010C"/>
    <w:rsid w:val="002C095E"/>
    <w:rsid w:val="002C1A52"/>
    <w:rsid w:val="002C1FBF"/>
    <w:rsid w:val="002C25C6"/>
    <w:rsid w:val="002C2DFD"/>
    <w:rsid w:val="002C3F24"/>
    <w:rsid w:val="002C454A"/>
    <w:rsid w:val="002C4737"/>
    <w:rsid w:val="002C47B8"/>
    <w:rsid w:val="002C4845"/>
    <w:rsid w:val="002C4A81"/>
    <w:rsid w:val="002C6888"/>
    <w:rsid w:val="002C75B9"/>
    <w:rsid w:val="002C78FB"/>
    <w:rsid w:val="002C7BD3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8AA"/>
    <w:rsid w:val="002D4C71"/>
    <w:rsid w:val="002D4C76"/>
    <w:rsid w:val="002D4CDE"/>
    <w:rsid w:val="002D5187"/>
    <w:rsid w:val="002D54A4"/>
    <w:rsid w:val="002D5865"/>
    <w:rsid w:val="002D6027"/>
    <w:rsid w:val="002D6F60"/>
    <w:rsid w:val="002D77A7"/>
    <w:rsid w:val="002D7BA6"/>
    <w:rsid w:val="002E068D"/>
    <w:rsid w:val="002E294A"/>
    <w:rsid w:val="002E3693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58EC"/>
    <w:rsid w:val="002F5EEC"/>
    <w:rsid w:val="002F6AB2"/>
    <w:rsid w:val="002F707E"/>
    <w:rsid w:val="002F7C7C"/>
    <w:rsid w:val="002F7DB2"/>
    <w:rsid w:val="003004B8"/>
    <w:rsid w:val="003022A7"/>
    <w:rsid w:val="00303173"/>
    <w:rsid w:val="00303D85"/>
    <w:rsid w:val="00303F02"/>
    <w:rsid w:val="0030680B"/>
    <w:rsid w:val="00306B1D"/>
    <w:rsid w:val="00307430"/>
    <w:rsid w:val="00307512"/>
    <w:rsid w:val="00307F4D"/>
    <w:rsid w:val="0031098B"/>
    <w:rsid w:val="00311A9D"/>
    <w:rsid w:val="00312994"/>
    <w:rsid w:val="0031387C"/>
    <w:rsid w:val="00313CA3"/>
    <w:rsid w:val="00314EC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238"/>
    <w:rsid w:val="00322DF3"/>
    <w:rsid w:val="00323E6A"/>
    <w:rsid w:val="00325C96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3E"/>
    <w:rsid w:val="0033276A"/>
    <w:rsid w:val="0033283B"/>
    <w:rsid w:val="00333719"/>
    <w:rsid w:val="00333C49"/>
    <w:rsid w:val="00336033"/>
    <w:rsid w:val="0033636B"/>
    <w:rsid w:val="00337362"/>
    <w:rsid w:val="00337648"/>
    <w:rsid w:val="00340752"/>
    <w:rsid w:val="00340909"/>
    <w:rsid w:val="003409C9"/>
    <w:rsid w:val="00341583"/>
    <w:rsid w:val="00341F7C"/>
    <w:rsid w:val="00344581"/>
    <w:rsid w:val="00344DF2"/>
    <w:rsid w:val="003454A9"/>
    <w:rsid w:val="00345ADD"/>
    <w:rsid w:val="0034655C"/>
    <w:rsid w:val="00346A8A"/>
    <w:rsid w:val="00346FFA"/>
    <w:rsid w:val="00347594"/>
    <w:rsid w:val="00350496"/>
    <w:rsid w:val="00350CFE"/>
    <w:rsid w:val="0035139C"/>
    <w:rsid w:val="003524FD"/>
    <w:rsid w:val="00353B78"/>
    <w:rsid w:val="00354656"/>
    <w:rsid w:val="00354DDA"/>
    <w:rsid w:val="00355F01"/>
    <w:rsid w:val="003561B8"/>
    <w:rsid w:val="003568F4"/>
    <w:rsid w:val="00357182"/>
    <w:rsid w:val="00357B8D"/>
    <w:rsid w:val="00357E66"/>
    <w:rsid w:val="00360100"/>
    <w:rsid w:val="00360197"/>
    <w:rsid w:val="00361309"/>
    <w:rsid w:val="00361C27"/>
    <w:rsid w:val="003625F1"/>
    <w:rsid w:val="00362CC0"/>
    <w:rsid w:val="003634DC"/>
    <w:rsid w:val="003638CF"/>
    <w:rsid w:val="00363A53"/>
    <w:rsid w:val="00363C84"/>
    <w:rsid w:val="00364D14"/>
    <w:rsid w:val="00365311"/>
    <w:rsid w:val="003655B6"/>
    <w:rsid w:val="00365E46"/>
    <w:rsid w:val="00366100"/>
    <w:rsid w:val="003667BB"/>
    <w:rsid w:val="00366F41"/>
    <w:rsid w:val="00367D77"/>
    <w:rsid w:val="003724C4"/>
    <w:rsid w:val="00375E12"/>
    <w:rsid w:val="003764BE"/>
    <w:rsid w:val="00376523"/>
    <w:rsid w:val="0037726C"/>
    <w:rsid w:val="00377697"/>
    <w:rsid w:val="00377A53"/>
    <w:rsid w:val="003804E7"/>
    <w:rsid w:val="003809F3"/>
    <w:rsid w:val="0038117E"/>
    <w:rsid w:val="0038135E"/>
    <w:rsid w:val="003813A6"/>
    <w:rsid w:val="00381900"/>
    <w:rsid w:val="00381B03"/>
    <w:rsid w:val="0038259A"/>
    <w:rsid w:val="00382F01"/>
    <w:rsid w:val="00384476"/>
    <w:rsid w:val="003846BE"/>
    <w:rsid w:val="00384DC2"/>
    <w:rsid w:val="003873E1"/>
    <w:rsid w:val="00387C29"/>
    <w:rsid w:val="00387DAD"/>
    <w:rsid w:val="0039047F"/>
    <w:rsid w:val="00390732"/>
    <w:rsid w:val="00391CC7"/>
    <w:rsid w:val="0039257B"/>
    <w:rsid w:val="003935B1"/>
    <w:rsid w:val="0039441A"/>
    <w:rsid w:val="00395C18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2AD"/>
    <w:rsid w:val="003A1E5E"/>
    <w:rsid w:val="003A2AF5"/>
    <w:rsid w:val="003A5C77"/>
    <w:rsid w:val="003A5EB6"/>
    <w:rsid w:val="003A68AE"/>
    <w:rsid w:val="003A6A2F"/>
    <w:rsid w:val="003A6F63"/>
    <w:rsid w:val="003A785D"/>
    <w:rsid w:val="003A7A69"/>
    <w:rsid w:val="003B04DA"/>
    <w:rsid w:val="003B0E7A"/>
    <w:rsid w:val="003B15C8"/>
    <w:rsid w:val="003B17BB"/>
    <w:rsid w:val="003B1992"/>
    <w:rsid w:val="003B19FC"/>
    <w:rsid w:val="003B1A29"/>
    <w:rsid w:val="003B1C22"/>
    <w:rsid w:val="003B1D25"/>
    <w:rsid w:val="003B2900"/>
    <w:rsid w:val="003B2B30"/>
    <w:rsid w:val="003B2CAA"/>
    <w:rsid w:val="003B30D8"/>
    <w:rsid w:val="003B3299"/>
    <w:rsid w:val="003B3EDA"/>
    <w:rsid w:val="003B436A"/>
    <w:rsid w:val="003B450F"/>
    <w:rsid w:val="003B48D5"/>
    <w:rsid w:val="003B4F8C"/>
    <w:rsid w:val="003B51CD"/>
    <w:rsid w:val="003B5512"/>
    <w:rsid w:val="003B62EC"/>
    <w:rsid w:val="003B6749"/>
    <w:rsid w:val="003B6844"/>
    <w:rsid w:val="003B6B3A"/>
    <w:rsid w:val="003B75FC"/>
    <w:rsid w:val="003B7F5E"/>
    <w:rsid w:val="003C0B90"/>
    <w:rsid w:val="003C1215"/>
    <w:rsid w:val="003C14C9"/>
    <w:rsid w:val="003C15EF"/>
    <w:rsid w:val="003C1D23"/>
    <w:rsid w:val="003C2670"/>
    <w:rsid w:val="003C3A57"/>
    <w:rsid w:val="003C4817"/>
    <w:rsid w:val="003C5E7B"/>
    <w:rsid w:val="003C6A22"/>
    <w:rsid w:val="003C7870"/>
    <w:rsid w:val="003C7961"/>
    <w:rsid w:val="003C79AC"/>
    <w:rsid w:val="003D1EDB"/>
    <w:rsid w:val="003D3260"/>
    <w:rsid w:val="003D4359"/>
    <w:rsid w:val="003D4739"/>
    <w:rsid w:val="003D49BD"/>
    <w:rsid w:val="003D4D5D"/>
    <w:rsid w:val="003D56FD"/>
    <w:rsid w:val="003D6440"/>
    <w:rsid w:val="003D7546"/>
    <w:rsid w:val="003D75A1"/>
    <w:rsid w:val="003D78F3"/>
    <w:rsid w:val="003D7D58"/>
    <w:rsid w:val="003E0266"/>
    <w:rsid w:val="003E0C4A"/>
    <w:rsid w:val="003E151E"/>
    <w:rsid w:val="003E221F"/>
    <w:rsid w:val="003E3296"/>
    <w:rsid w:val="003E3C65"/>
    <w:rsid w:val="003E3F0E"/>
    <w:rsid w:val="003E4749"/>
    <w:rsid w:val="003E4CC0"/>
    <w:rsid w:val="003E51DE"/>
    <w:rsid w:val="003E5B35"/>
    <w:rsid w:val="003E5D3F"/>
    <w:rsid w:val="003E60D1"/>
    <w:rsid w:val="003E6360"/>
    <w:rsid w:val="003E719B"/>
    <w:rsid w:val="003E757E"/>
    <w:rsid w:val="003F0052"/>
    <w:rsid w:val="003F0CAE"/>
    <w:rsid w:val="003F0EA8"/>
    <w:rsid w:val="003F250B"/>
    <w:rsid w:val="003F3687"/>
    <w:rsid w:val="003F5183"/>
    <w:rsid w:val="003F56BD"/>
    <w:rsid w:val="003F5A35"/>
    <w:rsid w:val="003F7085"/>
    <w:rsid w:val="0040060E"/>
    <w:rsid w:val="00400871"/>
    <w:rsid w:val="00400C11"/>
    <w:rsid w:val="004010A8"/>
    <w:rsid w:val="00401DED"/>
    <w:rsid w:val="00402680"/>
    <w:rsid w:val="00402C40"/>
    <w:rsid w:val="00404325"/>
    <w:rsid w:val="00404546"/>
    <w:rsid w:val="00406097"/>
    <w:rsid w:val="00406C7B"/>
    <w:rsid w:val="00407182"/>
    <w:rsid w:val="004078E5"/>
    <w:rsid w:val="00407FE4"/>
    <w:rsid w:val="00412F68"/>
    <w:rsid w:val="0041311D"/>
    <w:rsid w:val="00413243"/>
    <w:rsid w:val="00413CAA"/>
    <w:rsid w:val="00413FFD"/>
    <w:rsid w:val="004149B0"/>
    <w:rsid w:val="00415784"/>
    <w:rsid w:val="00415806"/>
    <w:rsid w:val="004159BE"/>
    <w:rsid w:val="004168B3"/>
    <w:rsid w:val="0041784C"/>
    <w:rsid w:val="00417DAC"/>
    <w:rsid w:val="00417E13"/>
    <w:rsid w:val="0042010A"/>
    <w:rsid w:val="00420CBC"/>
    <w:rsid w:val="00421432"/>
    <w:rsid w:val="00421732"/>
    <w:rsid w:val="00421CD5"/>
    <w:rsid w:val="00421E9D"/>
    <w:rsid w:val="00422784"/>
    <w:rsid w:val="00423A12"/>
    <w:rsid w:val="00423EE9"/>
    <w:rsid w:val="004258FE"/>
    <w:rsid w:val="00425998"/>
    <w:rsid w:val="00425EC2"/>
    <w:rsid w:val="00427187"/>
    <w:rsid w:val="00427696"/>
    <w:rsid w:val="00427FB8"/>
    <w:rsid w:val="004306A4"/>
    <w:rsid w:val="00431253"/>
    <w:rsid w:val="00431CDE"/>
    <w:rsid w:val="00432066"/>
    <w:rsid w:val="004330BE"/>
    <w:rsid w:val="00435D37"/>
    <w:rsid w:val="00436469"/>
    <w:rsid w:val="00436FB4"/>
    <w:rsid w:val="004375C6"/>
    <w:rsid w:val="004379FA"/>
    <w:rsid w:val="0044041E"/>
    <w:rsid w:val="00442E20"/>
    <w:rsid w:val="0044465C"/>
    <w:rsid w:val="0044519A"/>
    <w:rsid w:val="004453B9"/>
    <w:rsid w:val="0044550D"/>
    <w:rsid w:val="00445736"/>
    <w:rsid w:val="00446DA9"/>
    <w:rsid w:val="004471B9"/>
    <w:rsid w:val="00447221"/>
    <w:rsid w:val="004509F6"/>
    <w:rsid w:val="0045207A"/>
    <w:rsid w:val="00452E5F"/>
    <w:rsid w:val="00453CE3"/>
    <w:rsid w:val="00454093"/>
    <w:rsid w:val="00454C7D"/>
    <w:rsid w:val="00455227"/>
    <w:rsid w:val="004553F5"/>
    <w:rsid w:val="00455A56"/>
    <w:rsid w:val="00456193"/>
    <w:rsid w:val="00456F4F"/>
    <w:rsid w:val="004574D9"/>
    <w:rsid w:val="0045758B"/>
    <w:rsid w:val="00461324"/>
    <w:rsid w:val="0046148B"/>
    <w:rsid w:val="00461657"/>
    <w:rsid w:val="00461995"/>
    <w:rsid w:val="00461BB0"/>
    <w:rsid w:val="004620F4"/>
    <w:rsid w:val="00462BC8"/>
    <w:rsid w:val="00463225"/>
    <w:rsid w:val="004634E4"/>
    <w:rsid w:val="00463506"/>
    <w:rsid w:val="004639A5"/>
    <w:rsid w:val="004647F3"/>
    <w:rsid w:val="00464A12"/>
    <w:rsid w:val="004655E7"/>
    <w:rsid w:val="0046659C"/>
    <w:rsid w:val="00466A02"/>
    <w:rsid w:val="00466D8A"/>
    <w:rsid w:val="00466E96"/>
    <w:rsid w:val="00466F15"/>
    <w:rsid w:val="00467156"/>
    <w:rsid w:val="00467511"/>
    <w:rsid w:val="0047022C"/>
    <w:rsid w:val="00470C83"/>
    <w:rsid w:val="00470C90"/>
    <w:rsid w:val="00471E2A"/>
    <w:rsid w:val="004725CB"/>
    <w:rsid w:val="0047278D"/>
    <w:rsid w:val="00472CF3"/>
    <w:rsid w:val="004732BC"/>
    <w:rsid w:val="00475763"/>
    <w:rsid w:val="00475BE2"/>
    <w:rsid w:val="00480082"/>
    <w:rsid w:val="00483B9D"/>
    <w:rsid w:val="0048470D"/>
    <w:rsid w:val="004848E8"/>
    <w:rsid w:val="00484EA7"/>
    <w:rsid w:val="004864AA"/>
    <w:rsid w:val="004865CE"/>
    <w:rsid w:val="004868F5"/>
    <w:rsid w:val="0048699B"/>
    <w:rsid w:val="00487296"/>
    <w:rsid w:val="0049070F"/>
    <w:rsid w:val="00491368"/>
    <w:rsid w:val="0049250B"/>
    <w:rsid w:val="00492CE5"/>
    <w:rsid w:val="004932C1"/>
    <w:rsid w:val="00493B63"/>
    <w:rsid w:val="00493F77"/>
    <w:rsid w:val="004940E0"/>
    <w:rsid w:val="00496006"/>
    <w:rsid w:val="00496861"/>
    <w:rsid w:val="004A1113"/>
    <w:rsid w:val="004A2665"/>
    <w:rsid w:val="004A3449"/>
    <w:rsid w:val="004A348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0B47"/>
    <w:rsid w:val="004B1C2A"/>
    <w:rsid w:val="004B1ECF"/>
    <w:rsid w:val="004B32A5"/>
    <w:rsid w:val="004B378C"/>
    <w:rsid w:val="004B41B2"/>
    <w:rsid w:val="004B50C6"/>
    <w:rsid w:val="004B533B"/>
    <w:rsid w:val="004B5F63"/>
    <w:rsid w:val="004B7800"/>
    <w:rsid w:val="004B7883"/>
    <w:rsid w:val="004B7C4B"/>
    <w:rsid w:val="004C0135"/>
    <w:rsid w:val="004C0176"/>
    <w:rsid w:val="004C0541"/>
    <w:rsid w:val="004C0F79"/>
    <w:rsid w:val="004C16F3"/>
    <w:rsid w:val="004C1D3E"/>
    <w:rsid w:val="004C206D"/>
    <w:rsid w:val="004C2EA5"/>
    <w:rsid w:val="004C373F"/>
    <w:rsid w:val="004C3C31"/>
    <w:rsid w:val="004C659C"/>
    <w:rsid w:val="004D40C6"/>
    <w:rsid w:val="004D49A0"/>
    <w:rsid w:val="004D4E0F"/>
    <w:rsid w:val="004D6472"/>
    <w:rsid w:val="004D7775"/>
    <w:rsid w:val="004E02D3"/>
    <w:rsid w:val="004E0DE7"/>
    <w:rsid w:val="004E12DB"/>
    <w:rsid w:val="004E28B9"/>
    <w:rsid w:val="004E366C"/>
    <w:rsid w:val="004E4063"/>
    <w:rsid w:val="004E40DA"/>
    <w:rsid w:val="004E475F"/>
    <w:rsid w:val="004E5F03"/>
    <w:rsid w:val="004E6169"/>
    <w:rsid w:val="004E6ACE"/>
    <w:rsid w:val="004E6C21"/>
    <w:rsid w:val="004E6F45"/>
    <w:rsid w:val="004E7335"/>
    <w:rsid w:val="004E7676"/>
    <w:rsid w:val="004F17AF"/>
    <w:rsid w:val="004F2797"/>
    <w:rsid w:val="004F288B"/>
    <w:rsid w:val="004F31D0"/>
    <w:rsid w:val="004F3817"/>
    <w:rsid w:val="004F4CFC"/>
    <w:rsid w:val="004F50B8"/>
    <w:rsid w:val="004F5C17"/>
    <w:rsid w:val="004F5DA8"/>
    <w:rsid w:val="004F62C2"/>
    <w:rsid w:val="004F731B"/>
    <w:rsid w:val="004F7808"/>
    <w:rsid w:val="004F7D2D"/>
    <w:rsid w:val="004F7F54"/>
    <w:rsid w:val="004F7F71"/>
    <w:rsid w:val="00501A7C"/>
    <w:rsid w:val="005025EC"/>
    <w:rsid w:val="005027D6"/>
    <w:rsid w:val="0050365D"/>
    <w:rsid w:val="005065E6"/>
    <w:rsid w:val="005070CF"/>
    <w:rsid w:val="005078B9"/>
    <w:rsid w:val="00507D4D"/>
    <w:rsid w:val="00507FBA"/>
    <w:rsid w:val="00511F1F"/>
    <w:rsid w:val="0051201B"/>
    <w:rsid w:val="0051345D"/>
    <w:rsid w:val="005157FF"/>
    <w:rsid w:val="005161CB"/>
    <w:rsid w:val="00516264"/>
    <w:rsid w:val="00516511"/>
    <w:rsid w:val="00517175"/>
    <w:rsid w:val="00517B19"/>
    <w:rsid w:val="00521DE6"/>
    <w:rsid w:val="005221F4"/>
    <w:rsid w:val="00522282"/>
    <w:rsid w:val="00522A1E"/>
    <w:rsid w:val="00524587"/>
    <w:rsid w:val="0052511E"/>
    <w:rsid w:val="0052531F"/>
    <w:rsid w:val="005253C0"/>
    <w:rsid w:val="005253D1"/>
    <w:rsid w:val="005264EC"/>
    <w:rsid w:val="00526611"/>
    <w:rsid w:val="00526AFB"/>
    <w:rsid w:val="0053016A"/>
    <w:rsid w:val="005308B0"/>
    <w:rsid w:val="005309A7"/>
    <w:rsid w:val="00530AE6"/>
    <w:rsid w:val="00531684"/>
    <w:rsid w:val="00532B88"/>
    <w:rsid w:val="005331BD"/>
    <w:rsid w:val="0053330B"/>
    <w:rsid w:val="005337B0"/>
    <w:rsid w:val="00533C4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453"/>
    <w:rsid w:val="00541D70"/>
    <w:rsid w:val="005426C0"/>
    <w:rsid w:val="005429A2"/>
    <w:rsid w:val="005436E2"/>
    <w:rsid w:val="00543A1F"/>
    <w:rsid w:val="00543F14"/>
    <w:rsid w:val="00543F2D"/>
    <w:rsid w:val="00544E2A"/>
    <w:rsid w:val="00544EC8"/>
    <w:rsid w:val="00545372"/>
    <w:rsid w:val="005468F5"/>
    <w:rsid w:val="00546967"/>
    <w:rsid w:val="00547212"/>
    <w:rsid w:val="0054739E"/>
    <w:rsid w:val="005479C8"/>
    <w:rsid w:val="00547B34"/>
    <w:rsid w:val="00547C53"/>
    <w:rsid w:val="005523CF"/>
    <w:rsid w:val="00552402"/>
    <w:rsid w:val="00552F77"/>
    <w:rsid w:val="0055364A"/>
    <w:rsid w:val="00553E61"/>
    <w:rsid w:val="0055409D"/>
    <w:rsid w:val="0055411D"/>
    <w:rsid w:val="00554387"/>
    <w:rsid w:val="00555066"/>
    <w:rsid w:val="0055507E"/>
    <w:rsid w:val="00555A5E"/>
    <w:rsid w:val="005562D6"/>
    <w:rsid w:val="005568D7"/>
    <w:rsid w:val="0055713F"/>
    <w:rsid w:val="00557DB0"/>
    <w:rsid w:val="00560113"/>
    <w:rsid w:val="00560529"/>
    <w:rsid w:val="00560667"/>
    <w:rsid w:val="005612C5"/>
    <w:rsid w:val="00561716"/>
    <w:rsid w:val="00561992"/>
    <w:rsid w:val="00562086"/>
    <w:rsid w:val="005636A8"/>
    <w:rsid w:val="00564436"/>
    <w:rsid w:val="005644BB"/>
    <w:rsid w:val="0056509E"/>
    <w:rsid w:val="00565662"/>
    <w:rsid w:val="00565D84"/>
    <w:rsid w:val="00566BFA"/>
    <w:rsid w:val="005700F4"/>
    <w:rsid w:val="00570C9B"/>
    <w:rsid w:val="00570EEF"/>
    <w:rsid w:val="005715D6"/>
    <w:rsid w:val="00571A37"/>
    <w:rsid w:val="0057438A"/>
    <w:rsid w:val="00575B7D"/>
    <w:rsid w:val="00575E14"/>
    <w:rsid w:val="00575E37"/>
    <w:rsid w:val="005764FB"/>
    <w:rsid w:val="00580172"/>
    <w:rsid w:val="00580203"/>
    <w:rsid w:val="00580859"/>
    <w:rsid w:val="00581749"/>
    <w:rsid w:val="005818A8"/>
    <w:rsid w:val="00581CFE"/>
    <w:rsid w:val="00581D4E"/>
    <w:rsid w:val="005829D9"/>
    <w:rsid w:val="00583591"/>
    <w:rsid w:val="005838F0"/>
    <w:rsid w:val="0058458E"/>
    <w:rsid w:val="00584669"/>
    <w:rsid w:val="005852DA"/>
    <w:rsid w:val="005858DC"/>
    <w:rsid w:val="00585B6B"/>
    <w:rsid w:val="00585F7B"/>
    <w:rsid w:val="005874DD"/>
    <w:rsid w:val="0058776D"/>
    <w:rsid w:val="00590ABD"/>
    <w:rsid w:val="00590B7B"/>
    <w:rsid w:val="005916D5"/>
    <w:rsid w:val="00591720"/>
    <w:rsid w:val="00592DF3"/>
    <w:rsid w:val="00593B25"/>
    <w:rsid w:val="00595DA2"/>
    <w:rsid w:val="00596079"/>
    <w:rsid w:val="005966E6"/>
    <w:rsid w:val="005A0061"/>
    <w:rsid w:val="005A054F"/>
    <w:rsid w:val="005A0B3D"/>
    <w:rsid w:val="005A13E6"/>
    <w:rsid w:val="005A17DE"/>
    <w:rsid w:val="005A1C61"/>
    <w:rsid w:val="005A2BD0"/>
    <w:rsid w:val="005A2CA1"/>
    <w:rsid w:val="005A47F5"/>
    <w:rsid w:val="005A4AB8"/>
    <w:rsid w:val="005A5064"/>
    <w:rsid w:val="005A5229"/>
    <w:rsid w:val="005B0DB1"/>
    <w:rsid w:val="005B155D"/>
    <w:rsid w:val="005B18F4"/>
    <w:rsid w:val="005B25F8"/>
    <w:rsid w:val="005B2BF5"/>
    <w:rsid w:val="005B2E65"/>
    <w:rsid w:val="005B2F26"/>
    <w:rsid w:val="005B32A9"/>
    <w:rsid w:val="005B5CB7"/>
    <w:rsid w:val="005B5F21"/>
    <w:rsid w:val="005B7040"/>
    <w:rsid w:val="005C19AB"/>
    <w:rsid w:val="005C2D8D"/>
    <w:rsid w:val="005C363C"/>
    <w:rsid w:val="005C3727"/>
    <w:rsid w:val="005C3915"/>
    <w:rsid w:val="005C3D3E"/>
    <w:rsid w:val="005C4379"/>
    <w:rsid w:val="005C4CBE"/>
    <w:rsid w:val="005C4DBD"/>
    <w:rsid w:val="005C4E87"/>
    <w:rsid w:val="005C5F38"/>
    <w:rsid w:val="005C7637"/>
    <w:rsid w:val="005C7786"/>
    <w:rsid w:val="005D07D1"/>
    <w:rsid w:val="005D0E14"/>
    <w:rsid w:val="005D2F3D"/>
    <w:rsid w:val="005D483A"/>
    <w:rsid w:val="005D48A0"/>
    <w:rsid w:val="005D4BC4"/>
    <w:rsid w:val="005D5D14"/>
    <w:rsid w:val="005D5E2D"/>
    <w:rsid w:val="005D6EEB"/>
    <w:rsid w:val="005D751B"/>
    <w:rsid w:val="005D7FE7"/>
    <w:rsid w:val="005E0358"/>
    <w:rsid w:val="005E038B"/>
    <w:rsid w:val="005E150E"/>
    <w:rsid w:val="005E199C"/>
    <w:rsid w:val="005E2852"/>
    <w:rsid w:val="005E2B06"/>
    <w:rsid w:val="005E2EE9"/>
    <w:rsid w:val="005E35C9"/>
    <w:rsid w:val="005E4CD1"/>
    <w:rsid w:val="005E55DD"/>
    <w:rsid w:val="005E5941"/>
    <w:rsid w:val="005E6D35"/>
    <w:rsid w:val="005F060E"/>
    <w:rsid w:val="005F13D5"/>
    <w:rsid w:val="005F16C8"/>
    <w:rsid w:val="005F38AB"/>
    <w:rsid w:val="005F50EA"/>
    <w:rsid w:val="005F568D"/>
    <w:rsid w:val="005F599A"/>
    <w:rsid w:val="005F66B5"/>
    <w:rsid w:val="005F7FD7"/>
    <w:rsid w:val="006006C6"/>
    <w:rsid w:val="0060487F"/>
    <w:rsid w:val="0060509D"/>
    <w:rsid w:val="006050EA"/>
    <w:rsid w:val="00605707"/>
    <w:rsid w:val="0060648E"/>
    <w:rsid w:val="006070E0"/>
    <w:rsid w:val="006071F2"/>
    <w:rsid w:val="00607217"/>
    <w:rsid w:val="00607500"/>
    <w:rsid w:val="00607541"/>
    <w:rsid w:val="0061084D"/>
    <w:rsid w:val="00610DDD"/>
    <w:rsid w:val="006113DD"/>
    <w:rsid w:val="00611BC2"/>
    <w:rsid w:val="006127E9"/>
    <w:rsid w:val="00612945"/>
    <w:rsid w:val="00612A53"/>
    <w:rsid w:val="00612A74"/>
    <w:rsid w:val="00612DDA"/>
    <w:rsid w:val="00612F5E"/>
    <w:rsid w:val="00613445"/>
    <w:rsid w:val="00613676"/>
    <w:rsid w:val="006139C9"/>
    <w:rsid w:val="006142D5"/>
    <w:rsid w:val="006152FB"/>
    <w:rsid w:val="0061569F"/>
    <w:rsid w:val="00616B6E"/>
    <w:rsid w:val="00617CA0"/>
    <w:rsid w:val="0062060B"/>
    <w:rsid w:val="00620ACF"/>
    <w:rsid w:val="00620FA4"/>
    <w:rsid w:val="0062188F"/>
    <w:rsid w:val="00621B53"/>
    <w:rsid w:val="0062271A"/>
    <w:rsid w:val="00622F10"/>
    <w:rsid w:val="00622FAC"/>
    <w:rsid w:val="0062363A"/>
    <w:rsid w:val="00623BC4"/>
    <w:rsid w:val="00624C12"/>
    <w:rsid w:val="00625243"/>
    <w:rsid w:val="00630010"/>
    <w:rsid w:val="006304FD"/>
    <w:rsid w:val="00632692"/>
    <w:rsid w:val="00634B74"/>
    <w:rsid w:val="006357BA"/>
    <w:rsid w:val="0063610A"/>
    <w:rsid w:val="006364A1"/>
    <w:rsid w:val="00642A13"/>
    <w:rsid w:val="00642F40"/>
    <w:rsid w:val="006435D8"/>
    <w:rsid w:val="006442DC"/>
    <w:rsid w:val="0064542D"/>
    <w:rsid w:val="00645ED4"/>
    <w:rsid w:val="00647463"/>
    <w:rsid w:val="00647B12"/>
    <w:rsid w:val="006509EE"/>
    <w:rsid w:val="00650AC3"/>
    <w:rsid w:val="00650FF3"/>
    <w:rsid w:val="00651027"/>
    <w:rsid w:val="0065108A"/>
    <w:rsid w:val="006526F3"/>
    <w:rsid w:val="006534C5"/>
    <w:rsid w:val="0065398C"/>
    <w:rsid w:val="00653CF3"/>
    <w:rsid w:val="0065416C"/>
    <w:rsid w:val="00654A8A"/>
    <w:rsid w:val="0065518C"/>
    <w:rsid w:val="0065597E"/>
    <w:rsid w:val="00655E97"/>
    <w:rsid w:val="0065608E"/>
    <w:rsid w:val="0065775B"/>
    <w:rsid w:val="00657F58"/>
    <w:rsid w:val="00661339"/>
    <w:rsid w:val="00661C7E"/>
    <w:rsid w:val="00661E40"/>
    <w:rsid w:val="00662030"/>
    <w:rsid w:val="00663690"/>
    <w:rsid w:val="00663FF0"/>
    <w:rsid w:val="00664211"/>
    <w:rsid w:val="00664DEB"/>
    <w:rsid w:val="00665DCB"/>
    <w:rsid w:val="00666EFC"/>
    <w:rsid w:val="0066756D"/>
    <w:rsid w:val="00670373"/>
    <w:rsid w:val="006705D4"/>
    <w:rsid w:val="00670C5E"/>
    <w:rsid w:val="00670C6E"/>
    <w:rsid w:val="00671200"/>
    <w:rsid w:val="006717A8"/>
    <w:rsid w:val="00671844"/>
    <w:rsid w:val="00671961"/>
    <w:rsid w:val="006719B2"/>
    <w:rsid w:val="00671C11"/>
    <w:rsid w:val="006723F0"/>
    <w:rsid w:val="00672DCB"/>
    <w:rsid w:val="00673787"/>
    <w:rsid w:val="006751BF"/>
    <w:rsid w:val="006752C1"/>
    <w:rsid w:val="006754D2"/>
    <w:rsid w:val="006756E9"/>
    <w:rsid w:val="006759B4"/>
    <w:rsid w:val="00675DCF"/>
    <w:rsid w:val="006760A4"/>
    <w:rsid w:val="00676256"/>
    <w:rsid w:val="00676A4B"/>
    <w:rsid w:val="00676BD4"/>
    <w:rsid w:val="00676C8B"/>
    <w:rsid w:val="0067730D"/>
    <w:rsid w:val="00677E65"/>
    <w:rsid w:val="006807FE"/>
    <w:rsid w:val="00680A78"/>
    <w:rsid w:val="00681351"/>
    <w:rsid w:val="006817D4"/>
    <w:rsid w:val="00681A9E"/>
    <w:rsid w:val="00682718"/>
    <w:rsid w:val="00684818"/>
    <w:rsid w:val="00684902"/>
    <w:rsid w:val="00685393"/>
    <w:rsid w:val="006900D2"/>
    <w:rsid w:val="0069095E"/>
    <w:rsid w:val="00690A2B"/>
    <w:rsid w:val="00690D87"/>
    <w:rsid w:val="00690EA9"/>
    <w:rsid w:val="006910F4"/>
    <w:rsid w:val="00691EB2"/>
    <w:rsid w:val="00692810"/>
    <w:rsid w:val="0069434B"/>
    <w:rsid w:val="00694445"/>
    <w:rsid w:val="00694991"/>
    <w:rsid w:val="00695141"/>
    <w:rsid w:val="00695A2D"/>
    <w:rsid w:val="00695AC5"/>
    <w:rsid w:val="006966E3"/>
    <w:rsid w:val="00696D67"/>
    <w:rsid w:val="006971AF"/>
    <w:rsid w:val="00697A91"/>
    <w:rsid w:val="00697FE4"/>
    <w:rsid w:val="006A0B4A"/>
    <w:rsid w:val="006A144B"/>
    <w:rsid w:val="006A174E"/>
    <w:rsid w:val="006A1C8D"/>
    <w:rsid w:val="006A290B"/>
    <w:rsid w:val="006A469E"/>
    <w:rsid w:val="006A478E"/>
    <w:rsid w:val="006A4801"/>
    <w:rsid w:val="006A50FA"/>
    <w:rsid w:val="006A5B6C"/>
    <w:rsid w:val="006A5DE6"/>
    <w:rsid w:val="006A5F7F"/>
    <w:rsid w:val="006A69AD"/>
    <w:rsid w:val="006A6C58"/>
    <w:rsid w:val="006A6FB2"/>
    <w:rsid w:val="006A7052"/>
    <w:rsid w:val="006B159D"/>
    <w:rsid w:val="006B21AB"/>
    <w:rsid w:val="006B22E5"/>
    <w:rsid w:val="006B2866"/>
    <w:rsid w:val="006B325D"/>
    <w:rsid w:val="006B3579"/>
    <w:rsid w:val="006B3C53"/>
    <w:rsid w:val="006B4656"/>
    <w:rsid w:val="006B4777"/>
    <w:rsid w:val="006B48BD"/>
    <w:rsid w:val="006B5211"/>
    <w:rsid w:val="006B5863"/>
    <w:rsid w:val="006B5B1D"/>
    <w:rsid w:val="006B729D"/>
    <w:rsid w:val="006B7725"/>
    <w:rsid w:val="006C1458"/>
    <w:rsid w:val="006C15C6"/>
    <w:rsid w:val="006C1751"/>
    <w:rsid w:val="006C1C26"/>
    <w:rsid w:val="006C27EC"/>
    <w:rsid w:val="006C28CF"/>
    <w:rsid w:val="006C2906"/>
    <w:rsid w:val="006C2EF6"/>
    <w:rsid w:val="006C3C84"/>
    <w:rsid w:val="006C4D99"/>
    <w:rsid w:val="006C4E28"/>
    <w:rsid w:val="006C5096"/>
    <w:rsid w:val="006C5919"/>
    <w:rsid w:val="006C5F17"/>
    <w:rsid w:val="006C6303"/>
    <w:rsid w:val="006C6B7E"/>
    <w:rsid w:val="006C6BF9"/>
    <w:rsid w:val="006C6C06"/>
    <w:rsid w:val="006C6CA3"/>
    <w:rsid w:val="006C7BA4"/>
    <w:rsid w:val="006C7EA3"/>
    <w:rsid w:val="006D1A57"/>
    <w:rsid w:val="006D1BC2"/>
    <w:rsid w:val="006D2608"/>
    <w:rsid w:val="006D2A9C"/>
    <w:rsid w:val="006D2B20"/>
    <w:rsid w:val="006D2C44"/>
    <w:rsid w:val="006D2D6C"/>
    <w:rsid w:val="006D3720"/>
    <w:rsid w:val="006D3727"/>
    <w:rsid w:val="006D3763"/>
    <w:rsid w:val="006D42F8"/>
    <w:rsid w:val="006D4A5C"/>
    <w:rsid w:val="006D53D7"/>
    <w:rsid w:val="006D5B24"/>
    <w:rsid w:val="006D6988"/>
    <w:rsid w:val="006D6A98"/>
    <w:rsid w:val="006D7398"/>
    <w:rsid w:val="006D74DB"/>
    <w:rsid w:val="006E11AC"/>
    <w:rsid w:val="006E11E0"/>
    <w:rsid w:val="006E2834"/>
    <w:rsid w:val="006E4128"/>
    <w:rsid w:val="006E4746"/>
    <w:rsid w:val="006E4A03"/>
    <w:rsid w:val="006E4B91"/>
    <w:rsid w:val="006E5637"/>
    <w:rsid w:val="006E63E7"/>
    <w:rsid w:val="006E6751"/>
    <w:rsid w:val="006E7282"/>
    <w:rsid w:val="006E7A12"/>
    <w:rsid w:val="006F0752"/>
    <w:rsid w:val="006F1525"/>
    <w:rsid w:val="006F1AFE"/>
    <w:rsid w:val="006F2861"/>
    <w:rsid w:val="006F4259"/>
    <w:rsid w:val="006F4309"/>
    <w:rsid w:val="006F4C84"/>
    <w:rsid w:val="006F5E1B"/>
    <w:rsid w:val="006F6B2B"/>
    <w:rsid w:val="006F6D5E"/>
    <w:rsid w:val="006F7123"/>
    <w:rsid w:val="006F7C03"/>
    <w:rsid w:val="00701093"/>
    <w:rsid w:val="007027D1"/>
    <w:rsid w:val="00703505"/>
    <w:rsid w:val="00703B0B"/>
    <w:rsid w:val="00703D19"/>
    <w:rsid w:val="00705089"/>
    <w:rsid w:val="007055C9"/>
    <w:rsid w:val="00705D44"/>
    <w:rsid w:val="007067B2"/>
    <w:rsid w:val="00706A33"/>
    <w:rsid w:val="00706CF0"/>
    <w:rsid w:val="00707D50"/>
    <w:rsid w:val="00707E96"/>
    <w:rsid w:val="007107A8"/>
    <w:rsid w:val="00710BC7"/>
    <w:rsid w:val="0071194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60F"/>
    <w:rsid w:val="00720A33"/>
    <w:rsid w:val="00721947"/>
    <w:rsid w:val="00721DCD"/>
    <w:rsid w:val="007227E1"/>
    <w:rsid w:val="00722A4C"/>
    <w:rsid w:val="007234B4"/>
    <w:rsid w:val="007249F7"/>
    <w:rsid w:val="00725D07"/>
    <w:rsid w:val="00725E16"/>
    <w:rsid w:val="00727967"/>
    <w:rsid w:val="00727BED"/>
    <w:rsid w:val="007307C9"/>
    <w:rsid w:val="0073095F"/>
    <w:rsid w:val="007319C8"/>
    <w:rsid w:val="00731BF4"/>
    <w:rsid w:val="007326D7"/>
    <w:rsid w:val="007335DB"/>
    <w:rsid w:val="00733BCB"/>
    <w:rsid w:val="0073431B"/>
    <w:rsid w:val="00734688"/>
    <w:rsid w:val="00734729"/>
    <w:rsid w:val="0073530B"/>
    <w:rsid w:val="007358B7"/>
    <w:rsid w:val="00736A98"/>
    <w:rsid w:val="00736C15"/>
    <w:rsid w:val="00736E76"/>
    <w:rsid w:val="0073706D"/>
    <w:rsid w:val="007375FD"/>
    <w:rsid w:val="00737DB4"/>
    <w:rsid w:val="007406F2"/>
    <w:rsid w:val="007409AF"/>
    <w:rsid w:val="00742C04"/>
    <w:rsid w:val="00743684"/>
    <w:rsid w:val="007452A1"/>
    <w:rsid w:val="007457A9"/>
    <w:rsid w:val="00745BCE"/>
    <w:rsid w:val="00745D7B"/>
    <w:rsid w:val="00745F91"/>
    <w:rsid w:val="00746132"/>
    <w:rsid w:val="007469F9"/>
    <w:rsid w:val="00746E03"/>
    <w:rsid w:val="00747828"/>
    <w:rsid w:val="00750866"/>
    <w:rsid w:val="00750F18"/>
    <w:rsid w:val="007515DA"/>
    <w:rsid w:val="007534AA"/>
    <w:rsid w:val="00753C0A"/>
    <w:rsid w:val="00753E85"/>
    <w:rsid w:val="00754027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6F80"/>
    <w:rsid w:val="00757942"/>
    <w:rsid w:val="007579F4"/>
    <w:rsid w:val="00757A6C"/>
    <w:rsid w:val="00760D2A"/>
    <w:rsid w:val="0076100C"/>
    <w:rsid w:val="00761287"/>
    <w:rsid w:val="0076182F"/>
    <w:rsid w:val="007618B8"/>
    <w:rsid w:val="00762622"/>
    <w:rsid w:val="007631E2"/>
    <w:rsid w:val="0076365D"/>
    <w:rsid w:val="0076413B"/>
    <w:rsid w:val="00764D09"/>
    <w:rsid w:val="007652FD"/>
    <w:rsid w:val="0076645A"/>
    <w:rsid w:val="00766605"/>
    <w:rsid w:val="007675AF"/>
    <w:rsid w:val="00767AC1"/>
    <w:rsid w:val="00770772"/>
    <w:rsid w:val="00770DAB"/>
    <w:rsid w:val="00771538"/>
    <w:rsid w:val="00771D94"/>
    <w:rsid w:val="007720D7"/>
    <w:rsid w:val="007722BC"/>
    <w:rsid w:val="00772523"/>
    <w:rsid w:val="00772A01"/>
    <w:rsid w:val="00772F45"/>
    <w:rsid w:val="00773C65"/>
    <w:rsid w:val="00775529"/>
    <w:rsid w:val="007759BD"/>
    <w:rsid w:val="00776710"/>
    <w:rsid w:val="00776A67"/>
    <w:rsid w:val="00776DE5"/>
    <w:rsid w:val="00777134"/>
    <w:rsid w:val="0077741A"/>
    <w:rsid w:val="00781377"/>
    <w:rsid w:val="00781FAF"/>
    <w:rsid w:val="00782553"/>
    <w:rsid w:val="00783810"/>
    <w:rsid w:val="00783A9F"/>
    <w:rsid w:val="00784166"/>
    <w:rsid w:val="0078476D"/>
    <w:rsid w:val="007847FB"/>
    <w:rsid w:val="00784B89"/>
    <w:rsid w:val="00784BF8"/>
    <w:rsid w:val="00784DAE"/>
    <w:rsid w:val="00784E09"/>
    <w:rsid w:val="00785339"/>
    <w:rsid w:val="00786F50"/>
    <w:rsid w:val="00787851"/>
    <w:rsid w:val="00787A25"/>
    <w:rsid w:val="00787E88"/>
    <w:rsid w:val="0079169B"/>
    <w:rsid w:val="007917BF"/>
    <w:rsid w:val="00791DC2"/>
    <w:rsid w:val="00793784"/>
    <w:rsid w:val="00793A27"/>
    <w:rsid w:val="00793F4D"/>
    <w:rsid w:val="007941BB"/>
    <w:rsid w:val="007946DB"/>
    <w:rsid w:val="00794B8C"/>
    <w:rsid w:val="00796ED1"/>
    <w:rsid w:val="007978AC"/>
    <w:rsid w:val="00797B66"/>
    <w:rsid w:val="00797B6A"/>
    <w:rsid w:val="00797BA2"/>
    <w:rsid w:val="007A0816"/>
    <w:rsid w:val="007A0AF4"/>
    <w:rsid w:val="007A1882"/>
    <w:rsid w:val="007A1CFE"/>
    <w:rsid w:val="007A2091"/>
    <w:rsid w:val="007A2838"/>
    <w:rsid w:val="007A299E"/>
    <w:rsid w:val="007A2D7A"/>
    <w:rsid w:val="007A33EE"/>
    <w:rsid w:val="007A3B09"/>
    <w:rsid w:val="007A56A8"/>
    <w:rsid w:val="007A5A5D"/>
    <w:rsid w:val="007A67CB"/>
    <w:rsid w:val="007A6A82"/>
    <w:rsid w:val="007A73EE"/>
    <w:rsid w:val="007A7E1A"/>
    <w:rsid w:val="007B0888"/>
    <w:rsid w:val="007B0B93"/>
    <w:rsid w:val="007B0DD9"/>
    <w:rsid w:val="007B0E60"/>
    <w:rsid w:val="007B3427"/>
    <w:rsid w:val="007B41C4"/>
    <w:rsid w:val="007B5A1B"/>
    <w:rsid w:val="007B5C2E"/>
    <w:rsid w:val="007B66B6"/>
    <w:rsid w:val="007B6FB1"/>
    <w:rsid w:val="007B7DBE"/>
    <w:rsid w:val="007B7EED"/>
    <w:rsid w:val="007C0AE4"/>
    <w:rsid w:val="007C1EE8"/>
    <w:rsid w:val="007C2107"/>
    <w:rsid w:val="007C2827"/>
    <w:rsid w:val="007C2B1C"/>
    <w:rsid w:val="007C37A1"/>
    <w:rsid w:val="007C43BE"/>
    <w:rsid w:val="007C49FF"/>
    <w:rsid w:val="007C5F96"/>
    <w:rsid w:val="007C601C"/>
    <w:rsid w:val="007C650B"/>
    <w:rsid w:val="007C7AE8"/>
    <w:rsid w:val="007C7E17"/>
    <w:rsid w:val="007D0106"/>
    <w:rsid w:val="007D033B"/>
    <w:rsid w:val="007D0956"/>
    <w:rsid w:val="007D2BA5"/>
    <w:rsid w:val="007D39CD"/>
    <w:rsid w:val="007D410B"/>
    <w:rsid w:val="007D48C4"/>
    <w:rsid w:val="007D4C9D"/>
    <w:rsid w:val="007D4EE7"/>
    <w:rsid w:val="007D5AB1"/>
    <w:rsid w:val="007D6AA1"/>
    <w:rsid w:val="007D7888"/>
    <w:rsid w:val="007D78E3"/>
    <w:rsid w:val="007E01F2"/>
    <w:rsid w:val="007E0203"/>
    <w:rsid w:val="007E056C"/>
    <w:rsid w:val="007E0761"/>
    <w:rsid w:val="007E081D"/>
    <w:rsid w:val="007E1AB8"/>
    <w:rsid w:val="007E26A8"/>
    <w:rsid w:val="007E293C"/>
    <w:rsid w:val="007E36EB"/>
    <w:rsid w:val="007E380A"/>
    <w:rsid w:val="007E5CC1"/>
    <w:rsid w:val="007E5D5E"/>
    <w:rsid w:val="007E7DDD"/>
    <w:rsid w:val="007E7F7C"/>
    <w:rsid w:val="007F182C"/>
    <w:rsid w:val="007F2376"/>
    <w:rsid w:val="007F2783"/>
    <w:rsid w:val="007F33E9"/>
    <w:rsid w:val="007F388B"/>
    <w:rsid w:val="007F4571"/>
    <w:rsid w:val="007F4D55"/>
    <w:rsid w:val="007F589D"/>
    <w:rsid w:val="007F5F68"/>
    <w:rsid w:val="007F5FD8"/>
    <w:rsid w:val="007F61AF"/>
    <w:rsid w:val="007F775F"/>
    <w:rsid w:val="007F7F34"/>
    <w:rsid w:val="0080031F"/>
    <w:rsid w:val="00801411"/>
    <w:rsid w:val="00801C17"/>
    <w:rsid w:val="00801DB8"/>
    <w:rsid w:val="0080291E"/>
    <w:rsid w:val="00802B7F"/>
    <w:rsid w:val="00804F0B"/>
    <w:rsid w:val="00805844"/>
    <w:rsid w:val="00805AF2"/>
    <w:rsid w:val="00805F78"/>
    <w:rsid w:val="00806B4B"/>
    <w:rsid w:val="00807AE7"/>
    <w:rsid w:val="00810837"/>
    <w:rsid w:val="00810CC6"/>
    <w:rsid w:val="00810CDD"/>
    <w:rsid w:val="00811332"/>
    <w:rsid w:val="0081184B"/>
    <w:rsid w:val="00811943"/>
    <w:rsid w:val="00811DF5"/>
    <w:rsid w:val="00812862"/>
    <w:rsid w:val="00812E0B"/>
    <w:rsid w:val="00812E7C"/>
    <w:rsid w:val="00813346"/>
    <w:rsid w:val="00813F13"/>
    <w:rsid w:val="00814063"/>
    <w:rsid w:val="00814309"/>
    <w:rsid w:val="00815A2F"/>
    <w:rsid w:val="00815E6D"/>
    <w:rsid w:val="00817A6A"/>
    <w:rsid w:val="0082070B"/>
    <w:rsid w:val="0082084A"/>
    <w:rsid w:val="0082159B"/>
    <w:rsid w:val="00822F67"/>
    <w:rsid w:val="008239BC"/>
    <w:rsid w:val="008251C2"/>
    <w:rsid w:val="0082570B"/>
    <w:rsid w:val="008269CE"/>
    <w:rsid w:val="0082721B"/>
    <w:rsid w:val="0083011C"/>
    <w:rsid w:val="00830A88"/>
    <w:rsid w:val="008312F3"/>
    <w:rsid w:val="008343BA"/>
    <w:rsid w:val="00834A2C"/>
    <w:rsid w:val="0083553F"/>
    <w:rsid w:val="008355A8"/>
    <w:rsid w:val="00835BC9"/>
    <w:rsid w:val="00836A00"/>
    <w:rsid w:val="00840621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6DA4"/>
    <w:rsid w:val="00847B5B"/>
    <w:rsid w:val="00847C9F"/>
    <w:rsid w:val="00847EBF"/>
    <w:rsid w:val="0085098F"/>
    <w:rsid w:val="0085138D"/>
    <w:rsid w:val="00854098"/>
    <w:rsid w:val="0085497E"/>
    <w:rsid w:val="00855ED0"/>
    <w:rsid w:val="00856102"/>
    <w:rsid w:val="0085673A"/>
    <w:rsid w:val="00856B6A"/>
    <w:rsid w:val="00856DE2"/>
    <w:rsid w:val="008573C7"/>
    <w:rsid w:val="00857B59"/>
    <w:rsid w:val="00860423"/>
    <w:rsid w:val="00860BDB"/>
    <w:rsid w:val="00861096"/>
    <w:rsid w:val="008617B7"/>
    <w:rsid w:val="00861D85"/>
    <w:rsid w:val="00861F52"/>
    <w:rsid w:val="00862A4F"/>
    <w:rsid w:val="00863019"/>
    <w:rsid w:val="008632BF"/>
    <w:rsid w:val="00864891"/>
    <w:rsid w:val="00864D7E"/>
    <w:rsid w:val="008654E2"/>
    <w:rsid w:val="008656F4"/>
    <w:rsid w:val="00865ABB"/>
    <w:rsid w:val="00865DAA"/>
    <w:rsid w:val="00866008"/>
    <w:rsid w:val="00866364"/>
    <w:rsid w:val="00870795"/>
    <w:rsid w:val="00871ED5"/>
    <w:rsid w:val="008722E4"/>
    <w:rsid w:val="00873808"/>
    <w:rsid w:val="00873FD5"/>
    <w:rsid w:val="00874F31"/>
    <w:rsid w:val="0087527E"/>
    <w:rsid w:val="00875C4F"/>
    <w:rsid w:val="00876420"/>
    <w:rsid w:val="008770B1"/>
    <w:rsid w:val="00877642"/>
    <w:rsid w:val="00877FE9"/>
    <w:rsid w:val="00880646"/>
    <w:rsid w:val="00881C0B"/>
    <w:rsid w:val="00881E8E"/>
    <w:rsid w:val="00882650"/>
    <w:rsid w:val="00882703"/>
    <w:rsid w:val="00882CDA"/>
    <w:rsid w:val="008832BD"/>
    <w:rsid w:val="00883754"/>
    <w:rsid w:val="008842AB"/>
    <w:rsid w:val="008844C7"/>
    <w:rsid w:val="008855BC"/>
    <w:rsid w:val="00886294"/>
    <w:rsid w:val="00886302"/>
    <w:rsid w:val="00886930"/>
    <w:rsid w:val="00886A95"/>
    <w:rsid w:val="00886F12"/>
    <w:rsid w:val="008902D3"/>
    <w:rsid w:val="00890605"/>
    <w:rsid w:val="00890A93"/>
    <w:rsid w:val="0089194A"/>
    <w:rsid w:val="0089243B"/>
    <w:rsid w:val="00892AFB"/>
    <w:rsid w:val="0089368B"/>
    <w:rsid w:val="00893A0A"/>
    <w:rsid w:val="0089561D"/>
    <w:rsid w:val="0089702D"/>
    <w:rsid w:val="00897403"/>
    <w:rsid w:val="008A11A0"/>
    <w:rsid w:val="008A1A51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4E4C"/>
    <w:rsid w:val="008A5F69"/>
    <w:rsid w:val="008A68EC"/>
    <w:rsid w:val="008A73B0"/>
    <w:rsid w:val="008B24DD"/>
    <w:rsid w:val="008B285E"/>
    <w:rsid w:val="008B2B3C"/>
    <w:rsid w:val="008B4A2E"/>
    <w:rsid w:val="008B58DE"/>
    <w:rsid w:val="008B599F"/>
    <w:rsid w:val="008B6202"/>
    <w:rsid w:val="008B665D"/>
    <w:rsid w:val="008B6D0D"/>
    <w:rsid w:val="008B6F16"/>
    <w:rsid w:val="008C01EB"/>
    <w:rsid w:val="008C15C8"/>
    <w:rsid w:val="008C215C"/>
    <w:rsid w:val="008C2299"/>
    <w:rsid w:val="008C2443"/>
    <w:rsid w:val="008C2522"/>
    <w:rsid w:val="008C2CD3"/>
    <w:rsid w:val="008C2FA8"/>
    <w:rsid w:val="008C34B7"/>
    <w:rsid w:val="008C37A2"/>
    <w:rsid w:val="008C3941"/>
    <w:rsid w:val="008C4151"/>
    <w:rsid w:val="008C5163"/>
    <w:rsid w:val="008C5984"/>
    <w:rsid w:val="008C5E67"/>
    <w:rsid w:val="008C604B"/>
    <w:rsid w:val="008C730F"/>
    <w:rsid w:val="008C7C7F"/>
    <w:rsid w:val="008D0308"/>
    <w:rsid w:val="008D0998"/>
    <w:rsid w:val="008D1539"/>
    <w:rsid w:val="008D20A3"/>
    <w:rsid w:val="008D270D"/>
    <w:rsid w:val="008D27EB"/>
    <w:rsid w:val="008D2C8B"/>
    <w:rsid w:val="008D30AF"/>
    <w:rsid w:val="008D3CDF"/>
    <w:rsid w:val="008D4618"/>
    <w:rsid w:val="008D47EA"/>
    <w:rsid w:val="008D5823"/>
    <w:rsid w:val="008D644F"/>
    <w:rsid w:val="008D6A5D"/>
    <w:rsid w:val="008D6E5C"/>
    <w:rsid w:val="008D6E96"/>
    <w:rsid w:val="008D6F6A"/>
    <w:rsid w:val="008D6F78"/>
    <w:rsid w:val="008D76BE"/>
    <w:rsid w:val="008E0886"/>
    <w:rsid w:val="008E0E90"/>
    <w:rsid w:val="008E10D6"/>
    <w:rsid w:val="008E1957"/>
    <w:rsid w:val="008E27E6"/>
    <w:rsid w:val="008E2B58"/>
    <w:rsid w:val="008E33EA"/>
    <w:rsid w:val="008E3805"/>
    <w:rsid w:val="008E3D20"/>
    <w:rsid w:val="008E4582"/>
    <w:rsid w:val="008E462B"/>
    <w:rsid w:val="008E58D2"/>
    <w:rsid w:val="008E5901"/>
    <w:rsid w:val="008E5EDA"/>
    <w:rsid w:val="008E636B"/>
    <w:rsid w:val="008E6D00"/>
    <w:rsid w:val="008E6EC2"/>
    <w:rsid w:val="008E6F6E"/>
    <w:rsid w:val="008E7183"/>
    <w:rsid w:val="008E77D5"/>
    <w:rsid w:val="008F0415"/>
    <w:rsid w:val="008F0BE5"/>
    <w:rsid w:val="008F195C"/>
    <w:rsid w:val="008F2E0B"/>
    <w:rsid w:val="008F34CB"/>
    <w:rsid w:val="008F3986"/>
    <w:rsid w:val="008F4F59"/>
    <w:rsid w:val="008F56AC"/>
    <w:rsid w:val="008F6653"/>
    <w:rsid w:val="008F6C10"/>
    <w:rsid w:val="008F71E6"/>
    <w:rsid w:val="008F7755"/>
    <w:rsid w:val="00900139"/>
    <w:rsid w:val="009008A2"/>
    <w:rsid w:val="00900B2B"/>
    <w:rsid w:val="00900F62"/>
    <w:rsid w:val="009019D1"/>
    <w:rsid w:val="0090210D"/>
    <w:rsid w:val="0090227C"/>
    <w:rsid w:val="00902289"/>
    <w:rsid w:val="009022BB"/>
    <w:rsid w:val="00902FD4"/>
    <w:rsid w:val="009045B3"/>
    <w:rsid w:val="0090493D"/>
    <w:rsid w:val="00904C72"/>
    <w:rsid w:val="00904D4B"/>
    <w:rsid w:val="00904F52"/>
    <w:rsid w:val="009050F4"/>
    <w:rsid w:val="00905430"/>
    <w:rsid w:val="00905BF5"/>
    <w:rsid w:val="00905F6A"/>
    <w:rsid w:val="00907FE0"/>
    <w:rsid w:val="00910CBD"/>
    <w:rsid w:val="0091144B"/>
    <w:rsid w:val="00912260"/>
    <w:rsid w:val="009126D6"/>
    <w:rsid w:val="0091298D"/>
    <w:rsid w:val="00912ADF"/>
    <w:rsid w:val="00912CF8"/>
    <w:rsid w:val="00914124"/>
    <w:rsid w:val="00915488"/>
    <w:rsid w:val="00915576"/>
    <w:rsid w:val="00915B6A"/>
    <w:rsid w:val="0091631F"/>
    <w:rsid w:val="00916A0F"/>
    <w:rsid w:val="00917A7F"/>
    <w:rsid w:val="00920528"/>
    <w:rsid w:val="00922BF8"/>
    <w:rsid w:val="0092368D"/>
    <w:rsid w:val="0092378E"/>
    <w:rsid w:val="0092403C"/>
    <w:rsid w:val="009241C9"/>
    <w:rsid w:val="00924234"/>
    <w:rsid w:val="0092474C"/>
    <w:rsid w:val="00925116"/>
    <w:rsid w:val="00925448"/>
    <w:rsid w:val="00925536"/>
    <w:rsid w:val="00925FF2"/>
    <w:rsid w:val="009271A2"/>
    <w:rsid w:val="009309A2"/>
    <w:rsid w:val="00930CF7"/>
    <w:rsid w:val="00930D10"/>
    <w:rsid w:val="009329C9"/>
    <w:rsid w:val="00933305"/>
    <w:rsid w:val="0093378D"/>
    <w:rsid w:val="0093484E"/>
    <w:rsid w:val="00935A21"/>
    <w:rsid w:val="00935A48"/>
    <w:rsid w:val="009377BC"/>
    <w:rsid w:val="00937C0F"/>
    <w:rsid w:val="00940467"/>
    <w:rsid w:val="009404CE"/>
    <w:rsid w:val="00940D56"/>
    <w:rsid w:val="00941319"/>
    <w:rsid w:val="00941C71"/>
    <w:rsid w:val="00941E99"/>
    <w:rsid w:val="0094299F"/>
    <w:rsid w:val="00942C49"/>
    <w:rsid w:val="00944E9D"/>
    <w:rsid w:val="009472A1"/>
    <w:rsid w:val="00947A04"/>
    <w:rsid w:val="00947B02"/>
    <w:rsid w:val="00947E4E"/>
    <w:rsid w:val="009508FA"/>
    <w:rsid w:val="009519B0"/>
    <w:rsid w:val="00951A56"/>
    <w:rsid w:val="00952833"/>
    <w:rsid w:val="00953595"/>
    <w:rsid w:val="009543FD"/>
    <w:rsid w:val="009545F5"/>
    <w:rsid w:val="00954BAD"/>
    <w:rsid w:val="009553DE"/>
    <w:rsid w:val="00955421"/>
    <w:rsid w:val="0095549B"/>
    <w:rsid w:val="00956F1D"/>
    <w:rsid w:val="0095708D"/>
    <w:rsid w:val="009570EC"/>
    <w:rsid w:val="009571D8"/>
    <w:rsid w:val="00957325"/>
    <w:rsid w:val="00960DB5"/>
    <w:rsid w:val="009611F6"/>
    <w:rsid w:val="00961D65"/>
    <w:rsid w:val="00961F4C"/>
    <w:rsid w:val="00962311"/>
    <w:rsid w:val="00962341"/>
    <w:rsid w:val="00962426"/>
    <w:rsid w:val="009636C3"/>
    <w:rsid w:val="00963732"/>
    <w:rsid w:val="009637F1"/>
    <w:rsid w:val="009647DB"/>
    <w:rsid w:val="00965B35"/>
    <w:rsid w:val="00965C70"/>
    <w:rsid w:val="00965E55"/>
    <w:rsid w:val="00965FCD"/>
    <w:rsid w:val="009667E4"/>
    <w:rsid w:val="00966C86"/>
    <w:rsid w:val="00966CC3"/>
    <w:rsid w:val="009674E4"/>
    <w:rsid w:val="00967750"/>
    <w:rsid w:val="00967D5B"/>
    <w:rsid w:val="009707F3"/>
    <w:rsid w:val="00970817"/>
    <w:rsid w:val="0097121E"/>
    <w:rsid w:val="009729C4"/>
    <w:rsid w:val="00972CD2"/>
    <w:rsid w:val="00972F5D"/>
    <w:rsid w:val="00973022"/>
    <w:rsid w:val="0097377E"/>
    <w:rsid w:val="0097384A"/>
    <w:rsid w:val="00974320"/>
    <w:rsid w:val="00974AD2"/>
    <w:rsid w:val="00974F42"/>
    <w:rsid w:val="00975511"/>
    <w:rsid w:val="0097614F"/>
    <w:rsid w:val="00976263"/>
    <w:rsid w:val="00980D4F"/>
    <w:rsid w:val="0098296F"/>
    <w:rsid w:val="00982E62"/>
    <w:rsid w:val="009836D7"/>
    <w:rsid w:val="0098375C"/>
    <w:rsid w:val="00983E2A"/>
    <w:rsid w:val="009842D5"/>
    <w:rsid w:val="00984FFD"/>
    <w:rsid w:val="009851E4"/>
    <w:rsid w:val="0098562F"/>
    <w:rsid w:val="00985BF6"/>
    <w:rsid w:val="00985C9B"/>
    <w:rsid w:val="009860B5"/>
    <w:rsid w:val="009869DC"/>
    <w:rsid w:val="009869F0"/>
    <w:rsid w:val="00991300"/>
    <w:rsid w:val="00991897"/>
    <w:rsid w:val="00991AE1"/>
    <w:rsid w:val="00992420"/>
    <w:rsid w:val="00992B90"/>
    <w:rsid w:val="00993C8B"/>
    <w:rsid w:val="00993E5A"/>
    <w:rsid w:val="00994161"/>
    <w:rsid w:val="0099417D"/>
    <w:rsid w:val="00994D96"/>
    <w:rsid w:val="009960CD"/>
    <w:rsid w:val="00997454"/>
    <w:rsid w:val="009A0736"/>
    <w:rsid w:val="009A077D"/>
    <w:rsid w:val="009A1376"/>
    <w:rsid w:val="009A19E2"/>
    <w:rsid w:val="009A24E1"/>
    <w:rsid w:val="009A2EA5"/>
    <w:rsid w:val="009A4C61"/>
    <w:rsid w:val="009A4CA6"/>
    <w:rsid w:val="009A5015"/>
    <w:rsid w:val="009A547A"/>
    <w:rsid w:val="009A5640"/>
    <w:rsid w:val="009A63D0"/>
    <w:rsid w:val="009A66BD"/>
    <w:rsid w:val="009A6AC7"/>
    <w:rsid w:val="009A6D2F"/>
    <w:rsid w:val="009A74A7"/>
    <w:rsid w:val="009A792A"/>
    <w:rsid w:val="009A7E4A"/>
    <w:rsid w:val="009B07AA"/>
    <w:rsid w:val="009B1049"/>
    <w:rsid w:val="009B159E"/>
    <w:rsid w:val="009B1B81"/>
    <w:rsid w:val="009B1C0A"/>
    <w:rsid w:val="009B2EE8"/>
    <w:rsid w:val="009B320B"/>
    <w:rsid w:val="009B37AE"/>
    <w:rsid w:val="009B43DB"/>
    <w:rsid w:val="009B5779"/>
    <w:rsid w:val="009B65AF"/>
    <w:rsid w:val="009B6603"/>
    <w:rsid w:val="009B6985"/>
    <w:rsid w:val="009B6EE0"/>
    <w:rsid w:val="009B75F3"/>
    <w:rsid w:val="009C0493"/>
    <w:rsid w:val="009C162D"/>
    <w:rsid w:val="009C1ADE"/>
    <w:rsid w:val="009C1D43"/>
    <w:rsid w:val="009C1DC4"/>
    <w:rsid w:val="009C2C4A"/>
    <w:rsid w:val="009C406B"/>
    <w:rsid w:val="009C41DE"/>
    <w:rsid w:val="009C42D7"/>
    <w:rsid w:val="009C4652"/>
    <w:rsid w:val="009C4D32"/>
    <w:rsid w:val="009C4EAF"/>
    <w:rsid w:val="009C5011"/>
    <w:rsid w:val="009C5462"/>
    <w:rsid w:val="009C5A68"/>
    <w:rsid w:val="009C62C0"/>
    <w:rsid w:val="009C6D28"/>
    <w:rsid w:val="009C6DF3"/>
    <w:rsid w:val="009C7459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386A"/>
    <w:rsid w:val="009E3E79"/>
    <w:rsid w:val="009E510B"/>
    <w:rsid w:val="009E51BC"/>
    <w:rsid w:val="009E58AC"/>
    <w:rsid w:val="009E5D48"/>
    <w:rsid w:val="009E6747"/>
    <w:rsid w:val="009E70C1"/>
    <w:rsid w:val="009E7177"/>
    <w:rsid w:val="009F0EB0"/>
    <w:rsid w:val="009F1090"/>
    <w:rsid w:val="009F150B"/>
    <w:rsid w:val="009F17D9"/>
    <w:rsid w:val="009F18E0"/>
    <w:rsid w:val="009F216B"/>
    <w:rsid w:val="009F2C2B"/>
    <w:rsid w:val="009F3035"/>
    <w:rsid w:val="009F3089"/>
    <w:rsid w:val="009F327D"/>
    <w:rsid w:val="009F35DF"/>
    <w:rsid w:val="009F3C6F"/>
    <w:rsid w:val="009F3CF9"/>
    <w:rsid w:val="009F3DA9"/>
    <w:rsid w:val="009F4195"/>
    <w:rsid w:val="009F4261"/>
    <w:rsid w:val="009F4E29"/>
    <w:rsid w:val="009F52DD"/>
    <w:rsid w:val="009F74C6"/>
    <w:rsid w:val="00A00218"/>
    <w:rsid w:val="00A0022E"/>
    <w:rsid w:val="00A0035B"/>
    <w:rsid w:val="00A01261"/>
    <w:rsid w:val="00A0131C"/>
    <w:rsid w:val="00A01975"/>
    <w:rsid w:val="00A0226B"/>
    <w:rsid w:val="00A040F6"/>
    <w:rsid w:val="00A049F4"/>
    <w:rsid w:val="00A04FBF"/>
    <w:rsid w:val="00A060B3"/>
    <w:rsid w:val="00A06C70"/>
    <w:rsid w:val="00A06E10"/>
    <w:rsid w:val="00A07539"/>
    <w:rsid w:val="00A105A7"/>
    <w:rsid w:val="00A10CF5"/>
    <w:rsid w:val="00A119B4"/>
    <w:rsid w:val="00A119F1"/>
    <w:rsid w:val="00A11CDE"/>
    <w:rsid w:val="00A11E17"/>
    <w:rsid w:val="00A1221E"/>
    <w:rsid w:val="00A145D0"/>
    <w:rsid w:val="00A14996"/>
    <w:rsid w:val="00A16685"/>
    <w:rsid w:val="00A16C9B"/>
    <w:rsid w:val="00A1707D"/>
    <w:rsid w:val="00A17447"/>
    <w:rsid w:val="00A178C8"/>
    <w:rsid w:val="00A20571"/>
    <w:rsid w:val="00A2097F"/>
    <w:rsid w:val="00A209F6"/>
    <w:rsid w:val="00A20D1B"/>
    <w:rsid w:val="00A223E6"/>
    <w:rsid w:val="00A22776"/>
    <w:rsid w:val="00A22911"/>
    <w:rsid w:val="00A22FCE"/>
    <w:rsid w:val="00A233F2"/>
    <w:rsid w:val="00A23A9A"/>
    <w:rsid w:val="00A23C7E"/>
    <w:rsid w:val="00A2480A"/>
    <w:rsid w:val="00A24849"/>
    <w:rsid w:val="00A2559B"/>
    <w:rsid w:val="00A25D5F"/>
    <w:rsid w:val="00A3033D"/>
    <w:rsid w:val="00A30660"/>
    <w:rsid w:val="00A30E95"/>
    <w:rsid w:val="00A3121D"/>
    <w:rsid w:val="00A319E4"/>
    <w:rsid w:val="00A31B1A"/>
    <w:rsid w:val="00A324D0"/>
    <w:rsid w:val="00A324F2"/>
    <w:rsid w:val="00A32588"/>
    <w:rsid w:val="00A33860"/>
    <w:rsid w:val="00A339DF"/>
    <w:rsid w:val="00A34BB6"/>
    <w:rsid w:val="00A34CEB"/>
    <w:rsid w:val="00A34E49"/>
    <w:rsid w:val="00A34E8F"/>
    <w:rsid w:val="00A34E9D"/>
    <w:rsid w:val="00A35125"/>
    <w:rsid w:val="00A3560C"/>
    <w:rsid w:val="00A35630"/>
    <w:rsid w:val="00A358F6"/>
    <w:rsid w:val="00A35C10"/>
    <w:rsid w:val="00A360C2"/>
    <w:rsid w:val="00A36406"/>
    <w:rsid w:val="00A3654F"/>
    <w:rsid w:val="00A3689A"/>
    <w:rsid w:val="00A36D77"/>
    <w:rsid w:val="00A36F39"/>
    <w:rsid w:val="00A37526"/>
    <w:rsid w:val="00A3777A"/>
    <w:rsid w:val="00A40D24"/>
    <w:rsid w:val="00A4133A"/>
    <w:rsid w:val="00A419CE"/>
    <w:rsid w:val="00A423C3"/>
    <w:rsid w:val="00A423CC"/>
    <w:rsid w:val="00A429F2"/>
    <w:rsid w:val="00A4482B"/>
    <w:rsid w:val="00A44F75"/>
    <w:rsid w:val="00A451B1"/>
    <w:rsid w:val="00A451E5"/>
    <w:rsid w:val="00A45934"/>
    <w:rsid w:val="00A459FF"/>
    <w:rsid w:val="00A45F99"/>
    <w:rsid w:val="00A468B1"/>
    <w:rsid w:val="00A4692E"/>
    <w:rsid w:val="00A4692F"/>
    <w:rsid w:val="00A46C9C"/>
    <w:rsid w:val="00A46DEF"/>
    <w:rsid w:val="00A46E75"/>
    <w:rsid w:val="00A478AD"/>
    <w:rsid w:val="00A50BD2"/>
    <w:rsid w:val="00A52288"/>
    <w:rsid w:val="00A524E5"/>
    <w:rsid w:val="00A52BC0"/>
    <w:rsid w:val="00A52EA8"/>
    <w:rsid w:val="00A5443B"/>
    <w:rsid w:val="00A55077"/>
    <w:rsid w:val="00A55764"/>
    <w:rsid w:val="00A55823"/>
    <w:rsid w:val="00A559ED"/>
    <w:rsid w:val="00A55A6E"/>
    <w:rsid w:val="00A55AB0"/>
    <w:rsid w:val="00A5642C"/>
    <w:rsid w:val="00A56F16"/>
    <w:rsid w:val="00A57868"/>
    <w:rsid w:val="00A57AE3"/>
    <w:rsid w:val="00A57CDB"/>
    <w:rsid w:val="00A57F2F"/>
    <w:rsid w:val="00A6119A"/>
    <w:rsid w:val="00A6220E"/>
    <w:rsid w:val="00A6246A"/>
    <w:rsid w:val="00A62711"/>
    <w:rsid w:val="00A63167"/>
    <w:rsid w:val="00A63DB2"/>
    <w:rsid w:val="00A664C8"/>
    <w:rsid w:val="00A66869"/>
    <w:rsid w:val="00A66994"/>
    <w:rsid w:val="00A66BEC"/>
    <w:rsid w:val="00A67103"/>
    <w:rsid w:val="00A67F78"/>
    <w:rsid w:val="00A719D1"/>
    <w:rsid w:val="00A71AEE"/>
    <w:rsid w:val="00A72B22"/>
    <w:rsid w:val="00A73828"/>
    <w:rsid w:val="00A738C7"/>
    <w:rsid w:val="00A73F8B"/>
    <w:rsid w:val="00A74590"/>
    <w:rsid w:val="00A75004"/>
    <w:rsid w:val="00A76078"/>
    <w:rsid w:val="00A76BD3"/>
    <w:rsid w:val="00A80523"/>
    <w:rsid w:val="00A8105B"/>
    <w:rsid w:val="00A8196A"/>
    <w:rsid w:val="00A81A72"/>
    <w:rsid w:val="00A81DD8"/>
    <w:rsid w:val="00A82E03"/>
    <w:rsid w:val="00A84EF6"/>
    <w:rsid w:val="00A85168"/>
    <w:rsid w:val="00A85320"/>
    <w:rsid w:val="00A85322"/>
    <w:rsid w:val="00A862EE"/>
    <w:rsid w:val="00A86AE2"/>
    <w:rsid w:val="00A87A73"/>
    <w:rsid w:val="00A90070"/>
    <w:rsid w:val="00A90134"/>
    <w:rsid w:val="00A919D2"/>
    <w:rsid w:val="00A91C99"/>
    <w:rsid w:val="00A92A57"/>
    <w:rsid w:val="00A92C88"/>
    <w:rsid w:val="00A93193"/>
    <w:rsid w:val="00A9408A"/>
    <w:rsid w:val="00A94105"/>
    <w:rsid w:val="00A9414F"/>
    <w:rsid w:val="00A94444"/>
    <w:rsid w:val="00A944B7"/>
    <w:rsid w:val="00A95390"/>
    <w:rsid w:val="00A95F41"/>
    <w:rsid w:val="00A96249"/>
    <w:rsid w:val="00A965E6"/>
    <w:rsid w:val="00A96B95"/>
    <w:rsid w:val="00A975A4"/>
    <w:rsid w:val="00AA1568"/>
    <w:rsid w:val="00AA15ED"/>
    <w:rsid w:val="00AA4229"/>
    <w:rsid w:val="00AA4C9B"/>
    <w:rsid w:val="00AA53FC"/>
    <w:rsid w:val="00AA57C2"/>
    <w:rsid w:val="00AA6286"/>
    <w:rsid w:val="00AA6372"/>
    <w:rsid w:val="00AA728A"/>
    <w:rsid w:val="00AB0576"/>
    <w:rsid w:val="00AB08DE"/>
    <w:rsid w:val="00AB1AAD"/>
    <w:rsid w:val="00AB356D"/>
    <w:rsid w:val="00AB3700"/>
    <w:rsid w:val="00AB4336"/>
    <w:rsid w:val="00AB47EB"/>
    <w:rsid w:val="00AB4C24"/>
    <w:rsid w:val="00AB4C79"/>
    <w:rsid w:val="00AB517A"/>
    <w:rsid w:val="00AB7198"/>
    <w:rsid w:val="00AC28E1"/>
    <w:rsid w:val="00AC2EF2"/>
    <w:rsid w:val="00AC32CE"/>
    <w:rsid w:val="00AC33D0"/>
    <w:rsid w:val="00AC41A8"/>
    <w:rsid w:val="00AC4773"/>
    <w:rsid w:val="00AC4D78"/>
    <w:rsid w:val="00AC4E44"/>
    <w:rsid w:val="00AC5FC3"/>
    <w:rsid w:val="00AC7151"/>
    <w:rsid w:val="00AC717C"/>
    <w:rsid w:val="00AC7CE7"/>
    <w:rsid w:val="00AD02E0"/>
    <w:rsid w:val="00AD0474"/>
    <w:rsid w:val="00AD0892"/>
    <w:rsid w:val="00AD0FC1"/>
    <w:rsid w:val="00AD1B16"/>
    <w:rsid w:val="00AD1CF2"/>
    <w:rsid w:val="00AD20A3"/>
    <w:rsid w:val="00AD2612"/>
    <w:rsid w:val="00AD2C28"/>
    <w:rsid w:val="00AD308A"/>
    <w:rsid w:val="00AD314C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E1A52"/>
    <w:rsid w:val="00AE2ACA"/>
    <w:rsid w:val="00AE2C4C"/>
    <w:rsid w:val="00AE2FC9"/>
    <w:rsid w:val="00AE332A"/>
    <w:rsid w:val="00AE3B29"/>
    <w:rsid w:val="00AE3EC8"/>
    <w:rsid w:val="00AE46D2"/>
    <w:rsid w:val="00AE5E64"/>
    <w:rsid w:val="00AE745C"/>
    <w:rsid w:val="00AF16EF"/>
    <w:rsid w:val="00AF2879"/>
    <w:rsid w:val="00AF29C0"/>
    <w:rsid w:val="00AF2A35"/>
    <w:rsid w:val="00AF2BEB"/>
    <w:rsid w:val="00AF39C0"/>
    <w:rsid w:val="00AF3F13"/>
    <w:rsid w:val="00AF62DF"/>
    <w:rsid w:val="00AF6471"/>
    <w:rsid w:val="00AF71DC"/>
    <w:rsid w:val="00AF7929"/>
    <w:rsid w:val="00AF7AA0"/>
    <w:rsid w:val="00AF7CF3"/>
    <w:rsid w:val="00AF7E83"/>
    <w:rsid w:val="00B012FF"/>
    <w:rsid w:val="00B0177D"/>
    <w:rsid w:val="00B022B2"/>
    <w:rsid w:val="00B02D66"/>
    <w:rsid w:val="00B0313B"/>
    <w:rsid w:val="00B03435"/>
    <w:rsid w:val="00B039A4"/>
    <w:rsid w:val="00B0449D"/>
    <w:rsid w:val="00B063C0"/>
    <w:rsid w:val="00B06824"/>
    <w:rsid w:val="00B10371"/>
    <w:rsid w:val="00B1225C"/>
    <w:rsid w:val="00B12463"/>
    <w:rsid w:val="00B12E31"/>
    <w:rsid w:val="00B12FFF"/>
    <w:rsid w:val="00B13932"/>
    <w:rsid w:val="00B1410C"/>
    <w:rsid w:val="00B144B8"/>
    <w:rsid w:val="00B14916"/>
    <w:rsid w:val="00B14CA8"/>
    <w:rsid w:val="00B15B7B"/>
    <w:rsid w:val="00B16A6B"/>
    <w:rsid w:val="00B1724F"/>
    <w:rsid w:val="00B17E2D"/>
    <w:rsid w:val="00B20DEE"/>
    <w:rsid w:val="00B215A7"/>
    <w:rsid w:val="00B21B23"/>
    <w:rsid w:val="00B22227"/>
    <w:rsid w:val="00B2229B"/>
    <w:rsid w:val="00B2262C"/>
    <w:rsid w:val="00B2447D"/>
    <w:rsid w:val="00B2654F"/>
    <w:rsid w:val="00B26E5B"/>
    <w:rsid w:val="00B271CF"/>
    <w:rsid w:val="00B27D61"/>
    <w:rsid w:val="00B30BC0"/>
    <w:rsid w:val="00B3132A"/>
    <w:rsid w:val="00B31F68"/>
    <w:rsid w:val="00B323C3"/>
    <w:rsid w:val="00B336D1"/>
    <w:rsid w:val="00B351C1"/>
    <w:rsid w:val="00B355D6"/>
    <w:rsid w:val="00B36D48"/>
    <w:rsid w:val="00B40133"/>
    <w:rsid w:val="00B41E7A"/>
    <w:rsid w:val="00B421ED"/>
    <w:rsid w:val="00B42AAB"/>
    <w:rsid w:val="00B4327B"/>
    <w:rsid w:val="00B434CF"/>
    <w:rsid w:val="00B43B1F"/>
    <w:rsid w:val="00B44688"/>
    <w:rsid w:val="00B45BDC"/>
    <w:rsid w:val="00B46ABF"/>
    <w:rsid w:val="00B47CAB"/>
    <w:rsid w:val="00B50021"/>
    <w:rsid w:val="00B507D3"/>
    <w:rsid w:val="00B50CF4"/>
    <w:rsid w:val="00B5154B"/>
    <w:rsid w:val="00B51806"/>
    <w:rsid w:val="00B52271"/>
    <w:rsid w:val="00B5329A"/>
    <w:rsid w:val="00B53433"/>
    <w:rsid w:val="00B554D3"/>
    <w:rsid w:val="00B5629A"/>
    <w:rsid w:val="00B57358"/>
    <w:rsid w:val="00B57E89"/>
    <w:rsid w:val="00B600D9"/>
    <w:rsid w:val="00B603E6"/>
    <w:rsid w:val="00B604B2"/>
    <w:rsid w:val="00B62D9E"/>
    <w:rsid w:val="00B6394D"/>
    <w:rsid w:val="00B63FBA"/>
    <w:rsid w:val="00B64606"/>
    <w:rsid w:val="00B6467B"/>
    <w:rsid w:val="00B6519A"/>
    <w:rsid w:val="00B663B8"/>
    <w:rsid w:val="00B669C4"/>
    <w:rsid w:val="00B66E0F"/>
    <w:rsid w:val="00B67014"/>
    <w:rsid w:val="00B70E56"/>
    <w:rsid w:val="00B71665"/>
    <w:rsid w:val="00B71C0B"/>
    <w:rsid w:val="00B72332"/>
    <w:rsid w:val="00B72446"/>
    <w:rsid w:val="00B73D36"/>
    <w:rsid w:val="00B73FD4"/>
    <w:rsid w:val="00B74693"/>
    <w:rsid w:val="00B74947"/>
    <w:rsid w:val="00B7548F"/>
    <w:rsid w:val="00B7591E"/>
    <w:rsid w:val="00B75991"/>
    <w:rsid w:val="00B760A2"/>
    <w:rsid w:val="00B76838"/>
    <w:rsid w:val="00B77D13"/>
    <w:rsid w:val="00B801BF"/>
    <w:rsid w:val="00B80711"/>
    <w:rsid w:val="00B810E2"/>
    <w:rsid w:val="00B81BD0"/>
    <w:rsid w:val="00B820AC"/>
    <w:rsid w:val="00B82794"/>
    <w:rsid w:val="00B82B9C"/>
    <w:rsid w:val="00B82F96"/>
    <w:rsid w:val="00B84CCB"/>
    <w:rsid w:val="00B862AF"/>
    <w:rsid w:val="00B86637"/>
    <w:rsid w:val="00B86906"/>
    <w:rsid w:val="00B86E20"/>
    <w:rsid w:val="00B87E79"/>
    <w:rsid w:val="00B90D97"/>
    <w:rsid w:val="00B91241"/>
    <w:rsid w:val="00B91D36"/>
    <w:rsid w:val="00B92746"/>
    <w:rsid w:val="00B92D47"/>
    <w:rsid w:val="00B93048"/>
    <w:rsid w:val="00B96894"/>
    <w:rsid w:val="00B969AC"/>
    <w:rsid w:val="00B9719C"/>
    <w:rsid w:val="00BA06C1"/>
    <w:rsid w:val="00BA0B65"/>
    <w:rsid w:val="00BA1E04"/>
    <w:rsid w:val="00BA1F78"/>
    <w:rsid w:val="00BA2E14"/>
    <w:rsid w:val="00BA4E3C"/>
    <w:rsid w:val="00BA54D0"/>
    <w:rsid w:val="00BA6C18"/>
    <w:rsid w:val="00BA6F69"/>
    <w:rsid w:val="00BA6FEF"/>
    <w:rsid w:val="00BB058C"/>
    <w:rsid w:val="00BB24C2"/>
    <w:rsid w:val="00BB2CF5"/>
    <w:rsid w:val="00BB30FF"/>
    <w:rsid w:val="00BB360B"/>
    <w:rsid w:val="00BB40F6"/>
    <w:rsid w:val="00BB4C6C"/>
    <w:rsid w:val="00BB573E"/>
    <w:rsid w:val="00BB5FE7"/>
    <w:rsid w:val="00BB60B2"/>
    <w:rsid w:val="00BB68A6"/>
    <w:rsid w:val="00BB6C77"/>
    <w:rsid w:val="00BB7001"/>
    <w:rsid w:val="00BB785F"/>
    <w:rsid w:val="00BB7878"/>
    <w:rsid w:val="00BB7D3F"/>
    <w:rsid w:val="00BB7F73"/>
    <w:rsid w:val="00BC05DD"/>
    <w:rsid w:val="00BC188E"/>
    <w:rsid w:val="00BC1B61"/>
    <w:rsid w:val="00BC1BBF"/>
    <w:rsid w:val="00BC2E39"/>
    <w:rsid w:val="00BC3FB6"/>
    <w:rsid w:val="00BC4BB9"/>
    <w:rsid w:val="00BC5779"/>
    <w:rsid w:val="00BC6076"/>
    <w:rsid w:val="00BC6DA1"/>
    <w:rsid w:val="00BC6E86"/>
    <w:rsid w:val="00BC73F7"/>
    <w:rsid w:val="00BC76FE"/>
    <w:rsid w:val="00BD040F"/>
    <w:rsid w:val="00BD0972"/>
    <w:rsid w:val="00BD09FF"/>
    <w:rsid w:val="00BD0C9A"/>
    <w:rsid w:val="00BD0F4E"/>
    <w:rsid w:val="00BD18F0"/>
    <w:rsid w:val="00BD251F"/>
    <w:rsid w:val="00BD2B67"/>
    <w:rsid w:val="00BD30D2"/>
    <w:rsid w:val="00BE1624"/>
    <w:rsid w:val="00BE20AC"/>
    <w:rsid w:val="00BE2ABD"/>
    <w:rsid w:val="00BE2E1E"/>
    <w:rsid w:val="00BE3029"/>
    <w:rsid w:val="00BE3C50"/>
    <w:rsid w:val="00BE3FF4"/>
    <w:rsid w:val="00BE47BD"/>
    <w:rsid w:val="00BE5B52"/>
    <w:rsid w:val="00BE6311"/>
    <w:rsid w:val="00BE6BEE"/>
    <w:rsid w:val="00BE6E6D"/>
    <w:rsid w:val="00BF0ACC"/>
    <w:rsid w:val="00BF0C5D"/>
    <w:rsid w:val="00BF1440"/>
    <w:rsid w:val="00BF1786"/>
    <w:rsid w:val="00BF1A0B"/>
    <w:rsid w:val="00BF1CB0"/>
    <w:rsid w:val="00BF1F70"/>
    <w:rsid w:val="00BF2B93"/>
    <w:rsid w:val="00BF2D81"/>
    <w:rsid w:val="00BF2DC6"/>
    <w:rsid w:val="00BF301B"/>
    <w:rsid w:val="00BF3436"/>
    <w:rsid w:val="00BF43FA"/>
    <w:rsid w:val="00BF4AE7"/>
    <w:rsid w:val="00BF6AAD"/>
    <w:rsid w:val="00BF7150"/>
    <w:rsid w:val="00BF72CE"/>
    <w:rsid w:val="00C00142"/>
    <w:rsid w:val="00C00FED"/>
    <w:rsid w:val="00C0135E"/>
    <w:rsid w:val="00C01F4F"/>
    <w:rsid w:val="00C025D3"/>
    <w:rsid w:val="00C0337D"/>
    <w:rsid w:val="00C06AB7"/>
    <w:rsid w:val="00C07170"/>
    <w:rsid w:val="00C077DA"/>
    <w:rsid w:val="00C0788A"/>
    <w:rsid w:val="00C07EBB"/>
    <w:rsid w:val="00C11266"/>
    <w:rsid w:val="00C123A0"/>
    <w:rsid w:val="00C12B00"/>
    <w:rsid w:val="00C12BC9"/>
    <w:rsid w:val="00C131FA"/>
    <w:rsid w:val="00C13F58"/>
    <w:rsid w:val="00C13F76"/>
    <w:rsid w:val="00C14571"/>
    <w:rsid w:val="00C1491F"/>
    <w:rsid w:val="00C14ED8"/>
    <w:rsid w:val="00C15137"/>
    <w:rsid w:val="00C15748"/>
    <w:rsid w:val="00C157D1"/>
    <w:rsid w:val="00C15E22"/>
    <w:rsid w:val="00C15F7A"/>
    <w:rsid w:val="00C16FE2"/>
    <w:rsid w:val="00C20050"/>
    <w:rsid w:val="00C20226"/>
    <w:rsid w:val="00C20BFE"/>
    <w:rsid w:val="00C20E5A"/>
    <w:rsid w:val="00C22E55"/>
    <w:rsid w:val="00C23729"/>
    <w:rsid w:val="00C237D7"/>
    <w:rsid w:val="00C25367"/>
    <w:rsid w:val="00C2679E"/>
    <w:rsid w:val="00C26844"/>
    <w:rsid w:val="00C26B0A"/>
    <w:rsid w:val="00C2734A"/>
    <w:rsid w:val="00C278F8"/>
    <w:rsid w:val="00C309B8"/>
    <w:rsid w:val="00C31ABA"/>
    <w:rsid w:val="00C31D0E"/>
    <w:rsid w:val="00C321B7"/>
    <w:rsid w:val="00C32335"/>
    <w:rsid w:val="00C32B54"/>
    <w:rsid w:val="00C32DED"/>
    <w:rsid w:val="00C34184"/>
    <w:rsid w:val="00C34787"/>
    <w:rsid w:val="00C34A4A"/>
    <w:rsid w:val="00C34AC1"/>
    <w:rsid w:val="00C34C00"/>
    <w:rsid w:val="00C35CAA"/>
    <w:rsid w:val="00C36610"/>
    <w:rsid w:val="00C37756"/>
    <w:rsid w:val="00C37AF3"/>
    <w:rsid w:val="00C37B69"/>
    <w:rsid w:val="00C40651"/>
    <w:rsid w:val="00C40CFD"/>
    <w:rsid w:val="00C411FB"/>
    <w:rsid w:val="00C41B46"/>
    <w:rsid w:val="00C41BAB"/>
    <w:rsid w:val="00C41D78"/>
    <w:rsid w:val="00C41E2D"/>
    <w:rsid w:val="00C41E50"/>
    <w:rsid w:val="00C42122"/>
    <w:rsid w:val="00C427B1"/>
    <w:rsid w:val="00C42838"/>
    <w:rsid w:val="00C43371"/>
    <w:rsid w:val="00C43EA1"/>
    <w:rsid w:val="00C44313"/>
    <w:rsid w:val="00C45B6B"/>
    <w:rsid w:val="00C45B95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4FAF"/>
    <w:rsid w:val="00C55D2F"/>
    <w:rsid w:val="00C565D2"/>
    <w:rsid w:val="00C56A3A"/>
    <w:rsid w:val="00C576EA"/>
    <w:rsid w:val="00C5774D"/>
    <w:rsid w:val="00C57CD2"/>
    <w:rsid w:val="00C603DE"/>
    <w:rsid w:val="00C6164F"/>
    <w:rsid w:val="00C62171"/>
    <w:rsid w:val="00C62E16"/>
    <w:rsid w:val="00C6348A"/>
    <w:rsid w:val="00C63916"/>
    <w:rsid w:val="00C63D3F"/>
    <w:rsid w:val="00C63FC1"/>
    <w:rsid w:val="00C6406C"/>
    <w:rsid w:val="00C64636"/>
    <w:rsid w:val="00C646AC"/>
    <w:rsid w:val="00C64C5D"/>
    <w:rsid w:val="00C652CE"/>
    <w:rsid w:val="00C6630B"/>
    <w:rsid w:val="00C663B6"/>
    <w:rsid w:val="00C672D1"/>
    <w:rsid w:val="00C701AF"/>
    <w:rsid w:val="00C7054F"/>
    <w:rsid w:val="00C70D2D"/>
    <w:rsid w:val="00C72651"/>
    <w:rsid w:val="00C72C89"/>
    <w:rsid w:val="00C73B10"/>
    <w:rsid w:val="00C74B05"/>
    <w:rsid w:val="00C75A66"/>
    <w:rsid w:val="00C75F0D"/>
    <w:rsid w:val="00C75F73"/>
    <w:rsid w:val="00C7630E"/>
    <w:rsid w:val="00C77503"/>
    <w:rsid w:val="00C80520"/>
    <w:rsid w:val="00C80EF3"/>
    <w:rsid w:val="00C81007"/>
    <w:rsid w:val="00C810AD"/>
    <w:rsid w:val="00C83BDD"/>
    <w:rsid w:val="00C83E8F"/>
    <w:rsid w:val="00C84A12"/>
    <w:rsid w:val="00C84D6D"/>
    <w:rsid w:val="00C84E32"/>
    <w:rsid w:val="00C85EA2"/>
    <w:rsid w:val="00C86D66"/>
    <w:rsid w:val="00C87996"/>
    <w:rsid w:val="00C87E02"/>
    <w:rsid w:val="00C90367"/>
    <w:rsid w:val="00C907BB"/>
    <w:rsid w:val="00C909BF"/>
    <w:rsid w:val="00C9152B"/>
    <w:rsid w:val="00C91FD4"/>
    <w:rsid w:val="00C9246F"/>
    <w:rsid w:val="00C9290A"/>
    <w:rsid w:val="00C93342"/>
    <w:rsid w:val="00C93695"/>
    <w:rsid w:val="00C93D87"/>
    <w:rsid w:val="00C93DA1"/>
    <w:rsid w:val="00C94504"/>
    <w:rsid w:val="00C94C39"/>
    <w:rsid w:val="00C961DD"/>
    <w:rsid w:val="00C9626E"/>
    <w:rsid w:val="00C97975"/>
    <w:rsid w:val="00CA1C2A"/>
    <w:rsid w:val="00CA211C"/>
    <w:rsid w:val="00CA2C46"/>
    <w:rsid w:val="00CA2DC5"/>
    <w:rsid w:val="00CA3070"/>
    <w:rsid w:val="00CA3D81"/>
    <w:rsid w:val="00CA3FDD"/>
    <w:rsid w:val="00CA4127"/>
    <w:rsid w:val="00CA44ED"/>
    <w:rsid w:val="00CA5469"/>
    <w:rsid w:val="00CA621E"/>
    <w:rsid w:val="00CA6A3E"/>
    <w:rsid w:val="00CA6E7C"/>
    <w:rsid w:val="00CA7058"/>
    <w:rsid w:val="00CA7C68"/>
    <w:rsid w:val="00CA7C77"/>
    <w:rsid w:val="00CB0013"/>
    <w:rsid w:val="00CB01AB"/>
    <w:rsid w:val="00CB04AC"/>
    <w:rsid w:val="00CB0D35"/>
    <w:rsid w:val="00CB1B20"/>
    <w:rsid w:val="00CB1EA7"/>
    <w:rsid w:val="00CB25D4"/>
    <w:rsid w:val="00CB2C84"/>
    <w:rsid w:val="00CB311F"/>
    <w:rsid w:val="00CB3B77"/>
    <w:rsid w:val="00CB407D"/>
    <w:rsid w:val="00CB4560"/>
    <w:rsid w:val="00CB47DE"/>
    <w:rsid w:val="00CB776C"/>
    <w:rsid w:val="00CB7966"/>
    <w:rsid w:val="00CB7EB3"/>
    <w:rsid w:val="00CC16C7"/>
    <w:rsid w:val="00CC199B"/>
    <w:rsid w:val="00CC2AAE"/>
    <w:rsid w:val="00CC49F8"/>
    <w:rsid w:val="00CC504A"/>
    <w:rsid w:val="00CC51BF"/>
    <w:rsid w:val="00CC53C4"/>
    <w:rsid w:val="00CC577F"/>
    <w:rsid w:val="00CC5A14"/>
    <w:rsid w:val="00CC67DD"/>
    <w:rsid w:val="00CC6A54"/>
    <w:rsid w:val="00CC6EAC"/>
    <w:rsid w:val="00CC7595"/>
    <w:rsid w:val="00CC7811"/>
    <w:rsid w:val="00CD019B"/>
    <w:rsid w:val="00CD0FEF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3C0D"/>
    <w:rsid w:val="00CE4165"/>
    <w:rsid w:val="00CE518B"/>
    <w:rsid w:val="00CE69B5"/>
    <w:rsid w:val="00CE6CFC"/>
    <w:rsid w:val="00CE7444"/>
    <w:rsid w:val="00CF0291"/>
    <w:rsid w:val="00CF0D75"/>
    <w:rsid w:val="00CF15D8"/>
    <w:rsid w:val="00CF162C"/>
    <w:rsid w:val="00CF1DF9"/>
    <w:rsid w:val="00CF2BBA"/>
    <w:rsid w:val="00CF3173"/>
    <w:rsid w:val="00CF4858"/>
    <w:rsid w:val="00CF4E1E"/>
    <w:rsid w:val="00CF586D"/>
    <w:rsid w:val="00CF5FA3"/>
    <w:rsid w:val="00CF7392"/>
    <w:rsid w:val="00CF76B6"/>
    <w:rsid w:val="00CF7D4E"/>
    <w:rsid w:val="00D00156"/>
    <w:rsid w:val="00D004D6"/>
    <w:rsid w:val="00D0057C"/>
    <w:rsid w:val="00D00D24"/>
    <w:rsid w:val="00D0131E"/>
    <w:rsid w:val="00D01C27"/>
    <w:rsid w:val="00D01E6B"/>
    <w:rsid w:val="00D02C61"/>
    <w:rsid w:val="00D0344E"/>
    <w:rsid w:val="00D0409E"/>
    <w:rsid w:val="00D04EE0"/>
    <w:rsid w:val="00D050C1"/>
    <w:rsid w:val="00D05BDB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43"/>
    <w:rsid w:val="00D21899"/>
    <w:rsid w:val="00D222E7"/>
    <w:rsid w:val="00D2271A"/>
    <w:rsid w:val="00D24813"/>
    <w:rsid w:val="00D253F6"/>
    <w:rsid w:val="00D259D6"/>
    <w:rsid w:val="00D26913"/>
    <w:rsid w:val="00D26B12"/>
    <w:rsid w:val="00D26EB8"/>
    <w:rsid w:val="00D27200"/>
    <w:rsid w:val="00D30045"/>
    <w:rsid w:val="00D31577"/>
    <w:rsid w:val="00D31748"/>
    <w:rsid w:val="00D3212B"/>
    <w:rsid w:val="00D32131"/>
    <w:rsid w:val="00D322B0"/>
    <w:rsid w:val="00D32FC1"/>
    <w:rsid w:val="00D330DB"/>
    <w:rsid w:val="00D333BF"/>
    <w:rsid w:val="00D33EDE"/>
    <w:rsid w:val="00D3402D"/>
    <w:rsid w:val="00D34181"/>
    <w:rsid w:val="00D34827"/>
    <w:rsid w:val="00D35983"/>
    <w:rsid w:val="00D3631D"/>
    <w:rsid w:val="00D36486"/>
    <w:rsid w:val="00D3717C"/>
    <w:rsid w:val="00D4058D"/>
    <w:rsid w:val="00D40A23"/>
    <w:rsid w:val="00D41AE3"/>
    <w:rsid w:val="00D4336D"/>
    <w:rsid w:val="00D44ED9"/>
    <w:rsid w:val="00D45256"/>
    <w:rsid w:val="00D47D6A"/>
    <w:rsid w:val="00D501DA"/>
    <w:rsid w:val="00D506A3"/>
    <w:rsid w:val="00D50FD4"/>
    <w:rsid w:val="00D51C00"/>
    <w:rsid w:val="00D51E0A"/>
    <w:rsid w:val="00D524A2"/>
    <w:rsid w:val="00D526DB"/>
    <w:rsid w:val="00D527AF"/>
    <w:rsid w:val="00D52AB9"/>
    <w:rsid w:val="00D52F3D"/>
    <w:rsid w:val="00D5331F"/>
    <w:rsid w:val="00D5378F"/>
    <w:rsid w:val="00D53E29"/>
    <w:rsid w:val="00D542E5"/>
    <w:rsid w:val="00D55775"/>
    <w:rsid w:val="00D55D3B"/>
    <w:rsid w:val="00D564C8"/>
    <w:rsid w:val="00D5705A"/>
    <w:rsid w:val="00D5714E"/>
    <w:rsid w:val="00D57413"/>
    <w:rsid w:val="00D60D35"/>
    <w:rsid w:val="00D61282"/>
    <w:rsid w:val="00D61692"/>
    <w:rsid w:val="00D61837"/>
    <w:rsid w:val="00D61B63"/>
    <w:rsid w:val="00D61E86"/>
    <w:rsid w:val="00D62029"/>
    <w:rsid w:val="00D6202D"/>
    <w:rsid w:val="00D621B2"/>
    <w:rsid w:val="00D63E78"/>
    <w:rsid w:val="00D64D69"/>
    <w:rsid w:val="00D64F6E"/>
    <w:rsid w:val="00D64FD3"/>
    <w:rsid w:val="00D66F3C"/>
    <w:rsid w:val="00D67D95"/>
    <w:rsid w:val="00D710FD"/>
    <w:rsid w:val="00D71690"/>
    <w:rsid w:val="00D719A0"/>
    <w:rsid w:val="00D733AC"/>
    <w:rsid w:val="00D736AA"/>
    <w:rsid w:val="00D737CD"/>
    <w:rsid w:val="00D73AA8"/>
    <w:rsid w:val="00D75F50"/>
    <w:rsid w:val="00D765A3"/>
    <w:rsid w:val="00D76A94"/>
    <w:rsid w:val="00D7718A"/>
    <w:rsid w:val="00D7738A"/>
    <w:rsid w:val="00D778E1"/>
    <w:rsid w:val="00D77F3E"/>
    <w:rsid w:val="00D800B5"/>
    <w:rsid w:val="00D8039D"/>
    <w:rsid w:val="00D803C1"/>
    <w:rsid w:val="00D80FC5"/>
    <w:rsid w:val="00D834E8"/>
    <w:rsid w:val="00D848EE"/>
    <w:rsid w:val="00D85C94"/>
    <w:rsid w:val="00D85F1E"/>
    <w:rsid w:val="00D8651E"/>
    <w:rsid w:val="00D90631"/>
    <w:rsid w:val="00D90D26"/>
    <w:rsid w:val="00D91904"/>
    <w:rsid w:val="00D928AF"/>
    <w:rsid w:val="00D92C91"/>
    <w:rsid w:val="00D943CE"/>
    <w:rsid w:val="00D94466"/>
    <w:rsid w:val="00D95C48"/>
    <w:rsid w:val="00D96335"/>
    <w:rsid w:val="00D965EE"/>
    <w:rsid w:val="00D96B77"/>
    <w:rsid w:val="00D96CD3"/>
    <w:rsid w:val="00D97C9E"/>
    <w:rsid w:val="00DA1A1F"/>
    <w:rsid w:val="00DA2655"/>
    <w:rsid w:val="00DA2F0A"/>
    <w:rsid w:val="00DA35C2"/>
    <w:rsid w:val="00DA372E"/>
    <w:rsid w:val="00DA3BC4"/>
    <w:rsid w:val="00DA40A3"/>
    <w:rsid w:val="00DA4FC9"/>
    <w:rsid w:val="00DA6330"/>
    <w:rsid w:val="00DB00DC"/>
    <w:rsid w:val="00DB0D61"/>
    <w:rsid w:val="00DB2D7B"/>
    <w:rsid w:val="00DB2EE2"/>
    <w:rsid w:val="00DB3E5E"/>
    <w:rsid w:val="00DB3ED2"/>
    <w:rsid w:val="00DB3FE3"/>
    <w:rsid w:val="00DB4049"/>
    <w:rsid w:val="00DB4A28"/>
    <w:rsid w:val="00DB51B0"/>
    <w:rsid w:val="00DB55E7"/>
    <w:rsid w:val="00DB560E"/>
    <w:rsid w:val="00DB561E"/>
    <w:rsid w:val="00DB67E3"/>
    <w:rsid w:val="00DB6B8F"/>
    <w:rsid w:val="00DB6DB6"/>
    <w:rsid w:val="00DB721D"/>
    <w:rsid w:val="00DB7A55"/>
    <w:rsid w:val="00DB7C5D"/>
    <w:rsid w:val="00DC006E"/>
    <w:rsid w:val="00DC0241"/>
    <w:rsid w:val="00DC04AD"/>
    <w:rsid w:val="00DC1184"/>
    <w:rsid w:val="00DC19DD"/>
    <w:rsid w:val="00DC3690"/>
    <w:rsid w:val="00DC3FF1"/>
    <w:rsid w:val="00DC47E7"/>
    <w:rsid w:val="00DC47F3"/>
    <w:rsid w:val="00DC48C0"/>
    <w:rsid w:val="00DC4AD1"/>
    <w:rsid w:val="00DC4EE0"/>
    <w:rsid w:val="00DC6634"/>
    <w:rsid w:val="00DC718F"/>
    <w:rsid w:val="00DC74BC"/>
    <w:rsid w:val="00DC7E28"/>
    <w:rsid w:val="00DD0300"/>
    <w:rsid w:val="00DD1016"/>
    <w:rsid w:val="00DD1A3B"/>
    <w:rsid w:val="00DD230D"/>
    <w:rsid w:val="00DD2817"/>
    <w:rsid w:val="00DD2925"/>
    <w:rsid w:val="00DD2C83"/>
    <w:rsid w:val="00DD351E"/>
    <w:rsid w:val="00DD41DB"/>
    <w:rsid w:val="00DD48CB"/>
    <w:rsid w:val="00DD5A8F"/>
    <w:rsid w:val="00DD6AB8"/>
    <w:rsid w:val="00DD6B2D"/>
    <w:rsid w:val="00DD756A"/>
    <w:rsid w:val="00DD75DD"/>
    <w:rsid w:val="00DE0595"/>
    <w:rsid w:val="00DE1295"/>
    <w:rsid w:val="00DE1A7C"/>
    <w:rsid w:val="00DE2A1F"/>
    <w:rsid w:val="00DE2AD3"/>
    <w:rsid w:val="00DE2C31"/>
    <w:rsid w:val="00DE4794"/>
    <w:rsid w:val="00DE47FC"/>
    <w:rsid w:val="00DE495F"/>
    <w:rsid w:val="00DE4B55"/>
    <w:rsid w:val="00DE587D"/>
    <w:rsid w:val="00DE63E8"/>
    <w:rsid w:val="00DE7609"/>
    <w:rsid w:val="00DF1409"/>
    <w:rsid w:val="00DF1C86"/>
    <w:rsid w:val="00DF1ED1"/>
    <w:rsid w:val="00DF228E"/>
    <w:rsid w:val="00DF2695"/>
    <w:rsid w:val="00DF27B1"/>
    <w:rsid w:val="00DF2AA3"/>
    <w:rsid w:val="00DF2C31"/>
    <w:rsid w:val="00DF3850"/>
    <w:rsid w:val="00DF3A27"/>
    <w:rsid w:val="00DF4F9D"/>
    <w:rsid w:val="00DF5B2A"/>
    <w:rsid w:val="00DF698C"/>
    <w:rsid w:val="00DF6B9D"/>
    <w:rsid w:val="00DF7783"/>
    <w:rsid w:val="00E00EA3"/>
    <w:rsid w:val="00E00EAA"/>
    <w:rsid w:val="00E00F3A"/>
    <w:rsid w:val="00E013C2"/>
    <w:rsid w:val="00E01B04"/>
    <w:rsid w:val="00E01F45"/>
    <w:rsid w:val="00E0269D"/>
    <w:rsid w:val="00E0276A"/>
    <w:rsid w:val="00E02E82"/>
    <w:rsid w:val="00E03367"/>
    <w:rsid w:val="00E03F48"/>
    <w:rsid w:val="00E04E50"/>
    <w:rsid w:val="00E052EE"/>
    <w:rsid w:val="00E05647"/>
    <w:rsid w:val="00E0598B"/>
    <w:rsid w:val="00E05C49"/>
    <w:rsid w:val="00E06824"/>
    <w:rsid w:val="00E06855"/>
    <w:rsid w:val="00E0706D"/>
    <w:rsid w:val="00E072B7"/>
    <w:rsid w:val="00E074E4"/>
    <w:rsid w:val="00E07C08"/>
    <w:rsid w:val="00E10677"/>
    <w:rsid w:val="00E11F76"/>
    <w:rsid w:val="00E1390E"/>
    <w:rsid w:val="00E139E6"/>
    <w:rsid w:val="00E143F2"/>
    <w:rsid w:val="00E146CB"/>
    <w:rsid w:val="00E1484A"/>
    <w:rsid w:val="00E14901"/>
    <w:rsid w:val="00E157D0"/>
    <w:rsid w:val="00E16763"/>
    <w:rsid w:val="00E17454"/>
    <w:rsid w:val="00E20800"/>
    <w:rsid w:val="00E2133B"/>
    <w:rsid w:val="00E21DD8"/>
    <w:rsid w:val="00E22571"/>
    <w:rsid w:val="00E2307A"/>
    <w:rsid w:val="00E2362B"/>
    <w:rsid w:val="00E237D9"/>
    <w:rsid w:val="00E24884"/>
    <w:rsid w:val="00E249A9"/>
    <w:rsid w:val="00E25472"/>
    <w:rsid w:val="00E26E42"/>
    <w:rsid w:val="00E27740"/>
    <w:rsid w:val="00E27F19"/>
    <w:rsid w:val="00E30184"/>
    <w:rsid w:val="00E301CE"/>
    <w:rsid w:val="00E3083C"/>
    <w:rsid w:val="00E30F05"/>
    <w:rsid w:val="00E31062"/>
    <w:rsid w:val="00E313FC"/>
    <w:rsid w:val="00E318AD"/>
    <w:rsid w:val="00E32169"/>
    <w:rsid w:val="00E32881"/>
    <w:rsid w:val="00E328B1"/>
    <w:rsid w:val="00E33A62"/>
    <w:rsid w:val="00E34692"/>
    <w:rsid w:val="00E34A15"/>
    <w:rsid w:val="00E35767"/>
    <w:rsid w:val="00E35972"/>
    <w:rsid w:val="00E35BCC"/>
    <w:rsid w:val="00E35C9E"/>
    <w:rsid w:val="00E36E18"/>
    <w:rsid w:val="00E37149"/>
    <w:rsid w:val="00E37A47"/>
    <w:rsid w:val="00E40915"/>
    <w:rsid w:val="00E41355"/>
    <w:rsid w:val="00E42290"/>
    <w:rsid w:val="00E42CCB"/>
    <w:rsid w:val="00E43D7A"/>
    <w:rsid w:val="00E44BCC"/>
    <w:rsid w:val="00E44FC4"/>
    <w:rsid w:val="00E453FC"/>
    <w:rsid w:val="00E456CD"/>
    <w:rsid w:val="00E461A4"/>
    <w:rsid w:val="00E46823"/>
    <w:rsid w:val="00E4745C"/>
    <w:rsid w:val="00E474C1"/>
    <w:rsid w:val="00E50BCF"/>
    <w:rsid w:val="00E51282"/>
    <w:rsid w:val="00E523EF"/>
    <w:rsid w:val="00E527EE"/>
    <w:rsid w:val="00E53239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2908"/>
    <w:rsid w:val="00E63CB1"/>
    <w:rsid w:val="00E64520"/>
    <w:rsid w:val="00E64AA5"/>
    <w:rsid w:val="00E64E93"/>
    <w:rsid w:val="00E65897"/>
    <w:rsid w:val="00E660EE"/>
    <w:rsid w:val="00E66286"/>
    <w:rsid w:val="00E671BD"/>
    <w:rsid w:val="00E70D2B"/>
    <w:rsid w:val="00E72541"/>
    <w:rsid w:val="00E72808"/>
    <w:rsid w:val="00E72ABE"/>
    <w:rsid w:val="00E72F93"/>
    <w:rsid w:val="00E734B7"/>
    <w:rsid w:val="00E73E27"/>
    <w:rsid w:val="00E740C2"/>
    <w:rsid w:val="00E75796"/>
    <w:rsid w:val="00E75F1B"/>
    <w:rsid w:val="00E802C5"/>
    <w:rsid w:val="00E8093F"/>
    <w:rsid w:val="00E81A2E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67A9"/>
    <w:rsid w:val="00E86C6C"/>
    <w:rsid w:val="00E86FF2"/>
    <w:rsid w:val="00E8761C"/>
    <w:rsid w:val="00E876BD"/>
    <w:rsid w:val="00E87BA7"/>
    <w:rsid w:val="00E901F6"/>
    <w:rsid w:val="00E9031B"/>
    <w:rsid w:val="00E9050A"/>
    <w:rsid w:val="00E90903"/>
    <w:rsid w:val="00E90B13"/>
    <w:rsid w:val="00E9108B"/>
    <w:rsid w:val="00E91311"/>
    <w:rsid w:val="00E91ED3"/>
    <w:rsid w:val="00E92380"/>
    <w:rsid w:val="00E95A95"/>
    <w:rsid w:val="00E95F4E"/>
    <w:rsid w:val="00E979C0"/>
    <w:rsid w:val="00EA0BE5"/>
    <w:rsid w:val="00EA1B4B"/>
    <w:rsid w:val="00EA1B59"/>
    <w:rsid w:val="00EA262B"/>
    <w:rsid w:val="00EA2D02"/>
    <w:rsid w:val="00EA2FB5"/>
    <w:rsid w:val="00EA36C4"/>
    <w:rsid w:val="00EA43D5"/>
    <w:rsid w:val="00EA5738"/>
    <w:rsid w:val="00EA5E4B"/>
    <w:rsid w:val="00EA60A7"/>
    <w:rsid w:val="00EB250E"/>
    <w:rsid w:val="00EB2AA8"/>
    <w:rsid w:val="00EB32D7"/>
    <w:rsid w:val="00EB3658"/>
    <w:rsid w:val="00EB39B5"/>
    <w:rsid w:val="00EB39E1"/>
    <w:rsid w:val="00EB405A"/>
    <w:rsid w:val="00EB54F9"/>
    <w:rsid w:val="00EB568C"/>
    <w:rsid w:val="00EB5F0E"/>
    <w:rsid w:val="00EB6068"/>
    <w:rsid w:val="00EB64B9"/>
    <w:rsid w:val="00EB7CD3"/>
    <w:rsid w:val="00EB7CD9"/>
    <w:rsid w:val="00EC0C1D"/>
    <w:rsid w:val="00EC0D33"/>
    <w:rsid w:val="00EC1003"/>
    <w:rsid w:val="00EC128A"/>
    <w:rsid w:val="00EC2A70"/>
    <w:rsid w:val="00EC3691"/>
    <w:rsid w:val="00EC3842"/>
    <w:rsid w:val="00EC3B14"/>
    <w:rsid w:val="00EC4680"/>
    <w:rsid w:val="00EC6854"/>
    <w:rsid w:val="00EC70BD"/>
    <w:rsid w:val="00ED05BC"/>
    <w:rsid w:val="00ED0E4C"/>
    <w:rsid w:val="00ED19D2"/>
    <w:rsid w:val="00ED21BB"/>
    <w:rsid w:val="00ED2422"/>
    <w:rsid w:val="00ED2988"/>
    <w:rsid w:val="00ED301D"/>
    <w:rsid w:val="00ED3980"/>
    <w:rsid w:val="00ED3FE9"/>
    <w:rsid w:val="00ED4AD3"/>
    <w:rsid w:val="00ED4E43"/>
    <w:rsid w:val="00ED63EC"/>
    <w:rsid w:val="00ED66A9"/>
    <w:rsid w:val="00ED69B4"/>
    <w:rsid w:val="00ED7615"/>
    <w:rsid w:val="00EE0167"/>
    <w:rsid w:val="00EE0860"/>
    <w:rsid w:val="00EE096D"/>
    <w:rsid w:val="00EE0F98"/>
    <w:rsid w:val="00EE2019"/>
    <w:rsid w:val="00EE219A"/>
    <w:rsid w:val="00EE2426"/>
    <w:rsid w:val="00EE30BF"/>
    <w:rsid w:val="00EE337A"/>
    <w:rsid w:val="00EE400A"/>
    <w:rsid w:val="00EE4F3A"/>
    <w:rsid w:val="00EE5F9C"/>
    <w:rsid w:val="00EE725A"/>
    <w:rsid w:val="00EE7773"/>
    <w:rsid w:val="00EF0EF4"/>
    <w:rsid w:val="00EF10E3"/>
    <w:rsid w:val="00EF282D"/>
    <w:rsid w:val="00EF3CD5"/>
    <w:rsid w:val="00EF3CFD"/>
    <w:rsid w:val="00EF4511"/>
    <w:rsid w:val="00EF490F"/>
    <w:rsid w:val="00EF5EA4"/>
    <w:rsid w:val="00EF668F"/>
    <w:rsid w:val="00EF6766"/>
    <w:rsid w:val="00EF6D1A"/>
    <w:rsid w:val="00EF737D"/>
    <w:rsid w:val="00EF7691"/>
    <w:rsid w:val="00EF7D63"/>
    <w:rsid w:val="00F004F6"/>
    <w:rsid w:val="00F00B04"/>
    <w:rsid w:val="00F01200"/>
    <w:rsid w:val="00F01A24"/>
    <w:rsid w:val="00F02C33"/>
    <w:rsid w:val="00F032DD"/>
    <w:rsid w:val="00F03604"/>
    <w:rsid w:val="00F037C2"/>
    <w:rsid w:val="00F03B06"/>
    <w:rsid w:val="00F03CCF"/>
    <w:rsid w:val="00F04386"/>
    <w:rsid w:val="00F048C2"/>
    <w:rsid w:val="00F04AF5"/>
    <w:rsid w:val="00F053FC"/>
    <w:rsid w:val="00F05610"/>
    <w:rsid w:val="00F05776"/>
    <w:rsid w:val="00F061DD"/>
    <w:rsid w:val="00F063AE"/>
    <w:rsid w:val="00F064DC"/>
    <w:rsid w:val="00F076BD"/>
    <w:rsid w:val="00F07EA0"/>
    <w:rsid w:val="00F10750"/>
    <w:rsid w:val="00F10EBC"/>
    <w:rsid w:val="00F1178A"/>
    <w:rsid w:val="00F11F0D"/>
    <w:rsid w:val="00F1270D"/>
    <w:rsid w:val="00F13923"/>
    <w:rsid w:val="00F13EE1"/>
    <w:rsid w:val="00F1493B"/>
    <w:rsid w:val="00F16281"/>
    <w:rsid w:val="00F166B1"/>
    <w:rsid w:val="00F16D4D"/>
    <w:rsid w:val="00F16DB0"/>
    <w:rsid w:val="00F176FB"/>
    <w:rsid w:val="00F17E2E"/>
    <w:rsid w:val="00F20B19"/>
    <w:rsid w:val="00F21847"/>
    <w:rsid w:val="00F21D60"/>
    <w:rsid w:val="00F21F03"/>
    <w:rsid w:val="00F22301"/>
    <w:rsid w:val="00F225BD"/>
    <w:rsid w:val="00F231BA"/>
    <w:rsid w:val="00F2366D"/>
    <w:rsid w:val="00F24232"/>
    <w:rsid w:val="00F24992"/>
    <w:rsid w:val="00F24A0A"/>
    <w:rsid w:val="00F25012"/>
    <w:rsid w:val="00F2525E"/>
    <w:rsid w:val="00F26EE8"/>
    <w:rsid w:val="00F27924"/>
    <w:rsid w:val="00F3219F"/>
    <w:rsid w:val="00F32946"/>
    <w:rsid w:val="00F32E78"/>
    <w:rsid w:val="00F34299"/>
    <w:rsid w:val="00F345C4"/>
    <w:rsid w:val="00F351EA"/>
    <w:rsid w:val="00F35863"/>
    <w:rsid w:val="00F36375"/>
    <w:rsid w:val="00F37361"/>
    <w:rsid w:val="00F37681"/>
    <w:rsid w:val="00F37E59"/>
    <w:rsid w:val="00F37F75"/>
    <w:rsid w:val="00F40003"/>
    <w:rsid w:val="00F409E5"/>
    <w:rsid w:val="00F41321"/>
    <w:rsid w:val="00F4195C"/>
    <w:rsid w:val="00F41ABF"/>
    <w:rsid w:val="00F42E77"/>
    <w:rsid w:val="00F43051"/>
    <w:rsid w:val="00F44108"/>
    <w:rsid w:val="00F44671"/>
    <w:rsid w:val="00F45FFE"/>
    <w:rsid w:val="00F4794F"/>
    <w:rsid w:val="00F500C1"/>
    <w:rsid w:val="00F52077"/>
    <w:rsid w:val="00F52271"/>
    <w:rsid w:val="00F522C9"/>
    <w:rsid w:val="00F52987"/>
    <w:rsid w:val="00F54342"/>
    <w:rsid w:val="00F54BF8"/>
    <w:rsid w:val="00F54EEB"/>
    <w:rsid w:val="00F550CB"/>
    <w:rsid w:val="00F55573"/>
    <w:rsid w:val="00F55921"/>
    <w:rsid w:val="00F55DC8"/>
    <w:rsid w:val="00F5720E"/>
    <w:rsid w:val="00F5737B"/>
    <w:rsid w:val="00F61509"/>
    <w:rsid w:val="00F619FF"/>
    <w:rsid w:val="00F63463"/>
    <w:rsid w:val="00F6365F"/>
    <w:rsid w:val="00F63D6B"/>
    <w:rsid w:val="00F65299"/>
    <w:rsid w:val="00F653CD"/>
    <w:rsid w:val="00F656E0"/>
    <w:rsid w:val="00F658A6"/>
    <w:rsid w:val="00F65D2D"/>
    <w:rsid w:val="00F6620F"/>
    <w:rsid w:val="00F664A5"/>
    <w:rsid w:val="00F6696A"/>
    <w:rsid w:val="00F67252"/>
    <w:rsid w:val="00F67463"/>
    <w:rsid w:val="00F6756A"/>
    <w:rsid w:val="00F70CC9"/>
    <w:rsid w:val="00F726F4"/>
    <w:rsid w:val="00F72EE3"/>
    <w:rsid w:val="00F737D1"/>
    <w:rsid w:val="00F737F3"/>
    <w:rsid w:val="00F73FC6"/>
    <w:rsid w:val="00F73FF2"/>
    <w:rsid w:val="00F74097"/>
    <w:rsid w:val="00F743B0"/>
    <w:rsid w:val="00F76762"/>
    <w:rsid w:val="00F80192"/>
    <w:rsid w:val="00F8076B"/>
    <w:rsid w:val="00F8107E"/>
    <w:rsid w:val="00F81AF7"/>
    <w:rsid w:val="00F81F17"/>
    <w:rsid w:val="00F8261B"/>
    <w:rsid w:val="00F8295C"/>
    <w:rsid w:val="00F82B84"/>
    <w:rsid w:val="00F8300B"/>
    <w:rsid w:val="00F838C5"/>
    <w:rsid w:val="00F83B3C"/>
    <w:rsid w:val="00F84966"/>
    <w:rsid w:val="00F84CEA"/>
    <w:rsid w:val="00F86085"/>
    <w:rsid w:val="00F8680A"/>
    <w:rsid w:val="00F8720A"/>
    <w:rsid w:val="00F911BE"/>
    <w:rsid w:val="00F9185B"/>
    <w:rsid w:val="00F91A17"/>
    <w:rsid w:val="00F91DF0"/>
    <w:rsid w:val="00F92862"/>
    <w:rsid w:val="00F92BD8"/>
    <w:rsid w:val="00F92E4D"/>
    <w:rsid w:val="00F92EB4"/>
    <w:rsid w:val="00F92FB6"/>
    <w:rsid w:val="00F93E6F"/>
    <w:rsid w:val="00F943E3"/>
    <w:rsid w:val="00F94653"/>
    <w:rsid w:val="00F94BEB"/>
    <w:rsid w:val="00F967FC"/>
    <w:rsid w:val="00F96C7B"/>
    <w:rsid w:val="00F96E71"/>
    <w:rsid w:val="00FA053C"/>
    <w:rsid w:val="00FA0AE5"/>
    <w:rsid w:val="00FA1BE2"/>
    <w:rsid w:val="00FA2AA4"/>
    <w:rsid w:val="00FA3278"/>
    <w:rsid w:val="00FA3780"/>
    <w:rsid w:val="00FA3E67"/>
    <w:rsid w:val="00FA739B"/>
    <w:rsid w:val="00FB0150"/>
    <w:rsid w:val="00FB03D2"/>
    <w:rsid w:val="00FB0828"/>
    <w:rsid w:val="00FB33C7"/>
    <w:rsid w:val="00FB33D1"/>
    <w:rsid w:val="00FB3CC6"/>
    <w:rsid w:val="00FB3D41"/>
    <w:rsid w:val="00FB42E2"/>
    <w:rsid w:val="00FB495F"/>
    <w:rsid w:val="00FB54D1"/>
    <w:rsid w:val="00FB55B2"/>
    <w:rsid w:val="00FB6971"/>
    <w:rsid w:val="00FB6B92"/>
    <w:rsid w:val="00FB73F7"/>
    <w:rsid w:val="00FC02E2"/>
    <w:rsid w:val="00FC08F4"/>
    <w:rsid w:val="00FC1555"/>
    <w:rsid w:val="00FC1EDA"/>
    <w:rsid w:val="00FC1FCF"/>
    <w:rsid w:val="00FC2E1D"/>
    <w:rsid w:val="00FC39C8"/>
    <w:rsid w:val="00FC3AFD"/>
    <w:rsid w:val="00FC4259"/>
    <w:rsid w:val="00FC4C8A"/>
    <w:rsid w:val="00FC6E75"/>
    <w:rsid w:val="00FD004E"/>
    <w:rsid w:val="00FD0116"/>
    <w:rsid w:val="00FD0297"/>
    <w:rsid w:val="00FD06B2"/>
    <w:rsid w:val="00FD0AB9"/>
    <w:rsid w:val="00FD1B17"/>
    <w:rsid w:val="00FD1DE9"/>
    <w:rsid w:val="00FD2C51"/>
    <w:rsid w:val="00FD2F04"/>
    <w:rsid w:val="00FD40CE"/>
    <w:rsid w:val="00FD41E4"/>
    <w:rsid w:val="00FD4282"/>
    <w:rsid w:val="00FD6D73"/>
    <w:rsid w:val="00FE0243"/>
    <w:rsid w:val="00FE040C"/>
    <w:rsid w:val="00FE097A"/>
    <w:rsid w:val="00FE138A"/>
    <w:rsid w:val="00FE28DC"/>
    <w:rsid w:val="00FE337F"/>
    <w:rsid w:val="00FE3405"/>
    <w:rsid w:val="00FE4291"/>
    <w:rsid w:val="00FE4F88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068D"/>
    <w:rsid w:val="00FF13A2"/>
    <w:rsid w:val="00FF1463"/>
    <w:rsid w:val="00FF1471"/>
    <w:rsid w:val="00FF2790"/>
    <w:rsid w:val="00FF2BA5"/>
    <w:rsid w:val="00FF2D0B"/>
    <w:rsid w:val="00FF390E"/>
    <w:rsid w:val="00FF3DED"/>
    <w:rsid w:val="00FF5BDC"/>
    <w:rsid w:val="00FF5D0A"/>
    <w:rsid w:val="00FF614F"/>
    <w:rsid w:val="00FF6A0C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5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314">
    <w:name w:val="xl31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52BB7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324">
    <w:name w:val="xl324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7">
    <w:name w:val="xl32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8">
    <w:name w:val="xl328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29">
    <w:name w:val="xl32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4"/>
      <w:szCs w:val="14"/>
      <w:lang w:val="sr-Latn-CS" w:eastAsia="sr-Latn-CS"/>
    </w:rPr>
  </w:style>
  <w:style w:type="paragraph" w:customStyle="1" w:styleId="xl330">
    <w:name w:val="xl33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1">
    <w:name w:val="xl331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2">
    <w:name w:val="xl33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3">
    <w:name w:val="xl33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4">
    <w:name w:val="xl33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5">
    <w:name w:val="xl33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6">
    <w:name w:val="xl33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7">
    <w:name w:val="xl33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8">
    <w:name w:val="xl33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9">
    <w:name w:val="xl33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0">
    <w:name w:val="xl340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4"/>
      <w:szCs w:val="14"/>
      <w:lang w:val="sr-Latn-CS" w:eastAsia="sr-Latn-CS"/>
    </w:rPr>
  </w:style>
  <w:style w:type="paragraph" w:customStyle="1" w:styleId="xl341">
    <w:name w:val="xl34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2">
    <w:name w:val="xl34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3">
    <w:name w:val="xl34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4">
    <w:name w:val="xl34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5">
    <w:name w:val="xl34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6">
    <w:name w:val="xl34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7">
    <w:name w:val="xl34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8">
    <w:name w:val="xl34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9">
    <w:name w:val="xl34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0">
    <w:name w:val="xl35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1">
    <w:name w:val="xl35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2">
    <w:name w:val="xl35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3">
    <w:name w:val="xl35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4">
    <w:name w:val="xl35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5">
    <w:name w:val="xl35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6">
    <w:name w:val="xl35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7">
    <w:name w:val="xl35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8">
    <w:name w:val="xl358"/>
    <w:basedOn w:val="Normal"/>
    <w:rsid w:val="00052BB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59">
    <w:name w:val="xl35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0">
    <w:name w:val="xl36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1">
    <w:name w:val="xl36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2">
    <w:name w:val="xl36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3">
    <w:name w:val="xl363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4">
    <w:name w:val="xl364"/>
    <w:basedOn w:val="Normal"/>
    <w:rsid w:val="0005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5">
    <w:name w:val="xl36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7">
    <w:name w:val="xl36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table" w:customStyle="1" w:styleId="LightShading-Accent11">
    <w:name w:val="Light Shading - Accent 11"/>
    <w:basedOn w:val="TableNormal"/>
    <w:uiPriority w:val="60"/>
    <w:rsid w:val="004F731B"/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_2015%2005\mmi%202015-0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olja.tomanovic\My%20Documents\Dropbox\MINISTARSTVO%20FINANSIJA\SEP\02_MMI\MMI_2015%2005\mmi%202015-0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sna.obradovic\Dropbox\MINISTARSTVO%20FINANSIJA\SEP\02_MMI\MMI_2015%2005\mmi%202015-05%20(Vesna%20Obradovi&#263;'s%20conflicted%20copy%202015-06-0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mmi%202015-0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lanka.jovanovic\Desktop\Copy%20of%20bop_mart_2015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/>
            </a:pPr>
            <a:r>
              <a:rPr lang="sr-Latn-CS" sz="1000"/>
              <a:t>EURIBOR</a:t>
            </a:r>
            <a:endParaRPr lang="sr-Latn-CS"/>
          </a:p>
        </c:rich>
      </c:tx>
      <c:layout>
        <c:manualLayout>
          <c:xMode val="edge"/>
          <c:yMode val="edge"/>
          <c:x val="0.4476813200643413"/>
          <c:y val="8.4773036643598032E-2"/>
        </c:manualLayout>
      </c:layout>
      <c:overlay val="1"/>
    </c:title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'Database za makro'!$G$9:$BF$9</c:f>
              <c:strCache>
                <c:ptCount val="52"/>
                <c:pt idx="0">
                  <c:v>2011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2012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2013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  <c:pt idx="35">
                  <c:v>XII</c:v>
                </c:pt>
                <c:pt idx="36">
                  <c:v>2014</c:v>
                </c:pt>
                <c:pt idx="37">
                  <c:v>II</c:v>
                </c:pt>
                <c:pt idx="38">
                  <c:v>III</c:v>
                </c:pt>
                <c:pt idx="39">
                  <c:v>IV</c:v>
                </c:pt>
                <c:pt idx="40">
                  <c:v>V</c:v>
                </c:pt>
                <c:pt idx="41">
                  <c:v>VI</c:v>
                </c:pt>
                <c:pt idx="42">
                  <c:v>VII</c:v>
                </c:pt>
                <c:pt idx="43">
                  <c:v>VIII</c:v>
                </c:pt>
                <c:pt idx="44">
                  <c:v>IX</c:v>
                </c:pt>
                <c:pt idx="45">
                  <c:v>X</c:v>
                </c:pt>
                <c:pt idx="46">
                  <c:v>XI</c:v>
                </c:pt>
                <c:pt idx="47">
                  <c:v>XII</c:v>
                </c:pt>
                <c:pt idx="48">
                  <c:v>2015</c:v>
                </c:pt>
                <c:pt idx="49">
                  <c:v>II</c:v>
                </c:pt>
                <c:pt idx="50">
                  <c:v>III</c:v>
                </c:pt>
                <c:pt idx="51">
                  <c:v>IV</c:v>
                </c:pt>
              </c:strCache>
            </c:strRef>
          </c:cat>
          <c:val>
            <c:numRef>
              <c:f>'Database za makro'!$G$47:$BF$47</c:f>
              <c:numCache>
                <c:formatCode>0.00</c:formatCode>
                <c:ptCount val="52"/>
                <c:pt idx="0">
                  <c:v>1.504</c:v>
                </c:pt>
                <c:pt idx="1">
                  <c:v>1.6600000000000001</c:v>
                </c:pt>
                <c:pt idx="2">
                  <c:v>1.7729999999999955</c:v>
                </c:pt>
                <c:pt idx="3">
                  <c:v>2.0129999999999977</c:v>
                </c:pt>
                <c:pt idx="4">
                  <c:v>2.1389999999999998</c:v>
                </c:pt>
                <c:pt idx="5">
                  <c:v>2.137</c:v>
                </c:pt>
                <c:pt idx="6">
                  <c:v>2.1719999999999997</c:v>
                </c:pt>
                <c:pt idx="7">
                  <c:v>2.177</c:v>
                </c:pt>
                <c:pt idx="8">
                  <c:v>2.089</c:v>
                </c:pt>
                <c:pt idx="9">
                  <c:v>2.089</c:v>
                </c:pt>
                <c:pt idx="10">
                  <c:v>2.1109999999999998</c:v>
                </c:pt>
                <c:pt idx="11">
                  <c:v>2.0299999999999998</c:v>
                </c:pt>
                <c:pt idx="12">
                  <c:v>1.9369999999999978</c:v>
                </c:pt>
                <c:pt idx="13">
                  <c:v>1.7449999999999957</c:v>
                </c:pt>
                <c:pt idx="14">
                  <c:v>1.6</c:v>
                </c:pt>
                <c:pt idx="15">
                  <c:v>1.41</c:v>
                </c:pt>
                <c:pt idx="16">
                  <c:v>1.3029999999999948</c:v>
                </c:pt>
                <c:pt idx="17">
                  <c:v>1.228</c:v>
                </c:pt>
                <c:pt idx="18">
                  <c:v>1.2129999999999936</c:v>
                </c:pt>
                <c:pt idx="19">
                  <c:v>0.93700000000000061</c:v>
                </c:pt>
                <c:pt idx="20">
                  <c:v>0.79800000000000004</c:v>
                </c:pt>
                <c:pt idx="21">
                  <c:v>0.68500000000000094</c:v>
                </c:pt>
                <c:pt idx="22">
                  <c:v>0.61500000000000254</c:v>
                </c:pt>
                <c:pt idx="23">
                  <c:v>0.57399999999999995</c:v>
                </c:pt>
                <c:pt idx="24">
                  <c:v>0.54300000000000004</c:v>
                </c:pt>
                <c:pt idx="25">
                  <c:v>0.62200000000000255</c:v>
                </c:pt>
                <c:pt idx="26">
                  <c:v>0.54900000000000004</c:v>
                </c:pt>
                <c:pt idx="27">
                  <c:v>0.54400000000000004</c:v>
                </c:pt>
                <c:pt idx="28">
                  <c:v>0.51</c:v>
                </c:pt>
                <c:pt idx="29">
                  <c:v>0.47800000000000031</c:v>
                </c:pt>
                <c:pt idx="30">
                  <c:v>0.53</c:v>
                </c:pt>
                <c:pt idx="31">
                  <c:v>0.53</c:v>
                </c:pt>
                <c:pt idx="32">
                  <c:v>0.55000000000000004</c:v>
                </c:pt>
                <c:pt idx="33">
                  <c:v>0.53700000000000003</c:v>
                </c:pt>
                <c:pt idx="34">
                  <c:v>0.53300000000000003</c:v>
                </c:pt>
                <c:pt idx="35">
                  <c:v>0.502</c:v>
                </c:pt>
                <c:pt idx="36">
                  <c:v>0.55500000000000005</c:v>
                </c:pt>
                <c:pt idx="37">
                  <c:v>0.54900000000000004</c:v>
                </c:pt>
                <c:pt idx="38">
                  <c:v>0.59100000000000052</c:v>
                </c:pt>
                <c:pt idx="39">
                  <c:v>0.61200000000000065</c:v>
                </c:pt>
                <c:pt idx="40">
                  <c:v>0.56899999999999995</c:v>
                </c:pt>
                <c:pt idx="41">
                  <c:v>0.48800000000000032</c:v>
                </c:pt>
                <c:pt idx="42">
                  <c:v>0.48900000000000032</c:v>
                </c:pt>
                <c:pt idx="43">
                  <c:v>0.42800000000000032</c:v>
                </c:pt>
                <c:pt idx="44">
                  <c:v>0.33800000000000163</c:v>
                </c:pt>
                <c:pt idx="45">
                  <c:v>0.33900000000000163</c:v>
                </c:pt>
                <c:pt idx="46">
                  <c:v>0.33000000000000163</c:v>
                </c:pt>
                <c:pt idx="47">
                  <c:v>0.32300000000000145</c:v>
                </c:pt>
                <c:pt idx="48">
                  <c:v>0.27100000000000002</c:v>
                </c:pt>
                <c:pt idx="49">
                  <c:v>0.23</c:v>
                </c:pt>
                <c:pt idx="50">
                  <c:v>0.1960000000000002</c:v>
                </c:pt>
                <c:pt idx="51">
                  <c:v>0.17</c:v>
                </c:pt>
              </c:numCache>
            </c:numRef>
          </c:val>
        </c:ser>
        <c:marker val="1"/>
        <c:axId val="97510144"/>
        <c:axId val="97511680"/>
      </c:lineChart>
      <c:catAx>
        <c:axId val="97510144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7511680"/>
        <c:crosses val="autoZero"/>
        <c:auto val="1"/>
        <c:lblAlgn val="ctr"/>
        <c:lblOffset val="100"/>
      </c:catAx>
      <c:valAx>
        <c:axId val="97511680"/>
        <c:scaling>
          <c:orientation val="minMax"/>
        </c:scaling>
        <c:axPos val="l"/>
        <c:majorGridlines>
          <c:spPr>
            <a:ln>
              <a:solidFill>
                <a:srgbClr val="F07F09"/>
              </a:solidFill>
              <a:prstDash val="sysDot"/>
            </a:ln>
          </c:spPr>
        </c:majorGridlines>
        <c:numFmt formatCode="0.0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751014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29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Industrija,</a:t>
            </a:r>
            <a:r>
              <a:rPr lang="sr-Latn-CS" sz="1000"/>
              <a:t> </a:t>
            </a:r>
            <a:r>
              <a:rPr lang="en-US" sz="1000"/>
              <a:t>godišnje stope rasta</a:t>
            </a:r>
            <a:r>
              <a:rPr lang="sr-Latn-CS" sz="1000"/>
              <a:t>, %</a:t>
            </a:r>
            <a:endParaRPr lang="en-US" sz="1000"/>
          </a:p>
        </c:rich>
      </c:tx>
      <c:layout>
        <c:manualLayout>
          <c:xMode val="edge"/>
          <c:yMode val="edge"/>
          <c:x val="0.10867614708282078"/>
          <c:y val="6.5769780908949346E-3"/>
        </c:manualLayout>
      </c:layout>
    </c:title>
    <c:plotArea>
      <c:layout>
        <c:manualLayout>
          <c:layoutTarget val="inner"/>
          <c:xMode val="edge"/>
          <c:yMode val="edge"/>
          <c:x val="0.18789763374485596"/>
          <c:y val="0.14573133407009464"/>
          <c:w val="0.81210236625514398"/>
          <c:h val="0.60773452623489843"/>
        </c:manualLayout>
      </c:layout>
      <c:barChart>
        <c:barDir val="col"/>
        <c:grouping val="clustered"/>
        <c:ser>
          <c:idx val="0"/>
          <c:order val="0"/>
          <c:tx>
            <c:v>Industrija-ukupno</c:v>
          </c:tx>
          <c:cat>
            <c:strRef>
              <c:f>'Makroekonomski indikatori'!$AR$36:$BD$36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2015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indikatori'!$AR$12:$BD$12</c:f>
              <c:numCache>
                <c:formatCode>General</c:formatCode>
                <c:ptCount val="13"/>
                <c:pt idx="0">
                  <c:v>-27.9</c:v>
                </c:pt>
                <c:pt idx="1">
                  <c:v>-23.4</c:v>
                </c:pt>
                <c:pt idx="2">
                  <c:v>-26.4</c:v>
                </c:pt>
                <c:pt idx="3">
                  <c:v>-16.5</c:v>
                </c:pt>
                <c:pt idx="4">
                  <c:v>-12.7</c:v>
                </c:pt>
                <c:pt idx="5">
                  <c:v>7.5</c:v>
                </c:pt>
                <c:pt idx="6">
                  <c:v>8.2000000000000011</c:v>
                </c:pt>
                <c:pt idx="7">
                  <c:v>-19.8</c:v>
                </c:pt>
                <c:pt idx="8" formatCode="0.0">
                  <c:v>-7</c:v>
                </c:pt>
                <c:pt idx="9">
                  <c:v>-3.4</c:v>
                </c:pt>
                <c:pt idx="10">
                  <c:v>5.9</c:v>
                </c:pt>
                <c:pt idx="11">
                  <c:v>19.3</c:v>
                </c:pt>
                <c:pt idx="12">
                  <c:v>11.4</c:v>
                </c:pt>
              </c:numCache>
            </c:numRef>
          </c:val>
        </c:ser>
        <c:ser>
          <c:idx val="1"/>
          <c:order val="1"/>
          <c:tx>
            <c:strRef>
              <c:f>'Makroekonomski indikatori'!$C$14</c:f>
              <c:strCache>
                <c:ptCount val="1"/>
                <c:pt idx="0">
                  <c:v>Prerađivačka industrija</c:v>
                </c:pt>
              </c:strCache>
            </c:strRef>
          </c:tx>
          <c:cat>
            <c:strRef>
              <c:f>'Makroekonomski indikatori'!$AR$36:$BD$36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2015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indikatori'!$AR$14:$BD$14</c:f>
              <c:numCache>
                <c:formatCode>General</c:formatCode>
                <c:ptCount val="13"/>
                <c:pt idx="0">
                  <c:v>-12.2</c:v>
                </c:pt>
                <c:pt idx="1">
                  <c:v>-10.9</c:v>
                </c:pt>
                <c:pt idx="2">
                  <c:v>-5</c:v>
                </c:pt>
                <c:pt idx="3">
                  <c:v>-24.6</c:v>
                </c:pt>
                <c:pt idx="4">
                  <c:v>-19.7</c:v>
                </c:pt>
                <c:pt idx="5">
                  <c:v>-3.2</c:v>
                </c:pt>
                <c:pt idx="6">
                  <c:v>0.30000000000000032</c:v>
                </c:pt>
                <c:pt idx="7">
                  <c:v>-18.100000000000001</c:v>
                </c:pt>
                <c:pt idx="8">
                  <c:v>-20.5</c:v>
                </c:pt>
                <c:pt idx="9">
                  <c:v>-13.2</c:v>
                </c:pt>
                <c:pt idx="10">
                  <c:v>13.8</c:v>
                </c:pt>
                <c:pt idx="11">
                  <c:v>9.2000000000000011</c:v>
                </c:pt>
                <c:pt idx="12">
                  <c:v>40.5</c:v>
                </c:pt>
              </c:numCache>
            </c:numRef>
          </c:val>
        </c:ser>
        <c:gapWidth val="14"/>
        <c:axId val="98650368"/>
        <c:axId val="98652160"/>
      </c:barChart>
      <c:catAx>
        <c:axId val="9865036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8652160"/>
        <c:crosses val="autoZero"/>
        <c:auto val="1"/>
        <c:lblAlgn val="ctr"/>
        <c:lblOffset val="100"/>
      </c:catAx>
      <c:valAx>
        <c:axId val="98652160"/>
        <c:scaling>
          <c:orientation val="minMax"/>
          <c:min val="-30"/>
        </c:scaling>
        <c:axPos val="l"/>
        <c:numFmt formatCode="#,##0.0" sourceLinked="0"/>
        <c:majorTickMark val="none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8650368"/>
        <c:crosses val="autoZero"/>
        <c:crossBetween val="between"/>
        <c:majorUnit val="15"/>
      </c:valAx>
    </c:plotArea>
    <c:legend>
      <c:legendPos val="b"/>
      <c:layout>
        <c:manualLayout>
          <c:xMode val="edge"/>
          <c:yMode val="edge"/>
          <c:x val="5.0000116888247834E-2"/>
          <c:y val="0.86425053717471434"/>
          <c:w val="0.89999976622350986"/>
          <c:h val="0.13574946282529063"/>
        </c:manualLayout>
      </c:layout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4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CPI-</a:t>
            </a:r>
            <a:r>
              <a:rPr lang="sr-Latn-CS" sz="1000"/>
              <a:t>godišnje stope rasta, %</a:t>
            </a:r>
            <a:endParaRPr lang="en-US" sz="10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'Makroekonomski indikatori'!$C$24</c:f>
              <c:strCache>
                <c:ptCount val="1"/>
                <c:pt idx="0">
                  <c:v>CPI-godišnje stope rasta</c:v>
                </c:pt>
              </c:strCache>
            </c:strRef>
          </c:tx>
          <c:dLbls>
            <c:txPr>
              <a:bodyPr/>
              <a:lstStyle/>
              <a:p>
                <a:pPr>
                  <a:defRPr lang="sr-Latn-CS" sz="700"/>
                </a:pPr>
                <a:endParaRPr lang="sr-Latn-CS"/>
              </a:p>
            </c:txPr>
            <c:showVal val="1"/>
          </c:dLbls>
          <c:cat>
            <c:strRef>
              <c:f>'Makroekonomski indikatori'!$AR$36:$BD$36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2015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indikatori'!$AR$24:$BD$24</c:f>
              <c:numCache>
                <c:formatCode>0.0</c:formatCode>
                <c:ptCount val="13"/>
                <c:pt idx="0">
                  <c:v>-1.4</c:v>
                </c:pt>
                <c:pt idx="1">
                  <c:v>-1.3</c:v>
                </c:pt>
                <c:pt idx="2">
                  <c:v>-0.1</c:v>
                </c:pt>
                <c:pt idx="3">
                  <c:v>-1.2</c:v>
                </c:pt>
                <c:pt idx="4">
                  <c:v>-1.1000000000000001</c:v>
                </c:pt>
                <c:pt idx="5">
                  <c:v>-0.70000000000000062</c:v>
                </c:pt>
                <c:pt idx="6">
                  <c:v>-0.5</c:v>
                </c:pt>
                <c:pt idx="7">
                  <c:v>0</c:v>
                </c:pt>
                <c:pt idx="8">
                  <c:v>-0.30000000000000032</c:v>
                </c:pt>
                <c:pt idx="9">
                  <c:v>0.2</c:v>
                </c:pt>
                <c:pt idx="10">
                  <c:v>0.60000000000000064</c:v>
                </c:pt>
                <c:pt idx="11" formatCode="General">
                  <c:v>1.6</c:v>
                </c:pt>
                <c:pt idx="12" formatCode="General">
                  <c:v>2.1</c:v>
                </c:pt>
              </c:numCache>
            </c:numRef>
          </c:val>
        </c:ser>
        <c:gapWidth val="64"/>
        <c:axId val="99885056"/>
        <c:axId val="99886592"/>
      </c:barChart>
      <c:catAx>
        <c:axId val="99885056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9886592"/>
        <c:crosses val="autoZero"/>
        <c:auto val="1"/>
        <c:lblAlgn val="ctr"/>
        <c:lblOffset val="100"/>
      </c:catAx>
      <c:valAx>
        <c:axId val="99886592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98850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20690334374070118"/>
          <c:y val="5.9332530052960721E-2"/>
          <c:w val="0.57290386776832869"/>
          <c:h val="0.70512943570189957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indikatori'!$AQ$10:$BC$10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2015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indikatori'!$AQ$22:$BC$22</c:f>
              <c:numCache>
                <c:formatCode>#,##0</c:formatCode>
                <c:ptCount val="13"/>
                <c:pt idx="0">
                  <c:v>172202</c:v>
                </c:pt>
                <c:pt idx="1">
                  <c:v>174917</c:v>
                </c:pt>
                <c:pt idx="2">
                  <c:v>179774</c:v>
                </c:pt>
                <c:pt idx="3">
                  <c:v>181408</c:v>
                </c:pt>
                <c:pt idx="4">
                  <c:v>178558</c:v>
                </c:pt>
                <c:pt idx="5">
                  <c:v>173942</c:v>
                </c:pt>
                <c:pt idx="6">
                  <c:v>172306</c:v>
                </c:pt>
                <c:pt idx="7">
                  <c:v>172273</c:v>
                </c:pt>
                <c:pt idx="8">
                  <c:v>171158</c:v>
                </c:pt>
                <c:pt idx="9">
                  <c:v>169719</c:v>
                </c:pt>
                <c:pt idx="10">
                  <c:v>170486</c:v>
                </c:pt>
                <c:pt idx="11">
                  <c:v>171855</c:v>
                </c:pt>
                <c:pt idx="12">
                  <c:v>174208</c:v>
                </c:pt>
              </c:numCache>
            </c:numRef>
          </c:val>
        </c:ser>
        <c:marker val="1"/>
        <c:axId val="99904128"/>
        <c:axId val="99914112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indikatori'!$AQ$10:$BC$10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2015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indikatori'!$AQ$23:$BC$23</c:f>
              <c:numCache>
                <c:formatCode>#,##0</c:formatCode>
                <c:ptCount val="13"/>
                <c:pt idx="0">
                  <c:v>33906</c:v>
                </c:pt>
                <c:pt idx="1">
                  <c:v>32763</c:v>
                </c:pt>
                <c:pt idx="2">
                  <c:v>31548</c:v>
                </c:pt>
                <c:pt idx="3">
                  <c:v>31115</c:v>
                </c:pt>
                <c:pt idx="4">
                  <c:v>31163</c:v>
                </c:pt>
                <c:pt idx="5">
                  <c:v>31548</c:v>
                </c:pt>
                <c:pt idx="6">
                  <c:v>33744</c:v>
                </c:pt>
                <c:pt idx="7">
                  <c:v>34733</c:v>
                </c:pt>
                <c:pt idx="8">
                  <c:v>34687</c:v>
                </c:pt>
                <c:pt idx="9">
                  <c:v>35152</c:v>
                </c:pt>
                <c:pt idx="10">
                  <c:v>35172</c:v>
                </c:pt>
                <c:pt idx="11">
                  <c:v>34903</c:v>
                </c:pt>
                <c:pt idx="12">
                  <c:v>33975</c:v>
                </c:pt>
              </c:numCache>
            </c:numRef>
          </c:val>
        </c:ser>
        <c:marker val="1"/>
        <c:axId val="99963264"/>
        <c:axId val="99916032"/>
      </c:lineChart>
      <c:catAx>
        <c:axId val="9990412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9914112"/>
        <c:crosses val="autoZero"/>
        <c:auto val="1"/>
        <c:lblAlgn val="ctr"/>
        <c:lblOffset val="100"/>
      </c:catAx>
      <c:valAx>
        <c:axId val="99914112"/>
        <c:scaling>
          <c:orientation val="minMax"/>
          <c:min val="164000"/>
        </c:scaling>
        <c:axPos val="l"/>
        <c:majorGridlines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9904128"/>
        <c:crosses val="autoZero"/>
        <c:crossBetween val="between"/>
        <c:dispUnits>
          <c:builtInUnit val="thousands"/>
        </c:dispUnits>
      </c:valAx>
      <c:valAx>
        <c:axId val="99916032"/>
        <c:scaling>
          <c:orientation val="maxMin"/>
          <c:max val="36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9963264"/>
        <c:crosses val="max"/>
        <c:crossBetween val="between"/>
        <c:dispUnits>
          <c:builtInUnit val="thousands"/>
        </c:dispUnits>
      </c:valAx>
      <c:catAx>
        <c:axId val="99963264"/>
        <c:scaling>
          <c:orientation val="minMax"/>
        </c:scaling>
        <c:delete val="1"/>
        <c:axPos val="t"/>
        <c:tickLblPos val="none"/>
        <c:crossAx val="99916032"/>
        <c:crosses val="autoZero"/>
        <c:auto val="1"/>
        <c:lblAlgn val="ctr"/>
        <c:lblOffset val="100"/>
      </c:catAx>
    </c:plotArea>
    <c:plotVisOnly val="1"/>
  </c:chart>
  <c:spPr>
    <a:noFill/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2116885389326336"/>
          <c:y val="5.1400554097404488E-2"/>
          <c:w val="0.77713429571303561"/>
          <c:h val="0.68233483635060665"/>
        </c:manualLayout>
      </c:layout>
      <c:barChart>
        <c:barDir val="col"/>
        <c:grouping val="clustered"/>
        <c:ser>
          <c:idx val="2"/>
          <c:order val="2"/>
          <c:tx>
            <c:v>suficit/deficit budžeta</c:v>
          </c:tx>
          <c:spPr>
            <a:solidFill>
              <a:schemeClr val="bg2"/>
            </a:solidFill>
            <a:ln>
              <a:solidFill>
                <a:srgbClr val="C00000"/>
              </a:solidFill>
            </a:ln>
          </c:spPr>
          <c:cat>
            <c:strRef>
              <c:f>'Fiskalni indikatori'!$AE$3:$AQ$3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'Fiskalni indikatori'!$AE$17:$AQ$17</c:f>
              <c:numCache>
                <c:formatCode>0.00,,</c:formatCode>
                <c:ptCount val="13"/>
                <c:pt idx="0">
                  <c:v>-14958813.710000005</c:v>
                </c:pt>
                <c:pt idx="1">
                  <c:v>-5517055.7200000286</c:v>
                </c:pt>
                <c:pt idx="2">
                  <c:v>-5364283.7200000435</c:v>
                </c:pt>
                <c:pt idx="3">
                  <c:v>2502365.0199999809</c:v>
                </c:pt>
                <c:pt idx="4">
                  <c:v>10463853.719999975</c:v>
                </c:pt>
                <c:pt idx="5">
                  <c:v>-4187715.1499999911</c:v>
                </c:pt>
                <c:pt idx="6">
                  <c:v>-1436809.9499999583</c:v>
                </c:pt>
                <c:pt idx="7">
                  <c:v>-12887782.269999981</c:v>
                </c:pt>
                <c:pt idx="8">
                  <c:v>-18669590.289999932</c:v>
                </c:pt>
                <c:pt idx="9">
                  <c:v>-21938190.850000039</c:v>
                </c:pt>
                <c:pt idx="10">
                  <c:v>-21306460.860000044</c:v>
                </c:pt>
                <c:pt idx="11">
                  <c:v>-10982931.670000045</c:v>
                </c:pt>
                <c:pt idx="12">
                  <c:v>-10338147.210000023</c:v>
                </c:pt>
              </c:numCache>
            </c:numRef>
          </c:val>
        </c:ser>
        <c:axId val="100142464"/>
        <c:axId val="100140928"/>
      </c:barChart>
      <c:lineChart>
        <c:grouping val="standard"/>
        <c:ser>
          <c:idx val="0"/>
          <c:order val="0"/>
          <c:tx>
            <c:v>rashodi budžeta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'Fiskalni indikatori'!$AE$3:$AQ$3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'Fiskalni indikatori'!$AE$4:$AQ$4</c:f>
              <c:numCache>
                <c:formatCode>0.00,,</c:formatCode>
                <c:ptCount val="13"/>
                <c:pt idx="0">
                  <c:v>109084385.14999999</c:v>
                </c:pt>
                <c:pt idx="1">
                  <c:v>102078548.78</c:v>
                </c:pt>
                <c:pt idx="2">
                  <c:v>109931818.73999999</c:v>
                </c:pt>
                <c:pt idx="3">
                  <c:v>120720236.03</c:v>
                </c:pt>
                <c:pt idx="4">
                  <c:v>126556297.33</c:v>
                </c:pt>
                <c:pt idx="5">
                  <c:v>117901924.08</c:v>
                </c:pt>
                <c:pt idx="6">
                  <c:v>158210534.23999998</c:v>
                </c:pt>
                <c:pt idx="7">
                  <c:v>98496460.13000001</c:v>
                </c:pt>
                <c:pt idx="8">
                  <c:v>155249038.93000001</c:v>
                </c:pt>
                <c:pt idx="9">
                  <c:v>71181389.560000002</c:v>
                </c:pt>
                <c:pt idx="10">
                  <c:v>86772014.340000033</c:v>
                </c:pt>
                <c:pt idx="11">
                  <c:v>100279648.52</c:v>
                </c:pt>
                <c:pt idx="12">
                  <c:v>111515630.59</c:v>
                </c:pt>
              </c:numCache>
            </c:numRef>
          </c:val>
          <c:smooth val="1"/>
        </c:ser>
        <c:ser>
          <c:idx val="1"/>
          <c:order val="1"/>
          <c:tx>
            <c:v>prihodi budžeta</c:v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strRef>
              <c:f>'Fiskalni indikatori'!$AE$3:$AQ$3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'Fiskalni indikatori'!$AE$10:$AQ$10</c:f>
              <c:numCache>
                <c:formatCode>0.00,,</c:formatCode>
                <c:ptCount val="13"/>
                <c:pt idx="0">
                  <c:v>124043198.86</c:v>
                </c:pt>
                <c:pt idx="1">
                  <c:v>107595604.50000003</c:v>
                </c:pt>
                <c:pt idx="2">
                  <c:v>115296102.46000005</c:v>
                </c:pt>
                <c:pt idx="3">
                  <c:v>118217871.01000002</c:v>
                </c:pt>
                <c:pt idx="4">
                  <c:v>116092443.61000001</c:v>
                </c:pt>
                <c:pt idx="5">
                  <c:v>122089639.22999999</c:v>
                </c:pt>
                <c:pt idx="6">
                  <c:v>159647344.19</c:v>
                </c:pt>
                <c:pt idx="7">
                  <c:v>111384242.39999999</c:v>
                </c:pt>
                <c:pt idx="8">
                  <c:v>173918629.21999988</c:v>
                </c:pt>
                <c:pt idx="9">
                  <c:v>93119537.460000023</c:v>
                </c:pt>
                <c:pt idx="10">
                  <c:v>108057426.51000005</c:v>
                </c:pt>
                <c:pt idx="11">
                  <c:v>111313688.47000001</c:v>
                </c:pt>
                <c:pt idx="12">
                  <c:v>121853777.80000003</c:v>
                </c:pt>
              </c:numCache>
            </c:numRef>
          </c:val>
          <c:smooth val="1"/>
        </c:ser>
        <c:marker val="1"/>
        <c:axId val="100067968"/>
        <c:axId val="100139392"/>
      </c:lineChart>
      <c:catAx>
        <c:axId val="1000679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800"/>
            </a:pPr>
            <a:endParaRPr lang="sr-Latn-CS"/>
          </a:p>
        </c:txPr>
        <c:crossAx val="100139392"/>
        <c:crosses val="autoZero"/>
        <c:auto val="1"/>
        <c:lblAlgn val="ctr"/>
        <c:lblOffset val="100"/>
        <c:tickLblSkip val="3"/>
      </c:catAx>
      <c:valAx>
        <c:axId val="100139392"/>
        <c:scaling>
          <c:orientation val="minMax"/>
          <c:max val="180000000"/>
          <c:min val="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,," sourceLinked="0"/>
        <c:tickLblPos val="nextTo"/>
        <c:txPr>
          <a:bodyPr/>
          <a:lstStyle/>
          <a:p>
            <a:pPr>
              <a:defRPr lang="sr-Latn-CS" sz="800"/>
            </a:pPr>
            <a:endParaRPr lang="sr-Latn-CS"/>
          </a:p>
        </c:txPr>
        <c:crossAx val="100067968"/>
        <c:crosses val="autoZero"/>
        <c:crossBetween val="between"/>
        <c:majorUnit val="30000000"/>
      </c:valAx>
      <c:valAx>
        <c:axId val="100140928"/>
        <c:scaling>
          <c:orientation val="minMax"/>
          <c:max val="60000000"/>
          <c:min val="-3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 sz="800"/>
            </a:pPr>
            <a:endParaRPr lang="sr-Latn-CS"/>
          </a:p>
        </c:txPr>
        <c:crossAx val="100142464"/>
        <c:crosses val="max"/>
        <c:crossBetween val="between"/>
        <c:majorUnit val="20000000"/>
      </c:valAx>
      <c:catAx>
        <c:axId val="100142464"/>
        <c:scaling>
          <c:orientation val="minMax"/>
        </c:scaling>
        <c:delete val="1"/>
        <c:axPos val="b"/>
        <c:numFmt formatCode="General" sourceLinked="1"/>
        <c:tickLblPos val="none"/>
        <c:crossAx val="10014092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1.6442925766354841E-2"/>
          <c:y val="0.83278473993567703"/>
          <c:w val="0.97443747833409111"/>
          <c:h val="0.16721526006432802"/>
        </c:manualLayout>
      </c:layout>
      <c:txPr>
        <a:bodyPr/>
        <a:lstStyle/>
        <a:p>
          <a:pPr>
            <a:defRPr lang="sr-Latn-CS" sz="8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1000"/>
            </a:pPr>
            <a:r>
              <a:rPr lang="x-none" sz="1000"/>
              <a:t> Kamatni spred, %.</a:t>
            </a:r>
            <a:endParaRPr lang="en-US" sz="1000"/>
          </a:p>
        </c:rich>
      </c:tx>
      <c:layout>
        <c:manualLayout>
          <c:xMode val="edge"/>
          <c:yMode val="edge"/>
          <c:x val="0.23653732727285992"/>
          <c:y val="1.9947272433923711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tx>
            <c:v>aktivne stope</c:v>
          </c:tx>
          <c:spPr>
            <a:solidFill>
              <a:srgbClr val="92D050"/>
            </a:solidFill>
            <a:ln>
              <a:noFill/>
            </a:ln>
          </c:spPr>
          <c:cat>
            <c:strRef>
              <c:f>'Database za makro'!$AT$53:$BF$53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'Database za makro'!$AT$37:$BF$37</c:f>
              <c:numCache>
                <c:formatCode>0.00</c:formatCode>
                <c:ptCount val="13"/>
                <c:pt idx="0">
                  <c:v>9.4500000000000028</c:v>
                </c:pt>
                <c:pt idx="1">
                  <c:v>9.51</c:v>
                </c:pt>
                <c:pt idx="2">
                  <c:v>9.5400000000000009</c:v>
                </c:pt>
                <c:pt idx="3">
                  <c:v>9.5500000000000007</c:v>
                </c:pt>
                <c:pt idx="4">
                  <c:v>9.31</c:v>
                </c:pt>
                <c:pt idx="5">
                  <c:v>9.57</c:v>
                </c:pt>
                <c:pt idx="6">
                  <c:v>9.2800000000000011</c:v>
                </c:pt>
                <c:pt idx="7">
                  <c:v>9.2800000000000011</c:v>
                </c:pt>
                <c:pt idx="8">
                  <c:v>9.2199999999999989</c:v>
                </c:pt>
                <c:pt idx="9">
                  <c:v>9.2000000000000011</c:v>
                </c:pt>
                <c:pt idx="10">
                  <c:v>9.17</c:v>
                </c:pt>
                <c:pt idx="11">
                  <c:v>9.11</c:v>
                </c:pt>
                <c:pt idx="12">
                  <c:v>9.07</c:v>
                </c:pt>
              </c:numCache>
            </c:numRef>
          </c:val>
        </c:ser>
        <c:ser>
          <c:idx val="1"/>
          <c:order val="1"/>
          <c:tx>
            <c:v>pasivne stope</c:v>
          </c:tx>
          <c:cat>
            <c:strRef>
              <c:f>'Database za makro'!$AT$53:$BF$53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'Database za makro'!$AT$38:$BF$38</c:f>
              <c:numCache>
                <c:formatCode>0.00</c:formatCode>
                <c:ptCount val="13"/>
                <c:pt idx="0">
                  <c:v>2.3099999999999987</c:v>
                </c:pt>
                <c:pt idx="1">
                  <c:v>2.25</c:v>
                </c:pt>
                <c:pt idx="2">
                  <c:v>2.19</c:v>
                </c:pt>
                <c:pt idx="3">
                  <c:v>2.08</c:v>
                </c:pt>
                <c:pt idx="4">
                  <c:v>2.0099999999999998</c:v>
                </c:pt>
                <c:pt idx="5">
                  <c:v>1.9600000000000108</c:v>
                </c:pt>
                <c:pt idx="6">
                  <c:v>1.9300000000000108</c:v>
                </c:pt>
                <c:pt idx="7">
                  <c:v>1.8900000000000001</c:v>
                </c:pt>
                <c:pt idx="8">
                  <c:v>1.83</c:v>
                </c:pt>
                <c:pt idx="9">
                  <c:v>1.77</c:v>
                </c:pt>
                <c:pt idx="10">
                  <c:v>1.73</c:v>
                </c:pt>
                <c:pt idx="11">
                  <c:v>1.6600000000000001</c:v>
                </c:pt>
                <c:pt idx="12">
                  <c:v>1.59</c:v>
                </c:pt>
              </c:numCache>
            </c:numRef>
          </c:val>
        </c:ser>
        <c:gapWidth val="49"/>
        <c:axId val="100155392"/>
        <c:axId val="100156928"/>
      </c:barChart>
      <c:lineChart>
        <c:grouping val="standard"/>
        <c:ser>
          <c:idx val="2"/>
          <c:order val="2"/>
          <c:tx>
            <c:v>kamatni spred</c:v>
          </c:tx>
          <c:marker>
            <c:symbol val="none"/>
          </c:marker>
          <c:cat>
            <c:strRef>
              <c:f>'Database za makro'!$AT$53:$BF$53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'Database za makro'!$AT$54:$BF$54</c:f>
              <c:numCache>
                <c:formatCode>0.00</c:formatCode>
                <c:ptCount val="13"/>
                <c:pt idx="0">
                  <c:v>7.14</c:v>
                </c:pt>
                <c:pt idx="1">
                  <c:v>7.26</c:v>
                </c:pt>
                <c:pt idx="2">
                  <c:v>7.35</c:v>
                </c:pt>
                <c:pt idx="3">
                  <c:v>7.4700000000000024</c:v>
                </c:pt>
                <c:pt idx="4">
                  <c:v>7.3</c:v>
                </c:pt>
                <c:pt idx="5">
                  <c:v>7.6099999999999985</c:v>
                </c:pt>
                <c:pt idx="6">
                  <c:v>7.35</c:v>
                </c:pt>
                <c:pt idx="7">
                  <c:v>7.39</c:v>
                </c:pt>
                <c:pt idx="8">
                  <c:v>7.39</c:v>
                </c:pt>
                <c:pt idx="9">
                  <c:v>7.4300000000000024</c:v>
                </c:pt>
                <c:pt idx="10">
                  <c:v>7.44</c:v>
                </c:pt>
                <c:pt idx="11">
                  <c:v>7.45</c:v>
                </c:pt>
                <c:pt idx="12">
                  <c:v>7.48</c:v>
                </c:pt>
              </c:numCache>
            </c:numRef>
          </c:val>
        </c:ser>
        <c:marker val="1"/>
        <c:axId val="100155392"/>
        <c:axId val="100156928"/>
      </c:lineChart>
      <c:catAx>
        <c:axId val="100155392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00156928"/>
        <c:crosses val="autoZero"/>
        <c:auto val="1"/>
        <c:lblAlgn val="ctr"/>
        <c:lblOffset val="100"/>
      </c:catAx>
      <c:valAx>
        <c:axId val="100156928"/>
        <c:scaling>
          <c:orientation val="minMax"/>
        </c:scaling>
        <c:axPos val="l"/>
        <c:numFmt formatCode="0.00" sourceLinked="1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00155392"/>
        <c:crosses val="autoZero"/>
        <c:crossBetween val="between"/>
      </c:valAx>
    </c:plotArea>
    <c:legend>
      <c:legendPos val="b"/>
      <c:txPr>
        <a:bodyPr/>
        <a:lstStyle/>
        <a:p>
          <a:pPr>
            <a:defRPr lang="sr-Latn-CS" sz="6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1200"/>
            </a:pPr>
            <a:r>
              <a:rPr lang="en-US" sz="1200"/>
              <a:t>Struktura SDI </a:t>
            </a:r>
            <a:r>
              <a:rPr lang="sr-Latn-CS" sz="800"/>
              <a:t>(mil.€)</a:t>
            </a:r>
            <a:r>
              <a:rPr lang="en-US" sz="80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9965946564371762"/>
          <c:y val="0.19696429455752215"/>
          <c:w val="0.74824465123678363"/>
          <c:h val="0.50175902540484363"/>
        </c:manualLayout>
      </c:layout>
      <c:barChart>
        <c:barDir val="col"/>
        <c:grouping val="clustered"/>
        <c:ser>
          <c:idx val="0"/>
          <c:order val="0"/>
          <c:tx>
            <c:strRef>
              <c:f>'[Copy of bop_mart_2015 1.xls]SDI 2007-2015 MART'!$K$6:$K$7</c:f>
              <c:strCache>
                <c:ptCount val="1"/>
                <c:pt idx="0">
                  <c:v>jan.-mart 2014.</c:v>
                </c:pt>
              </c:strCache>
            </c:strRef>
          </c:tx>
          <c:cat>
            <c:strRef>
              <c:f>'[Copy of bop_mart_2015 1.xls]SDI 2007-2015 MART'!$B$8:$B$11</c:f>
              <c:strCache>
                <c:ptCount val="4"/>
                <c:pt idx="0">
                  <c:v>Inv.u kompanije i banke</c:v>
                </c:pt>
                <c:pt idx="1">
                  <c:v>Interkomp. dug</c:v>
                </c:pt>
                <c:pt idx="2">
                  <c:v>Nekretnine</c:v>
                </c:pt>
                <c:pt idx="3">
                  <c:v>Ostalo</c:v>
                </c:pt>
              </c:strCache>
            </c:strRef>
          </c:cat>
          <c:val>
            <c:numRef>
              <c:f>'[Copy of bop_mart_2015 1.xls]SDI 2007-2015 MART'!$K$8:$K$11</c:f>
              <c:numCache>
                <c:formatCode>#,##0.0</c:formatCode>
                <c:ptCount val="4"/>
                <c:pt idx="0">
                  <c:v>9.9</c:v>
                </c:pt>
                <c:pt idx="1">
                  <c:v>56.2</c:v>
                </c:pt>
                <c:pt idx="2">
                  <c:v>37.6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'[Copy of bop_mart_2015 1.xls]SDI 2007-2015 MART'!$L$6:$L$7</c:f>
              <c:strCache>
                <c:ptCount val="1"/>
                <c:pt idx="0">
                  <c:v>jan.-mart 2015.*</c:v>
                </c:pt>
              </c:strCache>
            </c:strRef>
          </c:tx>
          <c:cat>
            <c:strRef>
              <c:f>'[Copy of bop_mart_2015 1.xls]SDI 2007-2015 MART'!$B$8:$B$11</c:f>
              <c:strCache>
                <c:ptCount val="4"/>
                <c:pt idx="0">
                  <c:v>Inv.u kompanije i banke</c:v>
                </c:pt>
                <c:pt idx="1">
                  <c:v>Interkomp. dug</c:v>
                </c:pt>
                <c:pt idx="2">
                  <c:v>Nekretnine</c:v>
                </c:pt>
                <c:pt idx="3">
                  <c:v>Ostalo</c:v>
                </c:pt>
              </c:strCache>
            </c:strRef>
          </c:cat>
          <c:val>
            <c:numRef>
              <c:f>'[Copy of bop_mart_2015 1.xls]SDI 2007-2015 MART'!$L$8:$L$11</c:f>
              <c:numCache>
                <c:formatCode>#,##0.0</c:formatCode>
                <c:ptCount val="4"/>
                <c:pt idx="0">
                  <c:v>17.7</c:v>
                </c:pt>
                <c:pt idx="1">
                  <c:v>45.3</c:v>
                </c:pt>
                <c:pt idx="2">
                  <c:v>34.700000000000003</c:v>
                </c:pt>
                <c:pt idx="3">
                  <c:v>2.2000000000000002</c:v>
                </c:pt>
              </c:numCache>
            </c:numRef>
          </c:val>
        </c:ser>
        <c:axId val="102766464"/>
        <c:axId val="102768000"/>
      </c:barChart>
      <c:catAx>
        <c:axId val="1027664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02768000"/>
        <c:crosses val="autoZero"/>
        <c:auto val="1"/>
        <c:lblAlgn val="ctr"/>
        <c:lblOffset val="100"/>
        <c:tickLblSkip val="1"/>
      </c:catAx>
      <c:valAx>
        <c:axId val="102768000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02766464"/>
        <c:crosses val="autoZero"/>
        <c:crossBetween val="between"/>
      </c:valAx>
      <c:spPr>
        <a:ln>
          <a:noFill/>
        </a:ln>
      </c:spPr>
    </c:plotArea>
    <c:legend>
      <c:legendPos val="tr"/>
      <c:layout>
        <c:manualLayout>
          <c:xMode val="edge"/>
          <c:yMode val="edge"/>
          <c:x val="0.61834264306705267"/>
          <c:y val="0.19938245926806319"/>
          <c:w val="0.34800861430782976"/>
          <c:h val="0.18187985935720299"/>
        </c:manualLayout>
      </c:layout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0.15807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4132" y="107545"/>
          <a:ext cx="397170" cy="183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800"/>
            <a:t>broj</a:t>
          </a:r>
          <a:r>
            <a:rPr lang="sr-Latn-CS" sz="8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0.19273</cdr:x>
      <cdr:y>0.6549</cdr:y>
    </cdr:from>
    <cdr:to>
      <cdr:x>0.64553</cdr:x>
      <cdr:y>0.78671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08018" y="1519135"/>
          <a:ext cx="958619" cy="305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</a:t>
          </a:r>
          <a:r>
            <a:rPr lang="sr-Latn-CS" sz="800" baseline="0"/>
            <a:t>nezaposlenih</a:t>
          </a:r>
          <a:endParaRPr lang="sr-Latn-C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79B5-25D5-4356-A4B0-8083C8BA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radovan.zivkovic</cp:lastModifiedBy>
  <cp:revision>68</cp:revision>
  <cp:lastPrinted>2015-06-04T13:05:00Z</cp:lastPrinted>
  <dcterms:created xsi:type="dcterms:W3CDTF">2015-05-08T12:12:00Z</dcterms:created>
  <dcterms:modified xsi:type="dcterms:W3CDTF">2015-06-09T09:33:00Z</dcterms:modified>
</cp:coreProperties>
</file>