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96" w:rsidRPr="00E97A96" w:rsidRDefault="00E97A96" w:rsidP="00AB4940">
      <w:pPr>
        <w:pStyle w:val="Title"/>
        <w:spacing w:line="276" w:lineRule="auto"/>
        <w:contextualSpacing w:val="0"/>
        <w:jc w:val="center"/>
        <w:rPr>
          <w:rFonts w:ascii="Cambria" w:hAnsi="Cambria"/>
          <w:b/>
          <w:caps/>
          <w:spacing w:val="10"/>
          <w:sz w:val="24"/>
          <w:szCs w:val="24"/>
        </w:rPr>
      </w:pPr>
      <w:bookmarkStart w:id="0" w:name="_GoBack"/>
      <w:bookmarkEnd w:id="0"/>
      <w:r w:rsidRPr="00E97A96">
        <w:rPr>
          <w:rFonts w:ascii="Cambria" w:hAnsi="Cambria"/>
          <w:b/>
          <w:caps/>
          <w:spacing w:val="10"/>
          <w:sz w:val="24"/>
          <w:szCs w:val="24"/>
        </w:rPr>
        <w:t xml:space="preserve">Report on the Central Government Debt as of 31 </w:t>
      </w:r>
      <w:r w:rsidRPr="00131C70">
        <w:rPr>
          <w:rFonts w:ascii="Cambria" w:hAnsi="Cambria"/>
          <w:b/>
          <w:caps/>
          <w:spacing w:val="10"/>
          <w:sz w:val="24"/>
          <w:szCs w:val="24"/>
        </w:rPr>
        <w:t>MARCH</w:t>
      </w:r>
      <w:r w:rsidR="003C62A6">
        <w:rPr>
          <w:rFonts w:ascii="Cambria" w:hAnsi="Cambria"/>
          <w:b/>
          <w:caps/>
          <w:spacing w:val="10"/>
          <w:sz w:val="24"/>
          <w:szCs w:val="24"/>
        </w:rPr>
        <w:t xml:space="preserve"> 2019</w:t>
      </w:r>
    </w:p>
    <w:p w:rsidR="00E97A96" w:rsidRPr="00E97A96" w:rsidRDefault="00E97A96" w:rsidP="00E97A96">
      <w:pPr>
        <w:pStyle w:val="Title"/>
        <w:spacing w:line="276" w:lineRule="auto"/>
        <w:contextualSpacing w:val="0"/>
        <w:jc w:val="center"/>
        <w:rPr>
          <w:rFonts w:ascii="Cambria" w:hAnsi="Cambria"/>
          <w:b/>
          <w:caps/>
          <w:spacing w:val="10"/>
          <w:sz w:val="24"/>
          <w:szCs w:val="24"/>
        </w:rPr>
      </w:pPr>
    </w:p>
    <w:p w:rsidR="00CA3650" w:rsidRPr="00CA3650" w:rsidRDefault="00CA3650" w:rsidP="00CA3650">
      <w:pPr>
        <w:spacing w:after="160" w:line="259" w:lineRule="auto"/>
        <w:jc w:val="both"/>
        <w:rPr>
          <w:rFonts w:ascii="Cambria" w:eastAsia="Calibri" w:hAnsi="Cambria" w:cs="Times New Roman"/>
          <w:b/>
          <w:color w:val="1F4E79"/>
          <w:sz w:val="22"/>
          <w:szCs w:val="22"/>
        </w:rPr>
      </w:pPr>
      <w:r w:rsidRPr="00CA3650">
        <w:rPr>
          <w:rFonts w:ascii="Cambria" w:eastAsia="Calibri" w:hAnsi="Cambria" w:cs="Times New Roman"/>
          <w:sz w:val="22"/>
          <w:szCs w:val="22"/>
        </w:rPr>
        <w:t xml:space="preserve">Total Central Government debt (deposits not included) as of 31 </w:t>
      </w:r>
      <w:r w:rsidRPr="00131C70">
        <w:rPr>
          <w:rFonts w:ascii="Cambria" w:eastAsia="Calibri" w:hAnsi="Cambria" w:cs="Times New Roman"/>
          <w:sz w:val="22"/>
          <w:szCs w:val="22"/>
        </w:rPr>
        <w:t xml:space="preserve">March </w:t>
      </w:r>
      <w:r w:rsidRPr="00CA3650">
        <w:rPr>
          <w:rFonts w:ascii="Cambria" w:eastAsia="Calibri" w:hAnsi="Cambria" w:cs="Times New Roman"/>
          <w:sz w:val="22"/>
          <w:szCs w:val="22"/>
        </w:rPr>
        <w:t>2019, was 3,1</w:t>
      </w:r>
      <w:r w:rsidRPr="00131C70">
        <w:rPr>
          <w:rFonts w:ascii="Cambria" w:eastAsia="Calibri" w:hAnsi="Cambria" w:cs="Times New Roman"/>
          <w:sz w:val="22"/>
          <w:szCs w:val="22"/>
        </w:rPr>
        <w:t>79.3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8 million </w:t>
      </w:r>
      <w:r w:rsidR="00445AA2">
        <w:rPr>
          <w:rFonts w:ascii="Cambria" w:eastAsia="Calibri" w:hAnsi="Cambria" w:cs="Times New Roman"/>
          <w:sz w:val="22"/>
          <w:szCs w:val="22"/>
        </w:rPr>
        <w:t xml:space="preserve">EUR 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or </w:t>
      </w:r>
      <w:r w:rsidR="002908C9">
        <w:rPr>
          <w:rFonts w:ascii="Cambria" w:eastAsia="Calibri" w:hAnsi="Cambria" w:cs="Times New Roman"/>
          <w:sz w:val="22"/>
          <w:szCs w:val="22"/>
        </w:rPr>
        <w:t>64.22</w:t>
      </w:r>
      <w:r w:rsidRPr="00CA3650">
        <w:rPr>
          <w:rFonts w:ascii="Cambria" w:eastAsia="Calibri" w:hAnsi="Cambria" w:cs="Times New Roman"/>
          <w:sz w:val="22"/>
          <w:szCs w:val="22"/>
        </w:rPr>
        <w:t>% of GDP</w:t>
      </w:r>
      <w:r w:rsidRPr="00131C70">
        <w:rPr>
          <w:rFonts w:ascii="Cambria" w:eastAsia="Calibri" w:hAnsi="Cambria" w:cs="Times New Roman"/>
          <w:sz w:val="22"/>
          <w:szCs w:val="22"/>
          <w:vertAlign w:val="superscript"/>
        </w:rPr>
        <w:footnoteReference w:id="1"/>
      </w:r>
      <w:r w:rsidRPr="00CA3650">
        <w:rPr>
          <w:rFonts w:ascii="Cambria" w:eastAsia="Calibri" w:hAnsi="Cambria" w:cs="Times New Roman"/>
          <w:sz w:val="22"/>
          <w:szCs w:val="22"/>
        </w:rPr>
        <w:t xml:space="preserve">. Total Central Government Debt, including deposits, as of 31 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Ma</w:t>
      </w:r>
      <w:r w:rsidRPr="00CA3650">
        <w:rPr>
          <w:rFonts w:ascii="Cambria" w:eastAsia="Calibri" w:hAnsi="Cambria" w:cs="Times New Roman"/>
          <w:sz w:val="22"/>
          <w:szCs w:val="22"/>
        </w:rPr>
        <w:t>r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ch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 201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9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 was 2,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925.68</w:t>
      </w:r>
      <w:r w:rsidR="00445AA2">
        <w:rPr>
          <w:rFonts w:ascii="Cambria" w:eastAsia="Calibri" w:hAnsi="Cambria" w:cs="Times New Roman"/>
          <w:sz w:val="22"/>
          <w:szCs w:val="22"/>
        </w:rPr>
        <w:t xml:space="preserve"> million EUR</w:t>
      </w:r>
      <w:r w:rsidR="00445AA2" w:rsidRPr="00CA3650">
        <w:rPr>
          <w:rFonts w:ascii="Cambria" w:eastAsia="Calibri" w:hAnsi="Cambria" w:cs="Times New Roman"/>
          <w:sz w:val="22"/>
          <w:szCs w:val="22"/>
        </w:rPr>
        <w:t xml:space="preserve"> 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or </w:t>
      </w:r>
      <w:r w:rsidR="002908C9">
        <w:rPr>
          <w:rFonts w:ascii="Cambria" w:eastAsia="Calibri" w:hAnsi="Cambria" w:cs="Times New Roman"/>
          <w:sz w:val="22"/>
          <w:szCs w:val="22"/>
        </w:rPr>
        <w:t>59.09</w:t>
      </w:r>
      <w:r w:rsidRPr="00CA3650">
        <w:rPr>
          <w:rFonts w:ascii="Cambria" w:eastAsia="Calibri" w:hAnsi="Cambria" w:cs="Times New Roman"/>
          <w:sz w:val="22"/>
          <w:szCs w:val="22"/>
        </w:rPr>
        <w:t xml:space="preserve"> % of GDP.</w:t>
      </w:r>
    </w:p>
    <w:p w:rsidR="002378AD" w:rsidRPr="00131C70" w:rsidRDefault="00445AA2" w:rsidP="002378AD">
      <w:pPr>
        <w:spacing w:after="0" w:line="259" w:lineRule="auto"/>
        <w:jc w:val="both"/>
        <w:rPr>
          <w:rFonts w:ascii="Cambria" w:eastAsia="Calibri" w:hAnsi="Cambria" w:cs="Times New Roman"/>
          <w:sz w:val="22"/>
          <w:szCs w:val="22"/>
        </w:rPr>
      </w:pPr>
      <w:r>
        <w:rPr>
          <w:rFonts w:ascii="Cambria" w:eastAsia="Calibri" w:hAnsi="Cambria" w:cs="Times New Roman"/>
          <w:sz w:val="22"/>
          <w:szCs w:val="22"/>
        </w:rPr>
        <w:t xml:space="preserve">The foreign debt was 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2,800.74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 million</w:t>
      </w:r>
      <w:r>
        <w:rPr>
          <w:rFonts w:ascii="Cambria" w:eastAsia="Calibri" w:hAnsi="Cambria" w:cs="Times New Roman"/>
          <w:sz w:val="22"/>
          <w:szCs w:val="22"/>
        </w:rPr>
        <w:t xml:space="preserve"> EUR</w:t>
      </w:r>
      <w:r w:rsidR="00606CC6" w:rsidRPr="00131C70">
        <w:rPr>
          <w:rFonts w:ascii="Cambria" w:eastAsia="Calibri" w:hAnsi="Cambria" w:cs="Times New Roman"/>
          <w:sz w:val="22"/>
          <w:szCs w:val="22"/>
        </w:rPr>
        <w:t xml:space="preserve"> or </w:t>
      </w:r>
      <w:r w:rsidR="002908C9">
        <w:rPr>
          <w:rFonts w:ascii="Cambria" w:eastAsia="Calibri" w:hAnsi="Cambria" w:cs="Times New Roman"/>
          <w:sz w:val="22"/>
          <w:szCs w:val="22"/>
        </w:rPr>
        <w:t>56.57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% of GDP</w:t>
      </w:r>
      <w:r w:rsidR="002A1F0A">
        <w:rPr>
          <w:rFonts w:ascii="Cambria" w:eastAsia="Calibri" w:hAnsi="Cambria" w:cs="Times New Roman"/>
          <w:sz w:val="22"/>
          <w:szCs w:val="22"/>
        </w:rPr>
        <w:t>, while the domestic debt was</w:t>
      </w:r>
      <w:r>
        <w:rPr>
          <w:rFonts w:ascii="Cambria" w:eastAsia="Calibri" w:hAnsi="Cambria" w:cs="Times New Roman"/>
          <w:noProof/>
          <w:sz w:val="22"/>
          <w:szCs w:val="22"/>
          <w:lang w:eastAsia="en-GB"/>
        </w:rPr>
        <w:t xml:space="preserve"> 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378</w:t>
      </w:r>
      <w:r w:rsidR="002A1F0A">
        <w:rPr>
          <w:rFonts w:ascii="Cambria" w:eastAsia="Calibri" w:hAnsi="Cambria" w:cs="Times New Roman"/>
          <w:sz w:val="22"/>
          <w:szCs w:val="22"/>
        </w:rPr>
        <w:t>.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64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 million</w:t>
      </w:r>
      <w:r w:rsidR="00606CC6" w:rsidRPr="00131C70">
        <w:rPr>
          <w:rFonts w:ascii="Cambria" w:eastAsia="Calibri" w:hAnsi="Cambria" w:cs="Times New Roman"/>
          <w:sz w:val="22"/>
          <w:szCs w:val="22"/>
        </w:rPr>
        <w:t xml:space="preserve"> </w:t>
      </w:r>
      <w:r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Calibri" w:hAnsi="Cambria" w:cs="Times New Roman"/>
          <w:sz w:val="22"/>
          <w:szCs w:val="22"/>
        </w:rPr>
        <w:t xml:space="preserve"> </w:t>
      </w:r>
      <w:r w:rsidR="002908C9">
        <w:rPr>
          <w:rFonts w:ascii="Cambria" w:eastAsia="Calibri" w:hAnsi="Cambria" w:cs="Times New Roman"/>
          <w:sz w:val="22"/>
          <w:szCs w:val="22"/>
        </w:rPr>
        <w:t>or 7.65</w:t>
      </w:r>
      <w:r w:rsidR="00606CC6" w:rsidRPr="00131C70">
        <w:rPr>
          <w:rFonts w:ascii="Cambria" w:eastAsia="Calibri" w:hAnsi="Cambria" w:cs="Times New Roman"/>
          <w:sz w:val="22"/>
          <w:szCs w:val="22"/>
        </w:rPr>
        <w:t>% of GDP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. At the end of the </w:t>
      </w:r>
      <w:r w:rsidR="00E12EC1" w:rsidRPr="00131C70">
        <w:rPr>
          <w:rFonts w:ascii="Cambria" w:eastAsia="Calibri" w:hAnsi="Cambria" w:cs="Times New Roman"/>
          <w:sz w:val="22"/>
          <w:szCs w:val="22"/>
        </w:rPr>
        <w:t>first quarter of 2019</w:t>
      </w:r>
      <w:r w:rsidR="00FC7558">
        <w:rPr>
          <w:rFonts w:ascii="Cambria" w:eastAsia="Calibri" w:hAnsi="Cambria" w:cs="Times New Roman"/>
          <w:sz w:val="22"/>
          <w:szCs w:val="22"/>
        </w:rPr>
        <w:t xml:space="preserve">, deposits </w:t>
      </w:r>
      <w:proofErr w:type="gramStart"/>
      <w:r w:rsidR="00783946">
        <w:rPr>
          <w:rFonts w:ascii="Cambria" w:eastAsia="Calibri" w:hAnsi="Cambria" w:cs="Times New Roman"/>
          <w:sz w:val="22"/>
          <w:szCs w:val="22"/>
        </w:rPr>
        <w:t>was</w:t>
      </w:r>
      <w:proofErr w:type="gramEnd"/>
      <w:r w:rsidR="00783946">
        <w:rPr>
          <w:rFonts w:ascii="Cambria" w:eastAsia="Calibri" w:hAnsi="Cambria" w:cs="Times New Roman"/>
          <w:sz w:val="22"/>
          <w:szCs w:val="22"/>
        </w:rPr>
        <w:t xml:space="preserve"> </w:t>
      </w:r>
      <w:r w:rsidR="00E12EC1" w:rsidRPr="00131C70">
        <w:rPr>
          <w:rFonts w:ascii="Cambria" w:eastAsia="Calibri" w:hAnsi="Cambria" w:cs="Times New Roman"/>
          <w:sz w:val="22"/>
          <w:szCs w:val="22"/>
        </w:rPr>
        <w:t>253.7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 </w:t>
      </w:r>
      <w:r w:rsidR="00E12EC1" w:rsidRPr="00131C70">
        <w:rPr>
          <w:rFonts w:ascii="Cambria" w:eastAsia="Calibri" w:hAnsi="Cambria" w:cs="Times New Roman"/>
          <w:sz w:val="22"/>
          <w:szCs w:val="22"/>
        </w:rPr>
        <w:t>million</w:t>
      </w:r>
      <w:r w:rsidR="00783946">
        <w:rPr>
          <w:rFonts w:ascii="Cambria" w:eastAsia="Calibri" w:hAnsi="Cambria" w:cs="Times New Roman"/>
          <w:sz w:val="22"/>
          <w:szCs w:val="22"/>
        </w:rPr>
        <w:t xml:space="preserve"> EUR</w:t>
      </w:r>
      <w:r w:rsidR="00E12EC1" w:rsidRPr="00131C70">
        <w:rPr>
          <w:rFonts w:ascii="Cambria" w:eastAsia="Calibri" w:hAnsi="Cambria" w:cs="Times New Roman"/>
          <w:sz w:val="22"/>
          <w:szCs w:val="22"/>
        </w:rPr>
        <w:t xml:space="preserve"> or 5</w:t>
      </w:r>
      <w:r w:rsidR="00CA3650" w:rsidRPr="00CA3650">
        <w:rPr>
          <w:rFonts w:ascii="Cambria" w:eastAsia="Calibri" w:hAnsi="Cambria" w:cs="Times New Roman"/>
          <w:sz w:val="22"/>
          <w:szCs w:val="22"/>
        </w:rPr>
        <w:t>.</w:t>
      </w:r>
      <w:r w:rsidR="002908C9">
        <w:rPr>
          <w:rFonts w:ascii="Cambria" w:eastAsia="Calibri" w:hAnsi="Cambria" w:cs="Times New Roman"/>
          <w:sz w:val="22"/>
          <w:szCs w:val="22"/>
        </w:rPr>
        <w:t>12</w:t>
      </w:r>
      <w:r w:rsidR="00CA3650" w:rsidRPr="00CA3650">
        <w:rPr>
          <w:rFonts w:ascii="Cambria" w:eastAsia="Calibri" w:hAnsi="Cambria" w:cs="Times New Roman"/>
          <w:sz w:val="22"/>
          <w:szCs w:val="22"/>
        </w:rPr>
        <w:t xml:space="preserve"> % of GDP.</w:t>
      </w:r>
    </w:p>
    <w:p w:rsidR="00C61088" w:rsidRPr="00131C70" w:rsidRDefault="00C61088" w:rsidP="002378AD">
      <w:pPr>
        <w:spacing w:after="0" w:line="259" w:lineRule="auto"/>
        <w:jc w:val="both"/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</w:pPr>
    </w:p>
    <w:p w:rsidR="00C61088" w:rsidRPr="00131C70" w:rsidRDefault="00C61088" w:rsidP="00C1597A">
      <w:pPr>
        <w:spacing w:after="0" w:line="240" w:lineRule="auto"/>
        <w:jc w:val="both"/>
        <w:rPr>
          <w:rFonts w:ascii="Cambria" w:eastAsia="Calibri" w:hAnsi="Cambria" w:cs="Times New Roman"/>
          <w:sz w:val="22"/>
          <w:szCs w:val="22"/>
        </w:rPr>
      </w:pP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 xml:space="preserve">Table </w:t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begin"/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instrText xml:space="preserve"> SEQ Table \* ARABIC </w:instrText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separate"/>
      </w:r>
      <w:r w:rsidR="00B45802">
        <w:rPr>
          <w:rFonts w:ascii="Cambria" w:eastAsiaTheme="majorEastAsia" w:hAnsi="Cambria" w:cstheme="majorBidi"/>
          <w:b/>
          <w:caps/>
          <w:noProof/>
          <w:color w:val="F8B323" w:themeColor="accent1"/>
          <w:spacing w:val="10"/>
        </w:rPr>
        <w:t>1</w:t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end"/>
      </w:r>
      <w:r w:rsidRPr="00E12EC1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 xml:space="preserve"> Government debt stock, in million eu</w:t>
      </w:r>
      <w:r w:rsidR="00783946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>r</w:t>
      </w:r>
    </w:p>
    <w:tbl>
      <w:tblPr>
        <w:tblStyle w:val="GridTable6Colorful-Accent3"/>
        <w:tblpPr w:leftFromText="180" w:rightFromText="180" w:vertAnchor="text" w:horzAnchor="margin" w:tblpY="356"/>
        <w:tblW w:w="9005" w:type="dxa"/>
        <w:tblLook w:val="04A0" w:firstRow="1" w:lastRow="0" w:firstColumn="1" w:lastColumn="0" w:noHBand="0" w:noVBand="1"/>
      </w:tblPr>
      <w:tblGrid>
        <w:gridCol w:w="5793"/>
        <w:gridCol w:w="1609"/>
        <w:gridCol w:w="1603"/>
      </w:tblGrid>
      <w:tr w:rsidR="00C1597A" w:rsidRPr="00131C70" w:rsidTr="00753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Creditor</w:t>
            </w:r>
          </w:p>
        </w:tc>
        <w:tc>
          <w:tcPr>
            <w:tcW w:w="1609" w:type="dxa"/>
            <w:hideMark/>
          </w:tcPr>
          <w:p w:rsidR="00C1597A" w:rsidRPr="00131C70" w:rsidRDefault="00C1597A" w:rsidP="00FF1C5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31.12.2018</w:t>
            </w:r>
          </w:p>
        </w:tc>
        <w:tc>
          <w:tcPr>
            <w:tcW w:w="1603" w:type="dxa"/>
            <w:hideMark/>
          </w:tcPr>
          <w:p w:rsidR="00C1597A" w:rsidRPr="00131C70" w:rsidRDefault="00C1597A" w:rsidP="00FF1C5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31.03.20</w:t>
            </w:r>
            <w:r w:rsidR="00C70640" w:rsidRPr="00131C70">
              <w:rPr>
                <w:rFonts w:ascii="Cambria" w:hAnsi="Cambria"/>
                <w:color w:val="0D0D0D" w:themeColor="text1" w:themeTint="F2"/>
              </w:rPr>
              <w:t>19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International Bank for Reconstruction and Development (IBRD)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189.45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189.17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Member states of the Paris Club of Creditors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83.47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81.02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International Development Association (IDA)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38.40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38.73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European Investment Bank (EIB)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115.71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114.77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European Bank for Reconstruction and Development (EBRD)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15.88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17.19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Council of Europe Development Bank (CEB)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23.74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23.74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European Commission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0.60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0.60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Reconstruction Credit Bank (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KfW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) – Germany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43.45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42.32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Loan from the Government of Hungary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4.23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3.75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Loan from the Government of Poland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5.54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5.54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French loan – NATIXIS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3.87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3.82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Steiermarkische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Bank und 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Sparkassen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AG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5.50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4.40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Credit Suisse Bank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126.33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126.33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China Exim Bank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516.59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571.13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noWrap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Instituto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del 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credito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oficial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(ICO) 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2.94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2.94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Austrian loan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2.55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1.94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Eurobond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1,217.65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1,217.65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Banka Intesa 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26.67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23.33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Syndicated loan-OTP -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Erste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Group-</w:t>
            </w:r>
            <w:proofErr w:type="spellStart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Zagrebačka</w:t>
            </w:r>
            <w:proofErr w:type="spellEnd"/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 bank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64.80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56.70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FC7558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International Fund for </w:t>
            </w:r>
            <w:r w:rsidR="00FC7558">
              <w:rPr>
                <w:rFonts w:ascii="Cambria" w:hAnsi="Cambria"/>
                <w:b w:val="0"/>
                <w:color w:val="0D0D0D" w:themeColor="text1" w:themeTint="F2"/>
              </w:rPr>
              <w:t xml:space="preserve">Agricultural </w:t>
            </w: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Development </w:t>
            </w:r>
            <w:r w:rsidR="00FC7558">
              <w:rPr>
                <w:rFonts w:ascii="Cambria" w:hAnsi="Cambria"/>
                <w:b w:val="0"/>
                <w:color w:val="0D0D0D" w:themeColor="text1" w:themeTint="F2"/>
              </w:rPr>
              <w:t>(</w:t>
            </w: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IFAD</w:t>
            </w:r>
            <w:r w:rsidR="00FC7558">
              <w:rPr>
                <w:rFonts w:ascii="Cambria" w:hAnsi="Cambria"/>
                <w:b w:val="0"/>
                <w:color w:val="0D0D0D" w:themeColor="text1" w:themeTint="F2"/>
              </w:rPr>
              <w:t>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1.15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1.51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 xml:space="preserve">Export Development Canada EDC </w:t>
            </w:r>
            <w:r w:rsidR="00FC7558">
              <w:rPr>
                <w:rFonts w:ascii="Cambria" w:hAnsi="Cambria"/>
                <w:b w:val="0"/>
                <w:color w:val="0D0D0D" w:themeColor="text1" w:themeTint="F2"/>
              </w:rPr>
              <w:t>- Helicopters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21.49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24.16</w:t>
            </w:r>
          </w:p>
        </w:tc>
      </w:tr>
      <w:tr w:rsidR="00C1597A" w:rsidRPr="00131C70" w:rsidTr="0000553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Syndicated loan PBG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250.00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250.00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noWrap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Foreign Debt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2,760.00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2,800.74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Old currency savings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11.90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11.71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Restitution obligations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86.60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87.34</w:t>
            </w:r>
          </w:p>
        </w:tc>
      </w:tr>
      <w:tr w:rsidR="00C1597A" w:rsidRPr="00131C70" w:rsidTr="00005534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Credit from commercial banks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92.65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84.91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Pension arrears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1.91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1.91</w:t>
            </w:r>
          </w:p>
        </w:tc>
      </w:tr>
      <w:tr w:rsidR="00C1597A" w:rsidRPr="00131C70" w:rsidTr="00005534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T bills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77.00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72.00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Domestic bonds - GB16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80.41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80.41</w:t>
            </w:r>
          </w:p>
        </w:tc>
      </w:tr>
      <w:tr w:rsidR="00C1597A" w:rsidRPr="00131C70" w:rsidTr="0000553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Legal persons and business organizations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42.51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40.36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noWrap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Domestic Debt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392.98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378.64</w:t>
            </w:r>
          </w:p>
        </w:tc>
      </w:tr>
      <w:tr w:rsidR="00C1597A" w:rsidRPr="00131C70" w:rsidTr="0000553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noWrap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CENTRAL GOVERNMENT DEBT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3,152.98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3,179.38</w:t>
            </w:r>
          </w:p>
        </w:tc>
      </w:tr>
      <w:tr w:rsidR="00C1597A" w:rsidRPr="00131C70" w:rsidTr="00005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noWrap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b w:val="0"/>
                <w:color w:val="0D0D0D" w:themeColor="text1" w:themeTint="F2"/>
              </w:rPr>
            </w:pPr>
            <w:r w:rsidRPr="00131C70">
              <w:rPr>
                <w:rFonts w:ascii="Cambria" w:hAnsi="Cambria"/>
                <w:b w:val="0"/>
                <w:color w:val="0D0D0D" w:themeColor="text1" w:themeTint="F2"/>
              </w:rPr>
              <w:t>Deposits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276.83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253.70</w:t>
            </w:r>
          </w:p>
        </w:tc>
      </w:tr>
      <w:tr w:rsidR="00C1597A" w:rsidRPr="00131C70" w:rsidTr="00005534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3" w:type="dxa"/>
            <w:noWrap/>
            <w:hideMark/>
          </w:tcPr>
          <w:p w:rsidR="00C1597A" w:rsidRPr="00131C70" w:rsidRDefault="00C1597A" w:rsidP="00C1597A">
            <w:pPr>
              <w:keepNext/>
              <w:jc w:val="both"/>
              <w:rPr>
                <w:rFonts w:ascii="Cambria" w:hAnsi="Cambria"/>
                <w:color w:val="0D0D0D" w:themeColor="text1" w:themeTint="F2"/>
              </w:rPr>
            </w:pPr>
            <w:r w:rsidRPr="00131C70">
              <w:rPr>
                <w:rFonts w:ascii="Cambria" w:hAnsi="Cambria"/>
                <w:color w:val="0D0D0D" w:themeColor="text1" w:themeTint="F2"/>
              </w:rPr>
              <w:t>TOTAL CENTRAL GOVERNMENT DEBT (including deposits)</w:t>
            </w:r>
          </w:p>
        </w:tc>
        <w:tc>
          <w:tcPr>
            <w:tcW w:w="1609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2,876.15</w:t>
            </w:r>
          </w:p>
        </w:tc>
        <w:tc>
          <w:tcPr>
            <w:tcW w:w="1603" w:type="dxa"/>
            <w:noWrap/>
            <w:vAlign w:val="center"/>
            <w:hideMark/>
          </w:tcPr>
          <w:p w:rsidR="00C1597A" w:rsidRPr="00131C70" w:rsidRDefault="00C1597A" w:rsidP="00005534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D0D0D" w:themeColor="text1" w:themeTint="F2"/>
              </w:rPr>
            </w:pPr>
            <w:r w:rsidRPr="00131C70">
              <w:rPr>
                <w:rFonts w:ascii="Cambria" w:hAnsi="Cambria"/>
                <w:b/>
                <w:color w:val="0D0D0D" w:themeColor="text1" w:themeTint="F2"/>
              </w:rPr>
              <w:t>2,925.68</w:t>
            </w:r>
          </w:p>
        </w:tc>
      </w:tr>
    </w:tbl>
    <w:p w:rsidR="00C61088" w:rsidRPr="00131C70" w:rsidRDefault="00C61088" w:rsidP="002378AD">
      <w:pPr>
        <w:spacing w:after="0" w:line="259" w:lineRule="auto"/>
        <w:jc w:val="both"/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</w:pPr>
    </w:p>
    <w:p w:rsidR="001F7402" w:rsidRPr="00B63CEF" w:rsidRDefault="00BE52E4" w:rsidP="001F7402">
      <w:pPr>
        <w:tabs>
          <w:tab w:val="center" w:pos="4536"/>
        </w:tabs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</w:pP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lastRenderedPageBreak/>
        <w:t xml:space="preserve">Table </w:t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begin"/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instrText xml:space="preserve"> SEQ Table \* ARABIC </w:instrText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separate"/>
      </w:r>
      <w:r w:rsidR="00B45802">
        <w:rPr>
          <w:rFonts w:ascii="Cambria" w:eastAsiaTheme="majorEastAsia" w:hAnsi="Cambria" w:cstheme="majorBidi"/>
          <w:b/>
          <w:caps/>
          <w:noProof/>
          <w:color w:val="F8B323" w:themeColor="accent1"/>
          <w:spacing w:val="10"/>
        </w:rPr>
        <w:t>2</w:t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fldChar w:fldCharType="end"/>
      </w:r>
      <w:r w:rsidRPr="00B63CEF">
        <w:rPr>
          <w:rFonts w:ascii="Cambria" w:eastAsiaTheme="majorEastAsia" w:hAnsi="Cambria" w:cstheme="majorBidi"/>
          <w:b/>
          <w:caps/>
          <w:color w:val="F8B323" w:themeColor="accent1"/>
          <w:spacing w:val="10"/>
        </w:rPr>
        <w:t xml:space="preserve"> Central Government Debt as % of GDP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6130"/>
        <w:gridCol w:w="1257"/>
        <w:gridCol w:w="1675"/>
      </w:tblGrid>
      <w:tr w:rsidR="00BE52E4" w:rsidRPr="00131C70" w:rsidTr="003B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hideMark/>
          </w:tcPr>
          <w:p w:rsidR="00D5227F" w:rsidRPr="00D5227F" w:rsidRDefault="00D5227F" w:rsidP="00D5227F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 </w:t>
            </w:r>
          </w:p>
        </w:tc>
        <w:tc>
          <w:tcPr>
            <w:tcW w:w="694" w:type="pct"/>
            <w:noWrap/>
            <w:hideMark/>
          </w:tcPr>
          <w:p w:rsidR="00D5227F" w:rsidRPr="00D5227F" w:rsidRDefault="00D5227F" w:rsidP="00D52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31.12.2018</w:t>
            </w:r>
          </w:p>
        </w:tc>
        <w:tc>
          <w:tcPr>
            <w:tcW w:w="924" w:type="pct"/>
            <w:noWrap/>
            <w:hideMark/>
          </w:tcPr>
          <w:p w:rsidR="00D5227F" w:rsidRPr="00D5227F" w:rsidRDefault="00D5227F" w:rsidP="00D522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31.03.2019</w:t>
            </w:r>
          </w:p>
        </w:tc>
      </w:tr>
      <w:tr w:rsidR="003B70DE" w:rsidRPr="00131C70" w:rsidTr="003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3B70DE" w:rsidRPr="00D5227F" w:rsidRDefault="003B70DE" w:rsidP="003B70DE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Total Central Government Debt as % of GDP</w:t>
            </w:r>
          </w:p>
        </w:tc>
        <w:tc>
          <w:tcPr>
            <w:tcW w:w="694" w:type="pct"/>
            <w:noWrap/>
            <w:hideMark/>
          </w:tcPr>
          <w:p w:rsidR="003B70DE" w:rsidRPr="00D5227F" w:rsidRDefault="003B70DE" w:rsidP="003B7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68.26%</w:t>
            </w:r>
          </w:p>
        </w:tc>
        <w:tc>
          <w:tcPr>
            <w:tcW w:w="924" w:type="pct"/>
            <w:noWrap/>
            <w:hideMark/>
          </w:tcPr>
          <w:p w:rsidR="003B70DE" w:rsidRPr="003B70DE" w:rsidRDefault="003B70DE" w:rsidP="003B7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3B70D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64.22%</w:t>
            </w:r>
          </w:p>
        </w:tc>
      </w:tr>
      <w:tr w:rsidR="003B70DE" w:rsidRPr="00131C70" w:rsidTr="003B70D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3B70DE" w:rsidRPr="00D5227F" w:rsidRDefault="003B70DE" w:rsidP="003B70DE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Total Central Government Debt (including deposits) as % of GDP</w:t>
            </w:r>
          </w:p>
        </w:tc>
        <w:tc>
          <w:tcPr>
            <w:tcW w:w="694" w:type="pct"/>
            <w:noWrap/>
            <w:hideMark/>
          </w:tcPr>
          <w:p w:rsidR="003B70DE" w:rsidRPr="00D5227F" w:rsidRDefault="003B70DE" w:rsidP="003B7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62.27%</w:t>
            </w:r>
          </w:p>
        </w:tc>
        <w:tc>
          <w:tcPr>
            <w:tcW w:w="924" w:type="pct"/>
            <w:noWrap/>
            <w:hideMark/>
          </w:tcPr>
          <w:p w:rsidR="003B70DE" w:rsidRPr="003B70DE" w:rsidRDefault="003B70DE" w:rsidP="003B7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3B70D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59.09%</w:t>
            </w:r>
          </w:p>
        </w:tc>
      </w:tr>
      <w:tr w:rsidR="003B70DE" w:rsidRPr="00131C70" w:rsidTr="003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3B70DE" w:rsidRPr="00D5227F" w:rsidRDefault="003B70DE" w:rsidP="003B70DE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Domestic Debt as % of GDP</w:t>
            </w:r>
          </w:p>
        </w:tc>
        <w:tc>
          <w:tcPr>
            <w:tcW w:w="694" w:type="pct"/>
            <w:noWrap/>
            <w:hideMark/>
          </w:tcPr>
          <w:p w:rsidR="003B70DE" w:rsidRPr="00D5227F" w:rsidRDefault="003B70DE" w:rsidP="003B7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8.51%</w:t>
            </w:r>
          </w:p>
        </w:tc>
        <w:tc>
          <w:tcPr>
            <w:tcW w:w="924" w:type="pct"/>
            <w:noWrap/>
            <w:hideMark/>
          </w:tcPr>
          <w:p w:rsidR="003B70DE" w:rsidRPr="003B70DE" w:rsidRDefault="003B70DE" w:rsidP="003B7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3B70D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7.65%</w:t>
            </w:r>
          </w:p>
        </w:tc>
      </w:tr>
      <w:tr w:rsidR="003B70DE" w:rsidRPr="00131C70" w:rsidTr="003B70D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3B70DE" w:rsidRPr="00D5227F" w:rsidRDefault="003B70DE" w:rsidP="003B70DE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Foreign Debt as % of  GDP</w:t>
            </w:r>
          </w:p>
        </w:tc>
        <w:tc>
          <w:tcPr>
            <w:tcW w:w="694" w:type="pct"/>
            <w:noWrap/>
            <w:hideMark/>
          </w:tcPr>
          <w:p w:rsidR="003B70DE" w:rsidRPr="00D5227F" w:rsidRDefault="003B70DE" w:rsidP="003B7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59.75%</w:t>
            </w:r>
          </w:p>
        </w:tc>
        <w:tc>
          <w:tcPr>
            <w:tcW w:w="924" w:type="pct"/>
            <w:noWrap/>
            <w:hideMark/>
          </w:tcPr>
          <w:p w:rsidR="003B70DE" w:rsidRPr="003B70DE" w:rsidRDefault="003B70DE" w:rsidP="003B7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3B70D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56.57%</w:t>
            </w:r>
          </w:p>
        </w:tc>
      </w:tr>
      <w:tr w:rsidR="003B70DE" w:rsidRPr="00131C70" w:rsidTr="003B7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pct"/>
            <w:noWrap/>
            <w:hideMark/>
          </w:tcPr>
          <w:p w:rsidR="003B70DE" w:rsidRPr="00D5227F" w:rsidRDefault="003B70DE" w:rsidP="003B70DE">
            <w:pPr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Deposits as % of GDP</w:t>
            </w:r>
          </w:p>
        </w:tc>
        <w:tc>
          <w:tcPr>
            <w:tcW w:w="694" w:type="pct"/>
            <w:noWrap/>
            <w:hideMark/>
          </w:tcPr>
          <w:p w:rsidR="003B70DE" w:rsidRPr="00D5227F" w:rsidRDefault="003B70DE" w:rsidP="003B7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131C70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6</w:t>
            </w: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.</w:t>
            </w:r>
            <w:r w:rsidRPr="00131C70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00</w:t>
            </w:r>
            <w:r w:rsidRPr="00D5227F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%</w:t>
            </w:r>
          </w:p>
        </w:tc>
        <w:tc>
          <w:tcPr>
            <w:tcW w:w="924" w:type="pct"/>
            <w:noWrap/>
            <w:hideMark/>
          </w:tcPr>
          <w:p w:rsidR="003B70DE" w:rsidRPr="003B70DE" w:rsidRDefault="003B70DE" w:rsidP="003B7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</w:pPr>
            <w:r w:rsidRPr="003B70DE">
              <w:rPr>
                <w:rFonts w:ascii="Cambria" w:eastAsia="Times New Roman" w:hAnsi="Cambria" w:cs="Times New Roman"/>
                <w:color w:val="0D0D0D" w:themeColor="text1" w:themeTint="F2"/>
                <w:lang w:eastAsia="en-GB"/>
              </w:rPr>
              <w:t>5.12%</w:t>
            </w:r>
          </w:p>
        </w:tc>
      </w:tr>
    </w:tbl>
    <w:p w:rsidR="00B63CEF" w:rsidRPr="00131C70" w:rsidRDefault="00783946" w:rsidP="00E12EC1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260350</wp:posOffset>
            </wp:positionV>
            <wp:extent cx="280035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53" y="21460"/>
                <wp:lineTo x="21453" y="0"/>
                <wp:lineTo x="0" y="0"/>
              </wp:wrapPolygon>
            </wp:wrapTight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1C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2981325" cy="2990850"/>
            <wp:effectExtent l="0" t="0" r="0" b="0"/>
            <wp:wrapTight wrapText="bothSides">
              <wp:wrapPolygon edited="0">
                <wp:start x="0" y="0"/>
                <wp:lineTo x="0" y="21462"/>
                <wp:lineTo x="21393" y="21462"/>
                <wp:lineTo x="21393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</wp:anchor>
        </w:drawing>
      </w:r>
    </w:p>
    <w:p w:rsidR="008B0B8D" w:rsidRDefault="008B0B8D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8B0B8D" w:rsidRDefault="008B0B8D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During </w:t>
      </w:r>
      <w:r w:rsidR="001148C4">
        <w:rPr>
          <w:rFonts w:ascii="Cambria" w:eastAsia="Times New Roman" w:hAnsi="Cambria" w:cs="Tahoma"/>
          <w:color w:val="000000"/>
          <w:sz w:val="22"/>
          <w:szCs w:val="22"/>
        </w:rPr>
        <w:t xml:space="preserve">the 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first 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quarter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of 2019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>,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the Govern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ment </w:t>
      </w:r>
      <w:r w:rsidR="00451877">
        <w:rPr>
          <w:rFonts w:ascii="Cambria" w:eastAsia="Times New Roman" w:hAnsi="Cambria" w:cs="Tahoma"/>
          <w:color w:val="000000"/>
          <w:sz w:val="22"/>
          <w:szCs w:val="22"/>
        </w:rPr>
        <w:t>disbursed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the amount of 51.0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8 million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for the needs of the implementation of infrastructure and development projects.</w:t>
      </w: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 w:rsidRPr="00B627B9">
        <w:rPr>
          <w:rFonts w:ascii="Cambria" w:eastAsia="Times New Roman" w:hAnsi="Cambria" w:cs="Tahoma"/>
          <w:color w:val="000000"/>
          <w:sz w:val="22"/>
          <w:szCs w:val="22"/>
        </w:rPr>
        <w:t>From this amount for the Project of financing the construction of the first section of the Highway Bar-</w:t>
      </w:r>
      <w:proofErr w:type="spellStart"/>
      <w:r w:rsidRPr="00B627B9">
        <w:rPr>
          <w:rFonts w:ascii="Cambria" w:eastAsia="Times New Roman" w:hAnsi="Cambria" w:cs="Tahoma"/>
          <w:color w:val="000000"/>
          <w:sz w:val="22"/>
          <w:szCs w:val="22"/>
        </w:rPr>
        <w:t>Boljare</w:t>
      </w:r>
      <w:proofErr w:type="spellEnd"/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; </w:t>
      </w:r>
      <w:proofErr w:type="spellStart"/>
      <w:r w:rsidRPr="00B627B9">
        <w:rPr>
          <w:rFonts w:ascii="Cambria" w:eastAsia="Times New Roman" w:hAnsi="Cambria" w:cs="Tahoma"/>
          <w:color w:val="000000"/>
          <w:sz w:val="22"/>
          <w:szCs w:val="22"/>
        </w:rPr>
        <w:t>Smokovac-Mat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>eševo</w:t>
      </w:r>
      <w:proofErr w:type="spellEnd"/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- the total amount of</w:t>
      </w:r>
      <w:r w:rsidR="008D45EC">
        <w:rPr>
          <w:rFonts w:ascii="Cambria" w:eastAsia="Times New Roman" w:hAnsi="Cambria" w:cs="Tahoma"/>
          <w:color w:val="000000"/>
          <w:sz w:val="22"/>
          <w:szCs w:val="22"/>
        </w:rPr>
        <w:t xml:space="preserve"> 49.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>96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USD (</w:t>
      </w:r>
      <w:r w:rsidRPr="00131C70">
        <w:rPr>
          <w:rFonts w:ascii="Cambria" w:eastAsia="Times New Roman" w:hAnsi="Cambria" w:cs="Tahoma"/>
          <w:color w:val="000000"/>
          <w:sz w:val="22"/>
          <w:szCs w:val="22"/>
        </w:rPr>
        <w:t>44.47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color w:val="000000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)</w:t>
      </w:r>
      <w:r w:rsidRPr="00B627B9">
        <w:rPr>
          <w:rFonts w:ascii="Calibri" w:eastAsia="Times New Roman" w:hAnsi="Calibri" w:cs="Times New Roman"/>
          <w:sz w:val="22"/>
          <w:szCs w:val="22"/>
          <w:vertAlign w:val="superscript"/>
        </w:rPr>
        <w:footnoteReference w:id="2"/>
      </w:r>
      <w:r w:rsidR="00B120DB">
        <w:rPr>
          <w:rFonts w:ascii="Cambria" w:eastAsia="Times New Roman" w:hAnsi="Cambria" w:cs="Tahoma"/>
          <w:color w:val="000000"/>
          <w:sz w:val="22"/>
          <w:szCs w:val="22"/>
        </w:rPr>
        <w:t xml:space="preserve"> was disburs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ed from the loan with the Chinese Exim Bank.</w:t>
      </w:r>
    </w:p>
    <w:p w:rsidR="00B627B9" w:rsidRPr="00B627B9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A21E5" w:rsidRPr="00131C70" w:rsidRDefault="00B627B9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For other infrastructure projects, the remaining amount of € </w:t>
      </w:r>
      <w:r w:rsidR="00072F77" w:rsidRPr="00131C70">
        <w:rPr>
          <w:rFonts w:ascii="Cambria" w:eastAsia="Times New Roman" w:hAnsi="Cambria" w:cs="Tahoma"/>
          <w:color w:val="000000"/>
          <w:sz w:val="22"/>
          <w:szCs w:val="22"/>
        </w:rPr>
        <w:t>6.</w:t>
      </w:r>
      <w:r w:rsidR="00A14D20" w:rsidRPr="00131C70">
        <w:rPr>
          <w:rFonts w:ascii="Cambria" w:eastAsia="Times New Roman" w:hAnsi="Cambria" w:cs="Tahoma"/>
          <w:color w:val="000000"/>
          <w:sz w:val="22"/>
          <w:szCs w:val="22"/>
        </w:rPr>
        <w:t>61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million was withdrawn for the needs of road construction, water supply, energy efficiency</w:t>
      </w:r>
      <w:r w:rsidR="00A14D20" w:rsidRPr="00131C70">
        <w:rPr>
          <w:rFonts w:ascii="Cambria" w:eastAsia="Times New Roman" w:hAnsi="Cambria" w:cs="Tahoma"/>
          <w:color w:val="000000"/>
          <w:sz w:val="22"/>
          <w:szCs w:val="22"/>
        </w:rPr>
        <w:t>,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 xml:space="preserve"> agriculture development</w:t>
      </w:r>
      <w:r w:rsidR="00A14D20"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 and </w:t>
      </w:r>
      <w:r w:rsidR="00BA21E5" w:rsidRPr="00131C70">
        <w:rPr>
          <w:rFonts w:ascii="Cambria" w:eastAsia="Times New Roman" w:hAnsi="Cambria" w:cs="Tahoma"/>
          <w:color w:val="000000"/>
          <w:sz w:val="22"/>
          <w:szCs w:val="22"/>
        </w:rPr>
        <w:t>reform of t</w:t>
      </w:r>
      <w:r w:rsidR="00157AFD"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ax </w:t>
      </w:r>
      <w:r w:rsidR="00BA21E5" w:rsidRPr="00131C70">
        <w:rPr>
          <w:rFonts w:ascii="Cambria" w:eastAsia="Times New Roman" w:hAnsi="Cambria" w:cs="Tahoma"/>
          <w:color w:val="000000"/>
          <w:sz w:val="22"/>
          <w:szCs w:val="22"/>
        </w:rPr>
        <w:t>a</w:t>
      </w:r>
      <w:r w:rsidR="00157AFD" w:rsidRPr="00131C70">
        <w:rPr>
          <w:rFonts w:ascii="Cambria" w:eastAsia="Times New Roman" w:hAnsi="Cambria" w:cs="Tahoma"/>
          <w:color w:val="000000"/>
          <w:sz w:val="22"/>
          <w:szCs w:val="22"/>
        </w:rPr>
        <w:t>dministration</w:t>
      </w:r>
      <w:r w:rsidRPr="00B627B9">
        <w:rPr>
          <w:rFonts w:ascii="Cambria" w:eastAsia="Times New Roman" w:hAnsi="Cambria" w:cs="Tahoma"/>
          <w:color w:val="000000"/>
          <w:sz w:val="22"/>
          <w:szCs w:val="22"/>
        </w:rPr>
        <w:t>.</w:t>
      </w:r>
    </w:p>
    <w:p w:rsidR="00BA21E5" w:rsidRPr="00131C70" w:rsidRDefault="00BA21E5" w:rsidP="00B627B9">
      <w:pPr>
        <w:spacing w:after="0" w:line="240" w:lineRule="auto"/>
        <w:jc w:val="both"/>
        <w:rPr>
          <w:rFonts w:ascii="Cambria" w:eastAsia="Times New Roman" w:hAnsi="Cambria" w:cs="Tahoma"/>
          <w:color w:val="000000"/>
          <w:sz w:val="22"/>
          <w:szCs w:val="22"/>
        </w:rPr>
      </w:pPr>
    </w:p>
    <w:p w:rsidR="00BA21E5" w:rsidRPr="00131C70" w:rsidRDefault="00BA21E5" w:rsidP="00BA21E5">
      <w:pPr>
        <w:spacing w:after="0" w:line="240" w:lineRule="auto"/>
        <w:jc w:val="both"/>
        <w:rPr>
          <w:rFonts w:ascii="Cambria" w:eastAsia="Times New Roman" w:hAnsi="Cambria" w:cs="Tahoma"/>
          <w:sz w:val="22"/>
          <w:szCs w:val="22"/>
        </w:rPr>
      </w:pPr>
      <w:r w:rsidRPr="00131C70">
        <w:rPr>
          <w:rFonts w:ascii="Cambria" w:eastAsia="Times New Roman" w:hAnsi="Cambria" w:cs="Tahoma"/>
          <w:color w:val="000000"/>
          <w:sz w:val="22"/>
          <w:szCs w:val="22"/>
        </w:rPr>
        <w:t xml:space="preserve">During the first quarter of 2019, 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the Central Government Debt repayment of principal was in total amount of </w:t>
      </w:r>
      <w:r w:rsidR="00546B09">
        <w:rPr>
          <w:rFonts w:ascii="Cambria" w:eastAsia="Times New Roman" w:hAnsi="Cambria" w:cs="Tahoma"/>
          <w:sz w:val="22"/>
          <w:szCs w:val="22"/>
        </w:rPr>
        <w:t>104</w:t>
      </w:r>
      <w:r w:rsidR="00386125">
        <w:rPr>
          <w:rFonts w:ascii="Cambria" w:eastAsia="Times New Roman" w:hAnsi="Cambria" w:cs="Tahoma"/>
          <w:sz w:val="22"/>
          <w:szCs w:val="22"/>
        </w:rPr>
        <w:t>.67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, out of which </w:t>
      </w:r>
      <w:r w:rsidR="00386125">
        <w:rPr>
          <w:rFonts w:ascii="Cambria" w:eastAsia="Times New Roman" w:hAnsi="Cambria" w:cs="Tahoma"/>
          <w:sz w:val="22"/>
          <w:szCs w:val="22"/>
        </w:rPr>
        <w:t>83.98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783946">
        <w:rPr>
          <w:rFonts w:ascii="Cambria" w:eastAsia="Times New Roman" w:hAnsi="Cambria" w:cs="Tahoma"/>
          <w:sz w:val="22"/>
          <w:szCs w:val="22"/>
        </w:rPr>
        <w:t xml:space="preserve"> </w:t>
      </w:r>
      <w:r w:rsidR="0078394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referred to repayment of debt to residents, </w:t>
      </w:r>
      <w:r w:rsidR="003C62A6">
        <w:rPr>
          <w:rFonts w:ascii="Cambria" w:eastAsia="Times New Roman" w:hAnsi="Cambria" w:cs="Tahoma"/>
          <w:sz w:val="22"/>
          <w:szCs w:val="22"/>
        </w:rPr>
        <w:t>including</w:t>
      </w:r>
      <w:r w:rsidR="00866646"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="00FF7348" w:rsidRPr="00131C70">
        <w:rPr>
          <w:rFonts w:ascii="Cambria" w:eastAsia="Times New Roman" w:hAnsi="Cambria" w:cs="Tahoma"/>
          <w:sz w:val="22"/>
          <w:szCs w:val="22"/>
        </w:rPr>
        <w:t>72.00 mil</w:t>
      </w:r>
      <w:r w:rsidR="003C62A6">
        <w:rPr>
          <w:rFonts w:ascii="Cambria" w:eastAsia="Times New Roman" w:hAnsi="Cambria" w:cs="Tahoma"/>
          <w:sz w:val="22"/>
          <w:szCs w:val="22"/>
        </w:rPr>
        <w:t>l</w:t>
      </w:r>
      <w:r w:rsidR="00FF7348" w:rsidRPr="00131C70">
        <w:rPr>
          <w:rFonts w:ascii="Cambria" w:eastAsia="Times New Roman" w:hAnsi="Cambria" w:cs="Tahoma"/>
          <w:sz w:val="22"/>
          <w:szCs w:val="22"/>
        </w:rPr>
        <w:t>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="00FF7348"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="00866646" w:rsidRPr="00131C70">
        <w:rPr>
          <w:rFonts w:ascii="Cambria" w:eastAsia="Times New Roman" w:hAnsi="Cambria" w:cs="Tahoma"/>
          <w:sz w:val="22"/>
          <w:szCs w:val="22"/>
        </w:rPr>
        <w:t xml:space="preserve">for refinancing </w:t>
      </w:r>
      <w:r w:rsidR="00264ECE">
        <w:rPr>
          <w:rFonts w:ascii="Cambria" w:eastAsia="Times New Roman" w:hAnsi="Cambria" w:cs="Tahoma"/>
          <w:sz w:val="22"/>
          <w:szCs w:val="22"/>
        </w:rPr>
        <w:t xml:space="preserve">of </w:t>
      </w:r>
      <w:r w:rsidR="00866646" w:rsidRPr="00131C70">
        <w:rPr>
          <w:rFonts w:ascii="Cambria" w:eastAsia="Times New Roman" w:hAnsi="Cambria" w:cs="Tahoma"/>
          <w:sz w:val="22"/>
          <w:szCs w:val="22"/>
        </w:rPr>
        <w:t xml:space="preserve">Treasury bills; while 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repayment of </w:t>
      </w:r>
      <w:r w:rsidR="003C62A6">
        <w:rPr>
          <w:rFonts w:ascii="Cambria" w:eastAsia="Times New Roman" w:hAnsi="Cambria" w:cs="Tahoma"/>
          <w:sz w:val="22"/>
          <w:szCs w:val="22"/>
        </w:rPr>
        <w:t>debt to non-residents was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="00386125">
        <w:rPr>
          <w:rFonts w:ascii="Cambria" w:eastAsia="Times New Roman" w:hAnsi="Cambria" w:cs="Tahoma"/>
          <w:sz w:val="22"/>
          <w:szCs w:val="22"/>
        </w:rPr>
        <w:t>20.69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>. Interest has been repaid in tot</w:t>
      </w:r>
      <w:r w:rsidR="003C62A6">
        <w:rPr>
          <w:rFonts w:ascii="Cambria" w:eastAsia="Times New Roman" w:hAnsi="Cambria" w:cs="Tahoma"/>
          <w:sz w:val="22"/>
          <w:szCs w:val="22"/>
        </w:rPr>
        <w:t xml:space="preserve">al amount of </w:t>
      </w:r>
      <w:r w:rsidR="006B0420" w:rsidRPr="00131C70">
        <w:rPr>
          <w:rFonts w:ascii="Cambria" w:eastAsia="Times New Roman" w:hAnsi="Cambria" w:cs="Tahoma"/>
          <w:sz w:val="22"/>
          <w:szCs w:val="22"/>
        </w:rPr>
        <w:t>35.8</w:t>
      </w:r>
      <w:r w:rsidR="00566A28">
        <w:rPr>
          <w:rFonts w:ascii="Cambria" w:eastAsia="Times New Roman" w:hAnsi="Cambria" w:cs="Tahoma"/>
          <w:sz w:val="22"/>
          <w:szCs w:val="22"/>
        </w:rPr>
        <w:t>1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>,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out of which </w:t>
      </w:r>
      <w:r w:rsidR="00386125">
        <w:rPr>
          <w:rFonts w:ascii="Cambria" w:eastAsia="Times New Roman" w:hAnsi="Cambria" w:cs="Tahoma"/>
          <w:sz w:val="22"/>
          <w:szCs w:val="22"/>
        </w:rPr>
        <w:t>0.78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referred to repayment of interest to residents,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while </w:t>
      </w:r>
      <w:r w:rsidR="006B0420" w:rsidRPr="00131C70">
        <w:rPr>
          <w:rFonts w:ascii="Cambria" w:eastAsia="Times New Roman" w:hAnsi="Cambria" w:cs="Tahoma"/>
          <w:sz w:val="22"/>
          <w:szCs w:val="22"/>
        </w:rPr>
        <w:t>35.0</w:t>
      </w:r>
      <w:r w:rsidR="00386125">
        <w:rPr>
          <w:rFonts w:ascii="Cambria" w:eastAsia="Times New Roman" w:hAnsi="Cambria" w:cs="Tahoma"/>
          <w:sz w:val="22"/>
          <w:szCs w:val="22"/>
        </w:rPr>
        <w:t>3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="003C62A6" w:rsidRPr="00131C70">
        <w:rPr>
          <w:rFonts w:ascii="Cambria" w:eastAsia="Times New Roman" w:hAnsi="Cambria" w:cs="Tahoma"/>
          <w:sz w:val="22"/>
          <w:szCs w:val="22"/>
        </w:rPr>
        <w:t xml:space="preserve"> 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million was paid to non-residence. During the </w:t>
      </w:r>
      <w:r w:rsidR="003C62A6">
        <w:rPr>
          <w:rFonts w:ascii="Cambria" w:eastAsia="Times New Roman" w:hAnsi="Cambria" w:cs="Tahoma"/>
          <w:sz w:val="22"/>
          <w:szCs w:val="22"/>
        </w:rPr>
        <w:t>first quarter of 2019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, repayment of old currency savings debt was </w:t>
      </w:r>
      <w:r w:rsidR="006B0420" w:rsidRPr="00131C70">
        <w:rPr>
          <w:rFonts w:ascii="Cambria" w:eastAsia="Times New Roman" w:hAnsi="Cambria" w:cs="Tahoma"/>
          <w:sz w:val="22"/>
          <w:szCs w:val="22"/>
        </w:rPr>
        <w:t>0.19</w:t>
      </w:r>
      <w:r w:rsidRPr="00131C70">
        <w:rPr>
          <w:rFonts w:ascii="Cambria" w:eastAsia="Times New Roman" w:hAnsi="Cambria" w:cs="Tahoma"/>
          <w:sz w:val="22"/>
          <w:szCs w:val="22"/>
        </w:rPr>
        <w:t xml:space="preserve"> million</w:t>
      </w:r>
      <w:r w:rsidR="003C62A6">
        <w:rPr>
          <w:rFonts w:ascii="Cambria" w:eastAsia="Times New Roman" w:hAnsi="Cambria" w:cs="Tahoma"/>
          <w:sz w:val="22"/>
          <w:szCs w:val="22"/>
        </w:rPr>
        <w:t xml:space="preserve"> </w:t>
      </w:r>
      <w:r w:rsidR="003C62A6">
        <w:rPr>
          <w:rFonts w:ascii="Cambria" w:eastAsia="Calibri" w:hAnsi="Cambria" w:cs="Times New Roman"/>
          <w:sz w:val="22"/>
          <w:szCs w:val="22"/>
        </w:rPr>
        <w:t>EUR</w:t>
      </w:r>
      <w:r w:rsidRPr="00131C70">
        <w:rPr>
          <w:rFonts w:ascii="Cambria" w:eastAsia="Times New Roman" w:hAnsi="Cambria" w:cs="Tahoma"/>
          <w:sz w:val="22"/>
          <w:szCs w:val="22"/>
        </w:rPr>
        <w:t>.</w:t>
      </w:r>
    </w:p>
    <w:p w:rsidR="00BA21E5" w:rsidRDefault="00BA21E5" w:rsidP="00BA21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244061"/>
          <w:sz w:val="22"/>
          <w:szCs w:val="22"/>
        </w:rPr>
      </w:pPr>
    </w:p>
    <w:p w:rsidR="00DF41CE" w:rsidRDefault="00DF41CE" w:rsidP="00BA21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244061"/>
          <w:sz w:val="22"/>
          <w:szCs w:val="22"/>
        </w:rPr>
      </w:pPr>
    </w:p>
    <w:p w:rsidR="00DF41CE" w:rsidRDefault="00DF41CE" w:rsidP="00BA21E5">
      <w:pPr>
        <w:spacing w:after="0" w:line="240" w:lineRule="auto"/>
        <w:jc w:val="both"/>
        <w:rPr>
          <w:rFonts w:ascii="Cambria" w:eastAsia="Times New Roman" w:hAnsi="Cambria" w:cs="Times New Roman"/>
          <w:b/>
          <w:color w:val="244061"/>
          <w:sz w:val="22"/>
          <w:szCs w:val="22"/>
        </w:rPr>
      </w:pPr>
    </w:p>
    <w:p w:rsidR="00DF41CE" w:rsidRDefault="00DF41CE" w:rsidP="00BA21E5">
      <w:pPr>
        <w:spacing w:after="0" w:line="240" w:lineRule="auto"/>
        <w:jc w:val="both"/>
        <w:rPr>
          <w:noProof/>
          <w:lang w:eastAsia="en-GB"/>
        </w:rPr>
      </w:pPr>
    </w:p>
    <w:p w:rsidR="00B627B9" w:rsidRPr="00B627B9" w:rsidRDefault="00460BF2" w:rsidP="00B627B9">
      <w:pPr>
        <w:spacing w:after="0" w:line="240" w:lineRule="auto"/>
        <w:jc w:val="both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3025F197" wp14:editId="295B0E83">
            <wp:extent cx="2619375" cy="2657475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460BF2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0626445" wp14:editId="0EE43262">
            <wp:extent cx="3061970" cy="2657475"/>
            <wp:effectExtent l="0" t="0" r="508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3CEF" w:rsidRPr="00131C70" w:rsidRDefault="00445AA2" w:rsidP="008D45EC">
      <w:pPr>
        <w:jc w:val="center"/>
        <w:rPr>
          <w:rFonts w:ascii="Cambria" w:eastAsia="Times New Roman" w:hAnsi="Cambria" w:cs="Tahoma"/>
          <w:color w:val="000000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1341755</wp:posOffset>
            </wp:positionH>
            <wp:positionV relativeFrom="paragraph">
              <wp:posOffset>180975</wp:posOffset>
            </wp:positionV>
            <wp:extent cx="2752725" cy="2447925"/>
            <wp:effectExtent l="0" t="0" r="0" b="0"/>
            <wp:wrapSquare wrapText="bothSides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sectPr w:rsidR="00B63CEF" w:rsidRPr="00131C70" w:rsidSect="002A1F0A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75" w:rsidRDefault="006B7375" w:rsidP="00CA3650">
      <w:pPr>
        <w:spacing w:after="0" w:line="240" w:lineRule="auto"/>
      </w:pPr>
      <w:r>
        <w:separator/>
      </w:r>
    </w:p>
  </w:endnote>
  <w:endnote w:type="continuationSeparator" w:id="0">
    <w:p w:rsidR="006B7375" w:rsidRDefault="006B7375" w:rsidP="00CA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75" w:rsidRDefault="006B7375" w:rsidP="00CA3650">
      <w:pPr>
        <w:spacing w:after="0" w:line="240" w:lineRule="auto"/>
      </w:pPr>
      <w:r>
        <w:separator/>
      </w:r>
    </w:p>
  </w:footnote>
  <w:footnote w:type="continuationSeparator" w:id="0">
    <w:p w:rsidR="006B7375" w:rsidRDefault="006B7375" w:rsidP="00CA3650">
      <w:pPr>
        <w:spacing w:after="0" w:line="240" w:lineRule="auto"/>
      </w:pPr>
      <w:r>
        <w:continuationSeparator/>
      </w:r>
    </w:p>
  </w:footnote>
  <w:footnote w:id="1">
    <w:p w:rsidR="00CA3650" w:rsidRDefault="00CA3650" w:rsidP="00CA3650">
      <w:pPr>
        <w:pStyle w:val="FootnoteText"/>
      </w:pPr>
      <w:r>
        <w:rPr>
          <w:rStyle w:val="FootnoteReference"/>
        </w:rPr>
        <w:footnoteRef/>
      </w:r>
      <w:r>
        <w:rPr>
          <w:rFonts w:ascii="Cambria" w:hAnsi="Cambria"/>
          <w:lang w:val="sr-Latn-RS"/>
        </w:rPr>
        <w:t xml:space="preserve">According to the </w:t>
      </w:r>
      <w:r w:rsidR="00105E08">
        <w:rPr>
          <w:rFonts w:ascii="Cambria" w:hAnsi="Cambria"/>
          <w:lang w:val="sr-Latn-RS"/>
        </w:rPr>
        <w:t>data</w:t>
      </w:r>
      <w:r>
        <w:rPr>
          <w:rFonts w:ascii="Cambria" w:hAnsi="Cambria"/>
          <w:lang w:val="sr-Latn-RS"/>
        </w:rPr>
        <w:t xml:space="preserve"> of </w:t>
      </w:r>
      <w:r w:rsidR="00105E08">
        <w:rPr>
          <w:rFonts w:ascii="Cambria" w:hAnsi="Cambria"/>
          <w:lang w:val="sr-Latn-RS"/>
        </w:rPr>
        <w:t>Monstat</w:t>
      </w:r>
      <w:r>
        <w:rPr>
          <w:rFonts w:ascii="Cambria" w:hAnsi="Cambria"/>
          <w:lang w:val="sr-Latn-RS"/>
        </w:rPr>
        <w:t xml:space="preserve">, GDP for 2019 amounts </w:t>
      </w:r>
      <w:r w:rsidR="00105E08">
        <w:rPr>
          <w:rFonts w:ascii="Cambria" w:hAnsi="Cambria"/>
          <w:lang w:val="sr-Latn-RS"/>
        </w:rPr>
        <w:t>4951</w:t>
      </w:r>
      <w:r>
        <w:rPr>
          <w:rFonts w:ascii="Cambria" w:hAnsi="Cambria"/>
          <w:lang w:val="sr-Latn-RS"/>
        </w:rPr>
        <w:t xml:space="preserve"> mil. eur</w:t>
      </w:r>
    </w:p>
  </w:footnote>
  <w:footnote w:id="2">
    <w:p w:rsidR="00B627B9" w:rsidRPr="00D2773C" w:rsidRDefault="00B627B9" w:rsidP="00B627B9">
      <w:pPr>
        <w:pStyle w:val="FootnoteText"/>
        <w:rPr>
          <w:rFonts w:ascii="Cambria" w:hAnsi="Cambria"/>
        </w:rPr>
      </w:pPr>
      <w:r w:rsidRPr="00D2773C">
        <w:rPr>
          <w:rStyle w:val="FootnoteReference"/>
          <w:rFonts w:ascii="Cambria" w:hAnsi="Cambria"/>
        </w:rPr>
        <w:footnoteRef/>
      </w:r>
      <w:r w:rsidRPr="00D2773C">
        <w:rPr>
          <w:rFonts w:ascii="Cambria" w:hAnsi="Cambria"/>
        </w:rPr>
        <w:t xml:space="preserve"> </w:t>
      </w:r>
      <w:r w:rsidRPr="00D2773C">
        <w:rPr>
          <w:rFonts w:ascii="Cambria" w:hAnsi="Cambria" w:cs="Tahoma"/>
          <w:szCs w:val="24"/>
          <w:lang w:val="sr-Latn-ME"/>
        </w:rPr>
        <w:t xml:space="preserve">Exchange rate as of 31 </w:t>
      </w:r>
      <w:r>
        <w:rPr>
          <w:rFonts w:ascii="Cambria" w:hAnsi="Cambria" w:cs="Tahoma"/>
          <w:szCs w:val="24"/>
          <w:lang w:val="sr-Latn-ME"/>
        </w:rPr>
        <w:t>March</w:t>
      </w:r>
      <w:r w:rsidRPr="00D2773C">
        <w:rPr>
          <w:rFonts w:ascii="Cambria" w:hAnsi="Cambria" w:cs="Tahoma"/>
          <w:szCs w:val="24"/>
          <w:lang w:val="sr-Latn-ME"/>
        </w:rPr>
        <w:t>, 201</w:t>
      </w:r>
      <w:r>
        <w:rPr>
          <w:rFonts w:ascii="Cambria" w:hAnsi="Cambria" w:cs="Tahoma"/>
          <w:szCs w:val="24"/>
          <w:lang w:val="sr-Latn-ME"/>
        </w:rPr>
        <w:t>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04" w:rsidRDefault="002E46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posOffset>371475</wp:posOffset>
              </wp:positionV>
              <wp:extent cx="5741670" cy="171450"/>
              <wp:effectExtent l="0" t="0" r="0" b="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167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604" w:rsidRPr="00A67C3A" w:rsidRDefault="008D336A" w:rsidP="008D336A">
                          <w:pPr>
                            <w:spacing w:after="0" w:line="240" w:lineRule="auto"/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</w:pP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Ministry of finance    </w:t>
                          </w:r>
                          <w:r w:rsidR="007533CF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      </w:t>
                          </w: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>Report on</w:t>
                          </w:r>
                          <w:r w:rsidR="007533CF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the Central Government debt</w:t>
                          </w:r>
                          <w:r w:rsid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            </w:t>
                          </w: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>31.03.2019</w:t>
                          </w:r>
                          <w:r w:rsidR="007533CF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>.</w:t>
                          </w:r>
                          <w:r w:rsidRPr="00A67C3A">
                            <w:rPr>
                              <w:rFonts w:ascii="Cambria" w:hAnsi="Cambria"/>
                              <w:b/>
                              <w:caps/>
                              <w:noProof/>
                              <w:lang w:val="sr-Latn-RS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29.25pt;width:452.1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" o:allowincell="f" filled="f" stroked="f">
              <v:textbox inset=",0,,0">
                <w:txbxContent>
                  <w:p w:rsidR="002E4604" w:rsidRPr="00A67C3A" w:rsidRDefault="008D336A" w:rsidP="008D336A">
                    <w:pPr>
                      <w:spacing w:after="0" w:line="240" w:lineRule="auto"/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</w:pP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Ministry of finance    </w:t>
                    </w:r>
                    <w:r w:rsidR="007533CF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      </w:t>
                    </w: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>Report on</w:t>
                    </w:r>
                    <w:r w:rsidR="007533CF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the Central Government debt</w:t>
                    </w:r>
                    <w:r w:rsid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            </w:t>
                    </w: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>31.03.2019</w:t>
                    </w:r>
                    <w:r w:rsidR="007533CF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>.</w:t>
                    </w:r>
                    <w:r w:rsidRPr="00A67C3A">
                      <w:rPr>
                        <w:rFonts w:ascii="Cambria" w:hAnsi="Cambria"/>
                        <w:b/>
                        <w:caps/>
                        <w:noProof/>
                        <w:lang w:val="sr-Latn-RS"/>
                      </w:rPr>
                      <w:t xml:space="preserve">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508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E4604" w:rsidRPr="008D336A" w:rsidRDefault="002E4604">
                          <w:pPr>
                            <w:spacing w:after="0" w:line="240" w:lineRule="auto"/>
                            <w:rPr>
                              <w:rFonts w:ascii="Cambria" w:hAnsi="Cambria"/>
                              <w:color w:val="FFFFFF" w:themeColor="background1"/>
                            </w:rPr>
                          </w:pPr>
                          <w:r w:rsidRPr="008D336A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8D336A">
                            <w:rPr>
                              <w:rFonts w:ascii="Cambria" w:hAnsi="Cambria"/>
                            </w:rPr>
                            <w:instrText xml:space="preserve"> PAGE   \* MERGEFORMAT </w:instrText>
                          </w:r>
                          <w:r w:rsidRPr="008D336A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="00DB49C0" w:rsidRPr="00DB49C0">
                            <w:rPr>
                              <w:rFonts w:ascii="Cambria" w:hAnsi="Cambria"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8D336A">
                            <w:rPr>
                              <w:rFonts w:ascii="Cambria" w:hAnsi="Cambria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xHIA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" o:allowincell="f" fillcolor="#fad17a [1940]" stroked="f">
              <v:textbox style="mso-fit-shape-to-text:t" inset=",0,,0">
                <w:txbxContent>
                  <w:p w:rsidR="002E4604" w:rsidRPr="008D336A" w:rsidRDefault="002E4604">
                    <w:pPr>
                      <w:spacing w:after="0" w:line="240" w:lineRule="auto"/>
                      <w:rPr>
                        <w:rFonts w:ascii="Cambria" w:hAnsi="Cambria"/>
                        <w:color w:val="FFFFFF" w:themeColor="background1"/>
                      </w:rPr>
                    </w:pPr>
                    <w:r w:rsidRPr="008D336A">
                      <w:rPr>
                        <w:rFonts w:ascii="Cambria" w:hAnsi="Cambria"/>
                      </w:rPr>
                      <w:fldChar w:fldCharType="begin"/>
                    </w:r>
                    <w:r w:rsidRPr="008D336A">
                      <w:rPr>
                        <w:rFonts w:ascii="Cambria" w:hAnsi="Cambria"/>
                      </w:rPr>
                      <w:instrText xml:space="preserve"> PAGE   \* MERGEFORMAT </w:instrText>
                    </w:r>
                    <w:r w:rsidRPr="008D336A">
                      <w:rPr>
                        <w:rFonts w:ascii="Cambria" w:hAnsi="Cambria"/>
                      </w:rPr>
                      <w:fldChar w:fldCharType="separate"/>
                    </w:r>
                    <w:r w:rsidR="00DB49C0" w:rsidRPr="00DB49C0">
                      <w:rPr>
                        <w:rFonts w:ascii="Cambria" w:hAnsi="Cambria"/>
                        <w:noProof/>
                        <w:color w:val="FFFFFF" w:themeColor="background1"/>
                      </w:rPr>
                      <w:t>2</w:t>
                    </w:r>
                    <w:r w:rsidRPr="008D336A">
                      <w:rPr>
                        <w:rFonts w:ascii="Cambria" w:hAnsi="Cambria"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96"/>
    <w:rsid w:val="00005534"/>
    <w:rsid w:val="00072F77"/>
    <w:rsid w:val="00083C27"/>
    <w:rsid w:val="00091C24"/>
    <w:rsid w:val="000E077A"/>
    <w:rsid w:val="00105E08"/>
    <w:rsid w:val="001148C4"/>
    <w:rsid w:val="00131C70"/>
    <w:rsid w:val="001439CB"/>
    <w:rsid w:val="00157AFD"/>
    <w:rsid w:val="00180B07"/>
    <w:rsid w:val="00194B0F"/>
    <w:rsid w:val="001C1B56"/>
    <w:rsid w:val="001C43FF"/>
    <w:rsid w:val="001F7402"/>
    <w:rsid w:val="002378AD"/>
    <w:rsid w:val="00264ECE"/>
    <w:rsid w:val="002716A0"/>
    <w:rsid w:val="002856E9"/>
    <w:rsid w:val="002908C9"/>
    <w:rsid w:val="00293967"/>
    <w:rsid w:val="002A1F0A"/>
    <w:rsid w:val="002A388A"/>
    <w:rsid w:val="002B17A0"/>
    <w:rsid w:val="002C1296"/>
    <w:rsid w:val="002C7868"/>
    <w:rsid w:val="002E4604"/>
    <w:rsid w:val="00343068"/>
    <w:rsid w:val="00386125"/>
    <w:rsid w:val="003B70DE"/>
    <w:rsid w:val="003C62A6"/>
    <w:rsid w:val="00445AA2"/>
    <w:rsid w:val="00451877"/>
    <w:rsid w:val="00460BF2"/>
    <w:rsid w:val="00461EF2"/>
    <w:rsid w:val="004D76B1"/>
    <w:rsid w:val="004F7033"/>
    <w:rsid w:val="00522819"/>
    <w:rsid w:val="00546B09"/>
    <w:rsid w:val="00566A28"/>
    <w:rsid w:val="005B69CB"/>
    <w:rsid w:val="005C4F06"/>
    <w:rsid w:val="00606CC6"/>
    <w:rsid w:val="006704F4"/>
    <w:rsid w:val="006B0420"/>
    <w:rsid w:val="006B207B"/>
    <w:rsid w:val="006B7375"/>
    <w:rsid w:val="007533CF"/>
    <w:rsid w:val="007622C4"/>
    <w:rsid w:val="00783946"/>
    <w:rsid w:val="00787067"/>
    <w:rsid w:val="00794A53"/>
    <w:rsid w:val="00795354"/>
    <w:rsid w:val="007A3AA0"/>
    <w:rsid w:val="007C45FF"/>
    <w:rsid w:val="008263AB"/>
    <w:rsid w:val="00866646"/>
    <w:rsid w:val="00890F45"/>
    <w:rsid w:val="008B0B8D"/>
    <w:rsid w:val="008D336A"/>
    <w:rsid w:val="008D45EC"/>
    <w:rsid w:val="00930DC2"/>
    <w:rsid w:val="0096264E"/>
    <w:rsid w:val="00967AF3"/>
    <w:rsid w:val="009D71B8"/>
    <w:rsid w:val="009F64D1"/>
    <w:rsid w:val="00A14D20"/>
    <w:rsid w:val="00A4026C"/>
    <w:rsid w:val="00A42F98"/>
    <w:rsid w:val="00A67C3A"/>
    <w:rsid w:val="00A770CC"/>
    <w:rsid w:val="00AB4940"/>
    <w:rsid w:val="00B120DB"/>
    <w:rsid w:val="00B45802"/>
    <w:rsid w:val="00B627B9"/>
    <w:rsid w:val="00B63CEF"/>
    <w:rsid w:val="00BA21E5"/>
    <w:rsid w:val="00BA5A36"/>
    <w:rsid w:val="00BA788A"/>
    <w:rsid w:val="00BE52E4"/>
    <w:rsid w:val="00C11FE6"/>
    <w:rsid w:val="00C1597A"/>
    <w:rsid w:val="00C61088"/>
    <w:rsid w:val="00C70640"/>
    <w:rsid w:val="00C73310"/>
    <w:rsid w:val="00C808A7"/>
    <w:rsid w:val="00CA3650"/>
    <w:rsid w:val="00CC3CBD"/>
    <w:rsid w:val="00CF15B4"/>
    <w:rsid w:val="00CF1CA5"/>
    <w:rsid w:val="00CF5EA4"/>
    <w:rsid w:val="00D029AD"/>
    <w:rsid w:val="00D5227F"/>
    <w:rsid w:val="00D76E9A"/>
    <w:rsid w:val="00DB49C0"/>
    <w:rsid w:val="00DD00AD"/>
    <w:rsid w:val="00DE29D4"/>
    <w:rsid w:val="00DF41CE"/>
    <w:rsid w:val="00E12EC1"/>
    <w:rsid w:val="00E227D4"/>
    <w:rsid w:val="00E27380"/>
    <w:rsid w:val="00E77043"/>
    <w:rsid w:val="00E97A96"/>
    <w:rsid w:val="00EA7D35"/>
    <w:rsid w:val="00EE086F"/>
    <w:rsid w:val="00F10532"/>
    <w:rsid w:val="00F242CF"/>
    <w:rsid w:val="00F51286"/>
    <w:rsid w:val="00F96E00"/>
    <w:rsid w:val="00FC7558"/>
    <w:rsid w:val="00FF1C56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9D080D-C950-4D1D-BA4B-2AFB092F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96"/>
  </w:style>
  <w:style w:type="paragraph" w:styleId="Heading1">
    <w:name w:val="heading 1"/>
    <w:basedOn w:val="Normal"/>
    <w:next w:val="Normal"/>
    <w:link w:val="Heading1Char"/>
    <w:uiPriority w:val="9"/>
    <w:qFormat/>
    <w:rsid w:val="00E97A9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A9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A1A00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A1A00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96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A9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96"/>
    <w:rPr>
      <w:rFonts w:asciiTheme="majorHAnsi" w:eastAsiaTheme="majorEastAsia" w:hAnsiTheme="majorHAnsi" w:cstheme="majorBidi"/>
      <w:color w:val="2A1A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9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96"/>
    <w:rPr>
      <w:rFonts w:asciiTheme="majorHAnsi" w:eastAsiaTheme="majorEastAsia" w:hAnsiTheme="majorHAnsi" w:cstheme="majorBidi"/>
      <w:color w:val="2A1A0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96"/>
    <w:rPr>
      <w:rFonts w:asciiTheme="majorHAnsi" w:eastAsiaTheme="majorEastAsia" w:hAnsiTheme="majorHAnsi" w:cstheme="majorBidi"/>
      <w:i/>
      <w:iCs/>
      <w:color w:val="2A1A00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96"/>
    <w:rPr>
      <w:rFonts w:asciiTheme="majorHAnsi" w:eastAsiaTheme="majorEastAsia" w:hAnsiTheme="majorHAnsi" w:cstheme="majorBidi"/>
      <w:i/>
      <w:iCs/>
      <w:color w:val="895E0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96"/>
    <w:rPr>
      <w:rFonts w:asciiTheme="majorHAnsi" w:eastAsiaTheme="majorEastAsia" w:hAnsiTheme="majorHAnsi" w:cstheme="majorBidi"/>
      <w:b/>
      <w:bCs/>
      <w:color w:val="2A1A00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96"/>
    <w:rPr>
      <w:rFonts w:asciiTheme="majorHAnsi" w:eastAsiaTheme="majorEastAsia" w:hAnsiTheme="majorHAnsi" w:cstheme="majorBidi"/>
      <w:b/>
      <w:bCs/>
      <w:i/>
      <w:iCs/>
      <w:color w:val="2A1A00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A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97A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A96"/>
    <w:rPr>
      <w:rFonts w:asciiTheme="majorHAnsi" w:eastAsiaTheme="majorEastAsia" w:hAnsiTheme="majorHAnsi" w:cstheme="majorBidi"/>
      <w:color w:val="F8B32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9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97A96"/>
    <w:rPr>
      <w:b/>
      <w:bCs/>
    </w:rPr>
  </w:style>
  <w:style w:type="character" w:styleId="Emphasis">
    <w:name w:val="Emphasis"/>
    <w:basedOn w:val="DefaultParagraphFont"/>
    <w:uiPriority w:val="20"/>
    <w:qFormat/>
    <w:rsid w:val="00E97A96"/>
    <w:rPr>
      <w:i/>
      <w:iCs/>
    </w:rPr>
  </w:style>
  <w:style w:type="paragraph" w:styleId="NoSpacing">
    <w:name w:val="No Spacing"/>
    <w:uiPriority w:val="1"/>
    <w:qFormat/>
    <w:rsid w:val="00E97A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7A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A9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96"/>
    <w:pPr>
      <w:pBdr>
        <w:left w:val="single" w:sz="18" w:space="12" w:color="F8B32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96"/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97A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7A9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7A9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97A9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97A9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A96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365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650"/>
  </w:style>
  <w:style w:type="character" w:styleId="FootnoteReference">
    <w:name w:val="footnote reference"/>
    <w:basedOn w:val="DefaultParagraphFont"/>
    <w:uiPriority w:val="99"/>
    <w:semiHidden/>
    <w:unhideWhenUsed/>
    <w:rsid w:val="00CA3650"/>
    <w:rPr>
      <w:vertAlign w:val="superscript"/>
    </w:rPr>
  </w:style>
  <w:style w:type="table" w:styleId="GridTable6Colorful-Accent3">
    <w:name w:val="Grid Table 6 Colorful Accent 3"/>
    <w:basedOn w:val="TableNormal"/>
    <w:uiPriority w:val="51"/>
    <w:rsid w:val="00787067"/>
    <w:pPr>
      <w:spacing w:after="0" w:line="240" w:lineRule="auto"/>
    </w:pPr>
    <w:rPr>
      <w:color w:val="348587" w:themeColor="accent3" w:themeShade="BF"/>
    </w:rPr>
    <w:tblPr>
      <w:tblStyleRowBandSize w:val="1"/>
      <w:tblStyleColBandSize w:val="1"/>
      <w:tblBorders>
        <w:top w:val="single" w:sz="4" w:space="0" w:color="8ED1D3" w:themeColor="accent3" w:themeTint="99"/>
        <w:left w:val="single" w:sz="4" w:space="0" w:color="8ED1D3" w:themeColor="accent3" w:themeTint="99"/>
        <w:bottom w:val="single" w:sz="4" w:space="0" w:color="8ED1D3" w:themeColor="accent3" w:themeTint="99"/>
        <w:right w:val="single" w:sz="4" w:space="0" w:color="8ED1D3" w:themeColor="accent3" w:themeTint="99"/>
        <w:insideH w:val="single" w:sz="4" w:space="0" w:color="8ED1D3" w:themeColor="accent3" w:themeTint="99"/>
        <w:insideV w:val="single" w:sz="4" w:space="0" w:color="8ED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ED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0" w:themeFill="accent3" w:themeFillTint="33"/>
      </w:tcPr>
    </w:tblStylePr>
    <w:tblStylePr w:type="band1Horz">
      <w:tblPr/>
      <w:tcPr>
        <w:shd w:val="clear" w:color="auto" w:fill="D9EFF0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6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64E"/>
  </w:style>
  <w:style w:type="paragraph" w:styleId="Footer">
    <w:name w:val="footer"/>
    <w:basedOn w:val="Normal"/>
    <w:link w:val="FooterChar"/>
    <w:uiPriority w:val="99"/>
    <w:unhideWhenUsed/>
    <w:rsid w:val="0096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64E"/>
  </w:style>
  <w:style w:type="table" w:styleId="TableGrid">
    <w:name w:val="Table Grid"/>
    <w:basedOn w:val="TableNormal"/>
    <w:uiPriority w:val="39"/>
    <w:rsid w:val="0018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jelena.djurovic\Desktop\Izvje&#353;taji%20o%20dr&#382;avnom%20dugu\2019\1%20kvartal\Grafici%204803.3%20ENG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chemeClr val="tx1"/>
                </a:solidFill>
              </a:rPr>
              <a:t>Figure 2 Central Government Debt as % of GDP</a:t>
            </a:r>
          </a:p>
          <a:p>
            <a:pPr>
              <a:defRPr sz="1100"/>
            </a:pPr>
            <a:r>
              <a:rPr lang="en-GB" sz="1100"/>
              <a:t> 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480349495786711"/>
          <c:y val="0.25404778948086032"/>
          <c:w val="0.75695089100704516"/>
          <c:h val="0.457713126768244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Sheet1!$A$56</c:f>
              <c:strCache>
                <c:ptCount val="1"/>
                <c:pt idx="0">
                  <c:v>Total Central Government Debt as % of GDP</c:v>
                </c:pt>
              </c:strCache>
            </c:strRef>
          </c:tx>
          <c:spPr>
            <a:solidFill>
              <a:srgbClr val="F8B323">
                <a:lumMod val="60000"/>
                <a:lumOff val="40000"/>
              </a:srgbClr>
            </a:solidFill>
            <a:ln>
              <a:solidFill>
                <a:srgbClr val="F8B323">
                  <a:lumMod val="60000"/>
                  <a:lumOff val="40000"/>
                </a:srgb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>
                <a:solidFill>
                  <a:srgbClr val="F8B323">
                    <a:lumMod val="60000"/>
                    <a:lumOff val="4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DD-426C-AD21-3574C0E8CEC8}"/>
              </c:ext>
            </c:extLst>
          </c:dPt>
          <c:dPt>
            <c:idx val="1"/>
            <c:invertIfNegative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>
                <a:solidFill>
                  <a:srgbClr val="F8B323">
                    <a:lumMod val="60000"/>
                    <a:lumOff val="40000"/>
                  </a:srgb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7DD-426C-AD21-3574C0E8CEC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0732B737-DDB8-4736-85D3-04FA2C063BA8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{0732B737-DDB8-4736-85D3-04FA2C063BA8}</c15:txfldGUID>
                      <c15:f>Sheet1!$B$56</c15:f>
                      <c15:dlblFieldTableCache>
                        <c:ptCount val="1"/>
                        <c:pt idx="0">
                          <c:v>68.26%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D7DD-426C-AD21-3574C0E8C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64.22%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DD-426C-AD21-3574C0E8C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Sheet1!$B$55:$E$55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</c:strRef>
          </c:cat>
          <c:val>
            <c:numRef>
              <c:f>Sheet1!$B$56:$E$56</c:f>
              <c:numCache>
                <c:formatCode>0.00%</c:formatCode>
                <c:ptCount val="2"/>
                <c:pt idx="0">
                  <c:v>0.68259621426555739</c:v>
                </c:pt>
                <c:pt idx="1">
                  <c:v>0.66191576624404058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DD-426C-AD21-3574C0E8CEC8}"/>
            </c:ext>
          </c:extLst>
        </c:ser>
        <c:ser>
          <c:idx val="1"/>
          <c:order val="1"/>
          <c:tx>
            <c:strRef>
              <c:f>Sheet1!$A$57</c:f>
              <c:strCache>
                <c:ptCount val="1"/>
                <c:pt idx="0">
                  <c:v>Total Central Government Debt (including deposits) as % of GDP</c:v>
                </c:pt>
              </c:strCache>
            </c:strRef>
          </c:tx>
          <c:spPr>
            <a:pattFill prst="narHorz">
              <a:fgClr>
                <a:schemeClr val="accent3">
                  <a:lumMod val="60000"/>
                  <a:lumOff val="40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18D08E0-1248-40F6-8DBD-8EE0DCF46CD7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{318D08E0-1248-40F6-8DBD-8EE0DCF46CD7}</c15:txfldGUID>
                      <c15:f>Sheet1!$B$57</c15:f>
                      <c15:dlblFieldTableCache>
                        <c:ptCount val="1"/>
                        <c:pt idx="0">
                          <c:v>62.27%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D7DD-426C-AD21-3574C0E8CEC8}"/>
                </c:ext>
              </c:extLst>
            </c:dLbl>
            <c:dLbl>
              <c:idx val="1"/>
              <c:layout>
                <c:manualLayout>
                  <c:x val="-4.535147392290249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59.09%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DD-426C-AD21-3574C0E8C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Sheet1!$B$55:$E$55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</c:strRef>
          </c:cat>
          <c:val>
            <c:numRef>
              <c:f>Sheet1!$B$57:$E$57</c:f>
              <c:numCache>
                <c:formatCode>0.00%</c:formatCode>
                <c:ptCount val="2"/>
                <c:pt idx="0">
                  <c:v>0.62266462586088989</c:v>
                </c:pt>
                <c:pt idx="1">
                  <c:v>0.60909791185226825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DD-426C-AD21-3574C0E8C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4902496"/>
        <c:axId val="370518288"/>
      </c:barChart>
      <c:catAx>
        <c:axId val="37490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518288"/>
        <c:crosses val="autoZero"/>
        <c:auto val="1"/>
        <c:lblAlgn val="ctr"/>
        <c:lblOffset val="100"/>
        <c:noMultiLvlLbl val="0"/>
      </c:catAx>
      <c:valAx>
        <c:axId val="370518288"/>
        <c:scaling>
          <c:orientation val="minMax"/>
          <c:max val="0.70000000000000007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4902496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216213539345317E-2"/>
          <c:y val="0.79292974741793643"/>
          <c:w val="0.9445316033609007"/>
          <c:h val="0.181096226608037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/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 sz="1100" b="1">
                <a:solidFill>
                  <a:sysClr val="windowText" lastClr="000000"/>
                </a:solidFill>
                <a:latin typeface="Cambria" panose="02040503050406030204" pitchFamily="18" charset="0"/>
              </a:rPr>
              <a:t>Figure 1 Central Government Debt in mil.eur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Sheet1!$A$52</c:f>
              <c:strCache>
                <c:ptCount val="1"/>
                <c:pt idx="0">
                  <c:v>Total Central Gov.Debt in mil. eur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BFBF5E51-7A34-4913-B94F-1E29EB244BF1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{BFBF5E51-7A34-4913-B94F-1E29EB244BF1}</c15:txfldGUID>
                      <c15:f>Sheet1!$B$52</c15:f>
                      <c15:dlblFieldTableCache>
                        <c:ptCount val="1"/>
                        <c:pt idx="0">
                          <c:v>3,152.98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4CA7-49D6-9D60-A576D1755F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8EAEF9F-F0CC-480C-8AB3-878CCAA2280A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{88EAEF9F-F0CC-480C-8AB3-878CCAA2280A}</c15:txfldGUID>
                      <c15:f>Sheet1!$C$52</c15:f>
                      <c15:dlblFieldTableCache>
                        <c:ptCount val="1"/>
                        <c:pt idx="0">
                          <c:v>3,179.38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4CA7-49D6-9D60-A576D1755F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Sheet1!$B$51:$E$51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</c:strRef>
          </c:cat>
          <c:val>
            <c:numRef>
              <c:f>Sheet1!$B$52:$E$52</c:f>
              <c:numCache>
                <c:formatCode>#,##0.00</c:formatCode>
                <c:ptCount val="2"/>
                <c:pt idx="0">
                  <c:v>3152.9801733140366</c:v>
                </c:pt>
                <c:pt idx="1">
                  <c:v>3179.38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A7-49D6-9D60-A576D1755F03}"/>
            </c:ext>
          </c:extLst>
        </c:ser>
        <c:ser>
          <c:idx val="1"/>
          <c:order val="1"/>
          <c:tx>
            <c:strRef>
              <c:f>Sheet1!$A$53</c:f>
              <c:strCache>
                <c:ptCount val="1"/>
                <c:pt idx="0">
                  <c:v>Total Central Gov.Debt, including deposits, in mil. eur</c:v>
                </c:pt>
              </c:strCache>
            </c:strRef>
          </c:tx>
          <c:spPr>
            <a:ln w="28575" cap="rnd">
              <a:solidFill>
                <a:schemeClr val="accent3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124C2B9A-988E-453D-A743-BBBF726077B1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{124C2B9A-988E-453D-A743-BBBF726077B1}</c15:txfldGUID>
                      <c15:f>Sheet1!$B$53</c15:f>
                      <c15:dlblFieldTableCache>
                        <c:ptCount val="1"/>
                        <c:pt idx="0">
                          <c:v>2,876.15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4CA7-49D6-9D60-A576D1755F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94A40C30-8E13-40CA-91DF-E08B2D049409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{94A40C30-8E13-40CA-91DF-E08B2D049409}</c15:txfldGUID>
                      <c15:f>Sheet1!$C$53</c15:f>
                      <c15:dlblFieldTableCache>
                        <c:ptCount val="1"/>
                        <c:pt idx="0">
                          <c:v>2,925.68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4CA7-49D6-9D60-A576D1755F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Sheet1!$B$51:$E$51</c:f>
              <c:strCache>
                <c:ptCount val="2"/>
                <c:pt idx="0">
                  <c:v>31.12.2018</c:v>
                </c:pt>
                <c:pt idx="1">
                  <c:v>31.03.2019</c:v>
                </c:pt>
              </c:strCache>
            </c:strRef>
          </c:cat>
          <c:val>
            <c:numRef>
              <c:f>Sheet1!$B$53:$E$53</c:f>
              <c:numCache>
                <c:formatCode>#,##0.00</c:formatCode>
                <c:ptCount val="2"/>
                <c:pt idx="0">
                  <c:v>2876.1501733140367</c:v>
                </c:pt>
                <c:pt idx="1">
                  <c:v>2925.68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A7-49D6-9D60-A576D1755F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6116208"/>
        <c:axId val="346115376"/>
      </c:lineChart>
      <c:catAx>
        <c:axId val="34611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5376"/>
        <c:crosses val="autoZero"/>
        <c:auto val="1"/>
        <c:lblAlgn val="ctr"/>
        <c:lblOffset val="100"/>
        <c:noMultiLvlLbl val="0"/>
      </c:catAx>
      <c:valAx>
        <c:axId val="346115376"/>
        <c:scaling>
          <c:orientation val="minMax"/>
          <c:max val="3200"/>
          <c:min val="26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116208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847207198141769E-3"/>
          <c:y val="0.7968865038367019"/>
          <c:w val="0.99289040946558993"/>
          <c:h val="0.177635789156928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RS" sz="1100" b="1">
                <a:solidFill>
                  <a:sysClr val="windowText" lastClr="000000"/>
                </a:solidFill>
              </a:rPr>
              <a:t>Figure 3 Currency Structure of Central Government Debt (31.</a:t>
            </a:r>
            <a:r>
              <a:rPr lang="en-GB" sz="1100" b="1">
                <a:solidFill>
                  <a:sysClr val="windowText" lastClr="000000"/>
                </a:solidFill>
              </a:rPr>
              <a:t>03</a:t>
            </a:r>
            <a:r>
              <a:rPr lang="sr-Latn-RS" sz="1100" b="1">
                <a:solidFill>
                  <a:sysClr val="windowText" lastClr="000000"/>
                </a:solidFill>
              </a:rPr>
              <a:t>.201</a:t>
            </a:r>
            <a:r>
              <a:rPr lang="en-GB" sz="1100" b="1">
                <a:solidFill>
                  <a:sysClr val="windowText" lastClr="000000"/>
                </a:solidFill>
              </a:rPr>
              <a:t>9</a:t>
            </a:r>
            <a:r>
              <a:rPr lang="en-US" sz="1100" b="1">
                <a:solidFill>
                  <a:sysClr val="windowText" lastClr="00000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0.1370331364829396"/>
          <c:y val="1.4003072592970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508394178000477"/>
          <c:y val="0.24764673233050169"/>
          <c:w val="0.5879158196134574"/>
          <c:h val="0.57948691897383797"/>
        </c:manualLayout>
      </c:layout>
      <c:pieChart>
        <c:varyColors val="1"/>
        <c:ser>
          <c:idx val="0"/>
          <c:order val="0"/>
          <c:tx>
            <c:strRef>
              <c:f>Sheet1!$M$71:$M$73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Other (CHF, NOK, SDR)</c:v>
                </c:pt>
              </c:strCache>
            </c:strRef>
          </c:tx>
          <c:dPt>
            <c:idx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11-4EC7-84D7-B7E5F12DDA03}"/>
              </c:ext>
            </c:extLst>
          </c:dPt>
          <c:dPt>
            <c:idx val="1"/>
            <c:bubble3D val="0"/>
            <c:spPr>
              <a:pattFill prst="dkUpDiag">
                <a:fgClr>
                  <a:srgbClr val="46B2B5">
                    <a:lumMod val="60000"/>
                    <a:lumOff val="40000"/>
                  </a:srgbClr>
                </a:fgClr>
                <a:bgClr>
                  <a:sysClr val="window" lastClr="FFFFFF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11-4EC7-84D7-B7E5F12DDA03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F11-4EC7-84D7-B7E5F12DDA0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170E0B0C-0F94-45FC-AE34-920ED4D7A0ED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{170E0B0C-0F94-45FC-AE34-920ED4D7A0ED}</c15:txfldGUID>
                      <c15:f>Sheet1!$K$71</c15:f>
                      <c15:dlblFieldTableCache>
                        <c:ptCount val="1"/>
                        <c:pt idx="0">
                          <c:v>81.60%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6F11-4EC7-84D7-B7E5F12DDA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CD95B7E-FCDE-4F5D-8FAC-79FED154DC58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{4CD95B7E-FCDE-4F5D-8FAC-79FED154DC58}</c15:txfldGUID>
                      <c15:f>Sheet1!$L$72</c15:f>
                      <c15:dlblFieldTableCache>
                        <c:ptCount val="1"/>
                        <c:pt idx="0">
                          <c:v>17.14%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6F11-4EC7-84D7-B7E5F12DDA0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E22C409-5561-485C-B775-63C24FBE6F27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{5E22C409-5561-485C-B775-63C24FBE6F27}</c15:txfldGUID>
                      <c15:f>Sheet1!$L$73</c15:f>
                      <c15:dlblFieldTableCache>
                        <c:ptCount val="1"/>
                        <c:pt idx="0">
                          <c:v>1.26%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6F11-4EC7-84D7-B7E5F12DDA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Sheet1!$M$71:$M$73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Other (CHF, NOK, SDR)</c:v>
                </c:pt>
              </c:strCache>
            </c:strRef>
          </c:cat>
          <c:val>
            <c:numRef>
              <c:f>Sheet1!$L$71:$L$73</c:f>
              <c:numCache>
                <c:formatCode>0.00%</c:formatCode>
                <c:ptCount val="3"/>
                <c:pt idx="0">
                  <c:v>0.8160488234402381</c:v>
                </c:pt>
                <c:pt idx="1">
                  <c:v>0.17137776807053892</c:v>
                </c:pt>
                <c:pt idx="2">
                  <c:v>1.2573408489223054E-2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11-4EC7-84D7-B7E5F12DDA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solidFill>
                  <a:sysClr val="windowText" lastClr="000000"/>
                </a:solidFill>
              </a:rPr>
              <a:t>Figure 4 Interest Rate Structure of Central Government Debt (31.03.2019)</a:t>
            </a:r>
          </a:p>
        </c:rich>
      </c:tx>
      <c:layout>
        <c:manualLayout>
          <c:xMode val="edge"/>
          <c:yMode val="edge"/>
          <c:x val="0.18071339693073413"/>
          <c:y val="2.93040293040293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640326325862107"/>
          <c:y val="0.25977027065165242"/>
          <c:w val="0.5048044232961133"/>
          <c:h val="0.5816408432816865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046-4F33-AB1F-DFF3B2E61E1C}"/>
              </c:ext>
            </c:extLst>
          </c:dPt>
          <c:dPt>
            <c:idx val="1"/>
            <c:bubble3D val="0"/>
            <c:spPr>
              <a:pattFill prst="dkUpDiag">
                <a:fgClr>
                  <a:schemeClr val="accent3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046-4F33-AB1F-DFF3B2E61E1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1D2E17D-562F-40F0-84EC-FD22FC8EB53F}" type="CELLREF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[CELLREF]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{81D2E17D-562F-40F0-84EC-FD22FC8EB53F}</c15:txfldGUID>
                      <c15:f>Sheet1!$E$68</c15:f>
                      <c15:dlblFieldTableCache>
                        <c:ptCount val="1"/>
                        <c:pt idx="0">
                          <c:v>74.93%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C046-4F33-AB1F-DFF3B2E61E1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35926FD-9FC8-4AF3-9688-CD2D561D7AAD}" type="CELLREF">
                      <a:rPr lang="en-US"/>
                      <a:pPr/>
                      <a:t>[CELLREF]</a:t>
                    </a:fld>
                    <a:endParaRPr lang="en-GB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{835926FD-9FC8-4AF3-9688-CD2D561D7AAD}</c15:txfldGUID>
                      <c15:f>Sheet1!$E$69</c15:f>
                      <c15:dlblFieldTableCache>
                        <c:ptCount val="1"/>
                        <c:pt idx="0">
                          <c:v>25.07%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C046-4F33-AB1F-DFF3B2E61E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Sheet1!$C$68:$C$69</c:f>
              <c:strCache>
                <c:ptCount val="2"/>
                <c:pt idx="0">
                  <c:v>fix</c:v>
                </c:pt>
                <c:pt idx="1">
                  <c:v>var</c:v>
                </c:pt>
              </c:strCache>
            </c:strRef>
          </c:cat>
          <c:val>
            <c:numRef>
              <c:f>Sheet1!$E$68:$E$69</c:f>
              <c:numCache>
                <c:formatCode>0.00%</c:formatCode>
                <c:ptCount val="2"/>
                <c:pt idx="0">
                  <c:v>0.74927838164205873</c:v>
                </c:pt>
                <c:pt idx="1">
                  <c:v>0.25072161835794138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46-4F33-AB1F-DFF3B2E61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 i="0" u="none" strike="noStrike" baseline="0">
                <a:solidFill>
                  <a:sysClr val="windowText" lastClr="000000"/>
                </a:solidFill>
                <a:effectLst/>
              </a:rPr>
              <a:t>Figure 5 Share of Domestic and Foreign Debt (31.03.2019)</a:t>
            </a:r>
            <a:endParaRPr lang="en-GB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7866666666666664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95553496989347"/>
          <c:y val="0.21887067618493214"/>
          <c:w val="0.53777475047452983"/>
          <c:h val="0.604735030689257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8B323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A0-4961-A76D-D65D6C9CE900}"/>
              </c:ext>
            </c:extLst>
          </c:dPt>
          <c:dPt>
            <c:idx val="1"/>
            <c:bubble3D val="0"/>
            <c:spPr>
              <a:pattFill prst="dkUpDiag">
                <a:fgClr>
                  <a:srgbClr val="46B2B5">
                    <a:lumMod val="60000"/>
                    <a:lumOff val="40000"/>
                  </a:srgbClr>
                </a:fgClr>
                <a:bgClr>
                  <a:sysClr val="window" lastClr="FFFFFF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A0-4961-A76D-D65D6C9CE90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351E0F1-4059-416B-AE5D-2B2A742E754C}" type="CELLREF">
                      <a:rPr lang="en-US" b="1"/>
                      <a:pPr>
                        <a:defRPr b="1"/>
                      </a:pPr>
                      <a:t>[CELLREF]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{2351E0F1-4059-416B-AE5D-2B2A742E754C}</c15:txfldGUID>
                      <c15:f>Sheet1!$C$62</c15:f>
                      <c15:dlblFieldTableCache>
                        <c:ptCount val="1"/>
                        <c:pt idx="0">
                          <c:v>88.09%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66A0-4961-A76D-D65D6C9CE900}"/>
                </c:ext>
              </c:extLst>
            </c:dLbl>
            <c:dLbl>
              <c:idx val="1"/>
              <c:layout>
                <c:manualLayout>
                  <c:x val="0.12918108419838523"/>
                  <c:y val="0.11517959087798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8A6BBC2-B903-4D73-BFD4-FEAF8A21D163}" type="CELLREF">
                      <a:rPr lang="en-US" b="1"/>
                      <a:pPr>
                        <a:defRPr b="1"/>
                      </a:pPr>
                      <a:t>[CELLREF]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953863898500576"/>
                      <c:h val="5.9662775616083012E-2"/>
                    </c:manualLayout>
                  </c15:layout>
                  <c15:dlblFieldTable>
                    <c15:dlblFTEntry>
                      <c15:txfldGUID>{08A6BBC2-B903-4D73-BFD4-FEAF8A21D163}</c15:txfldGUID>
                      <c15:f>Sheet1!$C$63</c15:f>
                      <c15:dlblFieldTableCache>
                        <c:ptCount val="1"/>
                        <c:pt idx="0">
                          <c:v>11.91%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66A0-4961-A76D-D65D6C9CE9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Sheet1!$A$62:$A$63</c:f>
              <c:strCache>
                <c:ptCount val="2"/>
                <c:pt idx="0">
                  <c:v>Foreign Debt</c:v>
                </c:pt>
                <c:pt idx="1">
                  <c:v>Domestic Debt</c:v>
                </c:pt>
              </c:strCache>
            </c:strRef>
          </c:cat>
          <c:val>
            <c:numRef>
              <c:f>Sheet1!$C$62:$C$63</c:f>
              <c:numCache>
                <c:formatCode>0.00%</c:formatCode>
                <c:ptCount val="2"/>
                <c:pt idx="0">
                  <c:v>0.88090759833678267</c:v>
                </c:pt>
                <c:pt idx="1">
                  <c:v>0.11909240166321734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A0-4961-A76D-D65D6C9CE9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word/theme/themeOverride1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Badge">
    <a:dk1>
      <a:sysClr val="windowText" lastClr="000000"/>
    </a:dk1>
    <a:lt1>
      <a:sysClr val="window" lastClr="FFFFFF"/>
    </a:lt1>
    <a:dk2>
      <a:srgbClr val="2A1A00"/>
    </a:dk2>
    <a:lt2>
      <a:srgbClr val="F3F3F2"/>
    </a:lt2>
    <a:accent1>
      <a:srgbClr val="F8B323"/>
    </a:accent1>
    <a:accent2>
      <a:srgbClr val="656A59"/>
    </a:accent2>
    <a:accent3>
      <a:srgbClr val="46B2B5"/>
    </a:accent3>
    <a:accent4>
      <a:srgbClr val="8CAA7E"/>
    </a:accent4>
    <a:accent5>
      <a:srgbClr val="D36F68"/>
    </a:accent5>
    <a:accent6>
      <a:srgbClr val="826276"/>
    </a:accent6>
    <a:hlink>
      <a:srgbClr val="46B2B5"/>
    </a:hlink>
    <a:folHlink>
      <a:srgbClr val="A46694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Djurovic</dc:creator>
  <cp:keywords/>
  <dc:description/>
  <cp:lastModifiedBy>Ana Djuraskovic</cp:lastModifiedBy>
  <cp:revision>2</cp:revision>
  <cp:lastPrinted>2019-08-07T12:10:00Z</cp:lastPrinted>
  <dcterms:created xsi:type="dcterms:W3CDTF">2020-11-24T06:27:00Z</dcterms:created>
  <dcterms:modified xsi:type="dcterms:W3CDTF">2020-11-24T06:27:00Z</dcterms:modified>
</cp:coreProperties>
</file>