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theme/themeOverride1.xml" ContentType="application/vnd.openxmlformats-officedocument.themeOverrid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445" w:rsidRPr="00E65F0E" w:rsidRDefault="00745445" w:rsidP="00745445">
      <w:pPr>
        <w:pStyle w:val="Title"/>
        <w:spacing w:after="240"/>
        <w:jc w:val="center"/>
        <w:rPr>
          <w:b/>
          <w:color w:val="auto"/>
          <w:sz w:val="24"/>
          <w:szCs w:val="24"/>
        </w:rPr>
      </w:pPr>
      <w:bookmarkStart w:id="0" w:name="_GoBack"/>
      <w:bookmarkEnd w:id="0"/>
      <w:r w:rsidRPr="00E65F0E">
        <w:rPr>
          <w:b/>
          <w:color w:val="auto"/>
          <w:sz w:val="24"/>
          <w:szCs w:val="24"/>
        </w:rPr>
        <w:t xml:space="preserve">IZVJEŠTAJ O DRŽAVNOM DUGU NA DAN </w:t>
      </w:r>
      <w:r w:rsidR="00E65F0E">
        <w:rPr>
          <w:b/>
          <w:color w:val="auto"/>
          <w:sz w:val="24"/>
          <w:szCs w:val="24"/>
        </w:rPr>
        <w:t>30.09</w:t>
      </w:r>
      <w:r w:rsidRPr="00E65F0E">
        <w:rPr>
          <w:b/>
          <w:color w:val="auto"/>
          <w:sz w:val="24"/>
          <w:szCs w:val="24"/>
        </w:rPr>
        <w:t>.2019. GODINE</w:t>
      </w:r>
    </w:p>
    <w:p w:rsidR="00745445" w:rsidRPr="000269F8" w:rsidRDefault="00745445" w:rsidP="00745445">
      <w:pPr>
        <w:jc w:val="both"/>
        <w:rPr>
          <w:rFonts w:ascii="Cambria" w:eastAsia="Times New Roman" w:hAnsi="Cambria" w:cs="Times New Roman"/>
          <w:lang w:eastAsia="en-GB"/>
        </w:rPr>
      </w:pPr>
      <w:r w:rsidRPr="0045320E">
        <w:rPr>
          <w:rFonts w:ascii="Cambria" w:hAnsi="Cambria"/>
        </w:rPr>
        <w:t xml:space="preserve">Ukupan državni dug </w:t>
      </w:r>
      <w:r>
        <w:rPr>
          <w:rFonts w:ascii="Cambria" w:hAnsi="Cambria"/>
        </w:rPr>
        <w:t>(bez depozit</w:t>
      </w:r>
      <w:r w:rsidRPr="0045320E">
        <w:rPr>
          <w:rFonts w:ascii="Cambria" w:hAnsi="Cambria"/>
        </w:rPr>
        <w:t xml:space="preserve">a), na dan </w:t>
      </w:r>
      <w:r>
        <w:rPr>
          <w:rFonts w:ascii="Cambria" w:hAnsi="Cambria"/>
        </w:rPr>
        <w:t>30.09</w:t>
      </w:r>
      <w:r w:rsidRPr="0045320E">
        <w:rPr>
          <w:rFonts w:ascii="Cambria" w:hAnsi="Cambria"/>
        </w:rPr>
        <w:t xml:space="preserve">.2019. godine, iznosio je </w:t>
      </w:r>
      <w:r w:rsidRPr="00664205">
        <w:rPr>
          <w:rFonts w:ascii="Cambria" w:eastAsia="Times New Roman" w:hAnsi="Cambria" w:cs="Times New Roman"/>
          <w:lang w:eastAsia="en-GB"/>
        </w:rPr>
        <w:t>3</w:t>
      </w:r>
      <w:r>
        <w:rPr>
          <w:rFonts w:ascii="Cambria" w:eastAsia="Times New Roman" w:hAnsi="Cambria" w:cs="Times New Roman"/>
          <w:lang w:eastAsia="en-GB"/>
        </w:rPr>
        <w:t>.</w:t>
      </w:r>
      <w:r w:rsidRPr="00664205">
        <w:rPr>
          <w:rFonts w:ascii="Cambria" w:eastAsia="Times New Roman" w:hAnsi="Cambria" w:cs="Times New Roman"/>
          <w:lang w:eastAsia="en-GB"/>
        </w:rPr>
        <w:t>1</w:t>
      </w:r>
      <w:r w:rsidR="003E4864">
        <w:rPr>
          <w:rFonts w:ascii="Cambria" w:eastAsia="Times New Roman" w:hAnsi="Cambria" w:cs="Times New Roman"/>
          <w:lang w:eastAsia="en-GB"/>
        </w:rPr>
        <w:t>27</w:t>
      </w:r>
      <w:r>
        <w:rPr>
          <w:rFonts w:ascii="Cambria" w:eastAsia="Times New Roman" w:hAnsi="Cambria" w:cs="Times New Roman"/>
          <w:lang w:eastAsia="en-GB"/>
        </w:rPr>
        <w:t>,8</w:t>
      </w:r>
      <w:r w:rsidR="003E4864">
        <w:rPr>
          <w:rFonts w:ascii="Cambria" w:eastAsia="Times New Roman" w:hAnsi="Cambria" w:cs="Times New Roman"/>
          <w:lang w:eastAsia="en-GB"/>
        </w:rPr>
        <w:t>9</w:t>
      </w:r>
      <w:r w:rsidRPr="0045320E">
        <w:rPr>
          <w:rFonts w:ascii="Cambria" w:eastAsia="Times New Roman" w:hAnsi="Cambria" w:cs="Times New Roman"/>
          <w:lang w:eastAsia="en-GB"/>
        </w:rPr>
        <w:t xml:space="preserve"> miliona eura, ili </w:t>
      </w:r>
      <w:r w:rsidR="003E4864" w:rsidRPr="000269F8">
        <w:rPr>
          <w:rFonts w:ascii="Cambria" w:eastAsia="Times New Roman" w:hAnsi="Cambria" w:cs="Times New Roman"/>
          <w:lang w:eastAsia="en-GB"/>
        </w:rPr>
        <w:t>6</w:t>
      </w:r>
      <w:r w:rsidR="00386E7D" w:rsidRPr="000269F8">
        <w:rPr>
          <w:rFonts w:ascii="Cambria" w:eastAsia="Times New Roman" w:hAnsi="Cambria" w:cs="Times New Roman"/>
          <w:lang w:eastAsia="en-GB"/>
        </w:rPr>
        <w:t>3</w:t>
      </w:r>
      <w:r w:rsidR="00EA1129" w:rsidRPr="000269F8">
        <w:rPr>
          <w:rFonts w:ascii="Cambria" w:eastAsia="Times New Roman" w:hAnsi="Cambria" w:cs="Times New Roman"/>
          <w:lang w:eastAsia="en-GB"/>
        </w:rPr>
        <w:t>,</w:t>
      </w:r>
      <w:r w:rsidR="00386E7D" w:rsidRPr="000269F8">
        <w:rPr>
          <w:rFonts w:ascii="Cambria" w:eastAsia="Times New Roman" w:hAnsi="Cambria" w:cs="Times New Roman"/>
          <w:lang w:eastAsia="en-GB"/>
        </w:rPr>
        <w:t>18</w:t>
      </w:r>
      <w:r w:rsidRPr="000269F8">
        <w:rPr>
          <w:rFonts w:ascii="Cambria" w:eastAsia="Times New Roman" w:hAnsi="Cambria" w:cs="Times New Roman"/>
          <w:lang w:eastAsia="en-GB"/>
        </w:rPr>
        <w:t>% BDP-a</w:t>
      </w:r>
      <w:r w:rsidRPr="000269F8">
        <w:rPr>
          <w:rStyle w:val="FootnoteReference"/>
          <w:rFonts w:ascii="Cambria" w:eastAsia="Times New Roman" w:hAnsi="Cambria" w:cs="Times New Roman"/>
          <w:lang w:eastAsia="en-GB"/>
        </w:rPr>
        <w:footnoteReference w:id="1"/>
      </w:r>
      <w:r w:rsidRPr="000269F8">
        <w:rPr>
          <w:rFonts w:ascii="Cambria" w:eastAsia="Times New Roman" w:hAnsi="Cambria" w:cs="Times New Roman"/>
          <w:lang w:eastAsia="en-GB"/>
        </w:rPr>
        <w:t>. Ukupan državni dug sa depozitima, na dan 30.09.2019. godine iznosi 2.9</w:t>
      </w:r>
      <w:r w:rsidR="003E4864" w:rsidRPr="000269F8">
        <w:rPr>
          <w:rFonts w:ascii="Cambria" w:eastAsia="Times New Roman" w:hAnsi="Cambria" w:cs="Times New Roman"/>
          <w:lang w:eastAsia="en-GB"/>
        </w:rPr>
        <w:t>70</w:t>
      </w:r>
      <w:r w:rsidRPr="000269F8">
        <w:rPr>
          <w:rFonts w:ascii="Cambria" w:eastAsia="Times New Roman" w:hAnsi="Cambria" w:cs="Times New Roman"/>
          <w:lang w:eastAsia="en-GB"/>
        </w:rPr>
        <w:t>,</w:t>
      </w:r>
      <w:r w:rsidR="003E4864" w:rsidRPr="000269F8">
        <w:rPr>
          <w:rFonts w:ascii="Cambria" w:eastAsia="Times New Roman" w:hAnsi="Cambria" w:cs="Times New Roman"/>
          <w:lang w:eastAsia="en-GB"/>
        </w:rPr>
        <w:t xml:space="preserve">32 </w:t>
      </w:r>
      <w:r w:rsidRPr="000269F8">
        <w:rPr>
          <w:rFonts w:ascii="Cambria" w:eastAsia="Times New Roman" w:hAnsi="Cambria" w:cs="Times New Roman"/>
          <w:lang w:eastAsia="en-GB"/>
        </w:rPr>
        <w:t xml:space="preserve">miliona eura ili </w:t>
      </w:r>
      <w:r w:rsidR="001E3567" w:rsidRPr="000269F8">
        <w:rPr>
          <w:rFonts w:ascii="Cambria" w:eastAsia="Times New Roman" w:hAnsi="Cambria" w:cs="Times New Roman"/>
          <w:lang w:eastAsia="en-GB"/>
        </w:rPr>
        <w:t>60,00</w:t>
      </w:r>
      <w:r w:rsidRPr="000269F8">
        <w:rPr>
          <w:rFonts w:ascii="Cambria" w:eastAsia="Times New Roman" w:hAnsi="Cambria" w:cs="Times New Roman"/>
          <w:lang w:eastAsia="en-GB"/>
        </w:rPr>
        <w:t xml:space="preserve">%. </w:t>
      </w:r>
    </w:p>
    <w:p w:rsidR="00745445" w:rsidRDefault="00745445" w:rsidP="00745445">
      <w:pPr>
        <w:jc w:val="both"/>
        <w:rPr>
          <w:rFonts w:ascii="Cambria" w:eastAsia="Times New Roman" w:hAnsi="Cambria" w:cs="Times New Roman"/>
          <w:lang w:eastAsia="en-GB"/>
        </w:rPr>
      </w:pPr>
      <w:r w:rsidRPr="000269F8">
        <w:rPr>
          <w:rFonts w:ascii="Cambria" w:eastAsia="Times New Roman" w:hAnsi="Cambria" w:cs="Times New Roman"/>
          <w:lang w:eastAsia="en-GB"/>
        </w:rPr>
        <w:t>Spoljni dug iznosio je 2.</w:t>
      </w:r>
      <w:r w:rsidR="003E4864" w:rsidRPr="000269F8">
        <w:rPr>
          <w:rFonts w:ascii="Cambria" w:eastAsia="Times New Roman" w:hAnsi="Cambria" w:cs="Times New Roman"/>
          <w:lang w:eastAsia="en-GB"/>
        </w:rPr>
        <w:t>623,</w:t>
      </w:r>
      <w:r w:rsidRPr="000269F8">
        <w:rPr>
          <w:rFonts w:ascii="Cambria" w:eastAsia="Times New Roman" w:hAnsi="Cambria" w:cs="Times New Roman"/>
          <w:lang w:eastAsia="en-GB"/>
        </w:rPr>
        <w:t>3</w:t>
      </w:r>
      <w:r w:rsidR="003E4864" w:rsidRPr="000269F8">
        <w:rPr>
          <w:rFonts w:ascii="Cambria" w:eastAsia="Times New Roman" w:hAnsi="Cambria" w:cs="Times New Roman"/>
          <w:lang w:eastAsia="en-GB"/>
        </w:rPr>
        <w:t>7</w:t>
      </w:r>
      <w:r w:rsidRPr="000269F8">
        <w:rPr>
          <w:rFonts w:ascii="Cambria" w:eastAsia="Times New Roman" w:hAnsi="Cambria" w:cs="Times New Roman"/>
          <w:lang w:eastAsia="en-GB"/>
        </w:rPr>
        <w:t xml:space="preserve"> miliona eura</w:t>
      </w:r>
      <w:r w:rsidR="00666AEF" w:rsidRPr="000269F8">
        <w:rPr>
          <w:rFonts w:ascii="Cambria" w:eastAsia="Times New Roman" w:hAnsi="Cambria" w:cs="Times New Roman"/>
          <w:lang w:eastAsia="en-GB"/>
        </w:rPr>
        <w:t xml:space="preserve">, odnosno </w:t>
      </w:r>
      <w:r w:rsidR="00D2203C" w:rsidRPr="000269F8">
        <w:rPr>
          <w:rFonts w:ascii="Cambria" w:eastAsia="Times New Roman" w:hAnsi="Cambria" w:cs="Times New Roman"/>
          <w:lang w:eastAsia="en-GB"/>
        </w:rPr>
        <w:t>52,99</w:t>
      </w:r>
      <w:r w:rsidRPr="000269F8">
        <w:rPr>
          <w:rFonts w:ascii="Cambria" w:eastAsia="Times New Roman" w:hAnsi="Cambria" w:cs="Times New Roman"/>
          <w:lang w:eastAsia="en-GB"/>
        </w:rPr>
        <w:t>% BDP-a, dok je unutrašnji dug iznosio 5</w:t>
      </w:r>
      <w:r w:rsidR="001D62A3" w:rsidRPr="000269F8">
        <w:rPr>
          <w:rFonts w:ascii="Cambria" w:eastAsia="Times New Roman" w:hAnsi="Cambria" w:cs="Times New Roman"/>
          <w:lang w:eastAsia="en-GB"/>
        </w:rPr>
        <w:t>04,</w:t>
      </w:r>
      <w:r w:rsidRPr="000269F8">
        <w:rPr>
          <w:rFonts w:ascii="Cambria" w:eastAsia="Times New Roman" w:hAnsi="Cambria" w:cs="Times New Roman"/>
          <w:lang w:eastAsia="en-GB"/>
        </w:rPr>
        <w:t>5</w:t>
      </w:r>
      <w:r w:rsidR="001D62A3" w:rsidRPr="000269F8">
        <w:rPr>
          <w:rFonts w:ascii="Cambria" w:eastAsia="Times New Roman" w:hAnsi="Cambria" w:cs="Times New Roman"/>
          <w:lang w:eastAsia="en-GB"/>
        </w:rPr>
        <w:t>2</w:t>
      </w:r>
      <w:r w:rsidRPr="000269F8">
        <w:rPr>
          <w:rFonts w:ascii="Cambria" w:eastAsia="Times New Roman" w:hAnsi="Cambria" w:cs="Times New Roman"/>
          <w:lang w:eastAsia="en-GB"/>
        </w:rPr>
        <w:t xml:space="preserve"> miliona eura, odnosno 10,</w:t>
      </w:r>
      <w:r w:rsidR="00386E7D" w:rsidRPr="000269F8">
        <w:rPr>
          <w:rFonts w:ascii="Cambria" w:eastAsia="Times New Roman" w:hAnsi="Cambria" w:cs="Times New Roman"/>
          <w:lang w:eastAsia="en-GB"/>
        </w:rPr>
        <w:t>19</w:t>
      </w:r>
      <w:r w:rsidRPr="000269F8">
        <w:rPr>
          <w:rFonts w:ascii="Cambria" w:eastAsia="Times New Roman" w:hAnsi="Cambria" w:cs="Times New Roman"/>
          <w:lang w:eastAsia="en-GB"/>
        </w:rPr>
        <w:t>% BDP-a. Depoziti na kraju t</w:t>
      </w:r>
      <w:r w:rsidRPr="000269F8">
        <w:rPr>
          <w:rFonts w:ascii="Cambria" w:eastAsia="Times New Roman" w:hAnsi="Cambria" w:cs="Times New Roman"/>
          <w:lang w:val="sr-Latn-RS" w:eastAsia="en-GB"/>
        </w:rPr>
        <w:t xml:space="preserve">rećeg </w:t>
      </w:r>
      <w:r w:rsidRPr="000269F8">
        <w:rPr>
          <w:rFonts w:ascii="Cambria" w:eastAsia="Times New Roman" w:hAnsi="Cambria" w:cs="Times New Roman"/>
          <w:lang w:eastAsia="en-GB"/>
        </w:rPr>
        <w:t xml:space="preserve">kvartala 2019. godine iznosili su </w:t>
      </w:r>
      <w:r w:rsidR="001D62A3" w:rsidRPr="000269F8">
        <w:rPr>
          <w:rFonts w:ascii="Cambria" w:eastAsia="Times New Roman" w:hAnsi="Cambria" w:cs="Times New Roman"/>
          <w:lang w:eastAsia="en-GB"/>
        </w:rPr>
        <w:t>157</w:t>
      </w:r>
      <w:r w:rsidRPr="000269F8">
        <w:rPr>
          <w:rFonts w:ascii="Cambria" w:eastAsia="Times New Roman" w:hAnsi="Cambria" w:cs="Times New Roman"/>
          <w:lang w:eastAsia="en-GB"/>
        </w:rPr>
        <w:t>,</w:t>
      </w:r>
      <w:r w:rsidR="001D62A3" w:rsidRPr="000269F8">
        <w:rPr>
          <w:rFonts w:ascii="Cambria" w:eastAsia="Times New Roman" w:hAnsi="Cambria" w:cs="Times New Roman"/>
          <w:lang w:eastAsia="en-GB"/>
        </w:rPr>
        <w:t xml:space="preserve">58 </w:t>
      </w:r>
      <w:r w:rsidRPr="000269F8">
        <w:rPr>
          <w:rFonts w:ascii="Cambria" w:eastAsia="Times New Roman" w:hAnsi="Cambria" w:cs="Times New Roman"/>
          <w:lang w:eastAsia="en-GB"/>
        </w:rPr>
        <w:t xml:space="preserve">miliona eura ili </w:t>
      </w:r>
      <w:r w:rsidR="00386E7D" w:rsidRPr="000269F8">
        <w:rPr>
          <w:rFonts w:ascii="Cambria" w:eastAsia="Times New Roman" w:hAnsi="Cambria" w:cs="Times New Roman"/>
          <w:lang w:eastAsia="en-GB"/>
        </w:rPr>
        <w:t xml:space="preserve">3,18 </w:t>
      </w:r>
      <w:r w:rsidRPr="000269F8">
        <w:rPr>
          <w:rFonts w:ascii="Cambria" w:eastAsia="Times New Roman" w:hAnsi="Cambria" w:cs="Times New Roman"/>
          <w:lang w:eastAsia="en-GB"/>
        </w:rPr>
        <w:t>% BDP-a.</w:t>
      </w:r>
      <w:r w:rsidRPr="0045320E">
        <w:rPr>
          <w:rFonts w:ascii="Cambria" w:eastAsia="Times New Roman" w:hAnsi="Cambria" w:cs="Times New Roman"/>
          <w:lang w:eastAsia="en-GB"/>
        </w:rPr>
        <w:t xml:space="preserve"> </w:t>
      </w:r>
    </w:p>
    <w:p w:rsidR="00164D84" w:rsidRDefault="005254C2" w:rsidP="00745445">
      <w:pPr>
        <w:jc w:val="both"/>
      </w:pPr>
      <w:r>
        <w:rPr>
          <w:rFonts w:ascii="Cambria" w:eastAsia="Times New Roman" w:hAnsi="Cambria" w:cs="Times New Roman"/>
          <w:lang w:eastAsia="en-GB"/>
        </w:rPr>
        <w:t>Tabela 1 Stanje duga u milionima eura</w:t>
      </w:r>
      <w:r w:rsidR="00745445">
        <w:rPr>
          <w:rFonts w:ascii="Cambria" w:eastAsia="Times New Roman" w:hAnsi="Cambria" w:cs="Times New Roman"/>
          <w:lang w:eastAsia="en-GB"/>
        </w:rPr>
        <w:fldChar w:fldCharType="begin"/>
      </w:r>
      <w:r w:rsidR="00745445">
        <w:rPr>
          <w:rFonts w:ascii="Cambria" w:eastAsia="Times New Roman" w:hAnsi="Cambria" w:cs="Times New Roman"/>
          <w:lang w:eastAsia="en-GB"/>
        </w:rPr>
        <w:instrText xml:space="preserve"> LINK </w:instrText>
      </w:r>
      <w:r w:rsidR="008F1842">
        <w:rPr>
          <w:rFonts w:ascii="Cambria" w:eastAsia="Times New Roman" w:hAnsi="Cambria" w:cs="Times New Roman"/>
          <w:lang w:eastAsia="en-GB"/>
        </w:rPr>
        <w:instrText xml:space="preserve">Excel.Sheet.12 "C:\\Users\\jelena.djurovic\\Desktop\\Izvještaji o državnom dugu\\2019\\2. kvartal\\Grafici za izvjestaj 2.KVARTAL.xlsx" Sheet1!R2C1:R38C5 </w:instrText>
      </w:r>
      <w:r w:rsidR="00745445">
        <w:rPr>
          <w:rFonts w:ascii="Cambria" w:eastAsia="Times New Roman" w:hAnsi="Cambria" w:cs="Times New Roman"/>
          <w:lang w:eastAsia="en-GB"/>
        </w:rPr>
        <w:instrText xml:space="preserve">\a \f 5 \h  \* MERGEFORMAT </w:instrText>
      </w:r>
      <w:r w:rsidR="00745445">
        <w:rPr>
          <w:rFonts w:ascii="Cambria" w:eastAsia="Times New Roman" w:hAnsi="Cambria" w:cs="Times New Roman"/>
          <w:lang w:eastAsia="en-GB"/>
        </w:rPr>
        <w:fldChar w:fldCharType="separate"/>
      </w:r>
    </w:p>
    <w:tbl>
      <w:tblPr>
        <w:tblStyle w:val="GridTable6Colorful-Accent1"/>
        <w:tblW w:w="9209" w:type="dxa"/>
        <w:tblLook w:val="06A0" w:firstRow="1" w:lastRow="0" w:firstColumn="1" w:lastColumn="0" w:noHBand="1" w:noVBand="1"/>
      </w:tblPr>
      <w:tblGrid>
        <w:gridCol w:w="4957"/>
        <w:gridCol w:w="1417"/>
        <w:gridCol w:w="1418"/>
        <w:gridCol w:w="1417"/>
      </w:tblGrid>
      <w:tr w:rsidR="00164D84" w:rsidRPr="00164D84" w:rsidTr="00164D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divId w:val="1024673436"/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hideMark/>
          </w:tcPr>
          <w:p w:rsidR="00164D84" w:rsidRPr="00164D84" w:rsidRDefault="00164D84" w:rsidP="00164D84">
            <w:pPr>
              <w:rPr>
                <w:rFonts w:ascii="Cambria" w:eastAsia="Times New Roman" w:hAnsi="Cambria" w:cs="Times New Roman"/>
                <w:color w:val="auto"/>
                <w:sz w:val="18"/>
                <w:szCs w:val="18"/>
                <w:lang w:eastAsia="en-GB"/>
              </w:rPr>
            </w:pPr>
            <w:r w:rsidRPr="00164D84">
              <w:rPr>
                <w:rFonts w:ascii="Cambria" w:eastAsia="Times New Roman" w:hAnsi="Cambria" w:cs="Times New Roman"/>
                <w:color w:val="auto"/>
                <w:sz w:val="18"/>
                <w:szCs w:val="18"/>
                <w:lang w:eastAsia="en-GB"/>
              </w:rPr>
              <w:t>Kreditor</w:t>
            </w:r>
          </w:p>
        </w:tc>
        <w:tc>
          <w:tcPr>
            <w:tcW w:w="1417" w:type="dxa"/>
            <w:hideMark/>
          </w:tcPr>
          <w:p w:rsidR="00164D84" w:rsidRPr="00164D84" w:rsidRDefault="00164D84" w:rsidP="00164D8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color w:val="auto"/>
                <w:sz w:val="18"/>
                <w:szCs w:val="18"/>
                <w:lang w:eastAsia="en-GB"/>
              </w:rPr>
            </w:pPr>
            <w:r w:rsidRPr="00164D84">
              <w:rPr>
                <w:rFonts w:ascii="Cambria" w:eastAsia="Times New Roman" w:hAnsi="Cambria" w:cs="Times New Roman"/>
                <w:color w:val="auto"/>
                <w:sz w:val="18"/>
                <w:szCs w:val="18"/>
                <w:lang w:eastAsia="en-GB"/>
              </w:rPr>
              <w:t>Stanje na dan 31.03.2019</w:t>
            </w:r>
          </w:p>
        </w:tc>
        <w:tc>
          <w:tcPr>
            <w:tcW w:w="1418" w:type="dxa"/>
            <w:hideMark/>
          </w:tcPr>
          <w:p w:rsidR="00164D84" w:rsidRPr="00164D84" w:rsidRDefault="00164D84" w:rsidP="00164D8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color w:val="auto"/>
                <w:sz w:val="18"/>
                <w:szCs w:val="18"/>
                <w:lang w:eastAsia="en-GB"/>
              </w:rPr>
            </w:pPr>
            <w:r w:rsidRPr="00164D84">
              <w:rPr>
                <w:rFonts w:ascii="Cambria" w:eastAsia="Times New Roman" w:hAnsi="Cambria" w:cs="Times New Roman"/>
                <w:color w:val="auto"/>
                <w:sz w:val="18"/>
                <w:szCs w:val="18"/>
                <w:lang w:eastAsia="en-GB"/>
              </w:rPr>
              <w:t>Stanje na dan 30.06.2019</w:t>
            </w:r>
          </w:p>
        </w:tc>
        <w:tc>
          <w:tcPr>
            <w:tcW w:w="1417" w:type="dxa"/>
            <w:hideMark/>
          </w:tcPr>
          <w:p w:rsidR="00164D84" w:rsidRPr="00164D84" w:rsidRDefault="00164D84" w:rsidP="00164D8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color w:val="auto"/>
                <w:sz w:val="18"/>
                <w:szCs w:val="18"/>
                <w:lang w:eastAsia="en-GB"/>
              </w:rPr>
            </w:pPr>
            <w:r w:rsidRPr="00164D84">
              <w:rPr>
                <w:rFonts w:ascii="Cambria" w:eastAsia="Times New Roman" w:hAnsi="Cambria" w:cs="Times New Roman"/>
                <w:color w:val="auto"/>
                <w:sz w:val="18"/>
                <w:szCs w:val="18"/>
                <w:lang w:eastAsia="en-GB"/>
              </w:rPr>
              <w:t>Stanje na dan 30.09.2019</w:t>
            </w:r>
          </w:p>
        </w:tc>
      </w:tr>
      <w:tr w:rsidR="00164D84" w:rsidRPr="00164D84" w:rsidTr="00164D84">
        <w:trPr>
          <w:divId w:val="1024673436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hideMark/>
          </w:tcPr>
          <w:p w:rsidR="00164D84" w:rsidRPr="00164D84" w:rsidRDefault="00164D84" w:rsidP="00164D84">
            <w:pPr>
              <w:rPr>
                <w:rFonts w:ascii="Cambria" w:eastAsia="Times New Roman" w:hAnsi="Cambria" w:cs="Times New Roman"/>
                <w:color w:val="auto"/>
                <w:sz w:val="18"/>
                <w:szCs w:val="18"/>
                <w:lang w:eastAsia="en-GB"/>
              </w:rPr>
            </w:pPr>
            <w:r w:rsidRPr="00164D84">
              <w:rPr>
                <w:rFonts w:ascii="Cambria" w:eastAsia="Times New Roman" w:hAnsi="Cambria" w:cs="Times New Roman"/>
                <w:color w:val="auto"/>
                <w:sz w:val="18"/>
                <w:szCs w:val="18"/>
                <w:lang w:eastAsia="en-GB"/>
              </w:rPr>
              <w:t>Međunarodna banka za obnovu i razvoj (IBRD)</w:t>
            </w:r>
          </w:p>
        </w:tc>
        <w:tc>
          <w:tcPr>
            <w:tcW w:w="1417" w:type="dxa"/>
            <w:noWrap/>
            <w:hideMark/>
          </w:tcPr>
          <w:p w:rsidR="00164D84" w:rsidRPr="00164D84" w:rsidRDefault="00164D84" w:rsidP="00164D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color w:val="auto"/>
                <w:sz w:val="18"/>
                <w:szCs w:val="18"/>
                <w:lang w:eastAsia="en-GB"/>
              </w:rPr>
            </w:pPr>
            <w:r w:rsidRPr="00164D84">
              <w:rPr>
                <w:rFonts w:ascii="Cambria" w:eastAsia="Times New Roman" w:hAnsi="Cambria" w:cs="Times New Roman"/>
                <w:color w:val="auto"/>
                <w:sz w:val="18"/>
                <w:szCs w:val="18"/>
                <w:lang w:eastAsia="en-GB"/>
              </w:rPr>
              <w:t>189,17</w:t>
            </w:r>
          </w:p>
        </w:tc>
        <w:tc>
          <w:tcPr>
            <w:tcW w:w="1418" w:type="dxa"/>
            <w:noWrap/>
            <w:hideMark/>
          </w:tcPr>
          <w:p w:rsidR="00164D84" w:rsidRPr="00164D84" w:rsidRDefault="00164D84" w:rsidP="00164D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color w:val="auto"/>
                <w:sz w:val="18"/>
                <w:szCs w:val="18"/>
                <w:lang w:eastAsia="en-GB"/>
              </w:rPr>
            </w:pPr>
            <w:r w:rsidRPr="00164D84">
              <w:rPr>
                <w:rFonts w:ascii="Cambria" w:eastAsia="Times New Roman" w:hAnsi="Cambria" w:cs="Times New Roman"/>
                <w:color w:val="auto"/>
                <w:sz w:val="18"/>
                <w:szCs w:val="18"/>
                <w:lang w:eastAsia="en-GB"/>
              </w:rPr>
              <w:t>184,28</w:t>
            </w:r>
          </w:p>
        </w:tc>
        <w:tc>
          <w:tcPr>
            <w:tcW w:w="1417" w:type="dxa"/>
            <w:noWrap/>
            <w:hideMark/>
          </w:tcPr>
          <w:p w:rsidR="00164D84" w:rsidRPr="00164D84" w:rsidRDefault="00164D84" w:rsidP="00164D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bCs/>
                <w:color w:val="auto"/>
                <w:sz w:val="18"/>
                <w:szCs w:val="18"/>
                <w:lang w:eastAsia="en-GB"/>
              </w:rPr>
            </w:pPr>
            <w:r w:rsidRPr="00164D84">
              <w:rPr>
                <w:rFonts w:ascii="Cambria" w:eastAsia="Times New Roman" w:hAnsi="Cambria" w:cs="Times New Roman"/>
                <w:bCs/>
                <w:color w:val="auto"/>
                <w:sz w:val="18"/>
                <w:szCs w:val="18"/>
                <w:lang w:eastAsia="en-GB"/>
              </w:rPr>
              <w:t>186,88</w:t>
            </w:r>
          </w:p>
        </w:tc>
      </w:tr>
      <w:tr w:rsidR="00164D84" w:rsidRPr="00164D84" w:rsidTr="00164D84">
        <w:trPr>
          <w:divId w:val="1024673436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hideMark/>
          </w:tcPr>
          <w:p w:rsidR="00164D84" w:rsidRPr="00164D84" w:rsidRDefault="00164D84" w:rsidP="00164D84">
            <w:pPr>
              <w:rPr>
                <w:rFonts w:ascii="Cambria" w:eastAsia="Times New Roman" w:hAnsi="Cambria" w:cs="Times New Roman"/>
                <w:color w:val="auto"/>
                <w:sz w:val="18"/>
                <w:szCs w:val="18"/>
                <w:lang w:eastAsia="en-GB"/>
              </w:rPr>
            </w:pPr>
            <w:r w:rsidRPr="00164D84">
              <w:rPr>
                <w:rFonts w:ascii="Cambria" w:eastAsia="Times New Roman" w:hAnsi="Cambria" w:cs="Times New Roman"/>
                <w:color w:val="auto"/>
                <w:sz w:val="18"/>
                <w:szCs w:val="18"/>
                <w:lang w:eastAsia="en-GB"/>
              </w:rPr>
              <w:t>Pariski klub Povjerilaca</w:t>
            </w:r>
          </w:p>
        </w:tc>
        <w:tc>
          <w:tcPr>
            <w:tcW w:w="1417" w:type="dxa"/>
            <w:noWrap/>
            <w:hideMark/>
          </w:tcPr>
          <w:p w:rsidR="00164D84" w:rsidRPr="00164D84" w:rsidRDefault="00164D84" w:rsidP="00164D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color w:val="auto"/>
                <w:sz w:val="18"/>
                <w:szCs w:val="18"/>
                <w:lang w:eastAsia="en-GB"/>
              </w:rPr>
            </w:pPr>
            <w:r w:rsidRPr="00164D84">
              <w:rPr>
                <w:rFonts w:ascii="Cambria" w:eastAsia="Times New Roman" w:hAnsi="Cambria" w:cs="Times New Roman"/>
                <w:color w:val="auto"/>
                <w:sz w:val="18"/>
                <w:szCs w:val="18"/>
                <w:lang w:eastAsia="en-GB"/>
              </w:rPr>
              <w:t>81,02</w:t>
            </w:r>
          </w:p>
        </w:tc>
        <w:tc>
          <w:tcPr>
            <w:tcW w:w="1418" w:type="dxa"/>
            <w:noWrap/>
            <w:hideMark/>
          </w:tcPr>
          <w:p w:rsidR="00164D84" w:rsidRPr="00164D84" w:rsidRDefault="00164D84" w:rsidP="00164D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color w:val="auto"/>
                <w:sz w:val="18"/>
                <w:szCs w:val="18"/>
                <w:lang w:eastAsia="en-GB"/>
              </w:rPr>
            </w:pPr>
            <w:r w:rsidRPr="00164D84">
              <w:rPr>
                <w:rFonts w:ascii="Cambria" w:eastAsia="Times New Roman" w:hAnsi="Cambria" w:cs="Times New Roman"/>
                <w:color w:val="auto"/>
                <w:sz w:val="18"/>
                <w:szCs w:val="18"/>
                <w:lang w:eastAsia="en-GB"/>
              </w:rPr>
              <w:t>80,73</w:t>
            </w:r>
          </w:p>
        </w:tc>
        <w:tc>
          <w:tcPr>
            <w:tcW w:w="1417" w:type="dxa"/>
            <w:noWrap/>
            <w:hideMark/>
          </w:tcPr>
          <w:p w:rsidR="00164D84" w:rsidRPr="00164D84" w:rsidRDefault="00164D84" w:rsidP="00164D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bCs/>
                <w:color w:val="auto"/>
                <w:sz w:val="18"/>
                <w:szCs w:val="18"/>
                <w:lang w:eastAsia="en-GB"/>
              </w:rPr>
            </w:pPr>
            <w:r w:rsidRPr="00164D84">
              <w:rPr>
                <w:rFonts w:ascii="Cambria" w:eastAsia="Times New Roman" w:hAnsi="Cambria" w:cs="Times New Roman"/>
                <w:bCs/>
                <w:color w:val="auto"/>
                <w:sz w:val="18"/>
                <w:szCs w:val="18"/>
                <w:lang w:eastAsia="en-GB"/>
              </w:rPr>
              <w:t>78,56</w:t>
            </w:r>
          </w:p>
        </w:tc>
      </w:tr>
      <w:tr w:rsidR="00164D84" w:rsidRPr="00164D84" w:rsidTr="00164D84">
        <w:trPr>
          <w:divId w:val="1024673436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hideMark/>
          </w:tcPr>
          <w:p w:rsidR="00164D84" w:rsidRPr="00164D84" w:rsidRDefault="00164D84" w:rsidP="00164D84">
            <w:pPr>
              <w:rPr>
                <w:rFonts w:ascii="Cambria" w:eastAsia="Times New Roman" w:hAnsi="Cambria" w:cs="Times New Roman"/>
                <w:color w:val="auto"/>
                <w:sz w:val="18"/>
                <w:szCs w:val="18"/>
                <w:lang w:eastAsia="en-GB"/>
              </w:rPr>
            </w:pPr>
            <w:r w:rsidRPr="00164D84">
              <w:rPr>
                <w:rFonts w:ascii="Cambria" w:eastAsia="Times New Roman" w:hAnsi="Cambria" w:cs="Times New Roman"/>
                <w:color w:val="auto"/>
                <w:sz w:val="18"/>
                <w:szCs w:val="18"/>
                <w:lang w:eastAsia="en-GB"/>
              </w:rPr>
              <w:t>Međunarodna Asocijacija za razvoj (IDA)</w:t>
            </w:r>
          </w:p>
        </w:tc>
        <w:tc>
          <w:tcPr>
            <w:tcW w:w="1417" w:type="dxa"/>
            <w:noWrap/>
            <w:hideMark/>
          </w:tcPr>
          <w:p w:rsidR="00164D84" w:rsidRPr="00164D84" w:rsidRDefault="00164D84" w:rsidP="00164D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color w:val="auto"/>
                <w:sz w:val="18"/>
                <w:szCs w:val="18"/>
                <w:lang w:eastAsia="en-GB"/>
              </w:rPr>
            </w:pPr>
            <w:r w:rsidRPr="00164D84">
              <w:rPr>
                <w:rFonts w:ascii="Cambria" w:eastAsia="Times New Roman" w:hAnsi="Cambria" w:cs="Times New Roman"/>
                <w:color w:val="auto"/>
                <w:sz w:val="18"/>
                <w:szCs w:val="18"/>
                <w:lang w:eastAsia="en-GB"/>
              </w:rPr>
              <w:t>38,73</w:t>
            </w:r>
          </w:p>
        </w:tc>
        <w:tc>
          <w:tcPr>
            <w:tcW w:w="1418" w:type="dxa"/>
            <w:noWrap/>
            <w:hideMark/>
          </w:tcPr>
          <w:p w:rsidR="00164D84" w:rsidRPr="00164D84" w:rsidRDefault="00164D84" w:rsidP="00164D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color w:val="auto"/>
                <w:sz w:val="18"/>
                <w:szCs w:val="18"/>
                <w:lang w:eastAsia="en-GB"/>
              </w:rPr>
            </w:pPr>
            <w:r w:rsidRPr="00164D84">
              <w:rPr>
                <w:rFonts w:ascii="Cambria" w:eastAsia="Times New Roman" w:hAnsi="Cambria" w:cs="Times New Roman"/>
                <w:color w:val="auto"/>
                <w:sz w:val="18"/>
                <w:szCs w:val="18"/>
                <w:lang w:eastAsia="en-GB"/>
              </w:rPr>
              <w:t>35,13</w:t>
            </w:r>
          </w:p>
        </w:tc>
        <w:tc>
          <w:tcPr>
            <w:tcW w:w="1417" w:type="dxa"/>
            <w:noWrap/>
            <w:hideMark/>
          </w:tcPr>
          <w:p w:rsidR="00164D84" w:rsidRPr="00164D84" w:rsidRDefault="00164D84" w:rsidP="00164D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bCs/>
                <w:color w:val="auto"/>
                <w:sz w:val="18"/>
                <w:szCs w:val="18"/>
                <w:lang w:eastAsia="en-GB"/>
              </w:rPr>
            </w:pPr>
            <w:r w:rsidRPr="00164D84">
              <w:rPr>
                <w:rFonts w:ascii="Cambria" w:eastAsia="Times New Roman" w:hAnsi="Cambria" w:cs="Times New Roman"/>
                <w:bCs/>
                <w:color w:val="auto"/>
                <w:sz w:val="18"/>
                <w:szCs w:val="18"/>
                <w:lang w:eastAsia="en-GB"/>
              </w:rPr>
              <w:t>35,64</w:t>
            </w:r>
          </w:p>
        </w:tc>
      </w:tr>
      <w:tr w:rsidR="00164D84" w:rsidRPr="00164D84" w:rsidTr="00164D84">
        <w:trPr>
          <w:divId w:val="1024673436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hideMark/>
          </w:tcPr>
          <w:p w:rsidR="00164D84" w:rsidRPr="00164D84" w:rsidRDefault="00164D84" w:rsidP="00164D84">
            <w:pPr>
              <w:rPr>
                <w:rFonts w:ascii="Cambria" w:eastAsia="Times New Roman" w:hAnsi="Cambria" w:cs="Times New Roman"/>
                <w:color w:val="auto"/>
                <w:sz w:val="18"/>
                <w:szCs w:val="18"/>
                <w:lang w:eastAsia="en-GB"/>
              </w:rPr>
            </w:pPr>
            <w:r w:rsidRPr="00164D84">
              <w:rPr>
                <w:rFonts w:ascii="Cambria" w:eastAsia="Times New Roman" w:hAnsi="Cambria" w:cs="Times New Roman"/>
                <w:color w:val="auto"/>
                <w:sz w:val="18"/>
                <w:szCs w:val="18"/>
                <w:lang w:eastAsia="en-GB"/>
              </w:rPr>
              <w:t>Evropska investiciona banka (EIB)</w:t>
            </w:r>
          </w:p>
        </w:tc>
        <w:tc>
          <w:tcPr>
            <w:tcW w:w="1417" w:type="dxa"/>
            <w:noWrap/>
            <w:hideMark/>
          </w:tcPr>
          <w:p w:rsidR="00164D84" w:rsidRPr="00164D84" w:rsidRDefault="00164D84" w:rsidP="00164D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color w:val="auto"/>
                <w:sz w:val="18"/>
                <w:szCs w:val="18"/>
                <w:lang w:eastAsia="en-GB"/>
              </w:rPr>
            </w:pPr>
            <w:r w:rsidRPr="00164D84">
              <w:rPr>
                <w:rFonts w:ascii="Cambria" w:eastAsia="Times New Roman" w:hAnsi="Cambria" w:cs="Times New Roman"/>
                <w:color w:val="auto"/>
                <w:sz w:val="18"/>
                <w:szCs w:val="18"/>
                <w:lang w:eastAsia="en-GB"/>
              </w:rPr>
              <w:t>114,77</w:t>
            </w:r>
          </w:p>
        </w:tc>
        <w:tc>
          <w:tcPr>
            <w:tcW w:w="1418" w:type="dxa"/>
            <w:noWrap/>
            <w:hideMark/>
          </w:tcPr>
          <w:p w:rsidR="00164D84" w:rsidRPr="00164D84" w:rsidRDefault="00164D84" w:rsidP="00164D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color w:val="auto"/>
                <w:sz w:val="18"/>
                <w:szCs w:val="18"/>
                <w:lang w:eastAsia="en-GB"/>
              </w:rPr>
            </w:pPr>
            <w:r w:rsidRPr="00164D84">
              <w:rPr>
                <w:rFonts w:ascii="Cambria" w:eastAsia="Times New Roman" w:hAnsi="Cambria" w:cs="Times New Roman"/>
                <w:color w:val="auto"/>
                <w:sz w:val="18"/>
                <w:szCs w:val="18"/>
                <w:lang w:eastAsia="en-GB"/>
              </w:rPr>
              <w:t>112,07</w:t>
            </w:r>
          </w:p>
        </w:tc>
        <w:tc>
          <w:tcPr>
            <w:tcW w:w="1417" w:type="dxa"/>
            <w:noWrap/>
            <w:hideMark/>
          </w:tcPr>
          <w:p w:rsidR="00164D84" w:rsidRPr="00164D84" w:rsidRDefault="00164D84" w:rsidP="00164D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bCs/>
                <w:color w:val="auto"/>
                <w:sz w:val="18"/>
                <w:szCs w:val="18"/>
                <w:lang w:eastAsia="en-GB"/>
              </w:rPr>
            </w:pPr>
            <w:r w:rsidRPr="00164D84">
              <w:rPr>
                <w:rFonts w:ascii="Cambria" w:eastAsia="Times New Roman" w:hAnsi="Cambria" w:cs="Times New Roman"/>
                <w:bCs/>
                <w:color w:val="auto"/>
                <w:sz w:val="18"/>
                <w:szCs w:val="18"/>
                <w:lang w:eastAsia="en-GB"/>
              </w:rPr>
              <w:t>110,59</w:t>
            </w:r>
          </w:p>
        </w:tc>
      </w:tr>
      <w:tr w:rsidR="00164D84" w:rsidRPr="00164D84" w:rsidTr="00164D84">
        <w:trPr>
          <w:divId w:val="1024673436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hideMark/>
          </w:tcPr>
          <w:p w:rsidR="00164D84" w:rsidRPr="00164D84" w:rsidRDefault="00164D84" w:rsidP="00164D84">
            <w:pPr>
              <w:rPr>
                <w:rFonts w:ascii="Cambria" w:eastAsia="Times New Roman" w:hAnsi="Cambria" w:cs="Times New Roman"/>
                <w:color w:val="auto"/>
                <w:sz w:val="18"/>
                <w:szCs w:val="18"/>
                <w:lang w:eastAsia="en-GB"/>
              </w:rPr>
            </w:pPr>
            <w:r w:rsidRPr="00164D84">
              <w:rPr>
                <w:rFonts w:ascii="Cambria" w:eastAsia="Times New Roman" w:hAnsi="Cambria" w:cs="Times New Roman"/>
                <w:color w:val="auto"/>
                <w:sz w:val="18"/>
                <w:szCs w:val="18"/>
                <w:lang w:eastAsia="en-GB"/>
              </w:rPr>
              <w:t>Evropska banka za obnovu i razvoj (EBRD)</w:t>
            </w:r>
          </w:p>
        </w:tc>
        <w:tc>
          <w:tcPr>
            <w:tcW w:w="1417" w:type="dxa"/>
            <w:noWrap/>
            <w:hideMark/>
          </w:tcPr>
          <w:p w:rsidR="00164D84" w:rsidRPr="00164D84" w:rsidRDefault="00164D84" w:rsidP="00164D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color w:val="auto"/>
                <w:sz w:val="18"/>
                <w:szCs w:val="18"/>
                <w:lang w:eastAsia="en-GB"/>
              </w:rPr>
            </w:pPr>
            <w:r w:rsidRPr="00164D84">
              <w:rPr>
                <w:rFonts w:ascii="Cambria" w:eastAsia="Times New Roman" w:hAnsi="Cambria" w:cs="Times New Roman"/>
                <w:color w:val="auto"/>
                <w:sz w:val="18"/>
                <w:szCs w:val="18"/>
                <w:lang w:eastAsia="en-GB"/>
              </w:rPr>
              <w:t>17,19</w:t>
            </w:r>
          </w:p>
        </w:tc>
        <w:tc>
          <w:tcPr>
            <w:tcW w:w="1418" w:type="dxa"/>
            <w:noWrap/>
            <w:hideMark/>
          </w:tcPr>
          <w:p w:rsidR="00164D84" w:rsidRPr="00164D84" w:rsidRDefault="00164D84" w:rsidP="00164D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color w:val="auto"/>
                <w:sz w:val="18"/>
                <w:szCs w:val="18"/>
                <w:lang w:eastAsia="en-GB"/>
              </w:rPr>
            </w:pPr>
            <w:r w:rsidRPr="00164D84">
              <w:rPr>
                <w:rFonts w:ascii="Cambria" w:eastAsia="Times New Roman" w:hAnsi="Cambria" w:cs="Times New Roman"/>
                <w:color w:val="auto"/>
                <w:sz w:val="18"/>
                <w:szCs w:val="18"/>
                <w:lang w:eastAsia="en-GB"/>
              </w:rPr>
              <w:t>18,18</w:t>
            </w:r>
          </w:p>
        </w:tc>
        <w:tc>
          <w:tcPr>
            <w:tcW w:w="1417" w:type="dxa"/>
            <w:noWrap/>
            <w:hideMark/>
          </w:tcPr>
          <w:p w:rsidR="00164D84" w:rsidRPr="00164D84" w:rsidRDefault="00164D84" w:rsidP="00164D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bCs/>
                <w:color w:val="auto"/>
                <w:sz w:val="18"/>
                <w:szCs w:val="18"/>
                <w:lang w:eastAsia="en-GB"/>
              </w:rPr>
            </w:pPr>
            <w:r w:rsidRPr="00164D84">
              <w:rPr>
                <w:rFonts w:ascii="Cambria" w:eastAsia="Times New Roman" w:hAnsi="Cambria" w:cs="Times New Roman"/>
                <w:bCs/>
                <w:color w:val="auto"/>
                <w:sz w:val="18"/>
                <w:szCs w:val="18"/>
                <w:lang w:eastAsia="en-GB"/>
              </w:rPr>
              <w:t>20,34</w:t>
            </w:r>
          </w:p>
        </w:tc>
      </w:tr>
      <w:tr w:rsidR="00164D84" w:rsidRPr="00164D84" w:rsidTr="00164D84">
        <w:trPr>
          <w:divId w:val="1024673436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hideMark/>
          </w:tcPr>
          <w:p w:rsidR="00164D84" w:rsidRPr="00164D84" w:rsidRDefault="00164D84" w:rsidP="00164D84">
            <w:pPr>
              <w:rPr>
                <w:rFonts w:ascii="Cambria" w:eastAsia="Times New Roman" w:hAnsi="Cambria" w:cs="Times New Roman"/>
                <w:color w:val="auto"/>
                <w:sz w:val="18"/>
                <w:szCs w:val="18"/>
                <w:lang w:eastAsia="en-GB"/>
              </w:rPr>
            </w:pPr>
            <w:r w:rsidRPr="00164D84">
              <w:rPr>
                <w:rFonts w:ascii="Cambria" w:eastAsia="Times New Roman" w:hAnsi="Cambria" w:cs="Times New Roman"/>
                <w:color w:val="auto"/>
                <w:sz w:val="18"/>
                <w:szCs w:val="18"/>
                <w:lang w:eastAsia="en-GB"/>
              </w:rPr>
              <w:t>Banka za razvoj Savjeta Evrope (CEB)</w:t>
            </w:r>
          </w:p>
        </w:tc>
        <w:tc>
          <w:tcPr>
            <w:tcW w:w="1417" w:type="dxa"/>
            <w:noWrap/>
            <w:hideMark/>
          </w:tcPr>
          <w:p w:rsidR="00164D84" w:rsidRPr="00164D84" w:rsidRDefault="00164D84" w:rsidP="00164D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color w:val="auto"/>
                <w:sz w:val="18"/>
                <w:szCs w:val="18"/>
                <w:lang w:eastAsia="en-GB"/>
              </w:rPr>
            </w:pPr>
            <w:r w:rsidRPr="00164D84">
              <w:rPr>
                <w:rFonts w:ascii="Cambria" w:eastAsia="Times New Roman" w:hAnsi="Cambria" w:cs="Times New Roman"/>
                <w:color w:val="auto"/>
                <w:sz w:val="18"/>
                <w:szCs w:val="18"/>
                <w:lang w:eastAsia="en-GB"/>
              </w:rPr>
              <w:t>23,74</w:t>
            </w:r>
          </w:p>
        </w:tc>
        <w:tc>
          <w:tcPr>
            <w:tcW w:w="1418" w:type="dxa"/>
            <w:noWrap/>
            <w:hideMark/>
          </w:tcPr>
          <w:p w:rsidR="00164D84" w:rsidRPr="00164D84" w:rsidRDefault="00164D84" w:rsidP="00164D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color w:val="auto"/>
                <w:sz w:val="18"/>
                <w:szCs w:val="18"/>
                <w:lang w:eastAsia="en-GB"/>
              </w:rPr>
            </w:pPr>
            <w:r w:rsidRPr="00164D84">
              <w:rPr>
                <w:rFonts w:ascii="Cambria" w:eastAsia="Times New Roman" w:hAnsi="Cambria" w:cs="Times New Roman"/>
                <w:color w:val="auto"/>
                <w:sz w:val="18"/>
                <w:szCs w:val="18"/>
                <w:lang w:eastAsia="en-GB"/>
              </w:rPr>
              <w:t>30,92</w:t>
            </w:r>
          </w:p>
        </w:tc>
        <w:tc>
          <w:tcPr>
            <w:tcW w:w="1417" w:type="dxa"/>
            <w:noWrap/>
            <w:hideMark/>
          </w:tcPr>
          <w:p w:rsidR="00164D84" w:rsidRPr="00164D84" w:rsidRDefault="00164D84" w:rsidP="00164D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bCs/>
                <w:color w:val="auto"/>
                <w:sz w:val="18"/>
                <w:szCs w:val="18"/>
                <w:lang w:eastAsia="en-GB"/>
              </w:rPr>
            </w:pPr>
            <w:r w:rsidRPr="00164D84">
              <w:rPr>
                <w:rFonts w:ascii="Cambria" w:eastAsia="Times New Roman" w:hAnsi="Cambria" w:cs="Times New Roman"/>
                <w:bCs/>
                <w:color w:val="auto"/>
                <w:sz w:val="18"/>
                <w:szCs w:val="18"/>
                <w:lang w:eastAsia="en-GB"/>
              </w:rPr>
              <w:t>33,05</w:t>
            </w:r>
          </w:p>
        </w:tc>
      </w:tr>
      <w:tr w:rsidR="00164D84" w:rsidRPr="00164D84" w:rsidTr="00164D84">
        <w:trPr>
          <w:divId w:val="1024673436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hideMark/>
          </w:tcPr>
          <w:p w:rsidR="00164D84" w:rsidRPr="00164D84" w:rsidRDefault="00164D84" w:rsidP="00164D84">
            <w:r w:rsidRPr="00164D84">
              <w:rPr>
                <w:rFonts w:ascii="Cambria" w:eastAsia="Times New Roman" w:hAnsi="Cambria" w:cs="Times New Roman"/>
                <w:color w:val="auto"/>
                <w:sz w:val="18"/>
                <w:szCs w:val="18"/>
                <w:lang w:eastAsia="en-GB"/>
              </w:rPr>
              <w:t xml:space="preserve">Evropska Komisija </w:t>
            </w:r>
          </w:p>
        </w:tc>
        <w:tc>
          <w:tcPr>
            <w:tcW w:w="1417" w:type="dxa"/>
            <w:noWrap/>
            <w:hideMark/>
          </w:tcPr>
          <w:p w:rsidR="00164D84" w:rsidRPr="00164D84" w:rsidRDefault="00164D84" w:rsidP="00164D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color w:val="auto"/>
                <w:sz w:val="18"/>
                <w:szCs w:val="18"/>
                <w:lang w:eastAsia="en-GB"/>
              </w:rPr>
            </w:pPr>
            <w:r w:rsidRPr="00164D84">
              <w:rPr>
                <w:rFonts w:ascii="Cambria" w:eastAsia="Times New Roman" w:hAnsi="Cambria" w:cs="Times New Roman"/>
                <w:color w:val="auto"/>
                <w:sz w:val="18"/>
                <w:szCs w:val="18"/>
                <w:lang w:eastAsia="en-GB"/>
              </w:rPr>
              <w:t>0,60</w:t>
            </w:r>
          </w:p>
        </w:tc>
        <w:tc>
          <w:tcPr>
            <w:tcW w:w="1418" w:type="dxa"/>
            <w:noWrap/>
            <w:hideMark/>
          </w:tcPr>
          <w:p w:rsidR="00164D84" w:rsidRPr="00164D84" w:rsidRDefault="00164D84" w:rsidP="00164D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color w:val="auto"/>
                <w:sz w:val="18"/>
                <w:szCs w:val="18"/>
                <w:lang w:eastAsia="en-GB"/>
              </w:rPr>
            </w:pPr>
            <w:r w:rsidRPr="00164D84">
              <w:rPr>
                <w:rFonts w:ascii="Cambria" w:eastAsia="Times New Roman" w:hAnsi="Cambria" w:cs="Times New Roman"/>
                <w:color w:val="auto"/>
                <w:sz w:val="18"/>
                <w:szCs w:val="18"/>
                <w:lang w:eastAsia="en-GB"/>
              </w:rPr>
              <w:t>0,30</w:t>
            </w:r>
          </w:p>
        </w:tc>
        <w:tc>
          <w:tcPr>
            <w:tcW w:w="1417" w:type="dxa"/>
            <w:noWrap/>
            <w:hideMark/>
          </w:tcPr>
          <w:p w:rsidR="00164D84" w:rsidRPr="00164D84" w:rsidRDefault="00164D84" w:rsidP="00164D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bCs/>
                <w:color w:val="auto"/>
                <w:sz w:val="18"/>
                <w:szCs w:val="18"/>
                <w:lang w:eastAsia="en-GB"/>
              </w:rPr>
            </w:pPr>
            <w:r w:rsidRPr="00164D84">
              <w:rPr>
                <w:rFonts w:ascii="Cambria" w:eastAsia="Times New Roman" w:hAnsi="Cambria" w:cs="Times New Roman"/>
                <w:bCs/>
                <w:color w:val="auto"/>
                <w:sz w:val="18"/>
                <w:szCs w:val="18"/>
                <w:lang w:eastAsia="en-GB"/>
              </w:rPr>
              <w:t>0,30</w:t>
            </w:r>
          </w:p>
        </w:tc>
      </w:tr>
      <w:tr w:rsidR="00164D84" w:rsidRPr="00164D84" w:rsidTr="00164D84">
        <w:trPr>
          <w:divId w:val="1024673436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hideMark/>
          </w:tcPr>
          <w:p w:rsidR="00164D84" w:rsidRPr="00164D84" w:rsidRDefault="00164D84" w:rsidP="00164D84">
            <w:pPr>
              <w:rPr>
                <w:rFonts w:ascii="Cambria" w:eastAsia="Times New Roman" w:hAnsi="Cambria" w:cs="Times New Roman"/>
                <w:color w:val="auto"/>
                <w:sz w:val="18"/>
                <w:szCs w:val="18"/>
                <w:lang w:eastAsia="en-GB"/>
              </w:rPr>
            </w:pPr>
            <w:r w:rsidRPr="00164D84">
              <w:rPr>
                <w:rFonts w:ascii="Cambria" w:eastAsia="Times New Roman" w:hAnsi="Cambria" w:cs="Times New Roman"/>
                <w:color w:val="auto"/>
                <w:sz w:val="18"/>
                <w:szCs w:val="18"/>
                <w:lang w:eastAsia="en-GB"/>
              </w:rPr>
              <w:t>Njemačka banka za razvoj (KFW)</w:t>
            </w:r>
          </w:p>
        </w:tc>
        <w:tc>
          <w:tcPr>
            <w:tcW w:w="1417" w:type="dxa"/>
            <w:noWrap/>
            <w:hideMark/>
          </w:tcPr>
          <w:p w:rsidR="00164D84" w:rsidRPr="00164D84" w:rsidRDefault="00164D84" w:rsidP="00164D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color w:val="auto"/>
                <w:sz w:val="18"/>
                <w:szCs w:val="18"/>
                <w:lang w:eastAsia="en-GB"/>
              </w:rPr>
            </w:pPr>
            <w:r w:rsidRPr="00164D84">
              <w:rPr>
                <w:rFonts w:ascii="Cambria" w:eastAsia="Times New Roman" w:hAnsi="Cambria" w:cs="Times New Roman"/>
                <w:color w:val="auto"/>
                <w:sz w:val="18"/>
                <w:szCs w:val="18"/>
                <w:lang w:eastAsia="en-GB"/>
              </w:rPr>
              <w:t>42,32</w:t>
            </w:r>
          </w:p>
        </w:tc>
        <w:tc>
          <w:tcPr>
            <w:tcW w:w="1418" w:type="dxa"/>
            <w:noWrap/>
            <w:hideMark/>
          </w:tcPr>
          <w:p w:rsidR="00164D84" w:rsidRPr="00164D84" w:rsidRDefault="00164D84" w:rsidP="00164D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color w:val="auto"/>
                <w:sz w:val="18"/>
                <w:szCs w:val="18"/>
                <w:lang w:eastAsia="en-GB"/>
              </w:rPr>
            </w:pPr>
            <w:r w:rsidRPr="00164D84">
              <w:rPr>
                <w:rFonts w:ascii="Cambria" w:eastAsia="Times New Roman" w:hAnsi="Cambria" w:cs="Times New Roman"/>
                <w:color w:val="auto"/>
                <w:sz w:val="18"/>
                <w:szCs w:val="18"/>
                <w:lang w:eastAsia="en-GB"/>
              </w:rPr>
              <w:t>40,02</w:t>
            </w:r>
          </w:p>
        </w:tc>
        <w:tc>
          <w:tcPr>
            <w:tcW w:w="1417" w:type="dxa"/>
            <w:noWrap/>
            <w:hideMark/>
          </w:tcPr>
          <w:p w:rsidR="00164D84" w:rsidRPr="00164D84" w:rsidRDefault="00164D84" w:rsidP="00164D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bCs/>
                <w:color w:val="auto"/>
                <w:sz w:val="18"/>
                <w:szCs w:val="18"/>
                <w:lang w:eastAsia="en-GB"/>
              </w:rPr>
            </w:pPr>
            <w:r w:rsidRPr="00164D84">
              <w:rPr>
                <w:rFonts w:ascii="Cambria" w:eastAsia="Times New Roman" w:hAnsi="Cambria" w:cs="Times New Roman"/>
                <w:bCs/>
                <w:color w:val="auto"/>
                <w:sz w:val="18"/>
                <w:szCs w:val="18"/>
                <w:lang w:eastAsia="en-GB"/>
              </w:rPr>
              <w:t>42,58</w:t>
            </w:r>
          </w:p>
        </w:tc>
      </w:tr>
      <w:tr w:rsidR="00164D84" w:rsidRPr="00164D84" w:rsidTr="00164D84">
        <w:trPr>
          <w:divId w:val="1024673436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hideMark/>
          </w:tcPr>
          <w:p w:rsidR="00164D84" w:rsidRPr="00164D84" w:rsidRDefault="00164D84" w:rsidP="00164D84">
            <w:pPr>
              <w:rPr>
                <w:rFonts w:ascii="Cambria" w:eastAsia="Times New Roman" w:hAnsi="Cambria" w:cs="Times New Roman"/>
                <w:color w:val="auto"/>
                <w:sz w:val="18"/>
                <w:szCs w:val="18"/>
                <w:lang w:eastAsia="en-GB"/>
              </w:rPr>
            </w:pPr>
            <w:r w:rsidRPr="00164D84">
              <w:rPr>
                <w:rFonts w:ascii="Cambria" w:eastAsia="Times New Roman" w:hAnsi="Cambria" w:cs="Times New Roman"/>
                <w:color w:val="auto"/>
                <w:sz w:val="18"/>
                <w:szCs w:val="18"/>
                <w:lang w:eastAsia="en-GB"/>
              </w:rPr>
              <w:t>Mađarski zajam</w:t>
            </w:r>
          </w:p>
        </w:tc>
        <w:tc>
          <w:tcPr>
            <w:tcW w:w="1417" w:type="dxa"/>
            <w:noWrap/>
            <w:hideMark/>
          </w:tcPr>
          <w:p w:rsidR="00164D84" w:rsidRPr="00164D84" w:rsidRDefault="00164D84" w:rsidP="00164D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color w:val="auto"/>
                <w:sz w:val="18"/>
                <w:szCs w:val="18"/>
                <w:lang w:eastAsia="en-GB"/>
              </w:rPr>
            </w:pPr>
            <w:r w:rsidRPr="00164D84">
              <w:rPr>
                <w:rFonts w:ascii="Cambria" w:eastAsia="Times New Roman" w:hAnsi="Cambria" w:cs="Times New Roman"/>
                <w:color w:val="auto"/>
                <w:sz w:val="18"/>
                <w:szCs w:val="18"/>
                <w:lang w:eastAsia="en-GB"/>
              </w:rPr>
              <w:t>3,75</w:t>
            </w:r>
          </w:p>
        </w:tc>
        <w:tc>
          <w:tcPr>
            <w:tcW w:w="1418" w:type="dxa"/>
            <w:noWrap/>
            <w:hideMark/>
          </w:tcPr>
          <w:p w:rsidR="00164D84" w:rsidRPr="00164D84" w:rsidRDefault="00164D84" w:rsidP="00164D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color w:val="auto"/>
                <w:sz w:val="18"/>
                <w:szCs w:val="18"/>
                <w:lang w:eastAsia="en-GB"/>
              </w:rPr>
            </w:pPr>
            <w:r w:rsidRPr="00164D84">
              <w:rPr>
                <w:rFonts w:ascii="Cambria" w:eastAsia="Times New Roman" w:hAnsi="Cambria" w:cs="Times New Roman"/>
                <w:color w:val="auto"/>
                <w:sz w:val="18"/>
                <w:szCs w:val="18"/>
                <w:lang w:eastAsia="en-GB"/>
              </w:rPr>
              <w:t>3,60</w:t>
            </w:r>
          </w:p>
        </w:tc>
        <w:tc>
          <w:tcPr>
            <w:tcW w:w="1417" w:type="dxa"/>
            <w:noWrap/>
            <w:hideMark/>
          </w:tcPr>
          <w:p w:rsidR="00164D84" w:rsidRPr="00164D84" w:rsidRDefault="00164D84" w:rsidP="00164D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bCs/>
                <w:color w:val="auto"/>
                <w:sz w:val="18"/>
                <w:szCs w:val="18"/>
                <w:lang w:eastAsia="en-GB"/>
              </w:rPr>
            </w:pPr>
            <w:r w:rsidRPr="00164D84">
              <w:rPr>
                <w:rFonts w:ascii="Cambria" w:eastAsia="Times New Roman" w:hAnsi="Cambria" w:cs="Times New Roman"/>
                <w:bCs/>
                <w:color w:val="auto"/>
                <w:sz w:val="18"/>
                <w:szCs w:val="18"/>
                <w:lang w:eastAsia="en-GB"/>
              </w:rPr>
              <w:t>3,12</w:t>
            </w:r>
          </w:p>
        </w:tc>
      </w:tr>
      <w:tr w:rsidR="00164D84" w:rsidRPr="00164D84" w:rsidTr="00164D84">
        <w:trPr>
          <w:divId w:val="1024673436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hideMark/>
          </w:tcPr>
          <w:p w:rsidR="00164D84" w:rsidRPr="00164D84" w:rsidRDefault="00164D84" w:rsidP="00164D84">
            <w:pPr>
              <w:rPr>
                <w:rFonts w:ascii="Cambria" w:eastAsia="Times New Roman" w:hAnsi="Cambria" w:cs="Times New Roman"/>
                <w:color w:val="auto"/>
                <w:sz w:val="18"/>
                <w:szCs w:val="18"/>
                <w:lang w:eastAsia="en-GB"/>
              </w:rPr>
            </w:pPr>
            <w:r w:rsidRPr="00164D84">
              <w:rPr>
                <w:rFonts w:ascii="Cambria" w:eastAsia="Times New Roman" w:hAnsi="Cambria" w:cs="Times New Roman"/>
                <w:color w:val="auto"/>
                <w:sz w:val="18"/>
                <w:szCs w:val="18"/>
                <w:lang w:eastAsia="en-GB"/>
              </w:rPr>
              <w:t>Poljski zajam</w:t>
            </w:r>
          </w:p>
        </w:tc>
        <w:tc>
          <w:tcPr>
            <w:tcW w:w="1417" w:type="dxa"/>
            <w:noWrap/>
            <w:hideMark/>
          </w:tcPr>
          <w:p w:rsidR="00164D84" w:rsidRPr="00164D84" w:rsidRDefault="00164D84" w:rsidP="00164D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color w:val="auto"/>
                <w:sz w:val="18"/>
                <w:szCs w:val="18"/>
                <w:lang w:eastAsia="en-GB"/>
              </w:rPr>
            </w:pPr>
            <w:r w:rsidRPr="00164D84">
              <w:rPr>
                <w:rFonts w:ascii="Cambria" w:eastAsia="Times New Roman" w:hAnsi="Cambria" w:cs="Times New Roman"/>
                <w:color w:val="auto"/>
                <w:sz w:val="18"/>
                <w:szCs w:val="18"/>
                <w:lang w:eastAsia="en-GB"/>
              </w:rPr>
              <w:t>5,54</w:t>
            </w:r>
          </w:p>
        </w:tc>
        <w:tc>
          <w:tcPr>
            <w:tcW w:w="1418" w:type="dxa"/>
            <w:noWrap/>
            <w:hideMark/>
          </w:tcPr>
          <w:p w:rsidR="00164D84" w:rsidRPr="00164D84" w:rsidRDefault="00164D84" w:rsidP="00164D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color w:val="auto"/>
                <w:sz w:val="18"/>
                <w:szCs w:val="18"/>
                <w:lang w:eastAsia="en-GB"/>
              </w:rPr>
            </w:pPr>
            <w:r w:rsidRPr="00164D84">
              <w:rPr>
                <w:rFonts w:ascii="Cambria" w:eastAsia="Times New Roman" w:hAnsi="Cambria" w:cs="Times New Roman"/>
                <w:color w:val="auto"/>
                <w:sz w:val="18"/>
                <w:szCs w:val="18"/>
                <w:lang w:eastAsia="en-GB"/>
              </w:rPr>
              <w:t>5,19</w:t>
            </w:r>
          </w:p>
        </w:tc>
        <w:tc>
          <w:tcPr>
            <w:tcW w:w="1417" w:type="dxa"/>
            <w:noWrap/>
            <w:hideMark/>
          </w:tcPr>
          <w:p w:rsidR="00164D84" w:rsidRPr="00164D84" w:rsidRDefault="00164D84" w:rsidP="00164D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bCs/>
                <w:color w:val="auto"/>
                <w:sz w:val="18"/>
                <w:szCs w:val="18"/>
                <w:lang w:eastAsia="en-GB"/>
              </w:rPr>
            </w:pPr>
            <w:r w:rsidRPr="00164D84">
              <w:rPr>
                <w:rFonts w:ascii="Cambria" w:eastAsia="Times New Roman" w:hAnsi="Cambria" w:cs="Times New Roman"/>
                <w:bCs/>
                <w:color w:val="auto"/>
                <w:sz w:val="18"/>
                <w:szCs w:val="18"/>
                <w:lang w:eastAsia="en-GB"/>
              </w:rPr>
              <w:t>5,19</w:t>
            </w:r>
          </w:p>
        </w:tc>
      </w:tr>
      <w:tr w:rsidR="00164D84" w:rsidRPr="00164D84" w:rsidTr="00164D84">
        <w:trPr>
          <w:divId w:val="1024673436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hideMark/>
          </w:tcPr>
          <w:p w:rsidR="00164D84" w:rsidRPr="00164D84" w:rsidRDefault="00164D84" w:rsidP="00164D84">
            <w:pPr>
              <w:rPr>
                <w:rFonts w:ascii="Cambria" w:eastAsia="Times New Roman" w:hAnsi="Cambria" w:cs="Times New Roman"/>
                <w:color w:val="auto"/>
                <w:sz w:val="18"/>
                <w:szCs w:val="18"/>
                <w:lang w:eastAsia="en-GB"/>
              </w:rPr>
            </w:pPr>
            <w:r w:rsidRPr="00164D84">
              <w:rPr>
                <w:rFonts w:ascii="Cambria" w:eastAsia="Times New Roman" w:hAnsi="Cambria" w:cs="Times New Roman"/>
                <w:color w:val="auto"/>
                <w:sz w:val="18"/>
                <w:szCs w:val="18"/>
                <w:lang w:eastAsia="en-GB"/>
              </w:rPr>
              <w:t>Francuski kredit - NATIXIS</w:t>
            </w:r>
          </w:p>
        </w:tc>
        <w:tc>
          <w:tcPr>
            <w:tcW w:w="1417" w:type="dxa"/>
            <w:noWrap/>
            <w:hideMark/>
          </w:tcPr>
          <w:p w:rsidR="00164D84" w:rsidRPr="00164D84" w:rsidRDefault="00164D84" w:rsidP="00164D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color w:val="auto"/>
                <w:sz w:val="18"/>
                <w:szCs w:val="18"/>
                <w:lang w:eastAsia="en-GB"/>
              </w:rPr>
            </w:pPr>
            <w:r w:rsidRPr="00164D84">
              <w:rPr>
                <w:rFonts w:ascii="Cambria" w:eastAsia="Times New Roman" w:hAnsi="Cambria" w:cs="Times New Roman"/>
                <w:color w:val="auto"/>
                <w:sz w:val="18"/>
                <w:szCs w:val="18"/>
                <w:lang w:eastAsia="en-GB"/>
              </w:rPr>
              <w:t>3,82</w:t>
            </w:r>
          </w:p>
        </w:tc>
        <w:tc>
          <w:tcPr>
            <w:tcW w:w="1418" w:type="dxa"/>
            <w:noWrap/>
            <w:hideMark/>
          </w:tcPr>
          <w:p w:rsidR="00164D84" w:rsidRPr="00164D84" w:rsidRDefault="00164D84" w:rsidP="00164D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color w:val="auto"/>
                <w:sz w:val="18"/>
                <w:szCs w:val="18"/>
                <w:lang w:eastAsia="en-GB"/>
              </w:rPr>
            </w:pPr>
            <w:r w:rsidRPr="00164D84">
              <w:rPr>
                <w:rFonts w:ascii="Cambria" w:eastAsia="Times New Roman" w:hAnsi="Cambria" w:cs="Times New Roman"/>
                <w:color w:val="auto"/>
                <w:sz w:val="18"/>
                <w:szCs w:val="18"/>
                <w:lang w:eastAsia="en-GB"/>
              </w:rPr>
              <w:t>3,45</w:t>
            </w:r>
          </w:p>
        </w:tc>
        <w:tc>
          <w:tcPr>
            <w:tcW w:w="1417" w:type="dxa"/>
            <w:noWrap/>
            <w:hideMark/>
          </w:tcPr>
          <w:p w:rsidR="00164D84" w:rsidRPr="00164D84" w:rsidRDefault="00164D84" w:rsidP="00164D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bCs/>
                <w:color w:val="auto"/>
                <w:sz w:val="18"/>
                <w:szCs w:val="18"/>
                <w:lang w:eastAsia="en-GB"/>
              </w:rPr>
            </w:pPr>
            <w:r w:rsidRPr="00164D84">
              <w:rPr>
                <w:rFonts w:ascii="Cambria" w:eastAsia="Times New Roman" w:hAnsi="Cambria" w:cs="Times New Roman"/>
                <w:bCs/>
                <w:color w:val="auto"/>
                <w:sz w:val="18"/>
                <w:szCs w:val="18"/>
                <w:lang w:eastAsia="en-GB"/>
              </w:rPr>
              <w:t>3,40</w:t>
            </w:r>
          </w:p>
        </w:tc>
      </w:tr>
      <w:tr w:rsidR="00164D84" w:rsidRPr="00164D84" w:rsidTr="00164D84">
        <w:trPr>
          <w:divId w:val="1024673436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hideMark/>
          </w:tcPr>
          <w:p w:rsidR="00164D84" w:rsidRPr="00164D84" w:rsidRDefault="00164D84" w:rsidP="00164D84">
            <w:pPr>
              <w:rPr>
                <w:rFonts w:ascii="Cambria" w:eastAsia="Times New Roman" w:hAnsi="Cambria" w:cs="Times New Roman"/>
                <w:color w:val="auto"/>
                <w:sz w:val="18"/>
                <w:szCs w:val="18"/>
                <w:lang w:eastAsia="en-GB"/>
              </w:rPr>
            </w:pPr>
            <w:r w:rsidRPr="00164D84">
              <w:rPr>
                <w:rFonts w:ascii="Cambria" w:eastAsia="Times New Roman" w:hAnsi="Cambria" w:cs="Times New Roman"/>
                <w:color w:val="auto"/>
                <w:sz w:val="18"/>
                <w:szCs w:val="18"/>
                <w:lang w:eastAsia="en-GB"/>
              </w:rPr>
              <w:t>Steiermarkische Bank und Sparkassen AG</w:t>
            </w:r>
          </w:p>
        </w:tc>
        <w:tc>
          <w:tcPr>
            <w:tcW w:w="1417" w:type="dxa"/>
            <w:noWrap/>
            <w:hideMark/>
          </w:tcPr>
          <w:p w:rsidR="00164D84" w:rsidRPr="00164D84" w:rsidRDefault="00164D84" w:rsidP="00164D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color w:val="auto"/>
                <w:sz w:val="18"/>
                <w:szCs w:val="18"/>
                <w:lang w:eastAsia="en-GB"/>
              </w:rPr>
            </w:pPr>
            <w:r w:rsidRPr="00164D84">
              <w:rPr>
                <w:rFonts w:ascii="Cambria" w:eastAsia="Times New Roman" w:hAnsi="Cambria" w:cs="Times New Roman"/>
                <w:color w:val="auto"/>
                <w:sz w:val="18"/>
                <w:szCs w:val="18"/>
                <w:lang w:eastAsia="en-GB"/>
              </w:rPr>
              <w:t>4,40</w:t>
            </w:r>
          </w:p>
        </w:tc>
        <w:tc>
          <w:tcPr>
            <w:tcW w:w="1418" w:type="dxa"/>
            <w:noWrap/>
            <w:hideMark/>
          </w:tcPr>
          <w:p w:rsidR="00164D84" w:rsidRPr="00164D84" w:rsidRDefault="00164D84" w:rsidP="00164D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color w:val="auto"/>
                <w:sz w:val="18"/>
                <w:szCs w:val="18"/>
                <w:lang w:eastAsia="en-GB"/>
              </w:rPr>
            </w:pPr>
            <w:r w:rsidRPr="00164D84">
              <w:rPr>
                <w:rFonts w:ascii="Cambria" w:eastAsia="Times New Roman" w:hAnsi="Cambria" w:cs="Times New Roman"/>
                <w:color w:val="auto"/>
                <w:sz w:val="18"/>
                <w:szCs w:val="18"/>
                <w:lang w:eastAsia="en-GB"/>
              </w:rPr>
              <w:t>4,40</w:t>
            </w:r>
          </w:p>
        </w:tc>
        <w:tc>
          <w:tcPr>
            <w:tcW w:w="1417" w:type="dxa"/>
            <w:noWrap/>
            <w:hideMark/>
          </w:tcPr>
          <w:p w:rsidR="00164D84" w:rsidRPr="00164D84" w:rsidRDefault="00164D84" w:rsidP="00164D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bCs/>
                <w:color w:val="auto"/>
                <w:sz w:val="18"/>
                <w:szCs w:val="18"/>
                <w:lang w:eastAsia="en-GB"/>
              </w:rPr>
            </w:pPr>
            <w:r w:rsidRPr="00164D84">
              <w:rPr>
                <w:rFonts w:ascii="Cambria" w:eastAsia="Times New Roman" w:hAnsi="Cambria" w:cs="Times New Roman"/>
                <w:bCs/>
                <w:color w:val="auto"/>
                <w:sz w:val="18"/>
                <w:szCs w:val="18"/>
                <w:lang w:eastAsia="en-GB"/>
              </w:rPr>
              <w:t>3,30</w:t>
            </w:r>
          </w:p>
        </w:tc>
      </w:tr>
      <w:tr w:rsidR="00164D84" w:rsidRPr="00164D84" w:rsidTr="00164D84">
        <w:trPr>
          <w:divId w:val="1024673436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hideMark/>
          </w:tcPr>
          <w:p w:rsidR="00164D84" w:rsidRPr="00164D84" w:rsidRDefault="00164D84" w:rsidP="00164D84">
            <w:pPr>
              <w:rPr>
                <w:rFonts w:ascii="Cambria" w:eastAsia="Times New Roman" w:hAnsi="Cambria" w:cs="Times New Roman"/>
                <w:color w:val="auto"/>
                <w:sz w:val="18"/>
                <w:szCs w:val="18"/>
                <w:lang w:eastAsia="en-GB"/>
              </w:rPr>
            </w:pPr>
            <w:r w:rsidRPr="00164D84">
              <w:rPr>
                <w:rFonts w:ascii="Cambria" w:eastAsia="Times New Roman" w:hAnsi="Cambria" w:cs="Times New Roman"/>
                <w:color w:val="auto"/>
                <w:sz w:val="18"/>
                <w:szCs w:val="18"/>
                <w:lang w:eastAsia="en-GB"/>
              </w:rPr>
              <w:t>Credit Suisse Banka</w:t>
            </w:r>
          </w:p>
        </w:tc>
        <w:tc>
          <w:tcPr>
            <w:tcW w:w="1417" w:type="dxa"/>
            <w:noWrap/>
            <w:hideMark/>
          </w:tcPr>
          <w:p w:rsidR="00164D84" w:rsidRPr="00164D84" w:rsidRDefault="00164D84" w:rsidP="00164D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color w:val="auto"/>
                <w:sz w:val="18"/>
                <w:szCs w:val="18"/>
                <w:lang w:eastAsia="en-GB"/>
              </w:rPr>
            </w:pPr>
            <w:r w:rsidRPr="00164D84">
              <w:rPr>
                <w:rFonts w:ascii="Cambria" w:eastAsia="Times New Roman" w:hAnsi="Cambria" w:cs="Times New Roman"/>
                <w:color w:val="auto"/>
                <w:sz w:val="18"/>
                <w:szCs w:val="18"/>
                <w:lang w:eastAsia="en-GB"/>
              </w:rPr>
              <w:t>126,33</w:t>
            </w:r>
          </w:p>
        </w:tc>
        <w:tc>
          <w:tcPr>
            <w:tcW w:w="1418" w:type="dxa"/>
            <w:noWrap/>
            <w:hideMark/>
          </w:tcPr>
          <w:p w:rsidR="00164D84" w:rsidRPr="00164D84" w:rsidRDefault="00164D84" w:rsidP="00164D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color w:val="auto"/>
                <w:sz w:val="18"/>
                <w:szCs w:val="18"/>
                <w:lang w:eastAsia="en-GB"/>
              </w:rPr>
            </w:pPr>
            <w:r w:rsidRPr="00164D84">
              <w:rPr>
                <w:rFonts w:ascii="Cambria" w:eastAsia="Times New Roman" w:hAnsi="Cambria" w:cs="Times New Roman"/>
                <w:color w:val="auto"/>
                <w:sz w:val="18"/>
                <w:szCs w:val="18"/>
                <w:lang w:eastAsia="en-GB"/>
              </w:rPr>
              <w:t>114,22</w:t>
            </w:r>
          </w:p>
        </w:tc>
        <w:tc>
          <w:tcPr>
            <w:tcW w:w="1417" w:type="dxa"/>
            <w:noWrap/>
            <w:hideMark/>
          </w:tcPr>
          <w:p w:rsidR="00164D84" w:rsidRPr="00164D84" w:rsidRDefault="00164D84" w:rsidP="00164D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bCs/>
                <w:color w:val="auto"/>
                <w:sz w:val="18"/>
                <w:szCs w:val="18"/>
                <w:lang w:eastAsia="en-GB"/>
              </w:rPr>
            </w:pPr>
            <w:r w:rsidRPr="00164D84">
              <w:rPr>
                <w:rFonts w:ascii="Cambria" w:eastAsia="Times New Roman" w:hAnsi="Cambria" w:cs="Times New Roman"/>
                <w:bCs/>
                <w:color w:val="auto"/>
                <w:sz w:val="18"/>
                <w:szCs w:val="18"/>
                <w:lang w:eastAsia="en-GB"/>
              </w:rPr>
              <w:t>54,22</w:t>
            </w:r>
          </w:p>
        </w:tc>
      </w:tr>
      <w:tr w:rsidR="00164D84" w:rsidRPr="00164D84" w:rsidTr="00164D84">
        <w:trPr>
          <w:divId w:val="1024673436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hideMark/>
          </w:tcPr>
          <w:p w:rsidR="00164D84" w:rsidRPr="00164D84" w:rsidRDefault="00164D84" w:rsidP="00164D84">
            <w:pPr>
              <w:rPr>
                <w:rFonts w:ascii="Cambria" w:eastAsia="Times New Roman" w:hAnsi="Cambria" w:cs="Times New Roman"/>
                <w:color w:val="auto"/>
                <w:sz w:val="18"/>
                <w:szCs w:val="18"/>
                <w:lang w:eastAsia="en-GB"/>
              </w:rPr>
            </w:pPr>
            <w:r w:rsidRPr="00164D84">
              <w:rPr>
                <w:rFonts w:ascii="Cambria" w:eastAsia="Times New Roman" w:hAnsi="Cambria" w:cs="Times New Roman"/>
                <w:color w:val="auto"/>
                <w:sz w:val="18"/>
                <w:szCs w:val="18"/>
                <w:lang w:eastAsia="en-GB"/>
              </w:rPr>
              <w:t>Kineska Exim Banka</w:t>
            </w:r>
          </w:p>
        </w:tc>
        <w:tc>
          <w:tcPr>
            <w:tcW w:w="1417" w:type="dxa"/>
            <w:noWrap/>
            <w:hideMark/>
          </w:tcPr>
          <w:p w:rsidR="00164D84" w:rsidRPr="00164D84" w:rsidRDefault="00164D84" w:rsidP="00164D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color w:val="auto"/>
                <w:sz w:val="18"/>
                <w:szCs w:val="18"/>
                <w:lang w:eastAsia="en-GB"/>
              </w:rPr>
            </w:pPr>
            <w:r w:rsidRPr="00164D84">
              <w:rPr>
                <w:rFonts w:ascii="Cambria" w:eastAsia="Times New Roman" w:hAnsi="Cambria" w:cs="Times New Roman"/>
                <w:color w:val="auto"/>
                <w:sz w:val="18"/>
                <w:szCs w:val="18"/>
                <w:lang w:eastAsia="en-GB"/>
              </w:rPr>
              <w:t>571,13</w:t>
            </w:r>
          </w:p>
        </w:tc>
        <w:tc>
          <w:tcPr>
            <w:tcW w:w="1418" w:type="dxa"/>
            <w:noWrap/>
            <w:hideMark/>
          </w:tcPr>
          <w:p w:rsidR="00164D84" w:rsidRPr="00164D84" w:rsidRDefault="00164D84" w:rsidP="00164D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color w:val="auto"/>
                <w:sz w:val="18"/>
                <w:szCs w:val="18"/>
                <w:lang w:eastAsia="en-GB"/>
              </w:rPr>
            </w:pPr>
            <w:r w:rsidRPr="00164D84">
              <w:rPr>
                <w:rFonts w:ascii="Cambria" w:eastAsia="Times New Roman" w:hAnsi="Cambria" w:cs="Times New Roman"/>
                <w:color w:val="auto"/>
                <w:sz w:val="18"/>
                <w:szCs w:val="18"/>
                <w:lang w:eastAsia="en-GB"/>
              </w:rPr>
              <w:t>582,99</w:t>
            </w:r>
          </w:p>
        </w:tc>
        <w:tc>
          <w:tcPr>
            <w:tcW w:w="1417" w:type="dxa"/>
            <w:noWrap/>
            <w:hideMark/>
          </w:tcPr>
          <w:p w:rsidR="00164D84" w:rsidRPr="00164D84" w:rsidRDefault="00164D84" w:rsidP="00164D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bCs/>
                <w:color w:val="auto"/>
                <w:sz w:val="18"/>
                <w:szCs w:val="18"/>
                <w:lang w:eastAsia="en-GB"/>
              </w:rPr>
            </w:pPr>
            <w:r w:rsidRPr="00164D84">
              <w:rPr>
                <w:rFonts w:ascii="Cambria" w:eastAsia="Times New Roman" w:hAnsi="Cambria" w:cs="Times New Roman"/>
                <w:bCs/>
                <w:color w:val="auto"/>
                <w:sz w:val="18"/>
                <w:szCs w:val="18"/>
                <w:lang w:eastAsia="en-GB"/>
              </w:rPr>
              <w:t>652,00</w:t>
            </w:r>
          </w:p>
        </w:tc>
      </w:tr>
      <w:tr w:rsidR="00164D84" w:rsidRPr="00164D84" w:rsidTr="00164D84">
        <w:trPr>
          <w:divId w:val="1024673436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noWrap/>
            <w:hideMark/>
          </w:tcPr>
          <w:p w:rsidR="00164D84" w:rsidRPr="00164D84" w:rsidRDefault="00164D84" w:rsidP="00164D84">
            <w:r w:rsidRPr="00164D84">
              <w:rPr>
                <w:rFonts w:ascii="Cambria" w:eastAsia="Times New Roman" w:hAnsi="Cambria" w:cs="Times New Roman"/>
                <w:color w:val="auto"/>
                <w:sz w:val="18"/>
                <w:szCs w:val="18"/>
                <w:lang w:eastAsia="en-GB"/>
              </w:rPr>
              <w:t xml:space="preserve">Instituto del credito oficial (ICO) - Španski kredit </w:t>
            </w:r>
          </w:p>
        </w:tc>
        <w:tc>
          <w:tcPr>
            <w:tcW w:w="1417" w:type="dxa"/>
            <w:noWrap/>
            <w:hideMark/>
          </w:tcPr>
          <w:p w:rsidR="00164D84" w:rsidRPr="00164D84" w:rsidRDefault="00164D84" w:rsidP="00164D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color w:val="auto"/>
                <w:sz w:val="18"/>
                <w:szCs w:val="18"/>
                <w:lang w:eastAsia="en-GB"/>
              </w:rPr>
            </w:pPr>
            <w:r w:rsidRPr="00164D84">
              <w:rPr>
                <w:rFonts w:ascii="Cambria" w:eastAsia="Times New Roman" w:hAnsi="Cambria" w:cs="Times New Roman"/>
                <w:color w:val="auto"/>
                <w:sz w:val="18"/>
                <w:szCs w:val="18"/>
                <w:lang w:eastAsia="en-GB"/>
              </w:rPr>
              <w:t>2,94</w:t>
            </w:r>
          </w:p>
        </w:tc>
        <w:tc>
          <w:tcPr>
            <w:tcW w:w="1418" w:type="dxa"/>
            <w:noWrap/>
            <w:hideMark/>
          </w:tcPr>
          <w:p w:rsidR="00164D84" w:rsidRPr="00164D84" w:rsidRDefault="00164D84" w:rsidP="00164D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color w:val="auto"/>
                <w:sz w:val="18"/>
                <w:szCs w:val="18"/>
                <w:lang w:eastAsia="en-GB"/>
              </w:rPr>
            </w:pPr>
            <w:r w:rsidRPr="00164D84">
              <w:rPr>
                <w:rFonts w:ascii="Cambria" w:eastAsia="Times New Roman" w:hAnsi="Cambria" w:cs="Times New Roman"/>
                <w:color w:val="auto"/>
                <w:sz w:val="18"/>
                <w:szCs w:val="18"/>
                <w:lang w:eastAsia="en-GB"/>
              </w:rPr>
              <w:t>2,72</w:t>
            </w:r>
          </w:p>
        </w:tc>
        <w:tc>
          <w:tcPr>
            <w:tcW w:w="1417" w:type="dxa"/>
            <w:noWrap/>
            <w:hideMark/>
          </w:tcPr>
          <w:p w:rsidR="00164D84" w:rsidRPr="00164D84" w:rsidRDefault="00164D84" w:rsidP="00164D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bCs/>
                <w:color w:val="auto"/>
                <w:sz w:val="18"/>
                <w:szCs w:val="18"/>
                <w:lang w:eastAsia="en-GB"/>
              </w:rPr>
            </w:pPr>
            <w:r w:rsidRPr="00164D84">
              <w:rPr>
                <w:rFonts w:ascii="Cambria" w:eastAsia="Times New Roman" w:hAnsi="Cambria" w:cs="Times New Roman"/>
                <w:bCs/>
                <w:color w:val="auto"/>
                <w:sz w:val="18"/>
                <w:szCs w:val="18"/>
                <w:lang w:eastAsia="en-GB"/>
              </w:rPr>
              <w:t>2,72</w:t>
            </w:r>
          </w:p>
        </w:tc>
      </w:tr>
      <w:tr w:rsidR="00164D84" w:rsidRPr="00164D84" w:rsidTr="00164D84">
        <w:trPr>
          <w:divId w:val="1024673436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hideMark/>
          </w:tcPr>
          <w:p w:rsidR="00164D84" w:rsidRPr="00164D84" w:rsidRDefault="00164D84" w:rsidP="00164D84">
            <w:pPr>
              <w:rPr>
                <w:rFonts w:ascii="Cambria" w:eastAsia="Times New Roman" w:hAnsi="Cambria" w:cs="Times New Roman"/>
                <w:color w:val="auto"/>
                <w:sz w:val="18"/>
                <w:szCs w:val="18"/>
                <w:lang w:eastAsia="en-GB"/>
              </w:rPr>
            </w:pPr>
            <w:r w:rsidRPr="00164D84">
              <w:rPr>
                <w:rFonts w:ascii="Cambria" w:eastAsia="Times New Roman" w:hAnsi="Cambria" w:cs="Times New Roman"/>
                <w:color w:val="auto"/>
                <w:sz w:val="18"/>
                <w:szCs w:val="18"/>
                <w:lang w:eastAsia="en-GB"/>
              </w:rPr>
              <w:t>Austrijski kredit - Erste banka</w:t>
            </w:r>
          </w:p>
        </w:tc>
        <w:tc>
          <w:tcPr>
            <w:tcW w:w="1417" w:type="dxa"/>
            <w:noWrap/>
            <w:hideMark/>
          </w:tcPr>
          <w:p w:rsidR="00164D84" w:rsidRPr="00164D84" w:rsidRDefault="00164D84" w:rsidP="00164D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color w:val="auto"/>
                <w:sz w:val="18"/>
                <w:szCs w:val="18"/>
                <w:lang w:eastAsia="en-GB"/>
              </w:rPr>
            </w:pPr>
            <w:r w:rsidRPr="00164D84">
              <w:rPr>
                <w:rFonts w:ascii="Cambria" w:eastAsia="Times New Roman" w:hAnsi="Cambria" w:cs="Times New Roman"/>
                <w:color w:val="auto"/>
                <w:sz w:val="18"/>
                <w:szCs w:val="18"/>
                <w:lang w:eastAsia="en-GB"/>
              </w:rPr>
              <w:t>1,94</w:t>
            </w:r>
          </w:p>
        </w:tc>
        <w:tc>
          <w:tcPr>
            <w:tcW w:w="1418" w:type="dxa"/>
            <w:noWrap/>
            <w:hideMark/>
          </w:tcPr>
          <w:p w:rsidR="00164D84" w:rsidRPr="00164D84" w:rsidRDefault="00164D84" w:rsidP="00164D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color w:val="auto"/>
                <w:sz w:val="18"/>
                <w:szCs w:val="18"/>
                <w:lang w:eastAsia="en-GB"/>
              </w:rPr>
            </w:pPr>
            <w:r w:rsidRPr="00164D84">
              <w:rPr>
                <w:rFonts w:ascii="Cambria" w:eastAsia="Times New Roman" w:hAnsi="Cambria" w:cs="Times New Roman"/>
                <w:color w:val="auto"/>
                <w:sz w:val="18"/>
                <w:szCs w:val="18"/>
                <w:lang w:eastAsia="en-GB"/>
              </w:rPr>
              <w:t>1,94</w:t>
            </w:r>
          </w:p>
        </w:tc>
        <w:tc>
          <w:tcPr>
            <w:tcW w:w="1417" w:type="dxa"/>
            <w:noWrap/>
            <w:hideMark/>
          </w:tcPr>
          <w:p w:rsidR="00164D84" w:rsidRPr="00164D84" w:rsidRDefault="00164D84" w:rsidP="00164D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bCs/>
                <w:color w:val="auto"/>
                <w:sz w:val="18"/>
                <w:szCs w:val="18"/>
                <w:lang w:eastAsia="en-GB"/>
              </w:rPr>
            </w:pPr>
            <w:r w:rsidRPr="00164D84">
              <w:rPr>
                <w:rFonts w:ascii="Cambria" w:eastAsia="Times New Roman" w:hAnsi="Cambria" w:cs="Times New Roman"/>
                <w:bCs/>
                <w:color w:val="auto"/>
                <w:sz w:val="18"/>
                <w:szCs w:val="18"/>
                <w:lang w:eastAsia="en-GB"/>
              </w:rPr>
              <w:t>1,33</w:t>
            </w:r>
          </w:p>
        </w:tc>
      </w:tr>
      <w:tr w:rsidR="00164D84" w:rsidRPr="00164D84" w:rsidTr="00164D84">
        <w:trPr>
          <w:divId w:val="1024673436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hideMark/>
          </w:tcPr>
          <w:p w:rsidR="00164D84" w:rsidRPr="00164D84" w:rsidRDefault="00164D84" w:rsidP="00164D84">
            <w:pPr>
              <w:rPr>
                <w:rFonts w:ascii="Cambria" w:eastAsia="Times New Roman" w:hAnsi="Cambria" w:cs="Times New Roman"/>
                <w:color w:val="auto"/>
                <w:sz w:val="18"/>
                <w:szCs w:val="18"/>
                <w:lang w:eastAsia="en-GB"/>
              </w:rPr>
            </w:pPr>
            <w:r w:rsidRPr="00164D84">
              <w:rPr>
                <w:rFonts w:ascii="Cambria" w:eastAsia="Times New Roman" w:hAnsi="Cambria" w:cs="Times New Roman"/>
                <w:color w:val="auto"/>
                <w:sz w:val="18"/>
                <w:szCs w:val="18"/>
                <w:lang w:eastAsia="en-GB"/>
              </w:rPr>
              <w:t>EUROBOND</w:t>
            </w:r>
          </w:p>
        </w:tc>
        <w:tc>
          <w:tcPr>
            <w:tcW w:w="1417" w:type="dxa"/>
            <w:noWrap/>
            <w:hideMark/>
          </w:tcPr>
          <w:p w:rsidR="00164D84" w:rsidRPr="00164D84" w:rsidRDefault="00164D84" w:rsidP="00164D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color w:val="auto"/>
                <w:sz w:val="18"/>
                <w:szCs w:val="18"/>
                <w:lang w:eastAsia="en-GB"/>
              </w:rPr>
            </w:pPr>
            <w:r w:rsidRPr="00164D84">
              <w:rPr>
                <w:rFonts w:ascii="Cambria" w:eastAsia="Times New Roman" w:hAnsi="Cambria" w:cs="Times New Roman"/>
                <w:color w:val="auto"/>
                <w:sz w:val="18"/>
                <w:szCs w:val="18"/>
                <w:lang w:eastAsia="en-GB"/>
              </w:rPr>
              <w:t>1.217,65</w:t>
            </w:r>
          </w:p>
        </w:tc>
        <w:tc>
          <w:tcPr>
            <w:tcW w:w="1418" w:type="dxa"/>
            <w:noWrap/>
            <w:hideMark/>
          </w:tcPr>
          <w:p w:rsidR="00164D84" w:rsidRPr="00164D84" w:rsidRDefault="00164D84" w:rsidP="00164D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color w:val="auto"/>
                <w:sz w:val="18"/>
                <w:szCs w:val="18"/>
                <w:lang w:eastAsia="en-GB"/>
              </w:rPr>
            </w:pPr>
            <w:r w:rsidRPr="00164D84">
              <w:rPr>
                <w:rFonts w:ascii="Cambria" w:eastAsia="Times New Roman" w:hAnsi="Cambria" w:cs="Times New Roman"/>
                <w:color w:val="auto"/>
                <w:sz w:val="18"/>
                <w:szCs w:val="18"/>
                <w:lang w:eastAsia="en-GB"/>
              </w:rPr>
              <w:t>1.048,54</w:t>
            </w:r>
          </w:p>
        </w:tc>
        <w:tc>
          <w:tcPr>
            <w:tcW w:w="1417" w:type="dxa"/>
            <w:noWrap/>
            <w:hideMark/>
          </w:tcPr>
          <w:p w:rsidR="00164D84" w:rsidRPr="00164D84" w:rsidRDefault="00164D84" w:rsidP="00164D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bCs/>
                <w:color w:val="auto"/>
                <w:sz w:val="18"/>
                <w:szCs w:val="18"/>
                <w:lang w:eastAsia="en-GB"/>
              </w:rPr>
            </w:pPr>
            <w:r w:rsidRPr="00164D84">
              <w:rPr>
                <w:rFonts w:ascii="Cambria" w:eastAsia="Times New Roman" w:hAnsi="Cambria" w:cs="Times New Roman"/>
                <w:bCs/>
                <w:color w:val="auto"/>
                <w:sz w:val="18"/>
                <w:szCs w:val="18"/>
                <w:lang w:eastAsia="en-GB"/>
              </w:rPr>
              <w:t>1048,54</w:t>
            </w:r>
          </w:p>
        </w:tc>
      </w:tr>
      <w:tr w:rsidR="00164D84" w:rsidRPr="00164D84" w:rsidTr="00164D84">
        <w:trPr>
          <w:divId w:val="1024673436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hideMark/>
          </w:tcPr>
          <w:p w:rsidR="00164D84" w:rsidRPr="00164D84" w:rsidRDefault="00164D84" w:rsidP="00164D84">
            <w:r w:rsidRPr="00164D84">
              <w:rPr>
                <w:rFonts w:ascii="Cambria" w:eastAsia="Times New Roman" w:hAnsi="Cambria" w:cs="Times New Roman"/>
                <w:color w:val="auto"/>
                <w:sz w:val="18"/>
                <w:szCs w:val="18"/>
                <w:lang w:eastAsia="en-GB"/>
              </w:rPr>
              <w:t xml:space="preserve">Banka Intesa </w:t>
            </w:r>
          </w:p>
        </w:tc>
        <w:tc>
          <w:tcPr>
            <w:tcW w:w="1417" w:type="dxa"/>
            <w:noWrap/>
            <w:hideMark/>
          </w:tcPr>
          <w:p w:rsidR="00164D84" w:rsidRPr="00164D84" w:rsidRDefault="00164D84" w:rsidP="00164D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color w:val="auto"/>
                <w:sz w:val="18"/>
                <w:szCs w:val="18"/>
                <w:lang w:eastAsia="en-GB"/>
              </w:rPr>
            </w:pPr>
            <w:r w:rsidRPr="00164D84">
              <w:rPr>
                <w:rFonts w:ascii="Cambria" w:eastAsia="Times New Roman" w:hAnsi="Cambria" w:cs="Times New Roman"/>
                <w:color w:val="auto"/>
                <w:sz w:val="18"/>
                <w:szCs w:val="18"/>
                <w:lang w:eastAsia="en-GB"/>
              </w:rPr>
              <w:t>23,33</w:t>
            </w:r>
          </w:p>
        </w:tc>
        <w:tc>
          <w:tcPr>
            <w:tcW w:w="1418" w:type="dxa"/>
            <w:noWrap/>
            <w:hideMark/>
          </w:tcPr>
          <w:p w:rsidR="00164D84" w:rsidRPr="00164D84" w:rsidRDefault="00164D84" w:rsidP="00164D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color w:val="auto"/>
                <w:sz w:val="18"/>
                <w:szCs w:val="18"/>
                <w:lang w:eastAsia="en-GB"/>
              </w:rPr>
            </w:pPr>
            <w:r w:rsidRPr="00164D84">
              <w:rPr>
                <w:rFonts w:ascii="Cambria" w:eastAsia="Times New Roman" w:hAnsi="Cambria" w:cs="Times New Roman"/>
                <w:color w:val="auto"/>
                <w:sz w:val="18"/>
                <w:szCs w:val="18"/>
                <w:lang w:eastAsia="en-GB"/>
              </w:rPr>
              <w:t>23,33</w:t>
            </w:r>
          </w:p>
        </w:tc>
        <w:tc>
          <w:tcPr>
            <w:tcW w:w="1417" w:type="dxa"/>
            <w:noWrap/>
            <w:hideMark/>
          </w:tcPr>
          <w:p w:rsidR="00164D84" w:rsidRPr="00164D84" w:rsidRDefault="00164D84" w:rsidP="00164D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bCs/>
                <w:color w:val="auto"/>
                <w:sz w:val="18"/>
                <w:szCs w:val="18"/>
                <w:lang w:eastAsia="en-GB"/>
              </w:rPr>
            </w:pPr>
            <w:r w:rsidRPr="00164D84">
              <w:rPr>
                <w:rFonts w:ascii="Cambria" w:eastAsia="Times New Roman" w:hAnsi="Cambria" w:cs="Times New Roman"/>
                <w:bCs/>
                <w:color w:val="auto"/>
                <w:sz w:val="18"/>
                <w:szCs w:val="18"/>
                <w:lang w:eastAsia="en-GB"/>
              </w:rPr>
              <w:t>20,00</w:t>
            </w:r>
          </w:p>
        </w:tc>
      </w:tr>
      <w:tr w:rsidR="00164D84" w:rsidRPr="00164D84" w:rsidTr="00164D84">
        <w:trPr>
          <w:divId w:val="1024673436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hideMark/>
          </w:tcPr>
          <w:p w:rsidR="00164D84" w:rsidRPr="00164D84" w:rsidRDefault="00164D84" w:rsidP="00164D84">
            <w:pPr>
              <w:rPr>
                <w:rFonts w:ascii="Cambria" w:eastAsia="Times New Roman" w:hAnsi="Cambria" w:cs="Times New Roman"/>
                <w:color w:val="auto"/>
                <w:sz w:val="18"/>
                <w:szCs w:val="18"/>
                <w:lang w:eastAsia="en-GB"/>
              </w:rPr>
            </w:pPr>
            <w:r w:rsidRPr="00164D84">
              <w:rPr>
                <w:rFonts w:ascii="Cambria" w:eastAsia="Times New Roman" w:hAnsi="Cambria" w:cs="Times New Roman"/>
                <w:color w:val="auto"/>
                <w:sz w:val="18"/>
                <w:szCs w:val="18"/>
                <w:lang w:eastAsia="en-GB"/>
              </w:rPr>
              <w:t>Sindicirani zajam-OTP -Erste Group-Zagrebačka banka</w:t>
            </w:r>
          </w:p>
        </w:tc>
        <w:tc>
          <w:tcPr>
            <w:tcW w:w="1417" w:type="dxa"/>
            <w:noWrap/>
            <w:hideMark/>
          </w:tcPr>
          <w:p w:rsidR="00164D84" w:rsidRPr="00164D84" w:rsidRDefault="00164D84" w:rsidP="00164D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color w:val="auto"/>
                <w:sz w:val="18"/>
                <w:szCs w:val="18"/>
                <w:lang w:eastAsia="en-GB"/>
              </w:rPr>
            </w:pPr>
            <w:r w:rsidRPr="00164D84">
              <w:rPr>
                <w:rFonts w:ascii="Cambria" w:eastAsia="Times New Roman" w:hAnsi="Cambria" w:cs="Times New Roman"/>
                <w:color w:val="auto"/>
                <w:sz w:val="18"/>
                <w:szCs w:val="18"/>
                <w:lang w:eastAsia="en-GB"/>
              </w:rPr>
              <w:t>56,70</w:t>
            </w:r>
          </w:p>
        </w:tc>
        <w:tc>
          <w:tcPr>
            <w:tcW w:w="1418" w:type="dxa"/>
            <w:noWrap/>
            <w:hideMark/>
          </w:tcPr>
          <w:p w:rsidR="00164D84" w:rsidRPr="00164D84" w:rsidRDefault="00164D84" w:rsidP="00164D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color w:val="auto"/>
                <w:sz w:val="18"/>
                <w:szCs w:val="18"/>
                <w:lang w:eastAsia="en-GB"/>
              </w:rPr>
            </w:pPr>
            <w:r w:rsidRPr="00164D84">
              <w:rPr>
                <w:rFonts w:ascii="Cambria" w:eastAsia="Times New Roman" w:hAnsi="Cambria" w:cs="Times New Roman"/>
                <w:color w:val="auto"/>
                <w:sz w:val="18"/>
                <w:szCs w:val="18"/>
                <w:lang w:eastAsia="en-GB"/>
              </w:rPr>
              <w:t>56,70</w:t>
            </w:r>
          </w:p>
        </w:tc>
        <w:tc>
          <w:tcPr>
            <w:tcW w:w="1417" w:type="dxa"/>
            <w:noWrap/>
            <w:hideMark/>
          </w:tcPr>
          <w:p w:rsidR="00164D84" w:rsidRPr="00164D84" w:rsidRDefault="00164D84" w:rsidP="00164D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bCs/>
                <w:color w:val="auto"/>
                <w:sz w:val="18"/>
                <w:szCs w:val="18"/>
                <w:lang w:eastAsia="en-GB"/>
              </w:rPr>
            </w:pPr>
            <w:r w:rsidRPr="00164D84">
              <w:rPr>
                <w:rFonts w:ascii="Cambria" w:eastAsia="Times New Roman" w:hAnsi="Cambria" w:cs="Times New Roman"/>
                <w:bCs/>
                <w:color w:val="auto"/>
                <w:sz w:val="18"/>
                <w:szCs w:val="18"/>
                <w:lang w:eastAsia="en-GB"/>
              </w:rPr>
              <w:t>48,60</w:t>
            </w:r>
          </w:p>
        </w:tc>
      </w:tr>
      <w:tr w:rsidR="00164D84" w:rsidRPr="00164D84" w:rsidTr="00164D84">
        <w:trPr>
          <w:divId w:val="1024673436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hideMark/>
          </w:tcPr>
          <w:p w:rsidR="00164D84" w:rsidRPr="00164D84" w:rsidRDefault="00164D84" w:rsidP="00164D84">
            <w:pPr>
              <w:rPr>
                <w:rFonts w:ascii="Cambria" w:eastAsia="Times New Roman" w:hAnsi="Cambria" w:cs="Times New Roman"/>
                <w:color w:val="auto"/>
                <w:sz w:val="18"/>
                <w:szCs w:val="18"/>
                <w:lang w:eastAsia="en-GB"/>
              </w:rPr>
            </w:pPr>
            <w:r w:rsidRPr="00164D84">
              <w:rPr>
                <w:rFonts w:ascii="Cambria" w:eastAsia="Times New Roman" w:hAnsi="Cambria" w:cs="Times New Roman"/>
                <w:color w:val="auto"/>
                <w:sz w:val="18"/>
                <w:szCs w:val="18"/>
                <w:lang w:eastAsia="en-GB"/>
              </w:rPr>
              <w:t>IFAD</w:t>
            </w:r>
          </w:p>
        </w:tc>
        <w:tc>
          <w:tcPr>
            <w:tcW w:w="1417" w:type="dxa"/>
            <w:noWrap/>
            <w:hideMark/>
          </w:tcPr>
          <w:p w:rsidR="00164D84" w:rsidRPr="00164D84" w:rsidRDefault="00164D84" w:rsidP="00164D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color w:val="auto"/>
                <w:sz w:val="18"/>
                <w:szCs w:val="18"/>
                <w:lang w:eastAsia="en-GB"/>
              </w:rPr>
            </w:pPr>
            <w:r w:rsidRPr="00164D84">
              <w:rPr>
                <w:rFonts w:ascii="Cambria" w:eastAsia="Times New Roman" w:hAnsi="Cambria" w:cs="Times New Roman"/>
                <w:color w:val="auto"/>
                <w:sz w:val="18"/>
                <w:szCs w:val="18"/>
                <w:lang w:eastAsia="en-GB"/>
              </w:rPr>
              <w:t>1,51</w:t>
            </w:r>
          </w:p>
        </w:tc>
        <w:tc>
          <w:tcPr>
            <w:tcW w:w="1418" w:type="dxa"/>
            <w:noWrap/>
            <w:hideMark/>
          </w:tcPr>
          <w:p w:rsidR="00164D84" w:rsidRPr="00164D84" w:rsidRDefault="00164D84" w:rsidP="00164D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color w:val="auto"/>
                <w:sz w:val="18"/>
                <w:szCs w:val="18"/>
                <w:lang w:eastAsia="en-GB"/>
              </w:rPr>
            </w:pPr>
            <w:r w:rsidRPr="00164D84">
              <w:rPr>
                <w:rFonts w:ascii="Cambria" w:eastAsia="Times New Roman" w:hAnsi="Cambria" w:cs="Times New Roman"/>
                <w:color w:val="auto"/>
                <w:sz w:val="18"/>
                <w:szCs w:val="18"/>
                <w:lang w:eastAsia="en-GB"/>
              </w:rPr>
              <w:t>1,51</w:t>
            </w:r>
          </w:p>
        </w:tc>
        <w:tc>
          <w:tcPr>
            <w:tcW w:w="1417" w:type="dxa"/>
            <w:noWrap/>
            <w:hideMark/>
          </w:tcPr>
          <w:p w:rsidR="00164D84" w:rsidRPr="00164D84" w:rsidRDefault="00164D84" w:rsidP="00164D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bCs/>
                <w:color w:val="auto"/>
                <w:sz w:val="18"/>
                <w:szCs w:val="18"/>
                <w:lang w:eastAsia="en-GB"/>
              </w:rPr>
            </w:pPr>
            <w:r w:rsidRPr="00164D84">
              <w:rPr>
                <w:rFonts w:ascii="Cambria" w:eastAsia="Times New Roman" w:hAnsi="Cambria" w:cs="Times New Roman"/>
                <w:bCs/>
                <w:color w:val="auto"/>
                <w:sz w:val="18"/>
                <w:szCs w:val="18"/>
                <w:lang w:eastAsia="en-GB"/>
              </w:rPr>
              <w:t>1,51</w:t>
            </w:r>
          </w:p>
        </w:tc>
      </w:tr>
      <w:tr w:rsidR="00164D84" w:rsidRPr="00164D84" w:rsidTr="00164D84">
        <w:trPr>
          <w:divId w:val="1024673436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hideMark/>
          </w:tcPr>
          <w:p w:rsidR="00164D84" w:rsidRPr="00164D84" w:rsidRDefault="00164D84" w:rsidP="00164D84">
            <w:pPr>
              <w:rPr>
                <w:rFonts w:ascii="Cambria" w:eastAsia="Times New Roman" w:hAnsi="Cambria" w:cs="Times New Roman"/>
                <w:color w:val="auto"/>
                <w:sz w:val="18"/>
                <w:szCs w:val="18"/>
                <w:lang w:eastAsia="en-GB"/>
              </w:rPr>
            </w:pPr>
            <w:r w:rsidRPr="00164D84">
              <w:rPr>
                <w:rFonts w:ascii="Cambria" w:eastAsia="Times New Roman" w:hAnsi="Cambria" w:cs="Times New Roman"/>
                <w:color w:val="auto"/>
                <w:sz w:val="18"/>
                <w:szCs w:val="18"/>
                <w:lang w:eastAsia="en-GB"/>
              </w:rPr>
              <w:t>Export Development Canada EDC - Helikopteri</w:t>
            </w:r>
          </w:p>
        </w:tc>
        <w:tc>
          <w:tcPr>
            <w:tcW w:w="1417" w:type="dxa"/>
            <w:noWrap/>
            <w:hideMark/>
          </w:tcPr>
          <w:p w:rsidR="00164D84" w:rsidRPr="00164D84" w:rsidRDefault="00164D84" w:rsidP="00164D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color w:val="auto"/>
                <w:sz w:val="18"/>
                <w:szCs w:val="18"/>
                <w:lang w:eastAsia="en-GB"/>
              </w:rPr>
            </w:pPr>
            <w:r w:rsidRPr="00164D84">
              <w:rPr>
                <w:rFonts w:ascii="Cambria" w:eastAsia="Times New Roman" w:hAnsi="Cambria" w:cs="Times New Roman"/>
                <w:color w:val="auto"/>
                <w:sz w:val="18"/>
                <w:szCs w:val="18"/>
                <w:lang w:eastAsia="en-GB"/>
              </w:rPr>
              <w:t>24,16</w:t>
            </w:r>
          </w:p>
        </w:tc>
        <w:tc>
          <w:tcPr>
            <w:tcW w:w="1418" w:type="dxa"/>
            <w:noWrap/>
            <w:hideMark/>
          </w:tcPr>
          <w:p w:rsidR="00164D84" w:rsidRPr="00164D84" w:rsidRDefault="00164D84" w:rsidP="00164D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color w:val="auto"/>
                <w:sz w:val="18"/>
                <w:szCs w:val="18"/>
                <w:lang w:eastAsia="en-GB"/>
              </w:rPr>
            </w:pPr>
            <w:r w:rsidRPr="00164D84">
              <w:rPr>
                <w:rFonts w:ascii="Cambria" w:eastAsia="Times New Roman" w:hAnsi="Cambria" w:cs="Times New Roman"/>
                <w:color w:val="auto"/>
                <w:sz w:val="18"/>
                <w:szCs w:val="18"/>
                <w:lang w:eastAsia="en-GB"/>
              </w:rPr>
              <w:t>21,51</w:t>
            </w:r>
          </w:p>
        </w:tc>
        <w:tc>
          <w:tcPr>
            <w:tcW w:w="1417" w:type="dxa"/>
            <w:noWrap/>
            <w:hideMark/>
          </w:tcPr>
          <w:p w:rsidR="00164D84" w:rsidRPr="00164D84" w:rsidRDefault="00164D84" w:rsidP="00164D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bCs/>
                <w:color w:val="auto"/>
                <w:sz w:val="18"/>
                <w:szCs w:val="18"/>
                <w:lang w:eastAsia="en-GB"/>
              </w:rPr>
            </w:pPr>
            <w:r w:rsidRPr="00164D84">
              <w:rPr>
                <w:rFonts w:ascii="Cambria" w:eastAsia="Times New Roman" w:hAnsi="Cambria" w:cs="Times New Roman"/>
                <w:bCs/>
                <w:color w:val="auto"/>
                <w:sz w:val="18"/>
                <w:szCs w:val="18"/>
                <w:lang w:eastAsia="en-GB"/>
              </w:rPr>
              <w:t>21,51</w:t>
            </w:r>
          </w:p>
        </w:tc>
      </w:tr>
      <w:tr w:rsidR="00164D84" w:rsidRPr="00164D84" w:rsidTr="00164D84">
        <w:trPr>
          <w:divId w:val="1024673436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hideMark/>
          </w:tcPr>
          <w:p w:rsidR="00164D84" w:rsidRPr="00164D84" w:rsidRDefault="00164D84" w:rsidP="00164D84">
            <w:pPr>
              <w:rPr>
                <w:rFonts w:ascii="Cambria" w:eastAsia="Times New Roman" w:hAnsi="Cambria" w:cs="Times New Roman"/>
                <w:color w:val="auto"/>
                <w:sz w:val="18"/>
                <w:szCs w:val="18"/>
                <w:lang w:eastAsia="en-GB"/>
              </w:rPr>
            </w:pPr>
            <w:r w:rsidRPr="00164D84">
              <w:rPr>
                <w:rFonts w:ascii="Cambria" w:eastAsia="Times New Roman" w:hAnsi="Cambria" w:cs="Times New Roman"/>
                <w:color w:val="auto"/>
                <w:sz w:val="18"/>
                <w:szCs w:val="18"/>
                <w:lang w:eastAsia="en-GB"/>
              </w:rPr>
              <w:t>Sindicirani zajam - PBG</w:t>
            </w:r>
          </w:p>
        </w:tc>
        <w:tc>
          <w:tcPr>
            <w:tcW w:w="1417" w:type="dxa"/>
            <w:noWrap/>
            <w:hideMark/>
          </w:tcPr>
          <w:p w:rsidR="00164D84" w:rsidRPr="00164D84" w:rsidRDefault="00164D84" w:rsidP="00164D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color w:val="auto"/>
                <w:sz w:val="18"/>
                <w:szCs w:val="18"/>
                <w:lang w:eastAsia="en-GB"/>
              </w:rPr>
            </w:pPr>
            <w:r w:rsidRPr="00164D84">
              <w:rPr>
                <w:rFonts w:ascii="Cambria" w:eastAsia="Times New Roman" w:hAnsi="Cambria" w:cs="Times New Roman"/>
                <w:color w:val="auto"/>
                <w:sz w:val="18"/>
                <w:szCs w:val="18"/>
                <w:lang w:eastAsia="en-GB"/>
              </w:rPr>
              <w:t>250,00</w:t>
            </w:r>
          </w:p>
        </w:tc>
        <w:tc>
          <w:tcPr>
            <w:tcW w:w="1418" w:type="dxa"/>
            <w:noWrap/>
            <w:hideMark/>
          </w:tcPr>
          <w:p w:rsidR="00164D84" w:rsidRPr="00164D84" w:rsidRDefault="00164D84" w:rsidP="00164D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color w:val="auto"/>
                <w:sz w:val="18"/>
                <w:szCs w:val="18"/>
                <w:lang w:eastAsia="en-GB"/>
              </w:rPr>
            </w:pPr>
            <w:r w:rsidRPr="00164D84">
              <w:rPr>
                <w:rFonts w:ascii="Cambria" w:eastAsia="Times New Roman" w:hAnsi="Cambria" w:cs="Times New Roman"/>
                <w:color w:val="auto"/>
                <w:sz w:val="18"/>
                <w:szCs w:val="18"/>
                <w:lang w:eastAsia="en-GB"/>
              </w:rPr>
              <w:t>250,00</w:t>
            </w:r>
          </w:p>
        </w:tc>
        <w:tc>
          <w:tcPr>
            <w:tcW w:w="1417" w:type="dxa"/>
            <w:noWrap/>
            <w:hideMark/>
          </w:tcPr>
          <w:p w:rsidR="00164D84" w:rsidRPr="00164D84" w:rsidRDefault="00164D84" w:rsidP="00164D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bCs/>
                <w:color w:val="auto"/>
                <w:sz w:val="18"/>
                <w:szCs w:val="18"/>
                <w:lang w:eastAsia="en-GB"/>
              </w:rPr>
            </w:pPr>
            <w:r w:rsidRPr="00164D84">
              <w:rPr>
                <w:rFonts w:ascii="Cambria" w:eastAsia="Times New Roman" w:hAnsi="Cambria" w:cs="Times New Roman"/>
                <w:bCs/>
                <w:color w:val="auto"/>
                <w:sz w:val="18"/>
                <w:szCs w:val="18"/>
                <w:lang w:eastAsia="en-GB"/>
              </w:rPr>
              <w:t>250,00</w:t>
            </w:r>
          </w:p>
        </w:tc>
      </w:tr>
      <w:tr w:rsidR="00164D84" w:rsidRPr="00164D84" w:rsidTr="00164D84">
        <w:trPr>
          <w:divId w:val="1024673436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shd w:val="clear" w:color="auto" w:fill="D9E2F3" w:themeFill="accent1" w:themeFillTint="33"/>
            <w:noWrap/>
            <w:hideMark/>
          </w:tcPr>
          <w:p w:rsidR="00164D84" w:rsidRPr="00164D84" w:rsidRDefault="00164D84" w:rsidP="00164D84">
            <w:pPr>
              <w:rPr>
                <w:rFonts w:ascii="Cambria" w:eastAsia="Times New Roman" w:hAnsi="Cambria" w:cs="Times New Roman"/>
                <w:color w:val="auto"/>
                <w:sz w:val="18"/>
                <w:szCs w:val="18"/>
                <w:lang w:eastAsia="en-GB"/>
              </w:rPr>
            </w:pPr>
            <w:r w:rsidRPr="00164D84">
              <w:rPr>
                <w:rFonts w:ascii="Cambria" w:eastAsia="Times New Roman" w:hAnsi="Cambria" w:cs="Times New Roman"/>
                <w:color w:val="auto"/>
                <w:sz w:val="18"/>
                <w:szCs w:val="18"/>
                <w:lang w:eastAsia="en-GB"/>
              </w:rPr>
              <w:t>Ukupno spoljni dug</w:t>
            </w:r>
          </w:p>
        </w:tc>
        <w:tc>
          <w:tcPr>
            <w:tcW w:w="1417" w:type="dxa"/>
            <w:shd w:val="clear" w:color="auto" w:fill="D9E2F3" w:themeFill="accent1" w:themeFillTint="33"/>
            <w:noWrap/>
            <w:hideMark/>
          </w:tcPr>
          <w:p w:rsidR="00164D84" w:rsidRPr="00164D84" w:rsidRDefault="00164D84" w:rsidP="00164D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color w:val="auto"/>
                <w:sz w:val="18"/>
                <w:szCs w:val="18"/>
                <w:lang w:eastAsia="en-GB"/>
              </w:rPr>
            </w:pPr>
            <w:r w:rsidRPr="00164D84">
              <w:rPr>
                <w:rFonts w:ascii="Cambria" w:eastAsia="Times New Roman" w:hAnsi="Cambria" w:cs="Times New Roman"/>
                <w:color w:val="auto"/>
                <w:sz w:val="18"/>
                <w:szCs w:val="18"/>
                <w:lang w:eastAsia="en-GB"/>
              </w:rPr>
              <w:t>2.800,74</w:t>
            </w:r>
          </w:p>
        </w:tc>
        <w:tc>
          <w:tcPr>
            <w:tcW w:w="1418" w:type="dxa"/>
            <w:shd w:val="clear" w:color="auto" w:fill="D9E2F3" w:themeFill="accent1" w:themeFillTint="33"/>
            <w:noWrap/>
            <w:hideMark/>
          </w:tcPr>
          <w:p w:rsidR="00164D84" w:rsidRPr="00164D84" w:rsidRDefault="00164D84" w:rsidP="00164D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color w:val="auto"/>
                <w:sz w:val="18"/>
                <w:szCs w:val="18"/>
                <w:lang w:eastAsia="en-GB"/>
              </w:rPr>
            </w:pPr>
            <w:r w:rsidRPr="00164D84">
              <w:rPr>
                <w:rFonts w:ascii="Cambria" w:eastAsia="Times New Roman" w:hAnsi="Cambria" w:cs="Times New Roman"/>
                <w:color w:val="auto"/>
                <w:sz w:val="18"/>
                <w:szCs w:val="18"/>
                <w:lang w:eastAsia="en-GB"/>
              </w:rPr>
              <w:t>2.621,73</w:t>
            </w:r>
          </w:p>
        </w:tc>
        <w:tc>
          <w:tcPr>
            <w:tcW w:w="1417" w:type="dxa"/>
            <w:shd w:val="clear" w:color="auto" w:fill="D9E2F3" w:themeFill="accent1" w:themeFillTint="33"/>
            <w:noWrap/>
            <w:hideMark/>
          </w:tcPr>
          <w:p w:rsidR="00164D84" w:rsidRPr="00164D84" w:rsidRDefault="00164D84" w:rsidP="00164D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color w:val="auto"/>
                <w:sz w:val="18"/>
                <w:szCs w:val="18"/>
                <w:lang w:eastAsia="en-GB"/>
              </w:rPr>
            </w:pPr>
            <w:r w:rsidRPr="00164D84">
              <w:rPr>
                <w:rFonts w:ascii="Cambria" w:eastAsia="Times New Roman" w:hAnsi="Cambria" w:cs="Times New Roman"/>
                <w:color w:val="auto"/>
                <w:sz w:val="18"/>
                <w:szCs w:val="18"/>
                <w:lang w:eastAsia="en-GB"/>
              </w:rPr>
              <w:t>2</w:t>
            </w:r>
            <w:r w:rsidR="008F1842">
              <w:rPr>
                <w:rFonts w:ascii="Cambria" w:eastAsia="Times New Roman" w:hAnsi="Cambria" w:cs="Times New Roman"/>
                <w:color w:val="auto"/>
                <w:sz w:val="18"/>
                <w:szCs w:val="18"/>
                <w:lang w:eastAsia="en-GB"/>
              </w:rPr>
              <w:t>.</w:t>
            </w:r>
            <w:r w:rsidRPr="00164D84">
              <w:rPr>
                <w:rFonts w:ascii="Cambria" w:eastAsia="Times New Roman" w:hAnsi="Cambria" w:cs="Times New Roman"/>
                <w:color w:val="auto"/>
                <w:sz w:val="18"/>
                <w:szCs w:val="18"/>
                <w:lang w:eastAsia="en-GB"/>
              </w:rPr>
              <w:t>623,37</w:t>
            </w:r>
          </w:p>
        </w:tc>
      </w:tr>
      <w:tr w:rsidR="00164D84" w:rsidRPr="00164D84" w:rsidTr="00164D84">
        <w:trPr>
          <w:divId w:val="1024673436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hideMark/>
          </w:tcPr>
          <w:p w:rsidR="00164D84" w:rsidRPr="00164D84" w:rsidRDefault="00164D84" w:rsidP="00164D84">
            <w:pPr>
              <w:rPr>
                <w:rFonts w:ascii="Cambria" w:eastAsia="Times New Roman" w:hAnsi="Cambria" w:cs="Times New Roman"/>
                <w:color w:val="auto"/>
                <w:sz w:val="18"/>
                <w:szCs w:val="18"/>
                <w:lang w:eastAsia="en-GB"/>
              </w:rPr>
            </w:pPr>
            <w:r w:rsidRPr="00164D84">
              <w:rPr>
                <w:rFonts w:ascii="Cambria" w:eastAsia="Times New Roman" w:hAnsi="Cambria" w:cs="Times New Roman"/>
                <w:color w:val="auto"/>
                <w:sz w:val="18"/>
                <w:szCs w:val="18"/>
                <w:lang w:eastAsia="en-GB"/>
              </w:rPr>
              <w:t>Stara devizna štednja</w:t>
            </w:r>
          </w:p>
        </w:tc>
        <w:tc>
          <w:tcPr>
            <w:tcW w:w="1417" w:type="dxa"/>
            <w:noWrap/>
            <w:hideMark/>
          </w:tcPr>
          <w:p w:rsidR="00164D84" w:rsidRPr="00164D84" w:rsidRDefault="00164D84" w:rsidP="00164D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color w:val="auto"/>
                <w:sz w:val="18"/>
                <w:szCs w:val="18"/>
                <w:lang w:eastAsia="en-GB"/>
              </w:rPr>
            </w:pPr>
            <w:r w:rsidRPr="00164D84">
              <w:rPr>
                <w:rFonts w:ascii="Cambria" w:eastAsia="Times New Roman" w:hAnsi="Cambria" w:cs="Times New Roman"/>
                <w:color w:val="auto"/>
                <w:sz w:val="18"/>
                <w:szCs w:val="18"/>
                <w:lang w:eastAsia="en-GB"/>
              </w:rPr>
              <w:t>11,71</w:t>
            </w:r>
          </w:p>
        </w:tc>
        <w:tc>
          <w:tcPr>
            <w:tcW w:w="1418" w:type="dxa"/>
            <w:noWrap/>
            <w:hideMark/>
          </w:tcPr>
          <w:p w:rsidR="00164D84" w:rsidRPr="00164D84" w:rsidRDefault="00164D84" w:rsidP="00164D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color w:val="auto"/>
                <w:sz w:val="18"/>
                <w:szCs w:val="18"/>
                <w:lang w:eastAsia="en-GB"/>
              </w:rPr>
            </w:pPr>
            <w:r w:rsidRPr="00164D84">
              <w:rPr>
                <w:rFonts w:ascii="Cambria" w:eastAsia="Times New Roman" w:hAnsi="Cambria" w:cs="Times New Roman"/>
                <w:color w:val="auto"/>
                <w:sz w:val="18"/>
                <w:szCs w:val="18"/>
                <w:lang w:eastAsia="en-GB"/>
              </w:rPr>
              <w:t>11,55</w:t>
            </w:r>
          </w:p>
        </w:tc>
        <w:tc>
          <w:tcPr>
            <w:tcW w:w="1417" w:type="dxa"/>
            <w:noWrap/>
            <w:hideMark/>
          </w:tcPr>
          <w:p w:rsidR="00164D84" w:rsidRPr="00164D84" w:rsidRDefault="00164D84" w:rsidP="00164D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bCs/>
                <w:color w:val="auto"/>
                <w:sz w:val="18"/>
                <w:szCs w:val="18"/>
                <w:lang w:eastAsia="en-GB"/>
              </w:rPr>
            </w:pPr>
            <w:r w:rsidRPr="00164D84">
              <w:rPr>
                <w:rFonts w:ascii="Cambria" w:eastAsia="Times New Roman" w:hAnsi="Cambria" w:cs="Times New Roman"/>
                <w:bCs/>
                <w:color w:val="auto"/>
                <w:sz w:val="18"/>
                <w:szCs w:val="18"/>
                <w:lang w:eastAsia="en-GB"/>
              </w:rPr>
              <w:t>11,02</w:t>
            </w:r>
          </w:p>
        </w:tc>
      </w:tr>
      <w:tr w:rsidR="00164D84" w:rsidRPr="00164D84" w:rsidTr="00164D84">
        <w:trPr>
          <w:divId w:val="1024673436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hideMark/>
          </w:tcPr>
          <w:p w:rsidR="00164D84" w:rsidRPr="00164D84" w:rsidRDefault="00164D84" w:rsidP="00164D84">
            <w:pPr>
              <w:rPr>
                <w:rFonts w:ascii="Cambria" w:eastAsia="Times New Roman" w:hAnsi="Cambria" w:cs="Times New Roman"/>
                <w:color w:val="auto"/>
                <w:sz w:val="18"/>
                <w:szCs w:val="18"/>
                <w:lang w:eastAsia="en-GB"/>
              </w:rPr>
            </w:pPr>
            <w:r w:rsidRPr="00164D84">
              <w:rPr>
                <w:rFonts w:ascii="Cambria" w:eastAsia="Times New Roman" w:hAnsi="Cambria" w:cs="Times New Roman"/>
                <w:color w:val="auto"/>
                <w:sz w:val="18"/>
                <w:szCs w:val="18"/>
                <w:lang w:eastAsia="en-GB"/>
              </w:rPr>
              <w:t>Obaveze po osnovu obeštećenja</w:t>
            </w:r>
          </w:p>
        </w:tc>
        <w:tc>
          <w:tcPr>
            <w:tcW w:w="1417" w:type="dxa"/>
            <w:noWrap/>
            <w:hideMark/>
          </w:tcPr>
          <w:p w:rsidR="00164D84" w:rsidRPr="00164D84" w:rsidRDefault="00164D84" w:rsidP="00164D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color w:val="auto"/>
                <w:sz w:val="18"/>
                <w:szCs w:val="18"/>
                <w:lang w:eastAsia="en-GB"/>
              </w:rPr>
            </w:pPr>
            <w:r w:rsidRPr="00164D84">
              <w:rPr>
                <w:rFonts w:ascii="Cambria" w:eastAsia="Times New Roman" w:hAnsi="Cambria" w:cs="Times New Roman"/>
                <w:color w:val="auto"/>
                <w:sz w:val="18"/>
                <w:szCs w:val="18"/>
                <w:lang w:eastAsia="en-GB"/>
              </w:rPr>
              <w:t>87,34</w:t>
            </w:r>
          </w:p>
        </w:tc>
        <w:tc>
          <w:tcPr>
            <w:tcW w:w="1418" w:type="dxa"/>
            <w:noWrap/>
            <w:hideMark/>
          </w:tcPr>
          <w:p w:rsidR="00164D84" w:rsidRPr="00164D84" w:rsidRDefault="00164D84" w:rsidP="00164D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color w:val="auto"/>
                <w:sz w:val="18"/>
                <w:szCs w:val="18"/>
                <w:lang w:eastAsia="en-GB"/>
              </w:rPr>
            </w:pPr>
            <w:r w:rsidRPr="00164D84">
              <w:rPr>
                <w:rFonts w:ascii="Cambria" w:eastAsia="Times New Roman" w:hAnsi="Cambria" w:cs="Times New Roman"/>
                <w:color w:val="auto"/>
                <w:sz w:val="18"/>
                <w:szCs w:val="18"/>
                <w:lang w:eastAsia="en-GB"/>
              </w:rPr>
              <w:t>87,01</w:t>
            </w:r>
          </w:p>
        </w:tc>
        <w:tc>
          <w:tcPr>
            <w:tcW w:w="1417" w:type="dxa"/>
            <w:noWrap/>
            <w:hideMark/>
          </w:tcPr>
          <w:p w:rsidR="00164D84" w:rsidRPr="00164D84" w:rsidRDefault="00164D84" w:rsidP="00164D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bCs/>
                <w:color w:val="auto"/>
                <w:sz w:val="18"/>
                <w:szCs w:val="18"/>
                <w:lang w:eastAsia="en-GB"/>
              </w:rPr>
            </w:pPr>
            <w:r w:rsidRPr="00164D84">
              <w:rPr>
                <w:rFonts w:ascii="Cambria" w:eastAsia="Times New Roman" w:hAnsi="Cambria" w:cs="Times New Roman"/>
                <w:bCs/>
                <w:color w:val="auto"/>
                <w:sz w:val="18"/>
                <w:szCs w:val="18"/>
                <w:lang w:eastAsia="en-GB"/>
              </w:rPr>
              <w:t>85,47</w:t>
            </w:r>
          </w:p>
        </w:tc>
      </w:tr>
      <w:tr w:rsidR="00164D84" w:rsidRPr="00164D84" w:rsidTr="00164D84">
        <w:trPr>
          <w:divId w:val="1024673436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hideMark/>
          </w:tcPr>
          <w:p w:rsidR="00164D84" w:rsidRPr="00164D84" w:rsidRDefault="00164D84" w:rsidP="00164D84">
            <w:pPr>
              <w:rPr>
                <w:rFonts w:ascii="Cambria" w:eastAsia="Times New Roman" w:hAnsi="Cambria" w:cs="Times New Roman"/>
                <w:color w:val="auto"/>
                <w:sz w:val="18"/>
                <w:szCs w:val="18"/>
                <w:lang w:eastAsia="en-GB"/>
              </w:rPr>
            </w:pPr>
            <w:r w:rsidRPr="00164D84">
              <w:rPr>
                <w:rFonts w:ascii="Cambria" w:eastAsia="Times New Roman" w:hAnsi="Cambria" w:cs="Times New Roman"/>
                <w:color w:val="auto"/>
                <w:sz w:val="18"/>
                <w:szCs w:val="18"/>
                <w:lang w:eastAsia="en-GB"/>
              </w:rPr>
              <w:t>Krediti kod poslovnih banaka</w:t>
            </w:r>
          </w:p>
        </w:tc>
        <w:tc>
          <w:tcPr>
            <w:tcW w:w="1417" w:type="dxa"/>
            <w:noWrap/>
            <w:hideMark/>
          </w:tcPr>
          <w:p w:rsidR="00164D84" w:rsidRPr="00164D84" w:rsidRDefault="00164D84" w:rsidP="00164D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color w:val="auto"/>
                <w:sz w:val="18"/>
                <w:szCs w:val="18"/>
                <w:lang w:eastAsia="en-GB"/>
              </w:rPr>
            </w:pPr>
            <w:r w:rsidRPr="00164D84">
              <w:rPr>
                <w:rFonts w:ascii="Cambria" w:eastAsia="Times New Roman" w:hAnsi="Cambria" w:cs="Times New Roman"/>
                <w:color w:val="auto"/>
                <w:sz w:val="18"/>
                <w:szCs w:val="18"/>
                <w:lang w:eastAsia="en-GB"/>
              </w:rPr>
              <w:t>84,91</w:t>
            </w:r>
          </w:p>
        </w:tc>
        <w:tc>
          <w:tcPr>
            <w:tcW w:w="1418" w:type="dxa"/>
            <w:noWrap/>
            <w:hideMark/>
          </w:tcPr>
          <w:p w:rsidR="00164D84" w:rsidRPr="00164D84" w:rsidRDefault="00164D84" w:rsidP="00164D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color w:val="auto"/>
                <w:sz w:val="18"/>
                <w:szCs w:val="18"/>
                <w:lang w:eastAsia="en-GB"/>
              </w:rPr>
            </w:pPr>
            <w:r w:rsidRPr="00164D84">
              <w:rPr>
                <w:rFonts w:ascii="Cambria" w:eastAsia="Times New Roman" w:hAnsi="Cambria" w:cs="Times New Roman"/>
                <w:color w:val="auto"/>
                <w:sz w:val="18"/>
                <w:szCs w:val="18"/>
                <w:lang w:eastAsia="en-GB"/>
              </w:rPr>
              <w:t>76,23</w:t>
            </w:r>
          </w:p>
        </w:tc>
        <w:tc>
          <w:tcPr>
            <w:tcW w:w="1417" w:type="dxa"/>
            <w:noWrap/>
            <w:hideMark/>
          </w:tcPr>
          <w:p w:rsidR="00164D84" w:rsidRPr="00164D84" w:rsidRDefault="00164D84" w:rsidP="00164D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bCs/>
                <w:color w:val="auto"/>
                <w:sz w:val="18"/>
                <w:szCs w:val="18"/>
                <w:lang w:eastAsia="en-GB"/>
              </w:rPr>
            </w:pPr>
            <w:r w:rsidRPr="00164D84">
              <w:rPr>
                <w:rFonts w:ascii="Cambria" w:eastAsia="Times New Roman" w:hAnsi="Cambria" w:cs="Times New Roman"/>
                <w:bCs/>
                <w:color w:val="auto"/>
                <w:sz w:val="18"/>
                <w:szCs w:val="18"/>
                <w:lang w:eastAsia="en-GB"/>
              </w:rPr>
              <w:t>72,72</w:t>
            </w:r>
          </w:p>
        </w:tc>
      </w:tr>
      <w:tr w:rsidR="00164D84" w:rsidRPr="00164D84" w:rsidTr="00164D84">
        <w:trPr>
          <w:divId w:val="1024673436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hideMark/>
          </w:tcPr>
          <w:p w:rsidR="00164D84" w:rsidRPr="00164D84" w:rsidRDefault="00164D84" w:rsidP="00164D84">
            <w:pPr>
              <w:rPr>
                <w:rFonts w:ascii="Cambria" w:eastAsia="Times New Roman" w:hAnsi="Cambria" w:cs="Times New Roman"/>
                <w:color w:val="auto"/>
                <w:sz w:val="18"/>
                <w:szCs w:val="18"/>
                <w:lang w:eastAsia="en-GB"/>
              </w:rPr>
            </w:pPr>
            <w:r w:rsidRPr="00164D84">
              <w:rPr>
                <w:rFonts w:ascii="Cambria" w:eastAsia="Times New Roman" w:hAnsi="Cambria" w:cs="Times New Roman"/>
                <w:color w:val="auto"/>
                <w:sz w:val="18"/>
                <w:szCs w:val="18"/>
                <w:lang w:eastAsia="en-GB"/>
              </w:rPr>
              <w:t>Zaostale penzije</w:t>
            </w:r>
          </w:p>
        </w:tc>
        <w:tc>
          <w:tcPr>
            <w:tcW w:w="1417" w:type="dxa"/>
            <w:noWrap/>
            <w:hideMark/>
          </w:tcPr>
          <w:p w:rsidR="00164D84" w:rsidRPr="00164D84" w:rsidRDefault="00164D84" w:rsidP="00164D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color w:val="auto"/>
                <w:sz w:val="18"/>
                <w:szCs w:val="18"/>
                <w:lang w:eastAsia="en-GB"/>
              </w:rPr>
            </w:pPr>
            <w:r w:rsidRPr="00164D84">
              <w:rPr>
                <w:rFonts w:ascii="Cambria" w:eastAsia="Times New Roman" w:hAnsi="Cambria" w:cs="Times New Roman"/>
                <w:color w:val="auto"/>
                <w:sz w:val="18"/>
                <w:szCs w:val="18"/>
                <w:lang w:eastAsia="en-GB"/>
              </w:rPr>
              <w:t>1,91</w:t>
            </w:r>
          </w:p>
        </w:tc>
        <w:tc>
          <w:tcPr>
            <w:tcW w:w="1418" w:type="dxa"/>
            <w:noWrap/>
            <w:hideMark/>
          </w:tcPr>
          <w:p w:rsidR="00164D84" w:rsidRPr="00164D84" w:rsidRDefault="00164D84" w:rsidP="00164D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color w:val="auto"/>
                <w:sz w:val="18"/>
                <w:szCs w:val="18"/>
                <w:lang w:eastAsia="en-GB"/>
              </w:rPr>
            </w:pPr>
            <w:r w:rsidRPr="00164D84">
              <w:rPr>
                <w:rFonts w:ascii="Cambria" w:eastAsia="Times New Roman" w:hAnsi="Cambria" w:cs="Times New Roman"/>
                <w:color w:val="auto"/>
                <w:sz w:val="18"/>
                <w:szCs w:val="18"/>
                <w:lang w:eastAsia="en-GB"/>
              </w:rPr>
              <w:t>1,91</w:t>
            </w:r>
          </w:p>
        </w:tc>
        <w:tc>
          <w:tcPr>
            <w:tcW w:w="1417" w:type="dxa"/>
            <w:noWrap/>
            <w:hideMark/>
          </w:tcPr>
          <w:p w:rsidR="00164D84" w:rsidRPr="00164D84" w:rsidRDefault="00164D84" w:rsidP="00164D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bCs/>
                <w:color w:val="auto"/>
                <w:sz w:val="18"/>
                <w:szCs w:val="18"/>
                <w:lang w:eastAsia="en-GB"/>
              </w:rPr>
            </w:pPr>
            <w:r w:rsidRPr="00164D84">
              <w:rPr>
                <w:rFonts w:ascii="Cambria" w:eastAsia="Times New Roman" w:hAnsi="Cambria" w:cs="Times New Roman"/>
                <w:bCs/>
                <w:color w:val="auto"/>
                <w:sz w:val="18"/>
                <w:szCs w:val="18"/>
                <w:lang w:eastAsia="en-GB"/>
              </w:rPr>
              <w:t>1,91</w:t>
            </w:r>
          </w:p>
        </w:tc>
      </w:tr>
      <w:tr w:rsidR="00164D84" w:rsidRPr="00164D84" w:rsidTr="00164D84">
        <w:trPr>
          <w:divId w:val="1024673436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hideMark/>
          </w:tcPr>
          <w:p w:rsidR="00164D84" w:rsidRPr="00164D84" w:rsidRDefault="00164D84" w:rsidP="00164D84">
            <w:pPr>
              <w:rPr>
                <w:rFonts w:ascii="Cambria" w:eastAsia="Times New Roman" w:hAnsi="Cambria" w:cs="Times New Roman"/>
                <w:color w:val="auto"/>
                <w:sz w:val="18"/>
                <w:szCs w:val="18"/>
                <w:lang w:eastAsia="en-GB"/>
              </w:rPr>
            </w:pPr>
            <w:r w:rsidRPr="00164D84">
              <w:rPr>
                <w:rFonts w:ascii="Cambria" w:eastAsia="Times New Roman" w:hAnsi="Cambria" w:cs="Times New Roman"/>
                <w:color w:val="auto"/>
                <w:sz w:val="18"/>
                <w:szCs w:val="18"/>
                <w:lang w:eastAsia="en-GB"/>
              </w:rPr>
              <w:t>Državni zapisi</w:t>
            </w:r>
          </w:p>
        </w:tc>
        <w:tc>
          <w:tcPr>
            <w:tcW w:w="1417" w:type="dxa"/>
            <w:noWrap/>
            <w:hideMark/>
          </w:tcPr>
          <w:p w:rsidR="00164D84" w:rsidRPr="00164D84" w:rsidRDefault="00164D84" w:rsidP="00164D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color w:val="auto"/>
                <w:sz w:val="18"/>
                <w:szCs w:val="18"/>
                <w:lang w:eastAsia="en-GB"/>
              </w:rPr>
            </w:pPr>
            <w:r w:rsidRPr="00164D84">
              <w:rPr>
                <w:rFonts w:ascii="Cambria" w:eastAsia="Times New Roman" w:hAnsi="Cambria" w:cs="Times New Roman"/>
                <w:color w:val="auto"/>
                <w:sz w:val="18"/>
                <w:szCs w:val="18"/>
                <w:lang w:eastAsia="en-GB"/>
              </w:rPr>
              <w:t>72,00</w:t>
            </w:r>
          </w:p>
        </w:tc>
        <w:tc>
          <w:tcPr>
            <w:tcW w:w="1418" w:type="dxa"/>
            <w:noWrap/>
            <w:hideMark/>
          </w:tcPr>
          <w:p w:rsidR="00164D84" w:rsidRPr="00164D84" w:rsidRDefault="00164D84" w:rsidP="00164D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color w:val="auto"/>
                <w:sz w:val="18"/>
                <w:szCs w:val="18"/>
                <w:lang w:eastAsia="en-GB"/>
              </w:rPr>
            </w:pPr>
            <w:r w:rsidRPr="00164D84">
              <w:rPr>
                <w:rFonts w:ascii="Cambria" w:eastAsia="Times New Roman" w:hAnsi="Cambria" w:cs="Times New Roman"/>
                <w:color w:val="auto"/>
                <w:sz w:val="18"/>
                <w:szCs w:val="18"/>
                <w:lang w:eastAsia="en-GB"/>
              </w:rPr>
              <w:t>72,00</w:t>
            </w:r>
          </w:p>
        </w:tc>
        <w:tc>
          <w:tcPr>
            <w:tcW w:w="1417" w:type="dxa"/>
            <w:noWrap/>
            <w:hideMark/>
          </w:tcPr>
          <w:p w:rsidR="00164D84" w:rsidRPr="00164D84" w:rsidRDefault="00164D84" w:rsidP="00164D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bCs/>
                <w:color w:val="auto"/>
                <w:sz w:val="18"/>
                <w:szCs w:val="18"/>
                <w:lang w:eastAsia="en-GB"/>
              </w:rPr>
            </w:pPr>
            <w:r w:rsidRPr="00164D84">
              <w:rPr>
                <w:rFonts w:ascii="Cambria" w:eastAsia="Times New Roman" w:hAnsi="Cambria" w:cs="Times New Roman"/>
                <w:bCs/>
                <w:color w:val="auto"/>
                <w:sz w:val="18"/>
                <w:szCs w:val="18"/>
                <w:lang w:eastAsia="en-GB"/>
              </w:rPr>
              <w:t>72,00</w:t>
            </w:r>
          </w:p>
        </w:tc>
      </w:tr>
      <w:tr w:rsidR="00164D84" w:rsidRPr="00164D84" w:rsidTr="00164D84">
        <w:trPr>
          <w:divId w:val="1024673436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hideMark/>
          </w:tcPr>
          <w:p w:rsidR="00164D84" w:rsidRPr="00164D84" w:rsidRDefault="00164D84" w:rsidP="00164D84">
            <w:pPr>
              <w:rPr>
                <w:rFonts w:ascii="Cambria" w:eastAsia="Times New Roman" w:hAnsi="Cambria" w:cs="Times New Roman"/>
                <w:color w:val="auto"/>
                <w:sz w:val="18"/>
                <w:szCs w:val="18"/>
                <w:lang w:eastAsia="en-GB"/>
              </w:rPr>
            </w:pPr>
            <w:r w:rsidRPr="00164D84">
              <w:rPr>
                <w:rFonts w:ascii="Cambria" w:eastAsia="Times New Roman" w:hAnsi="Cambria" w:cs="Times New Roman"/>
                <w:color w:val="auto"/>
                <w:sz w:val="18"/>
                <w:szCs w:val="18"/>
                <w:lang w:eastAsia="en-GB"/>
              </w:rPr>
              <w:t>Domaće obveznice - GB16</w:t>
            </w:r>
          </w:p>
        </w:tc>
        <w:tc>
          <w:tcPr>
            <w:tcW w:w="1417" w:type="dxa"/>
            <w:noWrap/>
            <w:hideMark/>
          </w:tcPr>
          <w:p w:rsidR="00164D84" w:rsidRPr="00164D84" w:rsidRDefault="00164D84" w:rsidP="00164D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color w:val="auto"/>
                <w:sz w:val="18"/>
                <w:szCs w:val="18"/>
                <w:lang w:eastAsia="en-GB"/>
              </w:rPr>
            </w:pPr>
            <w:r w:rsidRPr="00164D84">
              <w:rPr>
                <w:rFonts w:ascii="Cambria" w:eastAsia="Times New Roman" w:hAnsi="Cambria" w:cs="Times New Roman"/>
                <w:color w:val="auto"/>
                <w:sz w:val="18"/>
                <w:szCs w:val="18"/>
                <w:lang w:eastAsia="en-GB"/>
              </w:rPr>
              <w:t>80,41</w:t>
            </w:r>
          </w:p>
        </w:tc>
        <w:tc>
          <w:tcPr>
            <w:tcW w:w="1418" w:type="dxa"/>
            <w:noWrap/>
            <w:hideMark/>
          </w:tcPr>
          <w:p w:rsidR="00164D84" w:rsidRPr="00164D84" w:rsidRDefault="00164D84" w:rsidP="00164D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color w:val="auto"/>
                <w:sz w:val="18"/>
                <w:szCs w:val="18"/>
                <w:lang w:eastAsia="en-GB"/>
              </w:rPr>
            </w:pPr>
            <w:r w:rsidRPr="00164D84">
              <w:rPr>
                <w:rFonts w:ascii="Cambria" w:eastAsia="Times New Roman" w:hAnsi="Cambria" w:cs="Times New Roman"/>
                <w:color w:val="auto"/>
                <w:sz w:val="18"/>
                <w:szCs w:val="18"/>
                <w:lang w:eastAsia="en-GB"/>
              </w:rPr>
              <w:t>80,41</w:t>
            </w:r>
          </w:p>
        </w:tc>
        <w:tc>
          <w:tcPr>
            <w:tcW w:w="1417" w:type="dxa"/>
            <w:noWrap/>
            <w:hideMark/>
          </w:tcPr>
          <w:p w:rsidR="00164D84" w:rsidRPr="00164D84" w:rsidRDefault="00164D84" w:rsidP="00164D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bCs/>
                <w:color w:val="auto"/>
                <w:sz w:val="18"/>
                <w:szCs w:val="18"/>
                <w:lang w:eastAsia="en-GB"/>
              </w:rPr>
            </w:pPr>
            <w:r w:rsidRPr="00164D84">
              <w:rPr>
                <w:rFonts w:ascii="Cambria" w:eastAsia="Times New Roman" w:hAnsi="Cambria" w:cs="Times New Roman"/>
                <w:bCs/>
                <w:color w:val="auto"/>
                <w:sz w:val="18"/>
                <w:szCs w:val="18"/>
                <w:lang w:eastAsia="en-GB"/>
              </w:rPr>
              <w:t>80,41</w:t>
            </w:r>
          </w:p>
        </w:tc>
      </w:tr>
      <w:tr w:rsidR="00164D84" w:rsidRPr="00164D84" w:rsidTr="00164D84">
        <w:trPr>
          <w:divId w:val="1024673436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hideMark/>
          </w:tcPr>
          <w:p w:rsidR="00164D84" w:rsidRPr="00164D84" w:rsidRDefault="00164D84" w:rsidP="00164D84">
            <w:pPr>
              <w:rPr>
                <w:rFonts w:ascii="Cambria" w:eastAsia="Times New Roman" w:hAnsi="Cambria" w:cs="Times New Roman"/>
                <w:color w:val="auto"/>
                <w:sz w:val="18"/>
                <w:szCs w:val="18"/>
                <w:lang w:eastAsia="en-GB"/>
              </w:rPr>
            </w:pPr>
            <w:r w:rsidRPr="00164D84">
              <w:rPr>
                <w:rFonts w:ascii="Cambria" w:eastAsia="Times New Roman" w:hAnsi="Cambria" w:cs="Times New Roman"/>
                <w:color w:val="auto"/>
                <w:sz w:val="18"/>
                <w:szCs w:val="18"/>
                <w:lang w:eastAsia="en-GB"/>
              </w:rPr>
              <w:t>Domaće obveznice - GB24</w:t>
            </w:r>
          </w:p>
        </w:tc>
        <w:tc>
          <w:tcPr>
            <w:tcW w:w="1417" w:type="dxa"/>
            <w:noWrap/>
            <w:hideMark/>
          </w:tcPr>
          <w:p w:rsidR="00164D84" w:rsidRPr="00164D84" w:rsidRDefault="00164D84" w:rsidP="00164D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color w:val="auto"/>
                <w:sz w:val="18"/>
                <w:szCs w:val="18"/>
                <w:lang w:eastAsia="en-GB"/>
              </w:rPr>
            </w:pPr>
            <w:r w:rsidRPr="00164D84">
              <w:rPr>
                <w:rFonts w:ascii="Cambria" w:eastAsia="Times New Roman" w:hAnsi="Cambria" w:cs="Times New Roman"/>
                <w:color w:val="auto"/>
                <w:sz w:val="18"/>
                <w:szCs w:val="18"/>
                <w:lang w:eastAsia="en-GB"/>
              </w:rPr>
              <w:t>0,00</w:t>
            </w:r>
          </w:p>
        </w:tc>
        <w:tc>
          <w:tcPr>
            <w:tcW w:w="1418" w:type="dxa"/>
            <w:noWrap/>
            <w:hideMark/>
          </w:tcPr>
          <w:p w:rsidR="00164D84" w:rsidRPr="00164D84" w:rsidRDefault="00164D84" w:rsidP="00164D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color w:val="auto"/>
                <w:sz w:val="18"/>
                <w:szCs w:val="18"/>
                <w:lang w:eastAsia="en-GB"/>
              </w:rPr>
            </w:pPr>
            <w:r w:rsidRPr="00164D84">
              <w:rPr>
                <w:rFonts w:ascii="Cambria" w:eastAsia="Times New Roman" w:hAnsi="Cambria" w:cs="Times New Roman"/>
                <w:color w:val="auto"/>
                <w:sz w:val="18"/>
                <w:szCs w:val="18"/>
                <w:lang w:eastAsia="en-GB"/>
              </w:rPr>
              <w:t>92,44</w:t>
            </w:r>
          </w:p>
        </w:tc>
        <w:tc>
          <w:tcPr>
            <w:tcW w:w="1417" w:type="dxa"/>
            <w:noWrap/>
            <w:hideMark/>
          </w:tcPr>
          <w:p w:rsidR="00164D84" w:rsidRPr="00164D84" w:rsidRDefault="00164D84" w:rsidP="00164D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bCs/>
                <w:color w:val="auto"/>
                <w:sz w:val="18"/>
                <w:szCs w:val="18"/>
                <w:lang w:eastAsia="en-GB"/>
              </w:rPr>
            </w:pPr>
            <w:r w:rsidRPr="00164D84">
              <w:rPr>
                <w:rFonts w:ascii="Cambria" w:eastAsia="Times New Roman" w:hAnsi="Cambria" w:cs="Times New Roman"/>
                <w:bCs/>
                <w:color w:val="auto"/>
                <w:sz w:val="18"/>
                <w:szCs w:val="18"/>
                <w:lang w:eastAsia="en-GB"/>
              </w:rPr>
              <w:t>92,44</w:t>
            </w:r>
          </w:p>
        </w:tc>
      </w:tr>
      <w:tr w:rsidR="00164D84" w:rsidRPr="00164D84" w:rsidTr="00164D84">
        <w:trPr>
          <w:divId w:val="1024673436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hideMark/>
          </w:tcPr>
          <w:p w:rsidR="00164D84" w:rsidRPr="00164D84" w:rsidRDefault="00164D84" w:rsidP="00164D84">
            <w:pPr>
              <w:rPr>
                <w:rFonts w:ascii="Cambria" w:eastAsia="Times New Roman" w:hAnsi="Cambria" w:cs="Times New Roman"/>
                <w:color w:val="auto"/>
                <w:sz w:val="18"/>
                <w:szCs w:val="18"/>
                <w:lang w:eastAsia="en-GB"/>
              </w:rPr>
            </w:pPr>
            <w:r w:rsidRPr="00164D84">
              <w:rPr>
                <w:rFonts w:ascii="Cambria" w:eastAsia="Times New Roman" w:hAnsi="Cambria" w:cs="Times New Roman"/>
                <w:color w:val="auto"/>
                <w:sz w:val="18"/>
                <w:szCs w:val="18"/>
                <w:lang w:eastAsia="en-GB"/>
              </w:rPr>
              <w:t>Domaće obveznice - GB26</w:t>
            </w:r>
          </w:p>
        </w:tc>
        <w:tc>
          <w:tcPr>
            <w:tcW w:w="1417" w:type="dxa"/>
            <w:noWrap/>
            <w:hideMark/>
          </w:tcPr>
          <w:p w:rsidR="00164D84" w:rsidRPr="00164D84" w:rsidRDefault="00164D84" w:rsidP="00164D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color w:val="auto"/>
                <w:sz w:val="18"/>
                <w:szCs w:val="18"/>
                <w:lang w:eastAsia="en-GB"/>
              </w:rPr>
            </w:pPr>
            <w:r w:rsidRPr="00164D84">
              <w:rPr>
                <w:rFonts w:ascii="Cambria" w:eastAsia="Times New Roman" w:hAnsi="Cambria" w:cs="Times New Roman"/>
                <w:color w:val="auto"/>
                <w:sz w:val="18"/>
                <w:szCs w:val="18"/>
                <w:lang w:eastAsia="en-GB"/>
              </w:rPr>
              <w:t>0,00</w:t>
            </w:r>
          </w:p>
        </w:tc>
        <w:tc>
          <w:tcPr>
            <w:tcW w:w="1418" w:type="dxa"/>
            <w:noWrap/>
            <w:hideMark/>
          </w:tcPr>
          <w:p w:rsidR="00164D84" w:rsidRPr="00164D84" w:rsidRDefault="00164D84" w:rsidP="00164D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color w:val="auto"/>
                <w:sz w:val="18"/>
                <w:szCs w:val="18"/>
                <w:lang w:eastAsia="en-GB"/>
              </w:rPr>
            </w:pPr>
            <w:r w:rsidRPr="00164D84">
              <w:rPr>
                <w:rFonts w:ascii="Cambria" w:eastAsia="Times New Roman" w:hAnsi="Cambria" w:cs="Times New Roman"/>
                <w:color w:val="auto"/>
                <w:sz w:val="18"/>
                <w:szCs w:val="18"/>
                <w:lang w:eastAsia="en-GB"/>
              </w:rPr>
              <w:t>50,00</w:t>
            </w:r>
          </w:p>
        </w:tc>
        <w:tc>
          <w:tcPr>
            <w:tcW w:w="1417" w:type="dxa"/>
            <w:noWrap/>
            <w:hideMark/>
          </w:tcPr>
          <w:p w:rsidR="00164D84" w:rsidRPr="00164D84" w:rsidRDefault="00164D84" w:rsidP="00164D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bCs/>
                <w:color w:val="auto"/>
                <w:sz w:val="18"/>
                <w:szCs w:val="18"/>
                <w:lang w:eastAsia="en-GB"/>
              </w:rPr>
            </w:pPr>
            <w:r w:rsidRPr="00164D84">
              <w:rPr>
                <w:rFonts w:ascii="Cambria" w:eastAsia="Times New Roman" w:hAnsi="Cambria" w:cs="Times New Roman"/>
                <w:bCs/>
                <w:color w:val="auto"/>
                <w:sz w:val="18"/>
                <w:szCs w:val="18"/>
                <w:lang w:eastAsia="en-GB"/>
              </w:rPr>
              <w:t>50,00</w:t>
            </w:r>
          </w:p>
        </w:tc>
      </w:tr>
      <w:tr w:rsidR="00164D84" w:rsidRPr="00164D84" w:rsidTr="00164D84">
        <w:trPr>
          <w:divId w:val="1024673436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hideMark/>
          </w:tcPr>
          <w:p w:rsidR="00164D84" w:rsidRPr="00164D84" w:rsidRDefault="00164D84" w:rsidP="00164D84">
            <w:pPr>
              <w:rPr>
                <w:rFonts w:ascii="Cambria" w:eastAsia="Times New Roman" w:hAnsi="Cambria" w:cs="Times New Roman"/>
                <w:color w:val="auto"/>
                <w:sz w:val="18"/>
                <w:szCs w:val="18"/>
                <w:lang w:eastAsia="en-GB"/>
              </w:rPr>
            </w:pPr>
            <w:r w:rsidRPr="00164D84">
              <w:rPr>
                <w:rFonts w:ascii="Cambria" w:eastAsia="Times New Roman" w:hAnsi="Cambria" w:cs="Times New Roman"/>
                <w:color w:val="auto"/>
                <w:sz w:val="18"/>
                <w:szCs w:val="18"/>
                <w:lang w:eastAsia="en-GB"/>
              </w:rPr>
              <w:t>Pravna lica i privredna drustva</w:t>
            </w:r>
          </w:p>
        </w:tc>
        <w:tc>
          <w:tcPr>
            <w:tcW w:w="1417" w:type="dxa"/>
            <w:noWrap/>
            <w:hideMark/>
          </w:tcPr>
          <w:p w:rsidR="00164D84" w:rsidRPr="00164D84" w:rsidRDefault="00164D84" w:rsidP="00164D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color w:val="auto"/>
                <w:sz w:val="18"/>
                <w:szCs w:val="18"/>
                <w:lang w:eastAsia="en-GB"/>
              </w:rPr>
            </w:pPr>
            <w:r w:rsidRPr="00164D84">
              <w:rPr>
                <w:rFonts w:ascii="Cambria" w:eastAsia="Times New Roman" w:hAnsi="Cambria" w:cs="Times New Roman"/>
                <w:color w:val="auto"/>
                <w:sz w:val="18"/>
                <w:szCs w:val="18"/>
                <w:lang w:eastAsia="en-GB"/>
              </w:rPr>
              <w:t>40,36</w:t>
            </w:r>
          </w:p>
        </w:tc>
        <w:tc>
          <w:tcPr>
            <w:tcW w:w="1418" w:type="dxa"/>
            <w:noWrap/>
            <w:hideMark/>
          </w:tcPr>
          <w:p w:rsidR="00164D84" w:rsidRPr="00164D84" w:rsidRDefault="00164D84" w:rsidP="00164D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color w:val="auto"/>
                <w:sz w:val="18"/>
                <w:szCs w:val="18"/>
                <w:lang w:eastAsia="en-GB"/>
              </w:rPr>
            </w:pPr>
            <w:r w:rsidRPr="00164D84">
              <w:rPr>
                <w:rFonts w:ascii="Cambria" w:eastAsia="Times New Roman" w:hAnsi="Cambria" w:cs="Times New Roman"/>
                <w:color w:val="auto"/>
                <w:sz w:val="18"/>
                <w:szCs w:val="18"/>
                <w:lang w:eastAsia="en-GB"/>
              </w:rPr>
              <w:t>40,40</w:t>
            </w:r>
          </w:p>
        </w:tc>
        <w:tc>
          <w:tcPr>
            <w:tcW w:w="1417" w:type="dxa"/>
            <w:noWrap/>
            <w:hideMark/>
          </w:tcPr>
          <w:p w:rsidR="00164D84" w:rsidRPr="00164D84" w:rsidRDefault="00164D84" w:rsidP="00164D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bCs/>
                <w:color w:val="auto"/>
                <w:sz w:val="18"/>
                <w:szCs w:val="18"/>
                <w:lang w:eastAsia="en-GB"/>
              </w:rPr>
            </w:pPr>
            <w:r w:rsidRPr="00164D84">
              <w:rPr>
                <w:rFonts w:ascii="Cambria" w:eastAsia="Times New Roman" w:hAnsi="Cambria" w:cs="Times New Roman"/>
                <w:bCs/>
                <w:color w:val="auto"/>
                <w:sz w:val="18"/>
                <w:szCs w:val="18"/>
                <w:lang w:eastAsia="en-GB"/>
              </w:rPr>
              <w:t>38,55</w:t>
            </w:r>
          </w:p>
        </w:tc>
      </w:tr>
      <w:tr w:rsidR="00164D84" w:rsidRPr="00164D84" w:rsidTr="00164D84">
        <w:trPr>
          <w:divId w:val="1024673436"/>
          <w:trHeight w:val="1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shd w:val="clear" w:color="auto" w:fill="D9E2F3" w:themeFill="accent1" w:themeFillTint="33"/>
            <w:noWrap/>
            <w:hideMark/>
          </w:tcPr>
          <w:p w:rsidR="00164D84" w:rsidRPr="00164D84" w:rsidRDefault="00164D84" w:rsidP="00164D84">
            <w:pPr>
              <w:rPr>
                <w:rFonts w:ascii="Cambria" w:eastAsia="Times New Roman" w:hAnsi="Cambria" w:cs="Times New Roman"/>
                <w:color w:val="auto"/>
                <w:sz w:val="18"/>
                <w:szCs w:val="18"/>
                <w:lang w:eastAsia="en-GB"/>
              </w:rPr>
            </w:pPr>
            <w:r w:rsidRPr="00164D84">
              <w:rPr>
                <w:rFonts w:ascii="Cambria" w:eastAsia="Times New Roman" w:hAnsi="Cambria" w:cs="Times New Roman"/>
                <w:color w:val="auto"/>
                <w:sz w:val="18"/>
                <w:szCs w:val="18"/>
                <w:lang w:eastAsia="en-GB"/>
              </w:rPr>
              <w:t>Ukupno unutrašnji dug</w:t>
            </w:r>
          </w:p>
        </w:tc>
        <w:tc>
          <w:tcPr>
            <w:tcW w:w="1417" w:type="dxa"/>
            <w:shd w:val="clear" w:color="auto" w:fill="D9E2F3" w:themeFill="accent1" w:themeFillTint="33"/>
            <w:noWrap/>
            <w:hideMark/>
          </w:tcPr>
          <w:p w:rsidR="00164D84" w:rsidRPr="00164D84" w:rsidRDefault="00164D84" w:rsidP="00164D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color w:val="auto"/>
                <w:sz w:val="18"/>
                <w:szCs w:val="18"/>
                <w:lang w:eastAsia="en-GB"/>
              </w:rPr>
            </w:pPr>
            <w:r w:rsidRPr="00164D84">
              <w:rPr>
                <w:rFonts w:ascii="Cambria" w:eastAsia="Times New Roman" w:hAnsi="Cambria" w:cs="Times New Roman"/>
                <w:color w:val="auto"/>
                <w:sz w:val="18"/>
                <w:szCs w:val="18"/>
                <w:lang w:eastAsia="en-GB"/>
              </w:rPr>
              <w:t>378,64</w:t>
            </w:r>
          </w:p>
        </w:tc>
        <w:tc>
          <w:tcPr>
            <w:tcW w:w="1418" w:type="dxa"/>
            <w:shd w:val="clear" w:color="auto" w:fill="D9E2F3" w:themeFill="accent1" w:themeFillTint="33"/>
            <w:noWrap/>
            <w:hideMark/>
          </w:tcPr>
          <w:p w:rsidR="00164D84" w:rsidRPr="00164D84" w:rsidRDefault="00164D84" w:rsidP="00164D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color w:val="auto"/>
                <w:sz w:val="18"/>
                <w:szCs w:val="18"/>
                <w:lang w:eastAsia="en-GB"/>
              </w:rPr>
            </w:pPr>
            <w:r w:rsidRPr="00164D84">
              <w:rPr>
                <w:rFonts w:ascii="Cambria" w:eastAsia="Times New Roman" w:hAnsi="Cambria" w:cs="Times New Roman"/>
                <w:color w:val="auto"/>
                <w:sz w:val="18"/>
                <w:szCs w:val="18"/>
                <w:lang w:eastAsia="en-GB"/>
              </w:rPr>
              <w:t>511,95</w:t>
            </w:r>
          </w:p>
        </w:tc>
        <w:tc>
          <w:tcPr>
            <w:tcW w:w="1417" w:type="dxa"/>
            <w:shd w:val="clear" w:color="auto" w:fill="D9E2F3" w:themeFill="accent1" w:themeFillTint="33"/>
            <w:noWrap/>
            <w:hideMark/>
          </w:tcPr>
          <w:p w:rsidR="00164D84" w:rsidRPr="00164D84" w:rsidRDefault="00164D84" w:rsidP="00164D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bCs/>
                <w:color w:val="auto"/>
                <w:sz w:val="18"/>
                <w:szCs w:val="18"/>
                <w:lang w:eastAsia="en-GB"/>
              </w:rPr>
            </w:pPr>
            <w:r w:rsidRPr="00164D84">
              <w:rPr>
                <w:rFonts w:ascii="Cambria" w:eastAsia="Times New Roman" w:hAnsi="Cambria" w:cs="Times New Roman"/>
                <w:bCs/>
                <w:color w:val="auto"/>
                <w:sz w:val="18"/>
                <w:szCs w:val="18"/>
                <w:lang w:eastAsia="en-GB"/>
              </w:rPr>
              <w:t>504,52</w:t>
            </w:r>
          </w:p>
        </w:tc>
      </w:tr>
      <w:tr w:rsidR="00164D84" w:rsidRPr="00164D84" w:rsidTr="00164D84">
        <w:trPr>
          <w:divId w:val="1024673436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shd w:val="clear" w:color="auto" w:fill="D9E2F3" w:themeFill="accent1" w:themeFillTint="33"/>
            <w:noWrap/>
            <w:hideMark/>
          </w:tcPr>
          <w:p w:rsidR="00164D84" w:rsidRPr="00164D84" w:rsidRDefault="00164D84" w:rsidP="00164D84">
            <w:pPr>
              <w:rPr>
                <w:rFonts w:ascii="Cambria" w:eastAsia="Times New Roman" w:hAnsi="Cambria" w:cs="Times New Roman"/>
                <w:color w:val="auto"/>
                <w:sz w:val="18"/>
                <w:szCs w:val="18"/>
                <w:lang w:eastAsia="en-GB"/>
              </w:rPr>
            </w:pPr>
            <w:r w:rsidRPr="00164D84">
              <w:rPr>
                <w:rFonts w:ascii="Cambria" w:eastAsia="Times New Roman" w:hAnsi="Cambria" w:cs="Times New Roman"/>
                <w:color w:val="auto"/>
                <w:sz w:val="18"/>
                <w:szCs w:val="18"/>
                <w:lang w:eastAsia="en-GB"/>
              </w:rPr>
              <w:t>UKUPNO DRŽAVNI DUG</w:t>
            </w:r>
          </w:p>
        </w:tc>
        <w:tc>
          <w:tcPr>
            <w:tcW w:w="1417" w:type="dxa"/>
            <w:shd w:val="clear" w:color="auto" w:fill="D9E2F3" w:themeFill="accent1" w:themeFillTint="33"/>
            <w:noWrap/>
            <w:hideMark/>
          </w:tcPr>
          <w:p w:rsidR="00164D84" w:rsidRPr="00164D84" w:rsidRDefault="00164D84" w:rsidP="00164D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color w:val="auto"/>
                <w:sz w:val="18"/>
                <w:szCs w:val="18"/>
                <w:lang w:eastAsia="en-GB"/>
              </w:rPr>
            </w:pPr>
            <w:r w:rsidRPr="00164D84">
              <w:rPr>
                <w:rFonts w:ascii="Cambria" w:eastAsia="Times New Roman" w:hAnsi="Cambria" w:cs="Times New Roman"/>
                <w:b/>
                <w:color w:val="auto"/>
                <w:sz w:val="18"/>
                <w:szCs w:val="18"/>
                <w:lang w:eastAsia="en-GB"/>
              </w:rPr>
              <w:t>3.179,38</w:t>
            </w:r>
          </w:p>
        </w:tc>
        <w:tc>
          <w:tcPr>
            <w:tcW w:w="1418" w:type="dxa"/>
            <w:shd w:val="clear" w:color="auto" w:fill="D9E2F3" w:themeFill="accent1" w:themeFillTint="33"/>
            <w:noWrap/>
            <w:hideMark/>
          </w:tcPr>
          <w:p w:rsidR="00164D84" w:rsidRPr="00164D84" w:rsidRDefault="00164D84" w:rsidP="00164D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color w:val="auto"/>
                <w:sz w:val="18"/>
                <w:szCs w:val="18"/>
                <w:lang w:eastAsia="en-GB"/>
              </w:rPr>
            </w:pPr>
            <w:r w:rsidRPr="00164D84">
              <w:rPr>
                <w:rFonts w:ascii="Cambria" w:eastAsia="Times New Roman" w:hAnsi="Cambria" w:cs="Times New Roman"/>
                <w:b/>
                <w:color w:val="auto"/>
                <w:sz w:val="18"/>
                <w:szCs w:val="18"/>
                <w:lang w:eastAsia="en-GB"/>
              </w:rPr>
              <w:t>3.133,68</w:t>
            </w:r>
          </w:p>
        </w:tc>
        <w:tc>
          <w:tcPr>
            <w:tcW w:w="1417" w:type="dxa"/>
            <w:shd w:val="clear" w:color="auto" w:fill="D9E2F3" w:themeFill="accent1" w:themeFillTint="33"/>
            <w:noWrap/>
            <w:hideMark/>
          </w:tcPr>
          <w:p w:rsidR="00164D84" w:rsidRPr="00164D84" w:rsidRDefault="00164D84" w:rsidP="00164D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auto"/>
                <w:sz w:val="18"/>
                <w:szCs w:val="18"/>
                <w:lang w:eastAsia="en-GB"/>
              </w:rPr>
            </w:pPr>
            <w:r w:rsidRPr="00164D84">
              <w:rPr>
                <w:rFonts w:ascii="Cambria" w:eastAsia="Times New Roman" w:hAnsi="Cambria" w:cs="Times New Roman"/>
                <w:b/>
                <w:bCs/>
                <w:color w:val="auto"/>
                <w:sz w:val="18"/>
                <w:szCs w:val="18"/>
                <w:lang w:eastAsia="en-GB"/>
              </w:rPr>
              <w:t>3</w:t>
            </w:r>
            <w:r w:rsidR="008F1842">
              <w:rPr>
                <w:rFonts w:ascii="Cambria" w:eastAsia="Times New Roman" w:hAnsi="Cambria" w:cs="Times New Roman"/>
                <w:b/>
                <w:bCs/>
                <w:color w:val="auto"/>
                <w:sz w:val="18"/>
                <w:szCs w:val="18"/>
                <w:lang w:eastAsia="en-GB"/>
              </w:rPr>
              <w:t>.</w:t>
            </w:r>
            <w:r w:rsidRPr="00164D84">
              <w:rPr>
                <w:rFonts w:ascii="Cambria" w:eastAsia="Times New Roman" w:hAnsi="Cambria" w:cs="Times New Roman"/>
                <w:b/>
                <w:bCs/>
                <w:color w:val="auto"/>
                <w:sz w:val="18"/>
                <w:szCs w:val="18"/>
                <w:lang w:eastAsia="en-GB"/>
              </w:rPr>
              <w:t>127,89</w:t>
            </w:r>
          </w:p>
        </w:tc>
      </w:tr>
      <w:tr w:rsidR="00164D84" w:rsidRPr="00164D84" w:rsidTr="00164D84">
        <w:trPr>
          <w:divId w:val="1024673436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noWrap/>
            <w:hideMark/>
          </w:tcPr>
          <w:p w:rsidR="00164D84" w:rsidRPr="00164D84" w:rsidRDefault="00164D84" w:rsidP="00164D84">
            <w:pPr>
              <w:rPr>
                <w:rFonts w:ascii="Cambria" w:eastAsia="Times New Roman" w:hAnsi="Cambria" w:cs="Times New Roman"/>
                <w:color w:val="auto"/>
                <w:sz w:val="18"/>
                <w:szCs w:val="18"/>
                <w:lang w:eastAsia="en-GB"/>
              </w:rPr>
            </w:pPr>
            <w:r w:rsidRPr="00164D84">
              <w:rPr>
                <w:rFonts w:ascii="Cambria" w:eastAsia="Times New Roman" w:hAnsi="Cambria" w:cs="Times New Roman"/>
                <w:color w:val="auto"/>
                <w:sz w:val="18"/>
                <w:szCs w:val="18"/>
                <w:lang w:eastAsia="en-GB"/>
              </w:rPr>
              <w:lastRenderedPageBreak/>
              <w:t>Depoziti</w:t>
            </w:r>
          </w:p>
        </w:tc>
        <w:tc>
          <w:tcPr>
            <w:tcW w:w="1417" w:type="dxa"/>
            <w:noWrap/>
            <w:hideMark/>
          </w:tcPr>
          <w:p w:rsidR="00164D84" w:rsidRPr="00164D84" w:rsidRDefault="00164D84" w:rsidP="00164D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color w:val="auto"/>
                <w:sz w:val="18"/>
                <w:szCs w:val="18"/>
                <w:lang w:eastAsia="en-GB"/>
              </w:rPr>
            </w:pPr>
            <w:r w:rsidRPr="00164D84">
              <w:rPr>
                <w:rFonts w:ascii="Cambria" w:eastAsia="Times New Roman" w:hAnsi="Cambria" w:cs="Times New Roman"/>
                <w:color w:val="auto"/>
                <w:sz w:val="18"/>
                <w:szCs w:val="18"/>
                <w:lang w:eastAsia="en-GB"/>
              </w:rPr>
              <w:t>253,70</w:t>
            </w:r>
          </w:p>
        </w:tc>
        <w:tc>
          <w:tcPr>
            <w:tcW w:w="1418" w:type="dxa"/>
            <w:noWrap/>
            <w:hideMark/>
          </w:tcPr>
          <w:p w:rsidR="00164D84" w:rsidRPr="00164D84" w:rsidRDefault="00164D84" w:rsidP="00164D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color w:val="auto"/>
                <w:sz w:val="18"/>
                <w:szCs w:val="18"/>
                <w:lang w:eastAsia="en-GB"/>
              </w:rPr>
            </w:pPr>
            <w:r w:rsidRPr="00164D84">
              <w:rPr>
                <w:rFonts w:ascii="Cambria" w:eastAsia="Times New Roman" w:hAnsi="Cambria" w:cs="Times New Roman"/>
                <w:color w:val="auto"/>
                <w:sz w:val="18"/>
                <w:szCs w:val="18"/>
                <w:lang w:eastAsia="en-GB"/>
              </w:rPr>
              <w:t>184,03</w:t>
            </w:r>
          </w:p>
        </w:tc>
        <w:tc>
          <w:tcPr>
            <w:tcW w:w="1417" w:type="dxa"/>
            <w:noWrap/>
            <w:hideMark/>
          </w:tcPr>
          <w:p w:rsidR="00164D84" w:rsidRPr="00164D84" w:rsidRDefault="00164D84" w:rsidP="00164D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bCs/>
                <w:color w:val="auto"/>
                <w:sz w:val="18"/>
                <w:szCs w:val="18"/>
                <w:lang w:eastAsia="en-GB"/>
              </w:rPr>
            </w:pPr>
            <w:r w:rsidRPr="00164D84">
              <w:rPr>
                <w:rFonts w:ascii="Cambria" w:eastAsia="Times New Roman" w:hAnsi="Cambria" w:cs="Times New Roman"/>
                <w:bCs/>
                <w:color w:val="auto"/>
                <w:sz w:val="18"/>
                <w:szCs w:val="18"/>
                <w:lang w:eastAsia="en-GB"/>
              </w:rPr>
              <w:t>157,58</w:t>
            </w:r>
          </w:p>
        </w:tc>
      </w:tr>
      <w:tr w:rsidR="00164D84" w:rsidRPr="00164D84" w:rsidTr="00164D84">
        <w:trPr>
          <w:divId w:val="1024673436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shd w:val="clear" w:color="auto" w:fill="D9E2F3" w:themeFill="accent1" w:themeFillTint="33"/>
            <w:noWrap/>
            <w:hideMark/>
          </w:tcPr>
          <w:p w:rsidR="00164D84" w:rsidRPr="00164D84" w:rsidRDefault="00164D84" w:rsidP="00164D84">
            <w:pPr>
              <w:rPr>
                <w:rFonts w:ascii="Cambria" w:eastAsia="Times New Roman" w:hAnsi="Cambria" w:cs="Times New Roman"/>
                <w:color w:val="auto"/>
                <w:sz w:val="18"/>
                <w:szCs w:val="18"/>
                <w:lang w:eastAsia="en-GB"/>
              </w:rPr>
            </w:pPr>
            <w:r w:rsidRPr="00164D84">
              <w:rPr>
                <w:rFonts w:ascii="Cambria" w:eastAsia="Times New Roman" w:hAnsi="Cambria" w:cs="Times New Roman"/>
                <w:color w:val="auto"/>
                <w:sz w:val="18"/>
                <w:szCs w:val="18"/>
                <w:lang w:eastAsia="en-GB"/>
              </w:rPr>
              <w:t>UKUPNO DRŽAVNI DUG (uključujući depozite)</w:t>
            </w:r>
          </w:p>
        </w:tc>
        <w:tc>
          <w:tcPr>
            <w:tcW w:w="1417" w:type="dxa"/>
            <w:shd w:val="clear" w:color="auto" w:fill="D9E2F3" w:themeFill="accent1" w:themeFillTint="33"/>
            <w:noWrap/>
            <w:hideMark/>
          </w:tcPr>
          <w:p w:rsidR="00164D84" w:rsidRPr="00164D84" w:rsidRDefault="00164D84" w:rsidP="00164D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color w:val="auto"/>
                <w:sz w:val="18"/>
                <w:szCs w:val="18"/>
                <w:lang w:eastAsia="en-GB"/>
              </w:rPr>
            </w:pPr>
            <w:r w:rsidRPr="00164D84">
              <w:rPr>
                <w:rFonts w:ascii="Cambria" w:eastAsia="Times New Roman" w:hAnsi="Cambria" w:cs="Times New Roman"/>
                <w:b/>
                <w:color w:val="auto"/>
                <w:sz w:val="18"/>
                <w:szCs w:val="18"/>
                <w:lang w:eastAsia="en-GB"/>
              </w:rPr>
              <w:t>2.925,68</w:t>
            </w:r>
          </w:p>
        </w:tc>
        <w:tc>
          <w:tcPr>
            <w:tcW w:w="1418" w:type="dxa"/>
            <w:shd w:val="clear" w:color="auto" w:fill="D9E2F3" w:themeFill="accent1" w:themeFillTint="33"/>
            <w:noWrap/>
            <w:hideMark/>
          </w:tcPr>
          <w:p w:rsidR="00164D84" w:rsidRPr="00164D84" w:rsidRDefault="00164D84" w:rsidP="00164D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color w:val="auto"/>
                <w:sz w:val="18"/>
                <w:szCs w:val="18"/>
                <w:lang w:eastAsia="en-GB"/>
              </w:rPr>
            </w:pPr>
            <w:r w:rsidRPr="00164D84">
              <w:rPr>
                <w:rFonts w:ascii="Cambria" w:eastAsia="Times New Roman" w:hAnsi="Cambria" w:cs="Times New Roman"/>
                <w:b/>
                <w:color w:val="auto"/>
                <w:sz w:val="18"/>
                <w:szCs w:val="18"/>
                <w:lang w:eastAsia="en-GB"/>
              </w:rPr>
              <w:t>2.949,65</w:t>
            </w:r>
          </w:p>
        </w:tc>
        <w:tc>
          <w:tcPr>
            <w:tcW w:w="1417" w:type="dxa"/>
            <w:shd w:val="clear" w:color="auto" w:fill="D9E2F3" w:themeFill="accent1" w:themeFillTint="33"/>
            <w:noWrap/>
            <w:hideMark/>
          </w:tcPr>
          <w:p w:rsidR="00164D84" w:rsidRPr="00164D84" w:rsidRDefault="00164D84" w:rsidP="00164D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auto"/>
                <w:sz w:val="18"/>
                <w:szCs w:val="18"/>
                <w:lang w:eastAsia="en-GB"/>
              </w:rPr>
            </w:pPr>
            <w:r w:rsidRPr="00164D84">
              <w:rPr>
                <w:rFonts w:ascii="Cambria" w:eastAsia="Times New Roman" w:hAnsi="Cambria" w:cs="Times New Roman"/>
                <w:b/>
                <w:bCs/>
                <w:color w:val="auto"/>
                <w:sz w:val="18"/>
                <w:szCs w:val="18"/>
                <w:lang w:eastAsia="en-GB"/>
              </w:rPr>
              <w:t>2</w:t>
            </w:r>
            <w:r w:rsidR="008F1842">
              <w:rPr>
                <w:rFonts w:ascii="Cambria" w:eastAsia="Times New Roman" w:hAnsi="Cambria" w:cs="Times New Roman"/>
                <w:b/>
                <w:bCs/>
                <w:color w:val="auto"/>
                <w:sz w:val="18"/>
                <w:szCs w:val="18"/>
                <w:lang w:eastAsia="en-GB"/>
              </w:rPr>
              <w:t>.</w:t>
            </w:r>
            <w:r w:rsidRPr="00164D84">
              <w:rPr>
                <w:rFonts w:ascii="Cambria" w:eastAsia="Times New Roman" w:hAnsi="Cambria" w:cs="Times New Roman"/>
                <w:b/>
                <w:bCs/>
                <w:color w:val="auto"/>
                <w:sz w:val="18"/>
                <w:szCs w:val="18"/>
                <w:lang w:eastAsia="en-GB"/>
              </w:rPr>
              <w:t>970,32</w:t>
            </w:r>
          </w:p>
        </w:tc>
      </w:tr>
    </w:tbl>
    <w:p w:rsidR="00745445" w:rsidRDefault="00745445" w:rsidP="00745445">
      <w:pPr>
        <w:jc w:val="both"/>
        <w:rPr>
          <w:rFonts w:ascii="Cambria" w:eastAsia="Times New Roman" w:hAnsi="Cambria" w:cs="Times New Roman"/>
          <w:lang w:eastAsia="en-GB"/>
        </w:rPr>
      </w:pPr>
      <w:r>
        <w:rPr>
          <w:rFonts w:ascii="Cambria" w:eastAsia="Times New Roman" w:hAnsi="Cambria" w:cs="Times New Roman"/>
          <w:lang w:eastAsia="en-GB"/>
        </w:rPr>
        <w:fldChar w:fldCharType="end"/>
      </w:r>
    </w:p>
    <w:p w:rsidR="00100BFE" w:rsidRPr="00100BFE" w:rsidRDefault="00100BFE" w:rsidP="00100BFE">
      <w:pPr>
        <w:spacing w:before="100" w:after="200" w:line="276" w:lineRule="auto"/>
        <w:rPr>
          <w:rFonts w:ascii="Cambria" w:eastAsia="Times New Roman" w:hAnsi="Cambria" w:cs="Times New Roman"/>
          <w:b/>
        </w:rPr>
      </w:pPr>
      <w:r w:rsidRPr="00100BFE">
        <w:rPr>
          <w:rFonts w:ascii="Cambria" w:eastAsia="Times New Roman" w:hAnsi="Cambria" w:cs="Times New Roman"/>
          <w:b/>
        </w:rPr>
        <w:t>Tabela 2 Odnos državnog duga i BDP-a</w:t>
      </w:r>
    </w:p>
    <w:tbl>
      <w:tblPr>
        <w:tblStyle w:val="GridTable6Colorful-Accent1"/>
        <w:tblW w:w="9219" w:type="dxa"/>
        <w:tblLook w:val="02A0" w:firstRow="1" w:lastRow="0" w:firstColumn="1" w:lastColumn="0" w:noHBand="1" w:noVBand="0"/>
      </w:tblPr>
      <w:tblGrid>
        <w:gridCol w:w="5098"/>
        <w:gridCol w:w="1281"/>
        <w:gridCol w:w="1418"/>
        <w:gridCol w:w="1422"/>
      </w:tblGrid>
      <w:tr w:rsidR="003D3950" w:rsidRPr="00100BFE" w:rsidTr="00594F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hideMark/>
          </w:tcPr>
          <w:p w:rsidR="00100BFE" w:rsidRPr="00100BFE" w:rsidRDefault="00100BFE" w:rsidP="00100BFE">
            <w:pPr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en-GB"/>
              </w:rPr>
            </w:pPr>
            <w:r w:rsidRPr="00100BFE"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81" w:type="dxa"/>
            <w:noWrap/>
            <w:hideMark/>
          </w:tcPr>
          <w:p w:rsidR="00100BFE" w:rsidRPr="00100BFE" w:rsidRDefault="00100BFE" w:rsidP="003D3950">
            <w:pPr>
              <w:jc w:val="center"/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en-GB"/>
              </w:rPr>
            </w:pPr>
            <w:r w:rsidRPr="00100BFE"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en-GB"/>
              </w:rPr>
              <w:t>31.03.2019</w:t>
            </w:r>
          </w:p>
        </w:tc>
        <w:tc>
          <w:tcPr>
            <w:tcW w:w="1418" w:type="dxa"/>
            <w:noWrap/>
            <w:hideMark/>
          </w:tcPr>
          <w:p w:rsidR="00100BFE" w:rsidRPr="00100BFE" w:rsidRDefault="00100BFE" w:rsidP="003D395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en-GB"/>
              </w:rPr>
            </w:pPr>
            <w:r w:rsidRPr="00100BFE"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en-GB"/>
              </w:rPr>
              <w:t>30.06.2019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22" w:type="dxa"/>
            <w:noWrap/>
            <w:hideMark/>
          </w:tcPr>
          <w:p w:rsidR="00100BFE" w:rsidRPr="00100BFE" w:rsidRDefault="00100BFE" w:rsidP="003D3950">
            <w:pPr>
              <w:jc w:val="center"/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en-GB"/>
              </w:rPr>
            </w:pPr>
            <w:r w:rsidRPr="00100BFE"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en-GB"/>
              </w:rPr>
              <w:t>30.09.2019</w:t>
            </w:r>
          </w:p>
        </w:tc>
      </w:tr>
      <w:tr w:rsidR="00EE517F" w:rsidRPr="004B3137" w:rsidTr="003A659F">
        <w:trPr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noWrap/>
            <w:hideMark/>
          </w:tcPr>
          <w:p w:rsidR="00EE517F" w:rsidRPr="00100BFE" w:rsidRDefault="00EE517F" w:rsidP="00EE517F">
            <w:pPr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en-GB"/>
              </w:rPr>
            </w:pPr>
            <w:r w:rsidRPr="00100BFE"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en-GB"/>
              </w:rPr>
              <w:t>UKUPNO DRŽAVNI DUG / BDP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81" w:type="dxa"/>
            <w:noWrap/>
            <w:vAlign w:val="center"/>
            <w:hideMark/>
          </w:tcPr>
          <w:p w:rsidR="00EE517F" w:rsidRPr="000269F8" w:rsidRDefault="00B8347A" w:rsidP="00EE517F">
            <w:pPr>
              <w:jc w:val="center"/>
              <w:rPr>
                <w:rFonts w:ascii="Cambria" w:hAnsi="Cambria"/>
                <w:color w:val="171717" w:themeColor="accent4" w:themeShade="1A"/>
                <w:sz w:val="20"/>
                <w:szCs w:val="20"/>
              </w:rPr>
            </w:pPr>
            <w:r w:rsidRPr="000269F8">
              <w:rPr>
                <w:rFonts w:ascii="Cambria" w:hAnsi="Cambria"/>
                <w:color w:val="171717" w:themeColor="accent4" w:themeShade="1A"/>
                <w:sz w:val="20"/>
                <w:szCs w:val="20"/>
              </w:rPr>
              <w:t>64,21</w:t>
            </w:r>
            <w:r w:rsidR="00EE517F" w:rsidRPr="000269F8">
              <w:rPr>
                <w:rFonts w:ascii="Cambria" w:hAnsi="Cambria"/>
                <w:color w:val="171717" w:themeColor="accent4" w:themeShade="1A"/>
                <w:sz w:val="20"/>
                <w:szCs w:val="20"/>
              </w:rPr>
              <w:t>%</w:t>
            </w:r>
          </w:p>
        </w:tc>
        <w:tc>
          <w:tcPr>
            <w:tcW w:w="1418" w:type="dxa"/>
            <w:noWrap/>
            <w:vAlign w:val="center"/>
            <w:hideMark/>
          </w:tcPr>
          <w:p w:rsidR="00EE517F" w:rsidRPr="000269F8" w:rsidRDefault="001A28E8" w:rsidP="00EE51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171717" w:themeColor="accent4" w:themeShade="1A"/>
                <w:sz w:val="20"/>
                <w:szCs w:val="20"/>
              </w:rPr>
            </w:pPr>
            <w:r w:rsidRPr="000269F8">
              <w:rPr>
                <w:rFonts w:ascii="Cambria" w:hAnsi="Cambria"/>
                <w:color w:val="171717" w:themeColor="accent4" w:themeShade="1A"/>
                <w:sz w:val="20"/>
                <w:szCs w:val="20"/>
              </w:rPr>
              <w:t>63,</w:t>
            </w:r>
            <w:r w:rsidR="00B8347A" w:rsidRPr="000269F8">
              <w:rPr>
                <w:rFonts w:ascii="Cambria" w:hAnsi="Cambria"/>
                <w:color w:val="171717" w:themeColor="accent4" w:themeShade="1A"/>
                <w:sz w:val="20"/>
                <w:szCs w:val="20"/>
              </w:rPr>
              <w:t>29</w:t>
            </w:r>
            <w:r w:rsidR="00EE517F" w:rsidRPr="000269F8">
              <w:rPr>
                <w:rFonts w:ascii="Cambria" w:hAnsi="Cambria"/>
                <w:color w:val="171717" w:themeColor="accent4" w:themeShade="1A"/>
                <w:sz w:val="20"/>
                <w:szCs w:val="20"/>
              </w:rPr>
              <w:t>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22" w:type="dxa"/>
            <w:noWrap/>
            <w:vAlign w:val="center"/>
            <w:hideMark/>
          </w:tcPr>
          <w:p w:rsidR="00EE517F" w:rsidRPr="000269F8" w:rsidRDefault="00EE517F" w:rsidP="00B8347A">
            <w:pPr>
              <w:jc w:val="center"/>
              <w:rPr>
                <w:rFonts w:ascii="Cambria" w:hAnsi="Cambria"/>
                <w:bCs/>
                <w:color w:val="171717" w:themeColor="accent4" w:themeShade="1A"/>
                <w:sz w:val="20"/>
                <w:szCs w:val="20"/>
              </w:rPr>
            </w:pPr>
            <w:r w:rsidRPr="000269F8">
              <w:rPr>
                <w:rFonts w:ascii="Cambria" w:hAnsi="Cambria"/>
                <w:bCs/>
                <w:color w:val="171717" w:themeColor="accent4" w:themeShade="1A"/>
                <w:sz w:val="20"/>
                <w:szCs w:val="20"/>
              </w:rPr>
              <w:t>6</w:t>
            </w:r>
            <w:r w:rsidR="00B8347A" w:rsidRPr="000269F8">
              <w:rPr>
                <w:rFonts w:ascii="Cambria" w:hAnsi="Cambria"/>
                <w:bCs/>
                <w:color w:val="171717" w:themeColor="accent4" w:themeShade="1A"/>
                <w:sz w:val="20"/>
                <w:szCs w:val="20"/>
              </w:rPr>
              <w:t>3</w:t>
            </w:r>
            <w:r w:rsidRPr="000269F8">
              <w:rPr>
                <w:rFonts w:ascii="Cambria" w:hAnsi="Cambria"/>
                <w:bCs/>
                <w:color w:val="171717" w:themeColor="accent4" w:themeShade="1A"/>
                <w:sz w:val="20"/>
                <w:szCs w:val="20"/>
              </w:rPr>
              <w:t>,</w:t>
            </w:r>
            <w:r w:rsidR="00B8347A" w:rsidRPr="000269F8">
              <w:rPr>
                <w:rFonts w:ascii="Cambria" w:hAnsi="Cambria"/>
                <w:bCs/>
                <w:color w:val="171717" w:themeColor="accent4" w:themeShade="1A"/>
                <w:sz w:val="20"/>
                <w:szCs w:val="20"/>
              </w:rPr>
              <w:t>18</w:t>
            </w:r>
            <w:r w:rsidRPr="000269F8">
              <w:rPr>
                <w:rFonts w:ascii="Cambria" w:hAnsi="Cambria"/>
                <w:bCs/>
                <w:color w:val="171717" w:themeColor="accent4" w:themeShade="1A"/>
                <w:sz w:val="20"/>
                <w:szCs w:val="20"/>
              </w:rPr>
              <w:t>%</w:t>
            </w:r>
          </w:p>
        </w:tc>
      </w:tr>
      <w:tr w:rsidR="00EE517F" w:rsidRPr="004B3137" w:rsidTr="003A659F">
        <w:trPr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noWrap/>
            <w:hideMark/>
          </w:tcPr>
          <w:p w:rsidR="00EE517F" w:rsidRPr="00100BFE" w:rsidRDefault="00EE517F" w:rsidP="00EE517F">
            <w:pPr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en-GB"/>
              </w:rPr>
            </w:pPr>
            <w:r w:rsidRPr="00100BFE"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en-GB"/>
              </w:rPr>
              <w:t>UKUPNO DRŽAVNI DUG / BDP (uključujući depozite)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81" w:type="dxa"/>
            <w:noWrap/>
            <w:vAlign w:val="center"/>
            <w:hideMark/>
          </w:tcPr>
          <w:p w:rsidR="00EE517F" w:rsidRPr="000269F8" w:rsidRDefault="000D6504" w:rsidP="00EE517F">
            <w:pPr>
              <w:jc w:val="center"/>
              <w:rPr>
                <w:rFonts w:ascii="Cambria" w:hAnsi="Cambria"/>
                <w:color w:val="171717" w:themeColor="accent4" w:themeShade="1A"/>
                <w:sz w:val="20"/>
                <w:szCs w:val="20"/>
              </w:rPr>
            </w:pPr>
            <w:r w:rsidRPr="000269F8">
              <w:rPr>
                <w:rFonts w:ascii="Cambria" w:hAnsi="Cambria"/>
                <w:color w:val="171717" w:themeColor="accent4" w:themeShade="1A"/>
                <w:sz w:val="20"/>
                <w:szCs w:val="20"/>
              </w:rPr>
              <w:t>59,09</w:t>
            </w:r>
            <w:r w:rsidR="00EE517F" w:rsidRPr="000269F8">
              <w:rPr>
                <w:rFonts w:ascii="Cambria" w:hAnsi="Cambria"/>
                <w:color w:val="171717" w:themeColor="accent4" w:themeShade="1A"/>
                <w:sz w:val="20"/>
                <w:szCs w:val="20"/>
              </w:rPr>
              <w:t>%</w:t>
            </w:r>
          </w:p>
        </w:tc>
        <w:tc>
          <w:tcPr>
            <w:tcW w:w="1418" w:type="dxa"/>
            <w:noWrap/>
            <w:vAlign w:val="center"/>
            <w:hideMark/>
          </w:tcPr>
          <w:p w:rsidR="00EE517F" w:rsidRPr="000269F8" w:rsidRDefault="000D6504" w:rsidP="00EE51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171717" w:themeColor="accent4" w:themeShade="1A"/>
                <w:sz w:val="20"/>
                <w:szCs w:val="20"/>
              </w:rPr>
            </w:pPr>
            <w:r w:rsidRPr="000269F8">
              <w:rPr>
                <w:rFonts w:ascii="Cambria" w:hAnsi="Cambria"/>
                <w:color w:val="171717" w:themeColor="accent4" w:themeShade="1A"/>
                <w:sz w:val="20"/>
                <w:szCs w:val="20"/>
              </w:rPr>
              <w:t>59,58</w:t>
            </w:r>
            <w:r w:rsidR="00EE517F" w:rsidRPr="000269F8">
              <w:rPr>
                <w:rFonts w:ascii="Cambria" w:hAnsi="Cambria"/>
                <w:color w:val="171717" w:themeColor="accent4" w:themeShade="1A"/>
                <w:sz w:val="20"/>
                <w:szCs w:val="20"/>
              </w:rPr>
              <w:t>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22" w:type="dxa"/>
            <w:noWrap/>
            <w:vAlign w:val="center"/>
            <w:hideMark/>
          </w:tcPr>
          <w:p w:rsidR="00EE517F" w:rsidRPr="000269F8" w:rsidRDefault="000D6504" w:rsidP="00EE517F">
            <w:pPr>
              <w:jc w:val="center"/>
              <w:rPr>
                <w:rFonts w:ascii="Cambria" w:hAnsi="Cambria"/>
                <w:bCs/>
                <w:color w:val="171717" w:themeColor="accent4" w:themeShade="1A"/>
                <w:sz w:val="20"/>
                <w:szCs w:val="20"/>
              </w:rPr>
            </w:pPr>
            <w:r w:rsidRPr="000269F8">
              <w:rPr>
                <w:rFonts w:ascii="Cambria" w:hAnsi="Cambria"/>
                <w:bCs/>
                <w:color w:val="171717" w:themeColor="accent4" w:themeShade="1A"/>
                <w:sz w:val="20"/>
                <w:szCs w:val="20"/>
              </w:rPr>
              <w:t>60</w:t>
            </w:r>
            <w:r w:rsidR="001E3567" w:rsidRPr="000269F8">
              <w:rPr>
                <w:rFonts w:ascii="Cambria" w:hAnsi="Cambria"/>
                <w:bCs/>
                <w:color w:val="171717" w:themeColor="accent4" w:themeShade="1A"/>
                <w:sz w:val="20"/>
                <w:szCs w:val="20"/>
              </w:rPr>
              <w:t>,00</w:t>
            </w:r>
            <w:r w:rsidR="00EE517F" w:rsidRPr="000269F8">
              <w:rPr>
                <w:rFonts w:ascii="Cambria" w:hAnsi="Cambria"/>
                <w:bCs/>
                <w:color w:val="171717" w:themeColor="accent4" w:themeShade="1A"/>
                <w:sz w:val="20"/>
                <w:szCs w:val="20"/>
              </w:rPr>
              <w:t>%</w:t>
            </w:r>
          </w:p>
        </w:tc>
      </w:tr>
      <w:tr w:rsidR="00EE517F" w:rsidRPr="004B3137" w:rsidTr="003A659F">
        <w:trPr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noWrap/>
            <w:hideMark/>
          </w:tcPr>
          <w:p w:rsidR="00EE517F" w:rsidRPr="00100BFE" w:rsidRDefault="00EE517F" w:rsidP="00EE517F">
            <w:pPr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en-GB"/>
              </w:rPr>
            </w:pPr>
            <w:r w:rsidRPr="00100BFE"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en-GB"/>
              </w:rPr>
              <w:t>STANJE UNUTRAŠNJEG DUGA KAO % BDP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81" w:type="dxa"/>
            <w:noWrap/>
            <w:vAlign w:val="center"/>
            <w:hideMark/>
          </w:tcPr>
          <w:p w:rsidR="00EE517F" w:rsidRPr="000269F8" w:rsidRDefault="000D6504" w:rsidP="00EE517F">
            <w:pPr>
              <w:jc w:val="center"/>
              <w:rPr>
                <w:rFonts w:ascii="Cambria" w:hAnsi="Cambria"/>
                <w:color w:val="171717" w:themeColor="accent4" w:themeShade="1A"/>
                <w:sz w:val="20"/>
                <w:szCs w:val="20"/>
              </w:rPr>
            </w:pPr>
            <w:r w:rsidRPr="000269F8">
              <w:rPr>
                <w:rFonts w:ascii="Cambria" w:hAnsi="Cambria"/>
                <w:color w:val="171717" w:themeColor="accent4" w:themeShade="1A"/>
                <w:sz w:val="20"/>
                <w:szCs w:val="20"/>
              </w:rPr>
              <w:t>7,65</w:t>
            </w:r>
            <w:r w:rsidR="00EE517F" w:rsidRPr="000269F8">
              <w:rPr>
                <w:rFonts w:ascii="Cambria" w:hAnsi="Cambria"/>
                <w:color w:val="171717" w:themeColor="accent4" w:themeShade="1A"/>
                <w:sz w:val="20"/>
                <w:szCs w:val="20"/>
              </w:rPr>
              <w:t>%</w:t>
            </w:r>
          </w:p>
        </w:tc>
        <w:tc>
          <w:tcPr>
            <w:tcW w:w="1418" w:type="dxa"/>
            <w:noWrap/>
            <w:vAlign w:val="center"/>
            <w:hideMark/>
          </w:tcPr>
          <w:p w:rsidR="00EE517F" w:rsidRPr="000269F8" w:rsidRDefault="000D6504" w:rsidP="00EE51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171717" w:themeColor="accent4" w:themeShade="1A"/>
                <w:sz w:val="20"/>
                <w:szCs w:val="20"/>
              </w:rPr>
            </w:pPr>
            <w:r w:rsidRPr="000269F8">
              <w:rPr>
                <w:rFonts w:ascii="Cambria" w:hAnsi="Cambria"/>
                <w:color w:val="171717" w:themeColor="accent4" w:themeShade="1A"/>
                <w:sz w:val="20"/>
                <w:szCs w:val="20"/>
              </w:rPr>
              <w:t>10,34</w:t>
            </w:r>
            <w:r w:rsidR="00EE517F" w:rsidRPr="000269F8">
              <w:rPr>
                <w:rFonts w:ascii="Cambria" w:hAnsi="Cambria"/>
                <w:color w:val="171717" w:themeColor="accent4" w:themeShade="1A"/>
                <w:sz w:val="20"/>
                <w:szCs w:val="20"/>
              </w:rPr>
              <w:t>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22" w:type="dxa"/>
            <w:noWrap/>
            <w:vAlign w:val="center"/>
            <w:hideMark/>
          </w:tcPr>
          <w:p w:rsidR="00EE517F" w:rsidRPr="000269F8" w:rsidRDefault="00EE517F" w:rsidP="000D6504">
            <w:pPr>
              <w:jc w:val="center"/>
              <w:rPr>
                <w:rFonts w:ascii="Cambria" w:hAnsi="Cambria"/>
                <w:bCs/>
                <w:color w:val="171717" w:themeColor="accent4" w:themeShade="1A"/>
                <w:sz w:val="20"/>
                <w:szCs w:val="20"/>
              </w:rPr>
            </w:pPr>
            <w:r w:rsidRPr="000269F8">
              <w:rPr>
                <w:rFonts w:ascii="Cambria" w:hAnsi="Cambria"/>
                <w:bCs/>
                <w:color w:val="171717" w:themeColor="accent4" w:themeShade="1A"/>
                <w:sz w:val="20"/>
                <w:szCs w:val="20"/>
              </w:rPr>
              <w:t>10,</w:t>
            </w:r>
            <w:r w:rsidR="000D6504" w:rsidRPr="000269F8">
              <w:rPr>
                <w:rFonts w:ascii="Cambria" w:hAnsi="Cambria"/>
                <w:bCs/>
                <w:color w:val="171717" w:themeColor="accent4" w:themeShade="1A"/>
                <w:sz w:val="20"/>
                <w:szCs w:val="20"/>
              </w:rPr>
              <w:t>19</w:t>
            </w:r>
            <w:r w:rsidRPr="000269F8">
              <w:rPr>
                <w:rFonts w:ascii="Cambria" w:hAnsi="Cambria"/>
                <w:bCs/>
                <w:color w:val="171717" w:themeColor="accent4" w:themeShade="1A"/>
                <w:sz w:val="20"/>
                <w:szCs w:val="20"/>
              </w:rPr>
              <w:t>%</w:t>
            </w:r>
          </w:p>
        </w:tc>
      </w:tr>
      <w:tr w:rsidR="00EE517F" w:rsidRPr="004B3137" w:rsidTr="003A659F">
        <w:trPr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noWrap/>
            <w:hideMark/>
          </w:tcPr>
          <w:p w:rsidR="00EE517F" w:rsidRPr="00100BFE" w:rsidRDefault="00EE517F" w:rsidP="00EE517F">
            <w:pPr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en-GB"/>
              </w:rPr>
            </w:pPr>
            <w:r w:rsidRPr="00100BFE"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en-GB"/>
              </w:rPr>
              <w:t>STANJE SPOLJNJEG DUGA KAO % BDP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81" w:type="dxa"/>
            <w:noWrap/>
            <w:vAlign w:val="center"/>
            <w:hideMark/>
          </w:tcPr>
          <w:p w:rsidR="00EE517F" w:rsidRPr="000269F8" w:rsidRDefault="00C1508B" w:rsidP="00EE517F">
            <w:pPr>
              <w:jc w:val="center"/>
              <w:rPr>
                <w:rFonts w:ascii="Cambria" w:hAnsi="Cambria"/>
                <w:color w:val="171717" w:themeColor="accent4" w:themeShade="1A"/>
                <w:sz w:val="20"/>
                <w:szCs w:val="20"/>
              </w:rPr>
            </w:pPr>
            <w:r w:rsidRPr="000269F8">
              <w:rPr>
                <w:rFonts w:ascii="Cambria" w:hAnsi="Cambria"/>
                <w:color w:val="171717" w:themeColor="accent4" w:themeShade="1A"/>
                <w:sz w:val="20"/>
                <w:szCs w:val="20"/>
              </w:rPr>
              <w:t>56,57</w:t>
            </w:r>
            <w:r w:rsidR="00EE517F" w:rsidRPr="000269F8">
              <w:rPr>
                <w:rFonts w:ascii="Cambria" w:hAnsi="Cambria"/>
                <w:color w:val="171717" w:themeColor="accent4" w:themeShade="1A"/>
                <w:sz w:val="20"/>
                <w:szCs w:val="20"/>
              </w:rPr>
              <w:t>%</w:t>
            </w:r>
          </w:p>
        </w:tc>
        <w:tc>
          <w:tcPr>
            <w:tcW w:w="1418" w:type="dxa"/>
            <w:noWrap/>
            <w:vAlign w:val="center"/>
            <w:hideMark/>
          </w:tcPr>
          <w:p w:rsidR="00EE517F" w:rsidRPr="000269F8" w:rsidRDefault="00EE517F" w:rsidP="00C150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171717" w:themeColor="accent4" w:themeShade="1A"/>
                <w:sz w:val="20"/>
                <w:szCs w:val="20"/>
              </w:rPr>
            </w:pPr>
            <w:r w:rsidRPr="000269F8">
              <w:rPr>
                <w:rFonts w:ascii="Cambria" w:hAnsi="Cambria"/>
                <w:color w:val="171717" w:themeColor="accent4" w:themeShade="1A"/>
                <w:sz w:val="20"/>
                <w:szCs w:val="20"/>
              </w:rPr>
              <w:t>5</w:t>
            </w:r>
            <w:r w:rsidR="001A28E8" w:rsidRPr="000269F8">
              <w:rPr>
                <w:rFonts w:ascii="Cambria" w:hAnsi="Cambria"/>
                <w:color w:val="171717" w:themeColor="accent4" w:themeShade="1A"/>
                <w:sz w:val="20"/>
                <w:szCs w:val="20"/>
              </w:rPr>
              <w:t>2,</w:t>
            </w:r>
            <w:r w:rsidR="00C1508B" w:rsidRPr="000269F8">
              <w:rPr>
                <w:rFonts w:ascii="Cambria" w:hAnsi="Cambria"/>
                <w:color w:val="171717" w:themeColor="accent4" w:themeShade="1A"/>
                <w:sz w:val="20"/>
                <w:szCs w:val="20"/>
              </w:rPr>
              <w:t>95</w:t>
            </w:r>
            <w:r w:rsidRPr="000269F8">
              <w:rPr>
                <w:rFonts w:ascii="Cambria" w:hAnsi="Cambria"/>
                <w:color w:val="171717" w:themeColor="accent4" w:themeShade="1A"/>
                <w:sz w:val="20"/>
                <w:szCs w:val="20"/>
              </w:rPr>
              <w:t>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22" w:type="dxa"/>
            <w:noWrap/>
            <w:vAlign w:val="center"/>
            <w:hideMark/>
          </w:tcPr>
          <w:p w:rsidR="00EE517F" w:rsidRPr="000269F8" w:rsidRDefault="00C1508B" w:rsidP="00EE517F">
            <w:pPr>
              <w:jc w:val="center"/>
              <w:rPr>
                <w:rFonts w:ascii="Cambria" w:hAnsi="Cambria"/>
                <w:bCs/>
                <w:color w:val="171717" w:themeColor="accent4" w:themeShade="1A"/>
                <w:sz w:val="20"/>
                <w:szCs w:val="20"/>
              </w:rPr>
            </w:pPr>
            <w:r w:rsidRPr="000269F8">
              <w:rPr>
                <w:rFonts w:ascii="Cambria" w:hAnsi="Cambria"/>
                <w:bCs/>
                <w:color w:val="171717" w:themeColor="accent4" w:themeShade="1A"/>
                <w:sz w:val="20"/>
                <w:szCs w:val="20"/>
              </w:rPr>
              <w:t>52,99</w:t>
            </w:r>
            <w:r w:rsidR="00EE517F" w:rsidRPr="000269F8">
              <w:rPr>
                <w:rFonts w:ascii="Cambria" w:hAnsi="Cambria"/>
                <w:bCs/>
                <w:color w:val="171717" w:themeColor="accent4" w:themeShade="1A"/>
                <w:sz w:val="20"/>
                <w:szCs w:val="20"/>
              </w:rPr>
              <w:t>%</w:t>
            </w:r>
          </w:p>
        </w:tc>
      </w:tr>
      <w:tr w:rsidR="00EE517F" w:rsidRPr="004B3137" w:rsidTr="003A659F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noWrap/>
            <w:hideMark/>
          </w:tcPr>
          <w:p w:rsidR="00EE517F" w:rsidRPr="00100BFE" w:rsidRDefault="00EE517F" w:rsidP="00EE517F">
            <w:pPr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en-GB"/>
              </w:rPr>
            </w:pPr>
            <w:r w:rsidRPr="00100BFE"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en-GB"/>
              </w:rPr>
              <w:t>DEPOZITI KAO % BDP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81" w:type="dxa"/>
            <w:noWrap/>
            <w:vAlign w:val="center"/>
            <w:hideMark/>
          </w:tcPr>
          <w:p w:rsidR="00EE517F" w:rsidRPr="000269F8" w:rsidRDefault="00C1508B" w:rsidP="00EE517F">
            <w:pPr>
              <w:jc w:val="center"/>
              <w:rPr>
                <w:rFonts w:ascii="Cambria" w:hAnsi="Cambria"/>
                <w:color w:val="171717" w:themeColor="accent4" w:themeShade="1A"/>
                <w:sz w:val="20"/>
                <w:szCs w:val="20"/>
              </w:rPr>
            </w:pPr>
            <w:r w:rsidRPr="000269F8">
              <w:rPr>
                <w:rFonts w:ascii="Cambria" w:hAnsi="Cambria"/>
                <w:color w:val="171717" w:themeColor="accent4" w:themeShade="1A"/>
                <w:sz w:val="20"/>
                <w:szCs w:val="20"/>
              </w:rPr>
              <w:t>5,12</w:t>
            </w:r>
            <w:r w:rsidR="00EE517F" w:rsidRPr="000269F8">
              <w:rPr>
                <w:rFonts w:ascii="Cambria" w:hAnsi="Cambria"/>
                <w:color w:val="171717" w:themeColor="accent4" w:themeShade="1A"/>
                <w:sz w:val="20"/>
                <w:szCs w:val="20"/>
              </w:rPr>
              <w:t>%</w:t>
            </w:r>
          </w:p>
        </w:tc>
        <w:tc>
          <w:tcPr>
            <w:tcW w:w="1418" w:type="dxa"/>
            <w:noWrap/>
            <w:vAlign w:val="center"/>
            <w:hideMark/>
          </w:tcPr>
          <w:p w:rsidR="00EE517F" w:rsidRPr="000269F8" w:rsidRDefault="00C1508B" w:rsidP="00EE51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171717" w:themeColor="accent4" w:themeShade="1A"/>
                <w:sz w:val="20"/>
                <w:szCs w:val="20"/>
              </w:rPr>
            </w:pPr>
            <w:r w:rsidRPr="000269F8">
              <w:rPr>
                <w:rFonts w:ascii="Cambria" w:hAnsi="Cambria"/>
                <w:color w:val="171717" w:themeColor="accent4" w:themeShade="1A"/>
                <w:sz w:val="20"/>
                <w:szCs w:val="20"/>
              </w:rPr>
              <w:t>3,7</w:t>
            </w:r>
            <w:r w:rsidR="00EE517F" w:rsidRPr="000269F8">
              <w:rPr>
                <w:rFonts w:ascii="Cambria" w:hAnsi="Cambria"/>
                <w:color w:val="171717" w:themeColor="accent4" w:themeShade="1A"/>
                <w:sz w:val="20"/>
                <w:szCs w:val="20"/>
              </w:rPr>
              <w:t>2%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22" w:type="dxa"/>
            <w:noWrap/>
            <w:vAlign w:val="center"/>
            <w:hideMark/>
          </w:tcPr>
          <w:p w:rsidR="00EE517F" w:rsidRPr="000269F8" w:rsidRDefault="00EE517F" w:rsidP="00C1508B">
            <w:pPr>
              <w:jc w:val="center"/>
              <w:rPr>
                <w:rFonts w:ascii="Cambria" w:hAnsi="Cambria"/>
                <w:bCs/>
                <w:color w:val="171717" w:themeColor="accent4" w:themeShade="1A"/>
                <w:sz w:val="20"/>
                <w:szCs w:val="20"/>
              </w:rPr>
            </w:pPr>
            <w:r w:rsidRPr="000269F8">
              <w:rPr>
                <w:rFonts w:ascii="Cambria" w:hAnsi="Cambria"/>
                <w:bCs/>
                <w:color w:val="171717" w:themeColor="accent4" w:themeShade="1A"/>
                <w:sz w:val="20"/>
                <w:szCs w:val="20"/>
              </w:rPr>
              <w:t>3,</w:t>
            </w:r>
            <w:r w:rsidR="00C1508B" w:rsidRPr="000269F8">
              <w:rPr>
                <w:rFonts w:ascii="Cambria" w:hAnsi="Cambria"/>
                <w:bCs/>
                <w:color w:val="171717" w:themeColor="accent4" w:themeShade="1A"/>
                <w:sz w:val="20"/>
                <w:szCs w:val="20"/>
              </w:rPr>
              <w:t>18</w:t>
            </w:r>
            <w:r w:rsidRPr="000269F8">
              <w:rPr>
                <w:rFonts w:ascii="Cambria" w:hAnsi="Cambria"/>
                <w:bCs/>
                <w:color w:val="171717" w:themeColor="accent4" w:themeShade="1A"/>
                <w:sz w:val="20"/>
                <w:szCs w:val="20"/>
              </w:rPr>
              <w:t>%</w:t>
            </w:r>
          </w:p>
        </w:tc>
      </w:tr>
    </w:tbl>
    <w:p w:rsidR="005C4954" w:rsidRDefault="00122A9C">
      <w:pPr>
        <w:rPr>
          <w:b/>
        </w:rPr>
      </w:pPr>
    </w:p>
    <w:p w:rsidR="009D735D" w:rsidRDefault="00AA3BC1">
      <w:pPr>
        <w:rPr>
          <w:b/>
        </w:rPr>
      </w:pPr>
      <w:r>
        <w:rPr>
          <w:noProof/>
          <w:lang w:eastAsia="en-GB"/>
        </w:rPr>
        <w:drawing>
          <wp:inline distT="0" distB="0" distL="0" distR="0" wp14:anchorId="05811204" wp14:editId="14C5D786">
            <wp:extent cx="5915025" cy="2609850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E04CE4" w:rsidRDefault="00E04CE4">
      <w:pPr>
        <w:rPr>
          <w:b/>
        </w:rPr>
      </w:pPr>
      <w:r>
        <w:rPr>
          <w:noProof/>
          <w:lang w:eastAsia="en-GB"/>
        </w:rPr>
        <w:drawing>
          <wp:inline distT="0" distB="0" distL="0" distR="0" wp14:anchorId="11CD2132" wp14:editId="1F2716DB">
            <wp:extent cx="5760720" cy="2609215"/>
            <wp:effectExtent l="0" t="0" r="0" b="635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E60941" w:rsidRDefault="009D735D" w:rsidP="009D735D">
      <w:pPr>
        <w:spacing w:before="100" w:after="200" w:line="276" w:lineRule="auto"/>
        <w:jc w:val="both"/>
        <w:rPr>
          <w:rFonts w:ascii="Cambria" w:eastAsia="Calibri" w:hAnsi="Cambria" w:cs="Times New Roman"/>
          <w:lang w:val="sr-Latn-ME"/>
        </w:rPr>
      </w:pPr>
      <w:r w:rsidRPr="009D735D">
        <w:rPr>
          <w:rFonts w:ascii="Cambria" w:eastAsia="Calibri" w:hAnsi="Cambria" w:cs="Times New Roman"/>
          <w:lang w:val="sr-Latn-ME"/>
        </w:rPr>
        <w:t xml:space="preserve">Tokom </w:t>
      </w:r>
      <w:r>
        <w:rPr>
          <w:rFonts w:ascii="Cambria" w:eastAsia="Calibri" w:hAnsi="Cambria" w:cs="Times New Roman"/>
          <w:lang w:val="sr-Latn-ME"/>
        </w:rPr>
        <w:t>trećeg</w:t>
      </w:r>
      <w:r w:rsidRPr="009D735D">
        <w:rPr>
          <w:rFonts w:ascii="Cambria" w:eastAsia="Calibri" w:hAnsi="Cambria" w:cs="Times New Roman"/>
          <w:lang w:val="sr-Latn-ME"/>
        </w:rPr>
        <w:t xml:space="preserve"> kvartala 2019. godine povučena su sredstva u iznosu od </w:t>
      </w:r>
      <w:r w:rsidR="003D1C2F">
        <w:rPr>
          <w:rFonts w:ascii="Cambria" w:eastAsia="Calibri" w:hAnsi="Cambria" w:cs="Times New Roman"/>
          <w:lang w:val="sr-Latn-ME"/>
        </w:rPr>
        <w:t>56,70</w:t>
      </w:r>
      <w:r w:rsidRPr="009D735D">
        <w:rPr>
          <w:rFonts w:ascii="Cambria" w:eastAsia="Calibri" w:hAnsi="Cambria" w:cs="Times New Roman"/>
          <w:lang w:val="sr-Latn-ME"/>
        </w:rPr>
        <w:t xml:space="preserve"> miliona eura, za potrebe realizacije infrastrukturnih i razvojnih projekata.</w:t>
      </w:r>
    </w:p>
    <w:p w:rsidR="009D735D" w:rsidRPr="009D735D" w:rsidRDefault="009D735D" w:rsidP="009D735D">
      <w:pPr>
        <w:spacing w:before="100" w:after="200" w:line="276" w:lineRule="auto"/>
        <w:jc w:val="both"/>
        <w:rPr>
          <w:rFonts w:ascii="Cambria" w:eastAsia="Times New Roman" w:hAnsi="Cambria" w:cs="Times New Roman"/>
        </w:rPr>
      </w:pPr>
      <w:r w:rsidRPr="009D735D">
        <w:rPr>
          <w:rFonts w:ascii="Cambria" w:eastAsia="Times New Roman" w:hAnsi="Cambria" w:cs="Times New Roman"/>
        </w:rPr>
        <w:lastRenderedPageBreak/>
        <w:t>Od ovog iznosa, za projekat finansiranja izgradnje priotitetne dionice autoputa Bar Boljare, Smokovac- Mateševo, iz kredita sa kineskom EXIM bankom, pov</w:t>
      </w:r>
      <w:r w:rsidRPr="009D735D">
        <w:rPr>
          <w:rFonts w:ascii="Cambria" w:eastAsia="Times New Roman" w:hAnsi="Cambria" w:cs="Times New Roman"/>
          <w:lang w:val="sr-Latn-RS"/>
        </w:rPr>
        <w:t xml:space="preserve">učen je iznos od </w:t>
      </w:r>
      <w:r w:rsidR="003D1C2F">
        <w:rPr>
          <w:rFonts w:ascii="Cambria" w:eastAsia="Times New Roman" w:hAnsi="Cambria" w:cs="Times New Roman"/>
        </w:rPr>
        <w:t xml:space="preserve">49,51 </w:t>
      </w:r>
      <w:r w:rsidRPr="009D735D">
        <w:rPr>
          <w:rFonts w:ascii="Cambria" w:eastAsia="Times New Roman" w:hAnsi="Cambria" w:cs="Times New Roman"/>
        </w:rPr>
        <w:t xml:space="preserve">miliona USD tj. </w:t>
      </w:r>
      <w:r w:rsidR="003D1C2F">
        <w:rPr>
          <w:rFonts w:ascii="Cambria" w:eastAsia="Times New Roman" w:hAnsi="Cambria" w:cs="Times New Roman"/>
        </w:rPr>
        <w:t>45,28</w:t>
      </w:r>
      <w:r w:rsidRPr="009D735D">
        <w:rPr>
          <w:rFonts w:ascii="Cambria" w:eastAsia="Times New Roman" w:hAnsi="Cambria" w:cs="Times New Roman"/>
          <w:vertAlign w:val="superscript"/>
        </w:rPr>
        <w:footnoteReference w:id="2"/>
      </w:r>
      <w:r w:rsidRPr="009D735D">
        <w:rPr>
          <w:rFonts w:ascii="Cambria" w:eastAsia="Times New Roman" w:hAnsi="Cambria" w:cs="Times New Roman"/>
        </w:rPr>
        <w:t xml:space="preserve"> miliona eura.</w:t>
      </w:r>
    </w:p>
    <w:p w:rsidR="009D735D" w:rsidRPr="00BA6436" w:rsidRDefault="009D735D" w:rsidP="009D735D">
      <w:pPr>
        <w:spacing w:before="100" w:after="200" w:line="276" w:lineRule="auto"/>
        <w:jc w:val="both"/>
        <w:rPr>
          <w:rFonts w:ascii="Cambria" w:eastAsia="Times New Roman" w:hAnsi="Cambria" w:cs="Times New Roman"/>
        </w:rPr>
      </w:pPr>
      <w:r w:rsidRPr="009D735D">
        <w:rPr>
          <w:rFonts w:ascii="Cambria" w:eastAsia="Times New Roman" w:hAnsi="Cambria" w:cs="Times New Roman"/>
        </w:rPr>
        <w:t xml:space="preserve">Za ostale infrastrukturne projekte, za potrebe izgradnje puteva, vodosnabdijevanja, energetske </w:t>
      </w:r>
      <w:r w:rsidRPr="00BA6436">
        <w:rPr>
          <w:rFonts w:ascii="Cambria" w:eastAsia="Times New Roman" w:hAnsi="Cambria" w:cs="Times New Roman"/>
        </w:rPr>
        <w:t>efikasnosti, socijalnog stanovanja, razvoja poljoprivrede, povučen je iznos od 1</w:t>
      </w:r>
      <w:r w:rsidR="00AA3BC1" w:rsidRPr="00BA6436">
        <w:rPr>
          <w:rFonts w:ascii="Cambria" w:eastAsia="Times New Roman" w:hAnsi="Cambria" w:cs="Times New Roman"/>
        </w:rPr>
        <w:t>1,42</w:t>
      </w:r>
      <w:r w:rsidRPr="00BA6436">
        <w:rPr>
          <w:rFonts w:ascii="Cambria" w:eastAsia="Times New Roman" w:hAnsi="Cambria" w:cs="Times New Roman"/>
        </w:rPr>
        <w:t xml:space="preserve"> miliona eura.</w:t>
      </w:r>
    </w:p>
    <w:p w:rsidR="009D735D" w:rsidRPr="009D735D" w:rsidRDefault="009D735D" w:rsidP="009D735D">
      <w:pPr>
        <w:spacing w:before="100" w:after="200" w:line="276" w:lineRule="auto"/>
        <w:jc w:val="both"/>
        <w:rPr>
          <w:rFonts w:ascii="Cambria" w:eastAsia="Times New Roman" w:hAnsi="Cambria" w:cs="Times New Roman"/>
          <w:color w:val="000000"/>
          <w:lang w:val="sr-Latn-ME"/>
        </w:rPr>
      </w:pPr>
      <w:r w:rsidRPr="00BA6436">
        <w:rPr>
          <w:rFonts w:ascii="Cambria" w:eastAsia="Times New Roman" w:hAnsi="Cambria" w:cs="Times New Roman"/>
          <w:color w:val="000000"/>
        </w:rPr>
        <w:t>Tokom</w:t>
      </w:r>
      <w:r w:rsidR="00AA3BC1" w:rsidRPr="00BA6436">
        <w:rPr>
          <w:rFonts w:ascii="Cambria" w:eastAsia="Times New Roman" w:hAnsi="Cambria" w:cs="Times New Roman"/>
          <w:color w:val="000000"/>
        </w:rPr>
        <w:t xml:space="preserve"> trećeg</w:t>
      </w:r>
      <w:r w:rsidRPr="00BA6436">
        <w:rPr>
          <w:rFonts w:ascii="Cambria" w:eastAsia="Times New Roman" w:hAnsi="Cambria" w:cs="Times New Roman"/>
          <w:color w:val="000000"/>
        </w:rPr>
        <w:t xml:space="preserve"> kvartala 2019. godine, </w:t>
      </w:r>
      <w:r w:rsidRPr="00BA6436">
        <w:rPr>
          <w:rFonts w:ascii="Cambria" w:eastAsia="Times New Roman" w:hAnsi="Cambria" w:cs="Times New Roman"/>
          <w:color w:val="000000"/>
          <w:lang w:val="sr-Latn-ME"/>
        </w:rPr>
        <w:t xml:space="preserve">izvršena je otplata državnog duga po osnovu glavnice, u ukupnom iznosu od </w:t>
      </w:r>
      <w:r w:rsidR="0030636B" w:rsidRPr="00BA6436">
        <w:rPr>
          <w:rFonts w:ascii="Cambria" w:eastAsia="Times New Roman" w:hAnsi="Cambria" w:cs="Times New Roman"/>
          <w:color w:val="000000"/>
          <w:lang w:val="sr-Latn-ME"/>
        </w:rPr>
        <w:t>156,12</w:t>
      </w:r>
      <w:r w:rsidRPr="00BA6436">
        <w:rPr>
          <w:rFonts w:ascii="Cambria" w:eastAsia="Times New Roman" w:hAnsi="Cambria" w:cs="Times New Roman"/>
          <w:color w:val="000000"/>
          <w:lang w:val="sr-Latn-ME"/>
        </w:rPr>
        <w:t xml:space="preserve"> miliona eura, od čega se </w:t>
      </w:r>
      <w:r w:rsidR="0030636B" w:rsidRPr="00BA6436">
        <w:rPr>
          <w:rFonts w:ascii="Cambria" w:eastAsia="Times New Roman" w:hAnsi="Cambria" w:cs="Times New Roman"/>
          <w:color w:val="000000"/>
          <w:lang w:val="sr-Latn-ME"/>
        </w:rPr>
        <w:t>80,61</w:t>
      </w:r>
      <w:r w:rsidRPr="00BA6436">
        <w:rPr>
          <w:rFonts w:ascii="Cambria" w:eastAsia="Times New Roman" w:hAnsi="Cambria" w:cs="Times New Roman"/>
          <w:color w:val="000000"/>
          <w:lang w:val="sr-Latn-ME"/>
        </w:rPr>
        <w:t xml:space="preserve"> miliona eura odnosi na otplatu duga nerezidentima, dok se </w:t>
      </w:r>
      <w:r w:rsidR="0030636B" w:rsidRPr="00BA6436">
        <w:rPr>
          <w:rFonts w:ascii="Cambria" w:eastAsia="Times New Roman" w:hAnsi="Cambria" w:cs="Times New Roman"/>
          <w:color w:val="000000"/>
          <w:lang w:val="sr-Latn-ME"/>
        </w:rPr>
        <w:t>75,51</w:t>
      </w:r>
      <w:r w:rsidRPr="00BA6436">
        <w:rPr>
          <w:rFonts w:ascii="Cambria" w:eastAsia="Times New Roman" w:hAnsi="Cambria" w:cs="Times New Roman"/>
          <w:color w:val="000000"/>
          <w:lang w:val="sr-Latn-ME"/>
        </w:rPr>
        <w:t xml:space="preserve"> miliona eura odnosi na otplatu duga rezidentima</w:t>
      </w:r>
      <w:r w:rsidR="00BA6436" w:rsidRPr="00BA6436">
        <w:rPr>
          <w:rFonts w:ascii="Cambria" w:eastAsia="Times New Roman" w:hAnsi="Cambria" w:cs="Times New Roman"/>
          <w:color w:val="000000"/>
          <w:lang w:val="sr-Latn-ME"/>
        </w:rPr>
        <w:t xml:space="preserve">, </w:t>
      </w:r>
      <w:r w:rsidR="00BA6436" w:rsidRPr="00BA6436">
        <w:rPr>
          <w:rFonts w:ascii="Cambria" w:eastAsia="Times New Roman" w:hAnsi="Cambria" w:cs="Times New Roman"/>
          <w:color w:val="000000"/>
          <w:lang w:val="sr-Latn-RS"/>
        </w:rPr>
        <w:t xml:space="preserve">što uključuje </w:t>
      </w:r>
      <w:r w:rsidR="00430865">
        <w:rPr>
          <w:rFonts w:ascii="Cambria" w:eastAsia="Times New Roman" w:hAnsi="Cambria" w:cs="Times New Roman"/>
          <w:color w:val="000000"/>
          <w:lang w:val="sr-Latn-RS"/>
        </w:rPr>
        <w:t>refinsansiranje duga po osnovu</w:t>
      </w:r>
      <w:r w:rsidR="00BA6436" w:rsidRPr="00BA6436">
        <w:rPr>
          <w:rFonts w:ascii="Cambria" w:eastAsia="Times New Roman" w:hAnsi="Cambria" w:cs="Times New Roman"/>
          <w:color w:val="000000"/>
          <w:lang w:val="sr-Latn-RS"/>
        </w:rPr>
        <w:t xml:space="preserve"> državni</w:t>
      </w:r>
      <w:r w:rsidR="00430865">
        <w:rPr>
          <w:rFonts w:ascii="Cambria" w:eastAsia="Times New Roman" w:hAnsi="Cambria" w:cs="Times New Roman"/>
          <w:color w:val="000000"/>
          <w:lang w:val="sr-Latn-RS"/>
        </w:rPr>
        <w:t>h zapisa u iznosu od 72 miliona</w:t>
      </w:r>
      <w:r w:rsidRPr="00BA6436">
        <w:rPr>
          <w:rFonts w:ascii="Cambria" w:eastAsia="Times New Roman" w:hAnsi="Cambria" w:cs="Times New Roman"/>
          <w:color w:val="000000"/>
          <w:lang w:val="sr-Latn-ME"/>
        </w:rPr>
        <w:t xml:space="preserve">. U istom periodu otplaćena je i kamata u iznosu od </w:t>
      </w:r>
      <w:r w:rsidR="00734AFE" w:rsidRPr="00BA6436">
        <w:rPr>
          <w:rFonts w:ascii="Cambria" w:eastAsia="Times New Roman" w:hAnsi="Cambria" w:cs="Times New Roman"/>
          <w:color w:val="000000"/>
          <w:lang w:val="sr-Latn-ME"/>
        </w:rPr>
        <w:t>1</w:t>
      </w:r>
      <w:r w:rsidRPr="00BA6436">
        <w:rPr>
          <w:rFonts w:ascii="Cambria" w:eastAsia="Times New Roman" w:hAnsi="Cambria" w:cs="Times New Roman"/>
          <w:color w:val="000000"/>
          <w:lang w:val="sr-Latn-ME"/>
        </w:rPr>
        <w:t>3,0</w:t>
      </w:r>
      <w:r w:rsidR="00734AFE" w:rsidRPr="00BA6436">
        <w:rPr>
          <w:rFonts w:ascii="Cambria" w:eastAsia="Times New Roman" w:hAnsi="Cambria" w:cs="Times New Roman"/>
          <w:color w:val="000000"/>
          <w:lang w:val="sr-Latn-ME"/>
        </w:rPr>
        <w:t>7</w:t>
      </w:r>
      <w:r w:rsidRPr="00BA6436">
        <w:rPr>
          <w:rFonts w:ascii="Cambria" w:eastAsia="Times New Roman" w:hAnsi="Cambria" w:cs="Times New Roman"/>
          <w:color w:val="000000"/>
          <w:lang w:val="sr-Latn-ME"/>
        </w:rPr>
        <w:t xml:space="preserve"> miliona eura, od </w:t>
      </w:r>
      <w:r w:rsidR="00734AFE" w:rsidRPr="00BA6436">
        <w:rPr>
          <w:rFonts w:ascii="Cambria" w:eastAsia="Times New Roman" w:hAnsi="Cambria" w:cs="Times New Roman"/>
          <w:color w:val="000000"/>
          <w:lang w:val="sr-Latn-RS"/>
        </w:rPr>
        <w:t>čega otplata ino kamate iznosi 12,32</w:t>
      </w:r>
      <w:r w:rsidRPr="00BA6436">
        <w:rPr>
          <w:rFonts w:ascii="Cambria" w:eastAsia="Times New Roman" w:hAnsi="Cambria" w:cs="Times New Roman"/>
          <w:color w:val="000000"/>
          <w:lang w:val="sr-Latn-RS"/>
        </w:rPr>
        <w:t xml:space="preserve"> miliona eura, dok otplata domaće kamate iznosi 0,</w:t>
      </w:r>
      <w:r w:rsidR="00734AFE" w:rsidRPr="00BA6436">
        <w:rPr>
          <w:rFonts w:ascii="Cambria" w:eastAsia="Times New Roman" w:hAnsi="Cambria" w:cs="Times New Roman"/>
          <w:color w:val="000000"/>
          <w:lang w:val="sr-Latn-RS"/>
        </w:rPr>
        <w:t>75</w:t>
      </w:r>
      <w:r w:rsidRPr="00BA6436">
        <w:rPr>
          <w:rFonts w:ascii="Cambria" w:eastAsia="Times New Roman" w:hAnsi="Cambria" w:cs="Times New Roman"/>
          <w:color w:val="000000"/>
          <w:lang w:val="sr-Latn-RS"/>
        </w:rPr>
        <w:t xml:space="preserve"> miliona eura. </w:t>
      </w:r>
      <w:r w:rsidRPr="00BA6436">
        <w:rPr>
          <w:rFonts w:ascii="Cambria" w:eastAsia="Times New Roman" w:hAnsi="Cambria" w:cs="Times New Roman"/>
          <w:color w:val="000000"/>
          <w:lang w:val="sr-Latn-ME"/>
        </w:rPr>
        <w:t>Smanjenje duga po osnovu stare devizne štednje, u izvještajnom periodu, iznosilo je 0,</w:t>
      </w:r>
      <w:r w:rsidR="00734AFE" w:rsidRPr="00BA6436">
        <w:rPr>
          <w:rFonts w:ascii="Cambria" w:eastAsia="Times New Roman" w:hAnsi="Cambria" w:cs="Times New Roman"/>
          <w:color w:val="000000"/>
          <w:lang w:val="sr-Latn-ME"/>
        </w:rPr>
        <w:t>53</w:t>
      </w:r>
      <w:r w:rsidRPr="00BA6436">
        <w:rPr>
          <w:rFonts w:ascii="Cambria" w:eastAsia="Times New Roman" w:hAnsi="Cambria" w:cs="Times New Roman"/>
          <w:color w:val="000000"/>
          <w:lang w:val="sr-Latn-ME"/>
        </w:rPr>
        <w:t xml:space="preserve"> miliona eura.</w:t>
      </w:r>
    </w:p>
    <w:p w:rsidR="009D735D" w:rsidRPr="00745445" w:rsidRDefault="009E6195" w:rsidP="009E6195">
      <w:pPr>
        <w:jc w:val="center"/>
        <w:rPr>
          <w:b/>
        </w:rPr>
      </w:pPr>
      <w:r>
        <w:rPr>
          <w:noProof/>
          <w:lang w:eastAsia="en-GB"/>
        </w:rPr>
        <w:drawing>
          <wp:inline distT="0" distB="0" distL="0" distR="0" wp14:anchorId="086C2AD8" wp14:editId="38B45B23">
            <wp:extent cx="2790825" cy="2743200"/>
            <wp:effectExtent l="0" t="0" r="9525" b="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709B5C44" wp14:editId="238C6EA6">
            <wp:extent cx="2905125" cy="2686050"/>
            <wp:effectExtent l="0" t="0" r="0" b="0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4C522868" wp14:editId="06E4FE4B">
            <wp:extent cx="3000375" cy="2743200"/>
            <wp:effectExtent l="0" t="0" r="0" b="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sectPr w:rsidR="009D735D" w:rsidRPr="00745445" w:rsidSect="0049043E">
      <w:headerReference w:type="defaul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2A9C" w:rsidRDefault="00122A9C" w:rsidP="00745445">
      <w:pPr>
        <w:spacing w:after="0" w:line="240" w:lineRule="auto"/>
      </w:pPr>
      <w:r>
        <w:separator/>
      </w:r>
    </w:p>
  </w:endnote>
  <w:endnote w:type="continuationSeparator" w:id="0">
    <w:p w:rsidR="00122A9C" w:rsidRDefault="00122A9C" w:rsidP="007454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2A9C" w:rsidRDefault="00122A9C" w:rsidP="00745445">
      <w:pPr>
        <w:spacing w:after="0" w:line="240" w:lineRule="auto"/>
      </w:pPr>
      <w:r>
        <w:separator/>
      </w:r>
    </w:p>
  </w:footnote>
  <w:footnote w:type="continuationSeparator" w:id="0">
    <w:p w:rsidR="00122A9C" w:rsidRDefault="00122A9C" w:rsidP="00745445">
      <w:pPr>
        <w:spacing w:after="0" w:line="240" w:lineRule="auto"/>
      </w:pPr>
      <w:r>
        <w:continuationSeparator/>
      </w:r>
    </w:p>
  </w:footnote>
  <w:footnote w:id="1">
    <w:p w:rsidR="00745445" w:rsidRPr="00D422E7" w:rsidRDefault="00745445" w:rsidP="00745445">
      <w:pPr>
        <w:pStyle w:val="FootnoteText"/>
        <w:rPr>
          <w:lang w:val="sr-Latn-RS"/>
        </w:rPr>
      </w:pPr>
      <w:r>
        <w:rPr>
          <w:rStyle w:val="FootnoteReference"/>
        </w:rPr>
        <w:footnoteRef/>
      </w:r>
      <w:r>
        <w:t xml:space="preserve"> </w:t>
      </w:r>
      <w:r w:rsidR="002E7F77" w:rsidRPr="002E7F77">
        <w:rPr>
          <w:lang w:val="sr-Latn-RS"/>
        </w:rPr>
        <w:t>Prema podacima Monstata, BDP za 2019. godinu iznosi 4951 miliona eura</w:t>
      </w:r>
    </w:p>
  </w:footnote>
  <w:footnote w:id="2">
    <w:p w:rsidR="009D735D" w:rsidRDefault="009D735D" w:rsidP="009D735D">
      <w:pPr>
        <w:pStyle w:val="FootnoteText"/>
      </w:pPr>
      <w:r>
        <w:rPr>
          <w:rStyle w:val="FootnoteReference"/>
        </w:rPr>
        <w:footnoteRef/>
      </w:r>
      <w:r>
        <w:t xml:space="preserve"> Prema kursu na dan </w:t>
      </w:r>
      <w:r w:rsidR="003D1C2F">
        <w:t>30.09</w:t>
      </w:r>
      <w:r>
        <w:t>.2019. godine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043E" w:rsidRDefault="0049043E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3736"/>
              <wp:effectExtent l="0" t="0" r="0" b="635"/>
              <wp:wrapNone/>
              <wp:docPr id="220" name="Text Box 2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373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9043E" w:rsidRPr="0049043E" w:rsidRDefault="0049043E" w:rsidP="0049043E">
                          <w:pPr>
                            <w:spacing w:after="0" w:line="240" w:lineRule="auto"/>
                            <w:jc w:val="center"/>
                            <w:rPr>
                              <w:noProof/>
                              <w:lang w:val="sr-Latn-RS"/>
                            </w:rPr>
                          </w:pPr>
                          <w:r>
                            <w:rPr>
                              <w:noProof/>
                              <w:lang w:val="sr-Latn-RS"/>
                            </w:rPr>
                            <w:t>Izvještaj o državnom dugu Crne Gore na 30.09.2019. godine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20" o:spid="_x0000_s1026" type="#_x0000_t202" style="position:absolute;margin-left:0;margin-top:0;width:468pt;height:13.7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" o:allowincell="f" filled="f" stroked="f">
              <v:textbox style="mso-fit-shape-to-text:t" inset=",0,,0">
                <w:txbxContent>
                  <w:p w:rsidR="0049043E" w:rsidRPr="0049043E" w:rsidRDefault="0049043E" w:rsidP="0049043E">
                    <w:pPr>
                      <w:spacing w:after="0" w:line="240" w:lineRule="auto"/>
                      <w:jc w:val="center"/>
                      <w:rPr>
                        <w:noProof/>
                        <w:lang w:val="sr-Latn-RS"/>
                      </w:rPr>
                    </w:pPr>
                    <w:r>
                      <w:rPr>
                        <w:noProof/>
                        <w:lang w:val="sr-Latn-RS"/>
                      </w:rPr>
                      <w:t>Izvještaj o državnom dugu Crne Gore na 30.09.2019. godine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right</wp:align>
              </wp:positionH>
              <wp:positionV relativeFrom="topMargin">
                <wp:align>center</wp:align>
              </wp:positionV>
              <wp:extent cx="911860" cy="170815"/>
              <wp:effectExtent l="0" t="0" r="0" b="7620"/>
              <wp:wrapNone/>
              <wp:docPr id="221" name="Text Box 2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1860" cy="170815"/>
                      </a:xfrm>
                      <a:prstGeom prst="rect">
                        <a:avLst/>
                      </a:prstGeom>
                      <a:solidFill>
                        <a:schemeClr val="accent2"/>
                      </a:solidFill>
                      <a:ln>
                        <a:noFill/>
                      </a:ln>
                    </wps:spPr>
                    <wps:txbx>
                      <w:txbxContent>
                        <w:p w:rsidR="0049043E" w:rsidRPr="00BC5FCC" w:rsidRDefault="0049043E" w:rsidP="00BC5FCC">
                          <w:pPr>
                            <w:spacing w:after="0" w:line="240" w:lineRule="auto"/>
                            <w:jc w:val="center"/>
                          </w:pPr>
                          <w:r w:rsidRPr="00BC5FCC">
                            <w:fldChar w:fldCharType="begin"/>
                          </w:r>
                          <w:r w:rsidRPr="00BC5FCC">
                            <w:instrText xml:space="preserve"> PAGE   \* MERGEFORMAT </w:instrText>
                          </w:r>
                          <w:r w:rsidRPr="00BC5FCC">
                            <w:fldChar w:fldCharType="separate"/>
                          </w:r>
                          <w:r w:rsidR="00715832">
                            <w:rPr>
                              <w:noProof/>
                            </w:rPr>
                            <w:t>2</w:t>
                          </w:r>
                          <w:r w:rsidRPr="00BC5FCC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21" o:spid="_x0000_s1027" type="#_x0000_t202" style="position:absolute;margin-left:20.6pt;margin-top:0;width:71.8pt;height:13.45pt;z-index:251659264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center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" o:allowincell="f" fillcolor="#fff2cc [3205]" stroked="f">
              <v:textbox style="mso-fit-shape-to-text:t" inset=",0,,0">
                <w:txbxContent>
                  <w:p w:rsidR="0049043E" w:rsidRPr="00BC5FCC" w:rsidRDefault="0049043E" w:rsidP="00BC5FCC">
                    <w:pPr>
                      <w:spacing w:after="0" w:line="240" w:lineRule="auto"/>
                      <w:jc w:val="center"/>
                    </w:pPr>
                    <w:r w:rsidRPr="00BC5FCC">
                      <w:fldChar w:fldCharType="begin"/>
                    </w:r>
                    <w:r w:rsidRPr="00BC5FCC">
                      <w:instrText xml:space="preserve"> PAGE   \* MERGEFORMAT </w:instrText>
                    </w:r>
                    <w:r w:rsidRPr="00BC5FCC">
                      <w:fldChar w:fldCharType="separate"/>
                    </w:r>
                    <w:r w:rsidR="00715832">
                      <w:rPr>
                        <w:noProof/>
                      </w:rPr>
                      <w:t>2</w:t>
                    </w:r>
                    <w:r w:rsidRPr="00BC5FCC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445"/>
    <w:rsid w:val="000269F8"/>
    <w:rsid w:val="00053AC1"/>
    <w:rsid w:val="000D6504"/>
    <w:rsid w:val="000F51BE"/>
    <w:rsid w:val="00100BFE"/>
    <w:rsid w:val="00122A9C"/>
    <w:rsid w:val="00164D84"/>
    <w:rsid w:val="001A28E8"/>
    <w:rsid w:val="001D62A3"/>
    <w:rsid w:val="001E3567"/>
    <w:rsid w:val="001E773B"/>
    <w:rsid w:val="00201EF0"/>
    <w:rsid w:val="00284461"/>
    <w:rsid w:val="00293967"/>
    <w:rsid w:val="002A3BA7"/>
    <w:rsid w:val="002B0B1E"/>
    <w:rsid w:val="002B17A0"/>
    <w:rsid w:val="002B3049"/>
    <w:rsid w:val="002E7F77"/>
    <w:rsid w:val="0030636B"/>
    <w:rsid w:val="00325163"/>
    <w:rsid w:val="003404B2"/>
    <w:rsid w:val="00343068"/>
    <w:rsid w:val="00386E7D"/>
    <w:rsid w:val="003D1C2F"/>
    <w:rsid w:val="003D3950"/>
    <w:rsid w:val="003E34FD"/>
    <w:rsid w:val="003E4864"/>
    <w:rsid w:val="00430865"/>
    <w:rsid w:val="0049043E"/>
    <w:rsid w:val="004B3137"/>
    <w:rsid w:val="005254C2"/>
    <w:rsid w:val="00555617"/>
    <w:rsid w:val="00557BB0"/>
    <w:rsid w:val="00562419"/>
    <w:rsid w:val="0057101A"/>
    <w:rsid w:val="00574C7F"/>
    <w:rsid w:val="00574FCD"/>
    <w:rsid w:val="00594FAA"/>
    <w:rsid w:val="005A16C0"/>
    <w:rsid w:val="005A39E8"/>
    <w:rsid w:val="005B4762"/>
    <w:rsid w:val="00620300"/>
    <w:rsid w:val="00666AEF"/>
    <w:rsid w:val="006B207B"/>
    <w:rsid w:val="006B6A20"/>
    <w:rsid w:val="00715832"/>
    <w:rsid w:val="00734AFE"/>
    <w:rsid w:val="007411B7"/>
    <w:rsid w:val="00745445"/>
    <w:rsid w:val="007C52E7"/>
    <w:rsid w:val="008132AD"/>
    <w:rsid w:val="00851579"/>
    <w:rsid w:val="00890F45"/>
    <w:rsid w:val="008E796C"/>
    <w:rsid w:val="008F1842"/>
    <w:rsid w:val="009D6AB8"/>
    <w:rsid w:val="009D735D"/>
    <w:rsid w:val="009E6195"/>
    <w:rsid w:val="00A4026C"/>
    <w:rsid w:val="00AA3BC1"/>
    <w:rsid w:val="00AB710C"/>
    <w:rsid w:val="00AF41AF"/>
    <w:rsid w:val="00B361CC"/>
    <w:rsid w:val="00B406A5"/>
    <w:rsid w:val="00B8347A"/>
    <w:rsid w:val="00BA61A4"/>
    <w:rsid w:val="00BA6436"/>
    <w:rsid w:val="00BC5FCC"/>
    <w:rsid w:val="00C1508B"/>
    <w:rsid w:val="00C95336"/>
    <w:rsid w:val="00C9610D"/>
    <w:rsid w:val="00CB501F"/>
    <w:rsid w:val="00CF5412"/>
    <w:rsid w:val="00D01AB1"/>
    <w:rsid w:val="00D2203C"/>
    <w:rsid w:val="00D31AD9"/>
    <w:rsid w:val="00DB1905"/>
    <w:rsid w:val="00E04CE4"/>
    <w:rsid w:val="00E60941"/>
    <w:rsid w:val="00E65F0E"/>
    <w:rsid w:val="00EA1129"/>
    <w:rsid w:val="00EE517F"/>
    <w:rsid w:val="00F10532"/>
    <w:rsid w:val="00FD1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2BDCCC3-BD8B-499E-AC4E-5573B2031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026C"/>
  </w:style>
  <w:style w:type="paragraph" w:styleId="Heading1">
    <w:name w:val="heading 1"/>
    <w:basedOn w:val="Normal"/>
    <w:next w:val="Normal"/>
    <w:link w:val="Heading1Char"/>
    <w:uiPriority w:val="9"/>
    <w:qFormat/>
    <w:rsid w:val="00A4026C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026C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4026C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4026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4026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026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4026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4026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4026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4026C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402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4026C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4026C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4026C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026C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4026C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4026C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4026C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4026C"/>
    <w:pPr>
      <w:spacing w:line="240" w:lineRule="auto"/>
    </w:pPr>
    <w:rPr>
      <w:b/>
      <w:bCs/>
      <w:smallCaps/>
      <w:color w:val="954F72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A4026C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954F72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A4026C"/>
    <w:rPr>
      <w:rFonts w:asciiTheme="majorHAnsi" w:eastAsiaTheme="majorEastAsia" w:hAnsiTheme="majorHAnsi" w:cstheme="majorBidi"/>
      <w:caps/>
      <w:color w:val="954F72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4026C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4026C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A4026C"/>
    <w:rPr>
      <w:b/>
      <w:bCs/>
    </w:rPr>
  </w:style>
  <w:style w:type="character" w:styleId="Emphasis">
    <w:name w:val="Emphasis"/>
    <w:basedOn w:val="DefaultParagraphFont"/>
    <w:uiPriority w:val="20"/>
    <w:qFormat/>
    <w:rsid w:val="00A4026C"/>
    <w:rPr>
      <w:i/>
      <w:iCs/>
    </w:rPr>
  </w:style>
  <w:style w:type="paragraph" w:styleId="NoSpacing">
    <w:name w:val="No Spacing"/>
    <w:uiPriority w:val="1"/>
    <w:qFormat/>
    <w:rsid w:val="00A4026C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A4026C"/>
    <w:pPr>
      <w:spacing w:before="120" w:after="120"/>
      <w:ind w:left="720"/>
    </w:pPr>
    <w:rPr>
      <w:color w:val="954F72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A4026C"/>
    <w:rPr>
      <w:color w:val="954F72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026C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954F72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026C"/>
    <w:rPr>
      <w:rFonts w:asciiTheme="majorHAnsi" w:eastAsiaTheme="majorEastAsia" w:hAnsiTheme="majorHAnsi" w:cstheme="majorBidi"/>
      <w:color w:val="954F72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A4026C"/>
    <w:rPr>
      <w:i/>
      <w:iCs/>
      <w:color w:val="85A2D8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A4026C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A4026C"/>
    <w:rPr>
      <w:smallCaps/>
      <w:color w:val="85A2D8" w:themeColor="text1" w:themeTint="A6"/>
      <w:u w:val="none" w:color="A0B7E1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A4026C"/>
    <w:rPr>
      <w:b/>
      <w:bCs/>
      <w:smallCaps/>
      <w:color w:val="954F72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A4026C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4026C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745445"/>
    <w:pPr>
      <w:spacing w:after="0" w:line="240" w:lineRule="auto"/>
    </w:pPr>
    <w:rPr>
      <w:rFonts w:eastAsiaTheme="minorEastAsia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45445"/>
    <w:rPr>
      <w:rFonts w:eastAsiaTheme="minorEastAsi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45445"/>
    <w:rPr>
      <w:vertAlign w:val="superscript"/>
    </w:rPr>
  </w:style>
  <w:style w:type="table" w:styleId="TableGrid">
    <w:name w:val="Table Grid"/>
    <w:basedOn w:val="TableNormal"/>
    <w:uiPriority w:val="39"/>
    <w:rsid w:val="007454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6Colorful-Accent1">
    <w:name w:val="Grid Table 6 Colorful Accent 1"/>
    <w:basedOn w:val="TableNormal"/>
    <w:uiPriority w:val="51"/>
    <w:rsid w:val="003D3950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4904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043E"/>
  </w:style>
  <w:style w:type="paragraph" w:styleId="Footer">
    <w:name w:val="footer"/>
    <w:basedOn w:val="Normal"/>
    <w:link w:val="FooterChar"/>
    <w:uiPriority w:val="99"/>
    <w:unhideWhenUsed/>
    <w:rsid w:val="004904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043E"/>
  </w:style>
  <w:style w:type="paragraph" w:styleId="BalloonText">
    <w:name w:val="Balloon Text"/>
    <w:basedOn w:val="Normal"/>
    <w:link w:val="BalloonTextChar"/>
    <w:uiPriority w:val="99"/>
    <w:semiHidden/>
    <w:unhideWhenUsed/>
    <w:rsid w:val="002A3B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B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8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chart" Target="charts/chart5.xml"/><Relationship Id="rId4" Type="http://schemas.openxmlformats.org/officeDocument/2006/relationships/footnotes" Target="footnote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jelena.djurovic\Desktop\Izvje&#353;taji%20o%20dr&#382;avnom%20dugu\2019\2.%20kvartal\Grafici%20za%20izvjestaj%202.KVARTAL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jelena.djurovic\Desktop\Izvje&#353;taji%20o%20dr&#382;avnom%20dugu\2019\2.%20kvartal\Grafici%20za%20izvjestaj%202.KVARTAL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jelena.djurovic\Desktop\Izvje&#353;taji%20o%20dr&#382;avnom%20dugu\2019\2.%20kvartal\Grafici%20za%20izvjestaj%202.KVARTAL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4.xml"/><Relationship Id="rId1" Type="http://schemas.microsoft.com/office/2011/relationships/chartStyle" Target="style4.xml"/><Relationship Id="rId4" Type="http://schemas.openxmlformats.org/officeDocument/2006/relationships/oleObject" Target="file:///C:\Users\jelena.djurovic\Desktop\Izvje&#353;taji%20o%20dr&#382;avnom%20dugu\2019\2.%20kvartal\Grafici%20za%20izvjestaj%202.KVARTAL.xlsx" TargetMode="Externa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jelena.djurovic\Desktop\Izvje&#353;taji%20o%20dr&#382;avnom%20dugu\2019\2.%20kvartal\Grafici%20za%20izvjestaj%202.KVARTAL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sr-Latn-RS" sz="1200">
                <a:solidFill>
                  <a:sysClr val="windowText" lastClr="000000"/>
                </a:solidFill>
              </a:rPr>
              <a:t>Grafik </a:t>
            </a:r>
            <a:r>
              <a:rPr lang="en-GB" sz="1200">
                <a:solidFill>
                  <a:sysClr val="windowText" lastClr="000000"/>
                </a:solidFill>
              </a:rPr>
              <a:t>1</a:t>
            </a:r>
            <a:r>
              <a:rPr lang="sr-Latn-RS" sz="1200">
                <a:solidFill>
                  <a:sysClr val="windowText" lastClr="000000"/>
                </a:solidFill>
              </a:rPr>
              <a:t> </a:t>
            </a:r>
            <a:r>
              <a:rPr lang="sr-Latn-RS" sz="1100">
                <a:solidFill>
                  <a:sysClr val="windowText" lastClr="000000"/>
                </a:solidFill>
              </a:rPr>
              <a:t>Stanje</a:t>
            </a:r>
            <a:r>
              <a:rPr lang="sr-Latn-RS" sz="1200">
                <a:solidFill>
                  <a:sysClr val="windowText" lastClr="000000"/>
                </a:solidFill>
              </a:rPr>
              <a:t> državnog duga </a:t>
            </a:r>
            <a:r>
              <a:rPr lang="en-GB" sz="1200">
                <a:solidFill>
                  <a:sysClr val="windowText" lastClr="000000"/>
                </a:solidFill>
              </a:rPr>
              <a:t>u milionima eura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Sheet1!$A$52</c:f>
              <c:strCache>
                <c:ptCount val="1"/>
                <c:pt idx="0">
                  <c:v>Državni dug u mil. eura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Sheet1!$B$51:$G$51</c:f>
              <c:strCache>
                <c:ptCount val="3"/>
                <c:pt idx="0">
                  <c:v>31.03.2019</c:v>
                </c:pt>
                <c:pt idx="1">
                  <c:v>30.06.2019</c:v>
                </c:pt>
                <c:pt idx="2">
                  <c:v>30.09.2019</c:v>
                </c:pt>
              </c:strCache>
            </c:strRef>
          </c:cat>
          <c:val>
            <c:numRef>
              <c:f>Sheet1!$B$52:$G$52</c:f>
              <c:numCache>
                <c:formatCode>0.00</c:formatCode>
                <c:ptCount val="3"/>
                <c:pt idx="0">
                  <c:v>3179.38</c:v>
                </c:pt>
                <c:pt idx="1">
                  <c:v>3133.6836985335253</c:v>
                </c:pt>
                <c:pt idx="2">
                  <c:v>3127.89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E1F8-4DBE-B118-E8FB7CD23714}"/>
            </c:ext>
          </c:extLst>
        </c:ser>
        <c:ser>
          <c:idx val="1"/>
          <c:order val="1"/>
          <c:tx>
            <c:strRef>
              <c:f>Sheet1!$A$53</c:f>
              <c:strCache>
                <c:ptCount val="1"/>
                <c:pt idx="0">
                  <c:v>Državni dug , uključujući depozite u mil. eura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Sheet1!$B$51:$G$51</c:f>
              <c:strCache>
                <c:ptCount val="3"/>
                <c:pt idx="0">
                  <c:v>31.03.2019</c:v>
                </c:pt>
                <c:pt idx="1">
                  <c:v>30.06.2019</c:v>
                </c:pt>
                <c:pt idx="2">
                  <c:v>30.09.2019</c:v>
                </c:pt>
              </c:strCache>
            </c:strRef>
          </c:cat>
          <c:val>
            <c:numRef>
              <c:f>Sheet1!$B$53:$G$53</c:f>
              <c:numCache>
                <c:formatCode>0.00</c:formatCode>
                <c:ptCount val="3"/>
                <c:pt idx="0">
                  <c:v>2925.68</c:v>
                </c:pt>
                <c:pt idx="1">
                  <c:v>2949.6495665435255</c:v>
                </c:pt>
                <c:pt idx="2">
                  <c:v>2970.32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E1F8-4DBE-B118-E8FB7CD2371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65995568"/>
        <c:axId val="652724976"/>
      </c:lineChart>
      <c:catAx>
        <c:axId val="1659955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52724976"/>
        <c:crosses val="autoZero"/>
        <c:auto val="1"/>
        <c:lblAlgn val="ctr"/>
        <c:lblOffset val="100"/>
        <c:noMultiLvlLbl val="0"/>
      </c:catAx>
      <c:valAx>
        <c:axId val="652724976"/>
        <c:scaling>
          <c:orientation val="minMax"/>
          <c:max val="3200"/>
          <c:min val="28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65995568"/>
        <c:crosses val="autoZero"/>
        <c:crossBetween val="between"/>
        <c:majorUnit val="100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GB" sz="1100">
                <a:solidFill>
                  <a:sysClr val="windowText" lastClr="000000"/>
                </a:solidFill>
              </a:rPr>
              <a:t>Grafik 2 Stanje dr</a:t>
            </a:r>
            <a:r>
              <a:rPr lang="sr-Latn-RS" sz="1100">
                <a:solidFill>
                  <a:sysClr val="windowText" lastClr="000000"/>
                </a:solidFill>
              </a:rPr>
              <a:t>žavnog duga kao % BDP-a</a:t>
            </a:r>
            <a:endParaRPr lang="en-GB" sz="1100">
              <a:solidFill>
                <a:sysClr val="windowText" lastClr="000000"/>
              </a:solidFill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Sheet1!$A$56</c:f>
              <c:strCache>
                <c:ptCount val="1"/>
                <c:pt idx="0">
                  <c:v>Državni dug u mil. eura kao % BDP-a</c:v>
                </c:pt>
              </c:strCache>
            </c:strRef>
          </c:tx>
          <c:spPr>
            <a:pattFill prst="narHorz">
              <a:fgClr>
                <a:schemeClr val="accent1"/>
              </a:fgClr>
              <a:bgClr>
                <a:schemeClr val="bg1"/>
              </a:bgClr>
            </a:patt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64,21%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D5B3-4860-B10B-C1313F677820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63,29%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D5B3-4860-B10B-C1313F677820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63,18%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D5B3-4860-B10B-C1313F67782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Sheet1!$B$55:$G$55</c:f>
              <c:strCache>
                <c:ptCount val="3"/>
                <c:pt idx="0">
                  <c:v>31.03.2019</c:v>
                </c:pt>
                <c:pt idx="1">
                  <c:v>30.06.2019</c:v>
                </c:pt>
                <c:pt idx="2">
                  <c:v>30.09.2019</c:v>
                </c:pt>
              </c:strCache>
            </c:strRef>
          </c:cat>
          <c:val>
            <c:numRef>
              <c:f>Sheet1!$B$56:$G$56</c:f>
              <c:numCache>
                <c:formatCode>0.00%</c:formatCode>
                <c:ptCount val="3"/>
                <c:pt idx="0">
                  <c:v>0.66001951381536605</c:v>
                </c:pt>
                <c:pt idx="1">
                  <c:v>0.65053324583951444</c:v>
                </c:pt>
                <c:pt idx="2">
                  <c:v>0.64933115174169864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DA9-4445-A024-13D98D281422}"/>
            </c:ext>
          </c:extLst>
        </c:ser>
        <c:ser>
          <c:idx val="1"/>
          <c:order val="1"/>
          <c:tx>
            <c:strRef>
              <c:f>Sheet1!$A$57</c:f>
              <c:strCache>
                <c:ptCount val="1"/>
                <c:pt idx="0">
                  <c:v>Državni dug, uključujući depozite u % BDP-a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59,09%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D5B3-4860-B10B-C1313F677820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59,58%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D5B3-4860-B10B-C1313F677820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60,00%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D5B3-4860-B10B-C1313F67782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Sheet1!$B$55:$G$55</c:f>
              <c:strCache>
                <c:ptCount val="3"/>
                <c:pt idx="0">
                  <c:v>31.03.2019</c:v>
                </c:pt>
                <c:pt idx="1">
                  <c:v>30.06.2019</c:v>
                </c:pt>
                <c:pt idx="2">
                  <c:v>30.09.2019</c:v>
                </c:pt>
              </c:strCache>
            </c:strRef>
          </c:cat>
          <c:val>
            <c:numRef>
              <c:f>Sheet1!$B$57:$G$57</c:f>
              <c:numCache>
                <c:formatCode>0.00%</c:formatCode>
                <c:ptCount val="3"/>
                <c:pt idx="0">
                  <c:v>0.60735297170496771</c:v>
                </c:pt>
                <c:pt idx="1">
                  <c:v>0.61232890464045286</c:v>
                </c:pt>
                <c:pt idx="2">
                  <c:v>0.61661936804819006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DA9-4445-A024-13D98D28142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784073200"/>
        <c:axId val="784073760"/>
      </c:barChart>
      <c:catAx>
        <c:axId val="7840732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84073760"/>
        <c:crosses val="autoZero"/>
        <c:auto val="1"/>
        <c:lblAlgn val="ctr"/>
        <c:lblOffset val="100"/>
        <c:noMultiLvlLbl val="0"/>
      </c:catAx>
      <c:valAx>
        <c:axId val="784073760"/>
        <c:scaling>
          <c:orientation val="minMax"/>
          <c:max val="0.70000000000000007"/>
          <c:min val="0.5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84073200"/>
        <c:crosses val="autoZero"/>
        <c:crossBetween val="between"/>
        <c:majorUnit val="5.000000000000001E-2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GB" sz="1100">
                <a:solidFill>
                  <a:sysClr val="windowText" lastClr="000000"/>
                </a:solidFill>
              </a:rPr>
              <a:t>Grafik 3</a:t>
            </a:r>
            <a:r>
              <a:rPr lang="en-GB" sz="1100" baseline="0">
                <a:solidFill>
                  <a:sysClr val="windowText" lastClr="000000"/>
                </a:solidFill>
              </a:rPr>
              <a:t> </a:t>
            </a:r>
            <a:r>
              <a:rPr lang="sr-Latn-RS" sz="1100" baseline="0">
                <a:solidFill>
                  <a:sysClr val="windowText" lastClr="000000"/>
                </a:solidFill>
              </a:rPr>
              <a:t>Kamatna</a:t>
            </a:r>
            <a:r>
              <a:rPr lang="en-GB" sz="1100" baseline="0">
                <a:solidFill>
                  <a:sysClr val="windowText" lastClr="000000"/>
                </a:solidFill>
              </a:rPr>
              <a:t> struktura duga 30.09.2019</a:t>
            </a:r>
            <a:endParaRPr lang="en-GB" sz="1100">
              <a:solidFill>
                <a:sysClr val="windowText" lastClr="000000"/>
              </a:solidFill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23397060009137083"/>
          <c:y val="0.21163349372995041"/>
          <c:w val="0.57756505692761106"/>
          <c:h val="0.58759222805482647"/>
        </c:manualLayout>
      </c:layout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08FA-4E4A-8D7F-F0C6BAB847E1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08FA-4E4A-8D7F-F0C6BAB847E1}"/>
              </c:ext>
            </c:extLst>
          </c:dPt>
          <c:dLbls>
            <c:dLbl>
              <c:idx val="1"/>
              <c:tx>
                <c:rich>
                  <a:bodyPr/>
                  <a:lstStyle/>
                  <a:p>
                    <a:fld id="{BAB9A2CD-2660-46D2-B9BF-7928630DC81E}" type="VALUE">
                      <a:rPr lang="en-US">
                        <a:solidFill>
                          <a:sysClr val="windowText" lastClr="000000"/>
                        </a:solidFill>
                      </a:rPr>
                      <a:pPr/>
                      <a:t>[VALUE]</a:t>
                    </a:fld>
                    <a:endParaRPr lang="en-GB"/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08FA-4E4A-8D7F-F0C6BAB847E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accent2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Sheet2!$K$13:$K$14</c:f>
              <c:strCache>
                <c:ptCount val="2"/>
                <c:pt idx="0">
                  <c:v>fix</c:v>
                </c:pt>
                <c:pt idx="1">
                  <c:v>var</c:v>
                </c:pt>
              </c:strCache>
            </c:strRef>
          </c:cat>
          <c:val>
            <c:numRef>
              <c:f>Sheet2!$M$13:$M$14</c:f>
              <c:numCache>
                <c:formatCode>0.00%</c:formatCode>
                <c:ptCount val="2"/>
                <c:pt idx="0">
                  <c:v>0.7807183975851183</c:v>
                </c:pt>
                <c:pt idx="1">
                  <c:v>0.21928160241488162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08FA-4E4A-8D7F-F0C6BAB847E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bg1"/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GB" sz="1100">
                <a:solidFill>
                  <a:sysClr val="windowText" lastClr="000000"/>
                </a:solidFill>
              </a:rPr>
              <a:t> Grafik</a:t>
            </a:r>
            <a:r>
              <a:rPr lang="en-GB" sz="1100" baseline="0">
                <a:solidFill>
                  <a:sysClr val="windowText" lastClr="000000"/>
                </a:solidFill>
              </a:rPr>
              <a:t> 4 </a:t>
            </a:r>
            <a:r>
              <a:rPr lang="en-GB" sz="1100">
                <a:solidFill>
                  <a:sysClr val="windowText" lastClr="000000"/>
                </a:solidFill>
              </a:rPr>
              <a:t>Valutna struktura duga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1481-4E3D-B44A-338B0330D0F3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1481-4E3D-B44A-338B0330D0F3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1481-4E3D-B44A-338B0330D0F3}"/>
              </c:ext>
            </c:extLst>
          </c:dPt>
          <c:dLbls>
            <c:dLbl>
              <c:idx val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chemeClr val="accent2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1-1481-4E3D-B44A-338B0330D0F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Sheet2!$I$20:$I$22</c:f>
              <c:strCache>
                <c:ptCount val="3"/>
                <c:pt idx="0">
                  <c:v>EUR</c:v>
                </c:pt>
                <c:pt idx="1">
                  <c:v>USD</c:v>
                </c:pt>
                <c:pt idx="2">
                  <c:v>Ostalo (Nok, SDR, CHF)</c:v>
                </c:pt>
              </c:strCache>
            </c:strRef>
          </c:cat>
          <c:val>
            <c:numRef>
              <c:f>Sheet2!$J$20:$J$22</c:f>
              <c:numCache>
                <c:formatCode>0.00%</c:formatCode>
                <c:ptCount val="3"/>
                <c:pt idx="0">
                  <c:v>0.77242378685852886</c:v>
                </c:pt>
                <c:pt idx="1">
                  <c:v>0.21582582392497673</c:v>
                </c:pt>
                <c:pt idx="2">
                  <c:v>1.1750389216494406E-2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1481-4E3D-B44A-338B0330D0F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sr-Latn-RS" sz="1100">
                <a:solidFill>
                  <a:sysClr val="windowText" lastClr="000000"/>
                </a:solidFill>
              </a:rPr>
              <a:t>Grafik 5 </a:t>
            </a:r>
            <a:r>
              <a:rPr lang="en-GB" sz="1100">
                <a:solidFill>
                  <a:sysClr val="windowText" lastClr="000000"/>
                </a:solidFill>
              </a:rPr>
              <a:t>Odnos</a:t>
            </a:r>
            <a:r>
              <a:rPr lang="en-GB" sz="1100" baseline="0">
                <a:solidFill>
                  <a:sysClr val="windowText" lastClr="000000"/>
                </a:solidFill>
              </a:rPr>
              <a:t> spoljnjeg i unutra</a:t>
            </a:r>
            <a:r>
              <a:rPr lang="sr-Latn-RS" sz="1100" baseline="0">
                <a:solidFill>
                  <a:sysClr val="windowText" lastClr="000000"/>
                </a:solidFill>
              </a:rPr>
              <a:t>š</a:t>
            </a:r>
            <a:r>
              <a:rPr lang="en-GB" sz="1100" baseline="0">
                <a:solidFill>
                  <a:sysClr val="windowText" lastClr="000000"/>
                </a:solidFill>
              </a:rPr>
              <a:t>njeg duga</a:t>
            </a:r>
            <a:endParaRPr lang="sr-Latn-RS" sz="1100" baseline="0">
              <a:solidFill>
                <a:sysClr val="windowText" lastClr="000000"/>
              </a:solidFill>
            </a:endParaRPr>
          </a:p>
          <a:p>
            <a:pPr>
              <a:defRPr sz="1100">
                <a:solidFill>
                  <a:sysClr val="windowText" lastClr="000000"/>
                </a:solidFill>
              </a:defRPr>
            </a:pPr>
            <a:r>
              <a:rPr lang="en-GB" sz="1100">
                <a:solidFill>
                  <a:sysClr val="windowText" lastClr="000000"/>
                </a:solidFill>
              </a:rPr>
              <a:t>30.09.2019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26757551345685748"/>
          <c:y val="0.2398235637212015"/>
          <c:w val="0.53525566729901342"/>
          <c:h val="0.56313356663750369"/>
        </c:manualLayout>
      </c:layout>
      <c:pieChart>
        <c:varyColors val="1"/>
        <c:ser>
          <c:idx val="0"/>
          <c:order val="0"/>
          <c:tx>
            <c:strRef>
              <c:f>Sheet1!$E$61</c:f>
              <c:strCache>
                <c:ptCount val="1"/>
                <c:pt idx="0">
                  <c:v>30.09.2019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A5AA-4689-B72B-3161DBE37128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A5AA-4689-B72B-3161DBE37128}"/>
              </c:ext>
            </c:extLst>
          </c:dPt>
          <c:dLbls>
            <c:dLbl>
              <c:idx val="0"/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900" b="1" i="0" u="none" strike="noStrike" kern="1200" baseline="0">
                        <a:solidFill>
                          <a:schemeClr val="accent3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99A68EEE-07FD-4BD6-80BD-FFAFE7605693}" type="VALUE">
                      <a:rPr lang="en-US" baseline="0">
                        <a:solidFill>
                          <a:schemeClr val="accent2"/>
                        </a:solidFill>
                      </a:rPr>
                      <a:pPr>
                        <a:defRPr b="1">
                          <a:solidFill>
                            <a:schemeClr val="accent3"/>
                          </a:solidFill>
                        </a:defRPr>
                      </a:pPr>
                      <a:t>[VALUE]</a:t>
                    </a:fld>
                    <a:endParaRPr lang="en-GB"/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chemeClr val="accent3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A5AA-4689-B72B-3161DBE3712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Sheet1!$A$62:$A$63</c:f>
              <c:strCache>
                <c:ptCount val="2"/>
                <c:pt idx="0">
                  <c:v>Spoljni dug</c:v>
                </c:pt>
                <c:pt idx="1">
                  <c:v>Domaći dug</c:v>
                </c:pt>
              </c:strCache>
            </c:strRef>
          </c:cat>
          <c:val>
            <c:numRef>
              <c:f>Sheet1!$E$62:$E$63</c:f>
              <c:numCache>
                <c:formatCode>0.00%</c:formatCode>
                <c:ptCount val="2"/>
                <c:pt idx="0">
                  <c:v>0.83870238958204246</c:v>
                </c:pt>
                <c:pt idx="1">
                  <c:v>0.16129761041795751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A5AA-4689-B72B-3161DBE37128}"/>
            </c:ext>
          </c:extLst>
        </c:ser>
        <c:ser>
          <c:idx val="1"/>
          <c:order val="1"/>
          <c:tx>
            <c:strRef>
              <c:f>Sheet1!$A$62</c:f>
              <c:strCache>
                <c:ptCount val="1"/>
                <c:pt idx="0">
                  <c:v>Spoljni dug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6-A5AA-4689-B72B-3161DBE37128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8-A5AA-4689-B72B-3161DBE37128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Sheet1!$A$62:$A$63</c:f>
              <c:strCache>
                <c:ptCount val="2"/>
                <c:pt idx="0">
                  <c:v>Spoljni dug</c:v>
                </c:pt>
                <c:pt idx="1">
                  <c:v>Domaći dug</c:v>
                </c:pt>
              </c:strCache>
            </c:strRef>
          </c:cat>
          <c:val>
            <c:numRef>
              <c:f>Sheet1!$A$63:$A$64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A5AA-4689-B72B-3161DBE37128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rtl="0"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Badge">
  <a:themeElements>
    <a:clrScheme name="nase boje">
      <a:dk1>
        <a:srgbClr val="4472C4"/>
      </a:dk1>
      <a:lt1>
        <a:sysClr val="window" lastClr="FFFFFF"/>
      </a:lt1>
      <a:dk2>
        <a:srgbClr val="954F72"/>
      </a:dk2>
      <a:lt2>
        <a:srgbClr val="E7E6E6"/>
      </a:lt2>
      <a:accent1>
        <a:srgbClr val="4472C4"/>
      </a:accent1>
      <a:accent2>
        <a:srgbClr val="FFF2CC"/>
      </a:accent2>
      <a:accent3>
        <a:srgbClr val="FF0000"/>
      </a:accent3>
      <a:accent4>
        <a:srgbClr val="E7E6E6"/>
      </a:accent4>
      <a:accent5>
        <a:srgbClr val="954F72"/>
      </a:accent5>
      <a:accent6>
        <a:srgbClr val="A5A5A5"/>
      </a:accent6>
      <a:hlink>
        <a:srgbClr val="0563C1"/>
      </a:hlink>
      <a:folHlink>
        <a:srgbClr val="954F72"/>
      </a:folHlink>
    </a:clrScheme>
    <a:fontScheme name="Custom 1">
      <a:majorFont>
        <a:latin typeface="Cambria"/>
        <a:ea typeface=""/>
        <a:cs typeface=""/>
      </a:majorFont>
      <a:minorFont>
        <a:latin typeface="Cambria"/>
        <a:ea typeface=""/>
        <a:cs typeface=""/>
      </a:minorFont>
    </a:fontScheme>
    <a:fmtScheme name="Badge">
      <a:fillStyleLst>
        <a:solidFill>
          <a:schemeClr val="phClr"/>
        </a:solidFill>
        <a:gradFill rotWithShape="1">
          <a:gsLst>
            <a:gs pos="0">
              <a:schemeClr val="phClr">
                <a:tint val="67000"/>
                <a:satMod val="105000"/>
                <a:lumMod val="110000"/>
              </a:schemeClr>
            </a:gs>
            <a:gs pos="50000">
              <a:schemeClr val="phClr">
                <a:tint val="73000"/>
                <a:satMod val="103000"/>
                <a:lumMod val="105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6350" cap="flat" cmpd="sng" algn="in">
          <a:solidFill>
            <a:schemeClr val="phClr"/>
          </a:solidFill>
          <a:prstDash val="solid"/>
        </a:ln>
        <a:ln w="12700" cap="flat" cmpd="sng" algn="in">
          <a:solidFill>
            <a:schemeClr val="phClr"/>
          </a:solidFill>
          <a:prstDash val="solid"/>
        </a:ln>
        <a:ln w="50800" cap="flat" cmpd="sng" algn="in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5400" dir="5400000" algn="ctr" rotWithShape="0">
              <a:srgbClr val="000000">
                <a:alpha val="2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dge" id="{71A07785-5930-41D4-9A83-E23602B48E98}" vid="{771EA782-DFA6-45B1-AEA3-661F1715B310}"/>
    </a:ext>
  </a:extLst>
</a:theme>
</file>

<file path=word/theme/themeOverride1.xml><?xml version="1.0" encoding="utf-8"?>
<a:themeOverride xmlns:a="http://schemas.openxmlformats.org/drawingml/2006/main">
  <a:clrScheme name="nase boje">
    <a:dk1>
      <a:srgbClr val="4472C4"/>
    </a:dk1>
    <a:lt1>
      <a:sysClr val="window" lastClr="FFFFFF"/>
    </a:lt1>
    <a:dk2>
      <a:srgbClr val="954F72"/>
    </a:dk2>
    <a:lt2>
      <a:srgbClr val="E7E6E6"/>
    </a:lt2>
    <a:accent1>
      <a:srgbClr val="4472C4"/>
    </a:accent1>
    <a:accent2>
      <a:srgbClr val="FFF2CC"/>
    </a:accent2>
    <a:accent3>
      <a:srgbClr val="FF0000"/>
    </a:accent3>
    <a:accent4>
      <a:srgbClr val="E7E6E6"/>
    </a:accent4>
    <a:accent5>
      <a:srgbClr val="954F72"/>
    </a:accent5>
    <a:accent6>
      <a:srgbClr val="A5A5A5"/>
    </a:accent6>
    <a:hlink>
      <a:srgbClr val="0563C1"/>
    </a:hlink>
    <a:folHlink>
      <a:srgbClr val="954F72"/>
    </a:folHlink>
  </a:clrScheme>
  <a:fontScheme name="Custom 1">
    <a:majorFont>
      <a:latin typeface="Cambria"/>
      <a:ea typeface=""/>
      <a:cs typeface=""/>
    </a:majorFont>
    <a:minorFont>
      <a:latin typeface="Cambria"/>
      <a:ea typeface=""/>
      <a:cs typeface=""/>
    </a:minorFont>
  </a:fontScheme>
  <a:fmtScheme name="Badge">
    <a:fillStyleLst>
      <a:solidFill>
        <a:schemeClr val="phClr"/>
      </a:solidFill>
      <a:gradFill rotWithShape="1">
        <a:gsLst>
          <a:gs pos="0">
            <a:schemeClr val="phClr">
              <a:tint val="67000"/>
              <a:satMod val="105000"/>
              <a:lumMod val="110000"/>
            </a:schemeClr>
          </a:gs>
          <a:gs pos="50000">
            <a:schemeClr val="phClr">
              <a:tint val="73000"/>
              <a:satMod val="103000"/>
              <a:lumMod val="105000"/>
            </a:schemeClr>
          </a:gs>
          <a:gs pos="100000">
            <a:schemeClr val="phClr">
              <a:tint val="81000"/>
              <a:satMod val="109000"/>
              <a:lumMod val="105000"/>
            </a:schemeClr>
          </a:gs>
        </a:gsLst>
        <a:lin ang="5400000" scaled="0"/>
      </a:gradFill>
      <a:gradFill rotWithShape="1">
        <a:gsLst>
          <a:gs pos="0">
            <a:schemeClr val="phClr">
              <a:tint val="94000"/>
              <a:satMod val="103000"/>
              <a:lumMod val="102000"/>
            </a:schemeClr>
          </a:gs>
          <a:gs pos="50000">
            <a:schemeClr val="phClr">
              <a:shade val="100000"/>
              <a:satMod val="110000"/>
              <a:lumMod val="100000"/>
            </a:schemeClr>
          </a:gs>
          <a:gs pos="100000">
            <a:schemeClr val="phClr">
              <a:shade val="78000"/>
              <a:satMod val="120000"/>
              <a:lumMod val="99000"/>
            </a:schemeClr>
          </a:gs>
        </a:gsLst>
        <a:lin ang="5400000" scaled="0"/>
      </a:gradFill>
    </a:fillStyleLst>
    <a:lnStyleLst>
      <a:ln w="6350" cap="flat" cmpd="sng" algn="in">
        <a:solidFill>
          <a:schemeClr val="phClr"/>
        </a:solidFill>
        <a:prstDash val="solid"/>
      </a:ln>
      <a:ln w="12700" cap="flat" cmpd="sng" algn="in">
        <a:solidFill>
          <a:schemeClr val="phClr"/>
        </a:solidFill>
        <a:prstDash val="solid"/>
      </a:ln>
      <a:ln w="50800" cap="flat" cmpd="sng" algn="in">
        <a:solidFill>
          <a:schemeClr val="phClr"/>
        </a:solidFill>
        <a:prstDash val="solid"/>
      </a:ln>
    </a:lnStyleLst>
    <a:effectStyleLst>
      <a:effectStyle>
        <a:effectLst/>
      </a:effectStyle>
      <a:effectStyle>
        <a:effectLst/>
      </a:effectStyle>
      <a:effectStyle>
        <a:effectLst>
          <a:outerShdw blurRad="38100" dist="25400" dir="5400000" algn="ctr" rotWithShape="0">
            <a:srgbClr val="000000">
              <a:alpha val="25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hade val="98000"/>
              <a:satMod val="150000"/>
              <a:lumMod val="102000"/>
            </a:schemeClr>
          </a:gs>
          <a:gs pos="50000">
            <a:schemeClr val="phClr">
              <a:tint val="98000"/>
              <a:shade val="90000"/>
              <a:satMod val="13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601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Djurovic</dc:creator>
  <cp:keywords/>
  <dc:description/>
  <cp:lastModifiedBy>Ana Djuraskovic</cp:lastModifiedBy>
  <cp:revision>2</cp:revision>
  <cp:lastPrinted>2019-11-22T12:51:00Z</cp:lastPrinted>
  <dcterms:created xsi:type="dcterms:W3CDTF">2020-11-24T06:28:00Z</dcterms:created>
  <dcterms:modified xsi:type="dcterms:W3CDTF">2020-11-24T06:28:00Z</dcterms:modified>
</cp:coreProperties>
</file>