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E6A6" w14:textId="77777777" w:rsidR="00B217E6" w:rsidRDefault="00B217E6" w:rsidP="00B217E6">
      <w:pPr>
        <w:jc w:val="center"/>
        <w:rPr>
          <w:b/>
          <w:sz w:val="36"/>
          <w:szCs w:val="36"/>
        </w:rPr>
      </w:pPr>
    </w:p>
    <w:p w14:paraId="6B45490A" w14:textId="77777777" w:rsidR="00B217E6" w:rsidRDefault="00B217E6" w:rsidP="00B217E6">
      <w:pPr>
        <w:jc w:val="center"/>
        <w:rPr>
          <w:b/>
          <w:sz w:val="36"/>
          <w:szCs w:val="36"/>
        </w:rPr>
      </w:pPr>
    </w:p>
    <w:p w14:paraId="5C10038F" w14:textId="77777777" w:rsidR="00B217E6" w:rsidRDefault="00B217E6" w:rsidP="00B217E6">
      <w:pPr>
        <w:jc w:val="center"/>
        <w:rPr>
          <w:b/>
          <w:sz w:val="36"/>
          <w:szCs w:val="36"/>
        </w:rPr>
      </w:pPr>
    </w:p>
    <w:p w14:paraId="6D6579C3" w14:textId="77777777" w:rsidR="00B217E6" w:rsidRPr="00B217E6" w:rsidRDefault="00B217E6" w:rsidP="00B217E6">
      <w:pPr>
        <w:jc w:val="center"/>
        <w:rPr>
          <w:b/>
          <w:i/>
          <w:color w:val="385623" w:themeColor="accent6" w:themeShade="80"/>
          <w:sz w:val="48"/>
          <w:szCs w:val="48"/>
        </w:rPr>
      </w:pPr>
      <w:r w:rsidRPr="00B217E6">
        <w:rPr>
          <w:b/>
          <w:i/>
          <w:color w:val="385623" w:themeColor="accent6" w:themeShade="80"/>
          <w:sz w:val="48"/>
          <w:szCs w:val="48"/>
        </w:rPr>
        <w:t xml:space="preserve">Montenegro Forest </w:t>
      </w:r>
      <w:proofErr w:type="gramStart"/>
      <w:r w:rsidR="001123BC">
        <w:rPr>
          <w:b/>
          <w:i/>
          <w:color w:val="385623" w:themeColor="accent6" w:themeShade="80"/>
          <w:sz w:val="48"/>
          <w:szCs w:val="48"/>
        </w:rPr>
        <w:t>For</w:t>
      </w:r>
      <w:proofErr w:type="gramEnd"/>
      <w:r w:rsidR="001123BC">
        <w:rPr>
          <w:b/>
          <w:i/>
          <w:color w:val="385623" w:themeColor="accent6" w:themeShade="80"/>
          <w:sz w:val="48"/>
          <w:szCs w:val="48"/>
        </w:rPr>
        <w:t xml:space="preserve"> Shared Prosperity</w:t>
      </w:r>
      <w:r w:rsidR="001123BC" w:rsidRPr="00B217E6">
        <w:rPr>
          <w:b/>
          <w:i/>
          <w:color w:val="385623" w:themeColor="accent6" w:themeShade="80"/>
          <w:sz w:val="48"/>
          <w:szCs w:val="48"/>
        </w:rPr>
        <w:t xml:space="preserve"> </w:t>
      </w:r>
      <w:r w:rsidRPr="00B217E6">
        <w:rPr>
          <w:b/>
          <w:i/>
          <w:color w:val="385623" w:themeColor="accent6" w:themeShade="80"/>
          <w:sz w:val="48"/>
          <w:szCs w:val="48"/>
        </w:rPr>
        <w:t>Project</w:t>
      </w:r>
    </w:p>
    <w:p w14:paraId="68FD0E7F" w14:textId="77777777" w:rsidR="00B217E6" w:rsidRDefault="00B217E6" w:rsidP="00B217E6">
      <w:pPr>
        <w:jc w:val="center"/>
        <w:rPr>
          <w:b/>
          <w:sz w:val="36"/>
          <w:szCs w:val="36"/>
        </w:rPr>
      </w:pPr>
    </w:p>
    <w:p w14:paraId="4F220443" w14:textId="77777777" w:rsidR="00B217E6" w:rsidRDefault="00B217E6" w:rsidP="00B217E6">
      <w:pPr>
        <w:jc w:val="center"/>
        <w:rPr>
          <w:b/>
          <w:sz w:val="36"/>
          <w:szCs w:val="36"/>
        </w:rPr>
      </w:pPr>
    </w:p>
    <w:p w14:paraId="670A6E48" w14:textId="77777777" w:rsidR="00B217E6" w:rsidRDefault="00B217E6" w:rsidP="00B217E6">
      <w:pPr>
        <w:jc w:val="center"/>
        <w:rPr>
          <w:b/>
          <w:sz w:val="36"/>
          <w:szCs w:val="36"/>
        </w:rPr>
      </w:pPr>
    </w:p>
    <w:p w14:paraId="1635A83C" w14:textId="59547CD0" w:rsidR="00B217E6" w:rsidRDefault="001E444B" w:rsidP="00B217E6">
      <w:pPr>
        <w:jc w:val="center"/>
        <w:rPr>
          <w:b/>
          <w:sz w:val="36"/>
          <w:szCs w:val="36"/>
        </w:rPr>
      </w:pPr>
      <w:r>
        <w:rPr>
          <w:b/>
          <w:sz w:val="36"/>
          <w:szCs w:val="36"/>
        </w:rPr>
        <w:t>Draft</w:t>
      </w:r>
    </w:p>
    <w:p w14:paraId="2383C4BD" w14:textId="77777777" w:rsidR="00566C72" w:rsidRDefault="00B217E6" w:rsidP="00B217E6">
      <w:pPr>
        <w:jc w:val="center"/>
        <w:rPr>
          <w:b/>
          <w:sz w:val="36"/>
          <w:szCs w:val="36"/>
          <w:lang w:val="hr-BA"/>
        </w:rPr>
      </w:pPr>
      <w:r w:rsidRPr="00B217E6">
        <w:rPr>
          <w:b/>
          <w:sz w:val="36"/>
          <w:szCs w:val="36"/>
        </w:rPr>
        <w:t>STAKEHOLDER ENGAGEMENT PLAN (SEP</w:t>
      </w:r>
      <w:r w:rsidRPr="00B217E6">
        <w:rPr>
          <w:b/>
          <w:sz w:val="36"/>
          <w:szCs w:val="36"/>
          <w:lang w:val="hr-BA"/>
        </w:rPr>
        <w:t>)</w:t>
      </w:r>
    </w:p>
    <w:p w14:paraId="111F5051" w14:textId="77777777" w:rsidR="00B217E6" w:rsidRDefault="00B217E6" w:rsidP="00B217E6">
      <w:pPr>
        <w:jc w:val="center"/>
        <w:rPr>
          <w:b/>
          <w:sz w:val="36"/>
          <w:szCs w:val="36"/>
          <w:lang w:val="hr-BA"/>
        </w:rPr>
      </w:pPr>
    </w:p>
    <w:p w14:paraId="7958FC1A" w14:textId="77777777" w:rsidR="00B217E6" w:rsidRDefault="00B217E6" w:rsidP="00B217E6">
      <w:pPr>
        <w:jc w:val="center"/>
        <w:rPr>
          <w:b/>
          <w:sz w:val="36"/>
          <w:szCs w:val="36"/>
          <w:lang w:val="hr-BA"/>
        </w:rPr>
      </w:pPr>
    </w:p>
    <w:p w14:paraId="65CC78FD" w14:textId="77777777" w:rsidR="00B217E6" w:rsidRDefault="00B217E6" w:rsidP="00B217E6">
      <w:pPr>
        <w:jc w:val="center"/>
        <w:rPr>
          <w:b/>
          <w:sz w:val="36"/>
          <w:szCs w:val="36"/>
          <w:lang w:val="hr-BA"/>
        </w:rPr>
      </w:pPr>
    </w:p>
    <w:p w14:paraId="704A7260" w14:textId="77777777" w:rsidR="00B217E6" w:rsidRDefault="00B217E6" w:rsidP="00B217E6">
      <w:pPr>
        <w:jc w:val="center"/>
        <w:rPr>
          <w:b/>
          <w:sz w:val="36"/>
          <w:szCs w:val="36"/>
          <w:lang w:val="hr-BA"/>
        </w:rPr>
      </w:pPr>
    </w:p>
    <w:p w14:paraId="7312BF5D" w14:textId="77777777" w:rsidR="00B217E6" w:rsidRDefault="00B217E6" w:rsidP="00B217E6">
      <w:pPr>
        <w:jc w:val="center"/>
        <w:rPr>
          <w:b/>
          <w:sz w:val="36"/>
          <w:szCs w:val="36"/>
          <w:lang w:val="hr-BA"/>
        </w:rPr>
      </w:pPr>
    </w:p>
    <w:p w14:paraId="3144419B" w14:textId="77777777" w:rsidR="00B217E6" w:rsidRDefault="00B217E6" w:rsidP="00B217E6">
      <w:pPr>
        <w:jc w:val="center"/>
        <w:rPr>
          <w:b/>
          <w:sz w:val="36"/>
          <w:szCs w:val="36"/>
          <w:lang w:val="hr-BA"/>
        </w:rPr>
      </w:pPr>
    </w:p>
    <w:p w14:paraId="2295A3AA" w14:textId="77777777" w:rsidR="00B217E6" w:rsidRDefault="00B217E6" w:rsidP="00B217E6">
      <w:pPr>
        <w:jc w:val="center"/>
        <w:rPr>
          <w:b/>
          <w:sz w:val="36"/>
          <w:szCs w:val="36"/>
          <w:lang w:val="hr-BA"/>
        </w:rPr>
      </w:pPr>
    </w:p>
    <w:p w14:paraId="61B467C1" w14:textId="2587F64C" w:rsidR="00B217E6" w:rsidRDefault="001E444B" w:rsidP="00B217E6">
      <w:pPr>
        <w:jc w:val="center"/>
        <w:rPr>
          <w:b/>
          <w:sz w:val="36"/>
          <w:szCs w:val="36"/>
          <w:lang w:val="hr-BA"/>
        </w:rPr>
      </w:pPr>
      <w:r>
        <w:rPr>
          <w:b/>
          <w:sz w:val="36"/>
          <w:szCs w:val="36"/>
          <w:lang w:val="hr-BA"/>
        </w:rPr>
        <w:t>November</w:t>
      </w:r>
      <w:r w:rsidR="00852CD9">
        <w:rPr>
          <w:b/>
          <w:sz w:val="36"/>
          <w:szCs w:val="36"/>
          <w:lang w:val="hr-BA"/>
        </w:rPr>
        <w:t xml:space="preserve"> 2025</w:t>
      </w:r>
    </w:p>
    <w:p w14:paraId="60FD3D64" w14:textId="77777777" w:rsidR="00B217E6" w:rsidRDefault="00B217E6" w:rsidP="00B217E6">
      <w:pPr>
        <w:jc w:val="center"/>
        <w:rPr>
          <w:b/>
          <w:sz w:val="36"/>
          <w:szCs w:val="36"/>
          <w:lang w:val="hr-BA"/>
        </w:rPr>
      </w:pPr>
    </w:p>
    <w:p w14:paraId="6E28FCD8" w14:textId="77777777" w:rsidR="00901491" w:rsidRDefault="00901491" w:rsidP="00B217E6">
      <w:pPr>
        <w:jc w:val="both"/>
        <w:rPr>
          <w:b/>
          <w:sz w:val="36"/>
          <w:szCs w:val="36"/>
          <w:lang w:val="hr-BA"/>
        </w:rPr>
      </w:pPr>
    </w:p>
    <w:p w14:paraId="3578CA4E" w14:textId="77777777" w:rsidR="004F3F40" w:rsidRDefault="004F3F40" w:rsidP="00B217E6">
      <w:pPr>
        <w:jc w:val="both"/>
        <w:rPr>
          <w:b/>
          <w:color w:val="385623" w:themeColor="accent6" w:themeShade="80"/>
          <w:sz w:val="28"/>
          <w:szCs w:val="28"/>
        </w:rPr>
      </w:pPr>
      <w:r w:rsidRPr="00901491">
        <w:rPr>
          <w:b/>
          <w:color w:val="385623" w:themeColor="accent6" w:themeShade="80"/>
          <w:sz w:val="28"/>
          <w:szCs w:val="28"/>
        </w:rPr>
        <w:lastRenderedPageBreak/>
        <w:t xml:space="preserve">TABLE OF CONTENTS: </w:t>
      </w:r>
    </w:p>
    <w:p w14:paraId="75F5D219" w14:textId="77777777" w:rsidR="0053204F" w:rsidRPr="0053204F" w:rsidRDefault="0053204F" w:rsidP="0053204F">
      <w:pPr>
        <w:spacing w:after="0"/>
        <w:jc w:val="both"/>
        <w:rPr>
          <w:rFonts w:ascii="Calibri" w:eastAsia="Times New Roman" w:hAnsi="Calibri" w:cs="Calibri"/>
          <w:bCs/>
          <w:sz w:val="24"/>
          <w:szCs w:val="24"/>
        </w:rPr>
      </w:pPr>
      <w:r w:rsidRPr="0053204F">
        <w:rPr>
          <w:rFonts w:ascii="Calibri" w:eastAsia="Times New Roman" w:hAnsi="Calibri" w:cs="Calibri"/>
          <w:b/>
          <w:bCs/>
          <w:sz w:val="24"/>
          <w:szCs w:val="24"/>
        </w:rPr>
        <w:t>ABBREVIATION</w:t>
      </w:r>
      <w:r>
        <w:rPr>
          <w:rFonts w:ascii="Calibri" w:eastAsia="Times New Roman" w:hAnsi="Calibri" w:cs="Calibri"/>
          <w:b/>
          <w:bCs/>
          <w:sz w:val="24"/>
          <w:szCs w:val="24"/>
        </w:rPr>
        <w:t>S</w:t>
      </w:r>
      <w:r>
        <w:rPr>
          <w:rFonts w:ascii="Calibri" w:eastAsia="Times New Roman" w:hAnsi="Calibri" w:cs="Calibri"/>
          <w:bCs/>
          <w:sz w:val="24"/>
          <w:szCs w:val="24"/>
        </w:rPr>
        <w:t>…………………………………………………………………………………………………………………</w:t>
      </w:r>
      <w:r w:rsidR="007F02CC" w:rsidRPr="007F02CC">
        <w:rPr>
          <w:rFonts w:ascii="Calibri" w:eastAsia="Times New Roman" w:hAnsi="Calibri" w:cs="Calibri"/>
          <w:bCs/>
          <w:sz w:val="24"/>
          <w:szCs w:val="24"/>
        </w:rPr>
        <w:t>…</w:t>
      </w:r>
      <w:r w:rsidR="00E318F8">
        <w:rPr>
          <w:rFonts w:ascii="Calibri" w:eastAsia="Times New Roman" w:hAnsi="Calibri" w:cs="Calibri"/>
          <w:bCs/>
          <w:sz w:val="24"/>
          <w:szCs w:val="24"/>
        </w:rPr>
        <w:t xml:space="preserve"> </w:t>
      </w:r>
      <w:r w:rsidR="006123CF">
        <w:rPr>
          <w:rFonts w:ascii="Calibri" w:eastAsia="Times New Roman" w:hAnsi="Calibri" w:cs="Calibri"/>
          <w:bCs/>
          <w:sz w:val="24"/>
          <w:szCs w:val="24"/>
        </w:rPr>
        <w:t xml:space="preserve"> </w:t>
      </w:r>
      <w:r w:rsidR="00E318F8">
        <w:rPr>
          <w:rFonts w:ascii="Calibri" w:eastAsia="Times New Roman" w:hAnsi="Calibri" w:cs="Calibri"/>
          <w:bCs/>
          <w:sz w:val="24"/>
          <w:szCs w:val="24"/>
        </w:rPr>
        <w:t xml:space="preserve"> 4</w:t>
      </w:r>
    </w:p>
    <w:p w14:paraId="7289F906" w14:textId="127136B3" w:rsidR="00901491" w:rsidRPr="00901491" w:rsidRDefault="00901491" w:rsidP="0053204F">
      <w:pPr>
        <w:spacing w:after="0" w:line="240" w:lineRule="auto"/>
        <w:rPr>
          <w:rFonts w:ascii="Calibri" w:eastAsia="Times New Roman" w:hAnsi="Calibri" w:cs="Calibri"/>
          <w:sz w:val="24"/>
          <w:szCs w:val="24"/>
        </w:rPr>
      </w:pPr>
      <w:r w:rsidRPr="00901491">
        <w:rPr>
          <w:rFonts w:ascii="Calibri" w:eastAsia="Times New Roman" w:hAnsi="Calibri" w:cs="Calibri"/>
          <w:b/>
          <w:bCs/>
          <w:sz w:val="24"/>
          <w:szCs w:val="24"/>
        </w:rPr>
        <w:t>I. PROJECT BACKGROUND</w:t>
      </w:r>
      <w:r w:rsidR="0053204F" w:rsidRPr="0053204F">
        <w:rPr>
          <w:rFonts w:ascii="Calibri" w:eastAsia="Times New Roman" w:hAnsi="Calibri" w:cs="Calibri"/>
          <w:bCs/>
          <w:sz w:val="24"/>
          <w:szCs w:val="24"/>
        </w:rPr>
        <w:t>……………………………………………………………………………………………………</w:t>
      </w:r>
      <w:r w:rsidR="00E318F8">
        <w:rPr>
          <w:rFonts w:ascii="Calibri" w:eastAsia="Times New Roman" w:hAnsi="Calibri" w:cs="Calibri"/>
          <w:bCs/>
          <w:sz w:val="24"/>
          <w:szCs w:val="24"/>
        </w:rPr>
        <w:t xml:space="preserve">.  </w:t>
      </w:r>
      <w:r w:rsidR="006123CF">
        <w:rPr>
          <w:rFonts w:ascii="Calibri" w:eastAsia="Times New Roman" w:hAnsi="Calibri" w:cs="Calibri"/>
          <w:bCs/>
          <w:sz w:val="24"/>
          <w:szCs w:val="24"/>
        </w:rPr>
        <w:t xml:space="preserve"> </w:t>
      </w:r>
      <w:r w:rsidR="007F02CC">
        <w:rPr>
          <w:rFonts w:ascii="Calibri" w:eastAsia="Times New Roman" w:hAnsi="Calibri" w:cs="Calibri"/>
          <w:bCs/>
          <w:sz w:val="24"/>
          <w:szCs w:val="24"/>
        </w:rPr>
        <w:t>6</w:t>
      </w:r>
      <w:r w:rsidRPr="00901491">
        <w:rPr>
          <w:rFonts w:ascii="Calibri" w:eastAsia="Times New Roman" w:hAnsi="Calibri" w:cs="Calibri"/>
          <w:sz w:val="24"/>
          <w:szCs w:val="24"/>
        </w:rPr>
        <w:br/>
        <w:t>1.1. Project Overview</w:t>
      </w:r>
      <w:r w:rsidR="0053204F">
        <w:rPr>
          <w:rFonts w:ascii="Calibri" w:eastAsia="Times New Roman" w:hAnsi="Calibri" w:cs="Calibri"/>
          <w:sz w:val="24"/>
          <w:szCs w:val="24"/>
        </w:rPr>
        <w:t>……………………………………………………………………………</w:t>
      </w:r>
      <w:r w:rsidR="007F02CC">
        <w:rPr>
          <w:rFonts w:ascii="Calibri" w:eastAsia="Times New Roman" w:hAnsi="Calibri" w:cs="Calibri"/>
          <w:sz w:val="24"/>
          <w:szCs w:val="24"/>
        </w:rPr>
        <w:t>...</w:t>
      </w:r>
      <w:r w:rsidR="0053204F">
        <w:rPr>
          <w:rFonts w:ascii="Calibri" w:eastAsia="Times New Roman" w:hAnsi="Calibri" w:cs="Calibri"/>
          <w:sz w:val="24"/>
          <w:szCs w:val="24"/>
        </w:rPr>
        <w:t>……………………………</w:t>
      </w:r>
      <w:r w:rsidR="00E318F8">
        <w:rPr>
          <w:rFonts w:ascii="Calibri" w:eastAsia="Times New Roman" w:hAnsi="Calibri" w:cs="Calibri"/>
          <w:sz w:val="24"/>
          <w:szCs w:val="24"/>
        </w:rPr>
        <w:t xml:space="preserve">  </w:t>
      </w:r>
      <w:r w:rsidR="006123CF">
        <w:rPr>
          <w:rFonts w:ascii="Calibri" w:eastAsia="Times New Roman" w:hAnsi="Calibri" w:cs="Calibri"/>
          <w:sz w:val="24"/>
          <w:szCs w:val="24"/>
        </w:rPr>
        <w:t xml:space="preserve"> </w:t>
      </w:r>
      <w:r w:rsidR="007F02CC">
        <w:rPr>
          <w:rFonts w:ascii="Calibri" w:eastAsia="Times New Roman" w:hAnsi="Calibri" w:cs="Calibri"/>
          <w:sz w:val="24"/>
          <w:szCs w:val="24"/>
        </w:rPr>
        <w:t>6</w:t>
      </w:r>
      <w:r w:rsidRPr="00901491">
        <w:rPr>
          <w:rFonts w:ascii="Calibri" w:eastAsia="Times New Roman" w:hAnsi="Calibri" w:cs="Calibri"/>
          <w:sz w:val="24"/>
          <w:szCs w:val="24"/>
        </w:rPr>
        <w:br/>
        <w:t>1.2. Project Components</w:t>
      </w:r>
      <w:r w:rsidR="0053204F">
        <w:rPr>
          <w:rFonts w:ascii="Calibri" w:eastAsia="Times New Roman" w:hAnsi="Calibri" w:cs="Calibri"/>
          <w:sz w:val="24"/>
          <w:szCs w:val="24"/>
        </w:rPr>
        <w:t>………………………………………………………………………………………………………</w:t>
      </w:r>
      <w:r w:rsidR="00E318F8">
        <w:rPr>
          <w:rFonts w:ascii="Calibri" w:eastAsia="Times New Roman" w:hAnsi="Calibri" w:cs="Calibri"/>
          <w:sz w:val="24"/>
          <w:szCs w:val="24"/>
        </w:rPr>
        <w:t xml:space="preserve">  </w:t>
      </w:r>
      <w:r w:rsidR="006123CF">
        <w:rPr>
          <w:rFonts w:ascii="Calibri" w:eastAsia="Times New Roman" w:hAnsi="Calibri" w:cs="Calibri"/>
          <w:sz w:val="24"/>
          <w:szCs w:val="24"/>
        </w:rPr>
        <w:t xml:space="preserve"> </w:t>
      </w:r>
      <w:r w:rsidR="00E318F8">
        <w:rPr>
          <w:rFonts w:ascii="Calibri" w:eastAsia="Times New Roman" w:hAnsi="Calibri" w:cs="Calibri"/>
          <w:sz w:val="24"/>
          <w:szCs w:val="24"/>
        </w:rPr>
        <w:t xml:space="preserve"> 6</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Component 1. Institutional Capacity Development and System Modernization</w:t>
      </w:r>
      <w:r w:rsidR="007F02CC">
        <w:rPr>
          <w:rFonts w:ascii="Calibri" w:eastAsia="Times New Roman" w:hAnsi="Calibri" w:cs="Calibri"/>
          <w:sz w:val="24"/>
          <w:szCs w:val="24"/>
        </w:rPr>
        <w:t>……………</w:t>
      </w:r>
      <w:r w:rsidR="006123CF">
        <w:rPr>
          <w:rFonts w:ascii="Calibri" w:eastAsia="Times New Roman" w:hAnsi="Calibri" w:cs="Calibri"/>
          <w:sz w:val="24"/>
          <w:szCs w:val="24"/>
        </w:rPr>
        <w:t>.</w:t>
      </w:r>
      <w:r w:rsidR="00E318F8">
        <w:rPr>
          <w:rFonts w:ascii="Calibri" w:eastAsia="Times New Roman" w:hAnsi="Calibri" w:cs="Calibri"/>
          <w:sz w:val="24"/>
          <w:szCs w:val="24"/>
        </w:rPr>
        <w:t xml:space="preserve">  </w:t>
      </w:r>
      <w:r w:rsidR="006123CF">
        <w:rPr>
          <w:rFonts w:ascii="Calibri" w:eastAsia="Times New Roman" w:hAnsi="Calibri" w:cs="Calibri"/>
          <w:sz w:val="24"/>
          <w:szCs w:val="24"/>
        </w:rPr>
        <w:t xml:space="preserve">  </w:t>
      </w:r>
      <w:r w:rsidR="00E318F8">
        <w:rPr>
          <w:rFonts w:ascii="Calibri" w:eastAsia="Times New Roman" w:hAnsi="Calibri" w:cs="Calibri"/>
          <w:sz w:val="24"/>
          <w:szCs w:val="24"/>
        </w:rPr>
        <w:t>6</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Subcomponent 1.1: Policy Review and Development</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6</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Subcomponent 1.2: Modernizing the Supply Chain Management of Forest-Based Products</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7</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xml:space="preserve">Component 2. </w:t>
      </w:r>
      <w:r w:rsidR="00D41129" w:rsidRPr="00D41129">
        <w:rPr>
          <w:rFonts w:ascii="Calibri" w:eastAsia="Times New Roman" w:hAnsi="Calibri" w:cs="Calibri"/>
          <w:sz w:val="24"/>
          <w:szCs w:val="24"/>
        </w:rPr>
        <w:t xml:space="preserve">Forest Resilience and Wildfire Risk Reduction </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7</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xml:space="preserve">Subcomponent 2.1: </w:t>
      </w:r>
      <w:r w:rsidR="00D41129" w:rsidRPr="00D41129">
        <w:rPr>
          <w:rFonts w:ascii="Calibri" w:eastAsia="Times New Roman" w:hAnsi="Calibri" w:cs="Calibri"/>
          <w:sz w:val="24"/>
          <w:szCs w:val="24"/>
        </w:rPr>
        <w:t xml:space="preserve">Shield and </w:t>
      </w:r>
      <w:proofErr w:type="gramStart"/>
      <w:r w:rsidR="00D41129" w:rsidRPr="00D41129">
        <w:rPr>
          <w:rFonts w:ascii="Calibri" w:eastAsia="Times New Roman" w:hAnsi="Calibri" w:cs="Calibri"/>
          <w:sz w:val="24"/>
          <w:szCs w:val="24"/>
        </w:rPr>
        <w:t>Sense :</w:t>
      </w:r>
      <w:proofErr w:type="gramEnd"/>
      <w:r w:rsidR="00D41129" w:rsidRPr="00D41129">
        <w:rPr>
          <w:rFonts w:ascii="Calibri" w:eastAsia="Times New Roman" w:hAnsi="Calibri" w:cs="Calibri"/>
          <w:sz w:val="24"/>
          <w:szCs w:val="24"/>
        </w:rPr>
        <w:t xml:space="preserve"> Promoting Forest Fire Resilience </w:t>
      </w:r>
      <w:r w:rsidR="007F02CC">
        <w:rPr>
          <w:rFonts w:ascii="Calibri" w:eastAsia="Times New Roman" w:hAnsi="Calibri" w:cs="Calibri"/>
          <w:sz w:val="24"/>
          <w:szCs w:val="24"/>
        </w:rPr>
        <w:t>……………………………</w:t>
      </w:r>
      <w:proofErr w:type="gramStart"/>
      <w:r w:rsidR="007F02CC">
        <w:rPr>
          <w:rFonts w:ascii="Calibri" w:eastAsia="Times New Roman" w:hAnsi="Calibri" w:cs="Calibri"/>
          <w:sz w:val="24"/>
          <w:szCs w:val="24"/>
        </w:rPr>
        <w:t>…</w:t>
      </w:r>
      <w:r w:rsidR="006123CF">
        <w:rPr>
          <w:rFonts w:ascii="Calibri" w:eastAsia="Times New Roman" w:hAnsi="Calibri" w:cs="Calibri"/>
          <w:sz w:val="24"/>
          <w:szCs w:val="24"/>
        </w:rPr>
        <w:t>..</w:t>
      </w:r>
      <w:proofErr w:type="gramEnd"/>
      <w:r w:rsidR="006123CF">
        <w:rPr>
          <w:rFonts w:ascii="Calibri" w:eastAsia="Times New Roman" w:hAnsi="Calibri" w:cs="Calibri"/>
          <w:sz w:val="24"/>
          <w:szCs w:val="24"/>
        </w:rPr>
        <w:t xml:space="preserve">  7 </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xml:space="preserve">Subcomponent 2.2: </w:t>
      </w:r>
      <w:r w:rsidR="00D41129" w:rsidRPr="00D41129">
        <w:rPr>
          <w:rFonts w:ascii="Calibri" w:eastAsia="Times New Roman" w:hAnsi="Calibri" w:cs="Calibri"/>
          <w:sz w:val="24"/>
          <w:szCs w:val="24"/>
        </w:rPr>
        <w:t>Recover and Revitalize: Suppression, Restoration, and Rehabilitation</w:t>
      </w:r>
      <w:r w:rsidR="00D41129" w:rsidRPr="00D41129" w:rsidDel="00D41129">
        <w:rPr>
          <w:rFonts w:ascii="Calibri" w:eastAsia="Times New Roman" w:hAnsi="Calibri" w:cs="Calibri"/>
          <w:sz w:val="24"/>
          <w:szCs w:val="24"/>
        </w:rPr>
        <w:t xml:space="preserve"> </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w:t>
      </w:r>
      <w:r w:rsidR="00D41129">
        <w:rPr>
          <w:rFonts w:ascii="Calibri" w:eastAsia="Times New Roman" w:hAnsi="Calibri" w:cs="Calibri"/>
          <w:sz w:val="24"/>
          <w:szCs w:val="24"/>
        </w:rPr>
        <w:t>………………………………</w:t>
      </w:r>
      <w:proofErr w:type="gramStart"/>
      <w:r w:rsidR="00D41129">
        <w:rPr>
          <w:rFonts w:ascii="Calibri" w:eastAsia="Times New Roman" w:hAnsi="Calibri" w:cs="Calibri"/>
          <w:sz w:val="24"/>
          <w:szCs w:val="24"/>
        </w:rPr>
        <w:t>…..</w:t>
      </w:r>
      <w:proofErr w:type="gramEnd"/>
      <w:r w:rsidR="006123CF">
        <w:rPr>
          <w:rFonts w:ascii="Calibri" w:eastAsia="Times New Roman" w:hAnsi="Calibri" w:cs="Calibri"/>
          <w:sz w:val="24"/>
          <w:szCs w:val="24"/>
        </w:rPr>
        <w:t xml:space="preserve"> 8</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xml:space="preserve">Component 3. </w:t>
      </w:r>
      <w:r w:rsidR="00D41129" w:rsidRPr="00D41129">
        <w:rPr>
          <w:rFonts w:ascii="Calibri" w:eastAsia="Times New Roman" w:hAnsi="Calibri" w:cs="Calibri"/>
          <w:sz w:val="24"/>
          <w:szCs w:val="24"/>
        </w:rPr>
        <w:t xml:space="preserve">Empowering Growth and Enhancing Wood Sector Performance </w:t>
      </w:r>
      <w:r w:rsidR="007F02CC">
        <w:rPr>
          <w:rFonts w:ascii="Calibri" w:eastAsia="Times New Roman" w:hAnsi="Calibri" w:cs="Calibri"/>
          <w:sz w:val="24"/>
          <w:szCs w:val="24"/>
        </w:rPr>
        <w:t>………………………………</w:t>
      </w:r>
      <w:proofErr w:type="gramStart"/>
      <w:r w:rsidR="007F02CC">
        <w:rPr>
          <w:rFonts w:ascii="Calibri" w:eastAsia="Times New Roman" w:hAnsi="Calibri" w:cs="Calibri"/>
          <w:sz w:val="24"/>
          <w:szCs w:val="24"/>
        </w:rPr>
        <w:t>…</w:t>
      </w:r>
      <w:r w:rsidR="006123CF">
        <w:rPr>
          <w:rFonts w:ascii="Calibri" w:eastAsia="Times New Roman" w:hAnsi="Calibri" w:cs="Calibri"/>
          <w:sz w:val="24"/>
          <w:szCs w:val="24"/>
        </w:rPr>
        <w:t>..</w:t>
      </w:r>
      <w:proofErr w:type="gramEnd"/>
      <w:r w:rsidR="006123CF">
        <w:rPr>
          <w:rFonts w:ascii="Calibri" w:eastAsia="Times New Roman" w:hAnsi="Calibri" w:cs="Calibri"/>
          <w:sz w:val="24"/>
          <w:szCs w:val="24"/>
        </w:rPr>
        <w:t xml:space="preserve">  8</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xml:space="preserve">Subcomponent 3.1: </w:t>
      </w:r>
      <w:proofErr w:type="spellStart"/>
      <w:r w:rsidR="00D41129" w:rsidRPr="00D41129">
        <w:rPr>
          <w:rFonts w:ascii="Calibri" w:eastAsia="Times New Roman" w:hAnsi="Calibri" w:cs="Calibri"/>
          <w:sz w:val="24"/>
          <w:szCs w:val="24"/>
        </w:rPr>
        <w:t>SmartWood</w:t>
      </w:r>
      <w:proofErr w:type="spellEnd"/>
      <w:r w:rsidR="00D41129" w:rsidRPr="00D41129">
        <w:rPr>
          <w:rFonts w:ascii="Calibri" w:eastAsia="Times New Roman" w:hAnsi="Calibri" w:cs="Calibri"/>
          <w:sz w:val="24"/>
          <w:szCs w:val="24"/>
        </w:rPr>
        <w:t xml:space="preserve"> Capacity Program (</w:t>
      </w:r>
      <w:proofErr w:type="spellStart"/>
      <w:r w:rsidR="00D41129" w:rsidRPr="00D41129">
        <w:rPr>
          <w:rFonts w:ascii="Calibri" w:eastAsia="Times New Roman" w:hAnsi="Calibri" w:cs="Calibri"/>
          <w:sz w:val="24"/>
          <w:szCs w:val="24"/>
        </w:rPr>
        <w:t>SmartWood</w:t>
      </w:r>
      <w:proofErr w:type="spellEnd"/>
      <w:r w:rsidR="00D41129" w:rsidRPr="00D41129">
        <w:rPr>
          <w:rFonts w:ascii="Calibri" w:eastAsia="Times New Roman" w:hAnsi="Calibri" w:cs="Calibri"/>
          <w:sz w:val="24"/>
          <w:szCs w:val="24"/>
        </w:rPr>
        <w:t>)</w:t>
      </w:r>
      <w:r w:rsidR="007F02CC">
        <w:rPr>
          <w:rFonts w:ascii="Calibri" w:eastAsia="Times New Roman" w:hAnsi="Calibri" w:cs="Calibri"/>
          <w:sz w:val="24"/>
          <w:szCs w:val="24"/>
        </w:rPr>
        <w:t>………………………………………</w:t>
      </w:r>
      <w:r w:rsidR="006123CF">
        <w:rPr>
          <w:rFonts w:ascii="Calibri" w:eastAsia="Times New Roman" w:hAnsi="Calibri" w:cs="Calibri"/>
          <w:sz w:val="24"/>
          <w:szCs w:val="24"/>
        </w:rPr>
        <w:t>.  8</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xml:space="preserve">Subcomponent 3.2: </w:t>
      </w:r>
      <w:r w:rsidR="00D41129" w:rsidRPr="00D41129">
        <w:rPr>
          <w:rFonts w:ascii="Calibri" w:eastAsia="Times New Roman" w:hAnsi="Calibri" w:cs="Calibri"/>
          <w:sz w:val="24"/>
          <w:szCs w:val="24"/>
        </w:rPr>
        <w:t>Advancing Certification, Grading, and Standardization in Montenegro’s Wood Processing Industry</w:t>
      </w:r>
      <w:r w:rsidR="006123CF">
        <w:rPr>
          <w:rFonts w:ascii="Calibri" w:eastAsia="Times New Roman" w:hAnsi="Calibri" w:cs="Calibri"/>
          <w:sz w:val="24"/>
          <w:szCs w:val="24"/>
        </w:rPr>
        <w:t xml:space="preserve"> 9</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006123CF">
        <w:rPr>
          <w:rFonts w:ascii="Calibri" w:eastAsia="Times New Roman" w:hAnsi="Calibri" w:cs="Calibri"/>
          <w:sz w:val="24"/>
          <w:szCs w:val="24"/>
        </w:rPr>
        <w:t xml:space="preserve"> 10</w:t>
      </w:r>
      <w:r w:rsidRPr="00901491">
        <w:rPr>
          <w:rFonts w:ascii="Calibri" w:eastAsia="Times New Roman" w:hAnsi="Calibri" w:cs="Calibri"/>
          <w:sz w:val="24"/>
          <w:szCs w:val="24"/>
        </w:rPr>
        <w:br/>
      </w:r>
      <w:r w:rsidRPr="00901491">
        <w:rPr>
          <w:rFonts w:ascii="Calibri" w:eastAsia="Times New Roman" w:hAnsi="Calibri" w:cs="Calibri"/>
          <w:sz w:val="24"/>
          <w:szCs w:val="24"/>
        </w:rPr>
        <w:t> </w:t>
      </w:r>
      <w:r w:rsidRPr="00901491">
        <w:rPr>
          <w:rFonts w:ascii="Calibri" w:eastAsia="Times New Roman" w:hAnsi="Calibri" w:cs="Calibri"/>
          <w:sz w:val="24"/>
          <w:szCs w:val="24"/>
        </w:rPr>
        <w:t> </w:t>
      </w:r>
      <w:r w:rsidRPr="00901491">
        <w:rPr>
          <w:rFonts w:ascii="Calibri" w:eastAsia="Times New Roman" w:hAnsi="Calibri" w:cs="Calibri"/>
          <w:sz w:val="24"/>
          <w:szCs w:val="24"/>
        </w:rPr>
        <w:t>Component 4. Project Management, Monitoring, and Communication</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10</w:t>
      </w:r>
      <w:r w:rsidRPr="00901491">
        <w:rPr>
          <w:rFonts w:ascii="Calibri" w:eastAsia="Times New Roman" w:hAnsi="Calibri" w:cs="Calibri"/>
          <w:sz w:val="24"/>
          <w:szCs w:val="24"/>
        </w:rPr>
        <w:br/>
        <w:t>1.3. Project Environmental and Social Risks and Impacts</w:t>
      </w:r>
      <w:r w:rsidR="007F02CC">
        <w:rPr>
          <w:rFonts w:ascii="Calibri" w:eastAsia="Times New Roman" w:hAnsi="Calibri" w:cs="Calibri"/>
          <w:sz w:val="24"/>
          <w:szCs w:val="24"/>
        </w:rPr>
        <w:t>……………………………………………………</w:t>
      </w:r>
      <w:r w:rsidR="006123CF">
        <w:rPr>
          <w:rFonts w:ascii="Calibri" w:eastAsia="Times New Roman" w:hAnsi="Calibri" w:cs="Calibri"/>
          <w:sz w:val="24"/>
          <w:szCs w:val="24"/>
        </w:rPr>
        <w:t xml:space="preserve">…  </w:t>
      </w:r>
      <w:r w:rsidR="007F02CC">
        <w:rPr>
          <w:rFonts w:ascii="Calibri" w:eastAsia="Times New Roman" w:hAnsi="Calibri" w:cs="Calibri"/>
          <w:sz w:val="24"/>
          <w:szCs w:val="24"/>
        </w:rPr>
        <w:t>10</w:t>
      </w:r>
    </w:p>
    <w:p w14:paraId="32234368" w14:textId="77777777" w:rsidR="00901491" w:rsidRPr="00901491" w:rsidRDefault="00901491" w:rsidP="00901491">
      <w:pPr>
        <w:spacing w:before="100" w:beforeAutospacing="1" w:after="100" w:afterAutospacing="1" w:line="240" w:lineRule="auto"/>
        <w:rPr>
          <w:rFonts w:ascii="Calibri" w:eastAsia="Times New Roman" w:hAnsi="Calibri" w:cs="Calibri"/>
          <w:sz w:val="24"/>
          <w:szCs w:val="24"/>
        </w:rPr>
      </w:pPr>
      <w:r w:rsidRPr="00901491">
        <w:rPr>
          <w:rFonts w:ascii="Calibri" w:eastAsia="Times New Roman" w:hAnsi="Calibri" w:cs="Calibri"/>
          <w:b/>
          <w:bCs/>
          <w:sz w:val="24"/>
          <w:szCs w:val="24"/>
        </w:rPr>
        <w:t>II. BRIEF SUMMARY OF STAKEHOLDER ENGAGEMENT ACTIVITIES</w:t>
      </w:r>
      <w:r w:rsidR="006123CF">
        <w:rPr>
          <w:rFonts w:ascii="Calibri" w:eastAsia="Times New Roman" w:hAnsi="Calibri" w:cs="Calibri"/>
          <w:b/>
          <w:bCs/>
          <w:sz w:val="24"/>
          <w:szCs w:val="24"/>
        </w:rPr>
        <w:t>…………………………………….</w:t>
      </w:r>
      <w:r w:rsidR="00A420B8">
        <w:rPr>
          <w:rFonts w:ascii="Calibri" w:eastAsia="Times New Roman" w:hAnsi="Calibri" w:cs="Calibri"/>
          <w:b/>
          <w:bCs/>
          <w:sz w:val="24"/>
          <w:szCs w:val="24"/>
        </w:rPr>
        <w:t xml:space="preserve">   </w:t>
      </w:r>
      <w:r w:rsidR="00A420B8" w:rsidRPr="00A420B8">
        <w:rPr>
          <w:rFonts w:ascii="Calibri" w:eastAsia="Times New Roman" w:hAnsi="Calibri" w:cs="Calibri"/>
          <w:bCs/>
          <w:sz w:val="24"/>
          <w:szCs w:val="24"/>
        </w:rPr>
        <w:t>11</w:t>
      </w:r>
      <w:r w:rsidRPr="00901491">
        <w:rPr>
          <w:rFonts w:ascii="Calibri" w:eastAsia="Times New Roman" w:hAnsi="Calibri" w:cs="Calibri"/>
          <w:sz w:val="24"/>
          <w:szCs w:val="24"/>
        </w:rPr>
        <w:br/>
        <w:t>2.1. Stakeholders Consultation Activities Undertaken</w:t>
      </w:r>
      <w:r w:rsidR="006123CF">
        <w:rPr>
          <w:rFonts w:ascii="Calibri" w:eastAsia="Times New Roman" w:hAnsi="Calibri" w:cs="Calibri"/>
          <w:sz w:val="24"/>
          <w:szCs w:val="24"/>
        </w:rPr>
        <w:t>………………………………………………………….</w:t>
      </w:r>
      <w:r w:rsidR="00A420B8">
        <w:rPr>
          <w:rFonts w:ascii="Calibri" w:eastAsia="Times New Roman" w:hAnsi="Calibri" w:cs="Calibri"/>
          <w:sz w:val="24"/>
          <w:szCs w:val="24"/>
        </w:rPr>
        <w:t xml:space="preserve">   11</w:t>
      </w:r>
    </w:p>
    <w:p w14:paraId="0DDDB9BC" w14:textId="77777777" w:rsidR="006123CF" w:rsidRDefault="00901491" w:rsidP="006123CF">
      <w:pPr>
        <w:spacing w:before="120" w:after="0" w:line="240" w:lineRule="auto"/>
        <w:rPr>
          <w:rFonts w:ascii="Calibri" w:eastAsia="Times New Roman" w:hAnsi="Calibri" w:cs="Calibri"/>
          <w:sz w:val="24"/>
          <w:szCs w:val="24"/>
        </w:rPr>
      </w:pPr>
      <w:r w:rsidRPr="00901491">
        <w:rPr>
          <w:rFonts w:ascii="Calibri" w:eastAsia="Times New Roman" w:hAnsi="Calibri" w:cs="Calibri"/>
          <w:b/>
          <w:bCs/>
          <w:sz w:val="24"/>
          <w:szCs w:val="24"/>
        </w:rPr>
        <w:t>III. POLICY AND LEGAL REQUIREMENTS</w:t>
      </w:r>
      <w:r w:rsidR="006123CF">
        <w:rPr>
          <w:rFonts w:ascii="Calibri" w:eastAsia="Times New Roman" w:hAnsi="Calibri" w:cs="Calibri"/>
          <w:b/>
          <w:bCs/>
          <w:sz w:val="24"/>
          <w:szCs w:val="24"/>
        </w:rPr>
        <w:t>…………………………………………………………………………….</w:t>
      </w:r>
      <w:r w:rsidR="00A420B8">
        <w:rPr>
          <w:rFonts w:ascii="Calibri" w:eastAsia="Times New Roman" w:hAnsi="Calibri" w:cs="Calibri"/>
          <w:b/>
          <w:bCs/>
          <w:sz w:val="24"/>
          <w:szCs w:val="24"/>
        </w:rPr>
        <w:t xml:space="preserve">  </w:t>
      </w:r>
      <w:r w:rsidR="00A420B8" w:rsidRPr="00A420B8">
        <w:rPr>
          <w:rFonts w:ascii="Calibri" w:eastAsia="Times New Roman" w:hAnsi="Calibri" w:cs="Calibri"/>
          <w:bCs/>
          <w:sz w:val="24"/>
          <w:szCs w:val="24"/>
        </w:rPr>
        <w:t>12</w:t>
      </w:r>
      <w:r w:rsidRPr="00A420B8">
        <w:rPr>
          <w:rFonts w:ascii="Calibri" w:eastAsia="Times New Roman" w:hAnsi="Calibri" w:cs="Calibri"/>
          <w:sz w:val="24"/>
          <w:szCs w:val="24"/>
        </w:rPr>
        <w:br/>
      </w:r>
      <w:r w:rsidRPr="00901491">
        <w:rPr>
          <w:rFonts w:ascii="Calibri" w:eastAsia="Times New Roman" w:hAnsi="Calibri" w:cs="Calibri"/>
          <w:sz w:val="24"/>
          <w:szCs w:val="24"/>
        </w:rPr>
        <w:t>3.1. National Regulation</w:t>
      </w:r>
      <w:r w:rsidR="006123CF">
        <w:rPr>
          <w:rFonts w:ascii="Calibri" w:eastAsia="Times New Roman" w:hAnsi="Calibri" w:cs="Calibri"/>
          <w:sz w:val="24"/>
          <w:szCs w:val="24"/>
        </w:rPr>
        <w:t>……………………………………………………………………………………………………….</w:t>
      </w:r>
      <w:r w:rsidR="00A420B8">
        <w:rPr>
          <w:rFonts w:ascii="Calibri" w:eastAsia="Times New Roman" w:hAnsi="Calibri" w:cs="Calibri"/>
          <w:sz w:val="24"/>
          <w:szCs w:val="24"/>
        </w:rPr>
        <w:t xml:space="preserve">  13</w:t>
      </w:r>
      <w:r w:rsidRPr="00901491">
        <w:rPr>
          <w:rFonts w:ascii="Calibri" w:eastAsia="Times New Roman" w:hAnsi="Calibri" w:cs="Calibri"/>
          <w:sz w:val="24"/>
          <w:szCs w:val="24"/>
        </w:rPr>
        <w:br/>
        <w:t xml:space="preserve">3.2. World Bank Requirements for Stakeholder Engagement and Information Disclosure </w:t>
      </w:r>
    </w:p>
    <w:p w14:paraId="0E2B29AE" w14:textId="77777777" w:rsidR="00901491" w:rsidRPr="00901491" w:rsidRDefault="00901491" w:rsidP="006123CF">
      <w:pPr>
        <w:spacing w:before="120" w:after="0" w:line="240" w:lineRule="auto"/>
        <w:rPr>
          <w:rFonts w:ascii="Calibri" w:eastAsia="Times New Roman" w:hAnsi="Calibri" w:cs="Calibri"/>
          <w:sz w:val="24"/>
          <w:szCs w:val="24"/>
        </w:rPr>
      </w:pPr>
      <w:r w:rsidRPr="00901491">
        <w:rPr>
          <w:rFonts w:ascii="Calibri" w:eastAsia="Times New Roman" w:hAnsi="Calibri" w:cs="Calibri"/>
          <w:sz w:val="24"/>
          <w:szCs w:val="24"/>
        </w:rPr>
        <w:t>(ESS10)</w:t>
      </w:r>
      <w:r w:rsidR="00A420B8">
        <w:rPr>
          <w:rFonts w:ascii="Calibri" w:eastAsia="Times New Roman" w:hAnsi="Calibri" w:cs="Calibri"/>
          <w:sz w:val="24"/>
          <w:szCs w:val="24"/>
        </w:rPr>
        <w:t xml:space="preserve"> ……………………………………………………………………………………………………………………………</w:t>
      </w:r>
      <w:proofErr w:type="gramStart"/>
      <w:r w:rsidR="00A420B8">
        <w:rPr>
          <w:rFonts w:ascii="Calibri" w:eastAsia="Times New Roman" w:hAnsi="Calibri" w:cs="Calibri"/>
          <w:sz w:val="24"/>
          <w:szCs w:val="24"/>
        </w:rPr>
        <w:t>…..</w:t>
      </w:r>
      <w:proofErr w:type="gramEnd"/>
      <w:r w:rsidR="00A420B8">
        <w:rPr>
          <w:rFonts w:ascii="Calibri" w:eastAsia="Times New Roman" w:hAnsi="Calibri" w:cs="Calibri"/>
          <w:sz w:val="24"/>
          <w:szCs w:val="24"/>
        </w:rPr>
        <w:t xml:space="preserve">  13</w:t>
      </w:r>
    </w:p>
    <w:p w14:paraId="28EABD85" w14:textId="77777777" w:rsidR="00901491" w:rsidRPr="00901491" w:rsidRDefault="00901491" w:rsidP="00901491">
      <w:pPr>
        <w:spacing w:before="100" w:beforeAutospacing="1" w:after="100" w:afterAutospacing="1" w:line="240" w:lineRule="auto"/>
        <w:rPr>
          <w:rFonts w:ascii="Calibri" w:eastAsia="Times New Roman" w:hAnsi="Calibri" w:cs="Calibri"/>
          <w:sz w:val="24"/>
          <w:szCs w:val="24"/>
        </w:rPr>
      </w:pPr>
      <w:r w:rsidRPr="00901491">
        <w:rPr>
          <w:rFonts w:ascii="Calibri" w:eastAsia="Times New Roman" w:hAnsi="Calibri" w:cs="Calibri"/>
          <w:b/>
          <w:bCs/>
          <w:sz w:val="24"/>
          <w:szCs w:val="24"/>
        </w:rPr>
        <w:t>IV. STAKEHOLDER IDENTIFICATION AND ANALYSIS</w:t>
      </w:r>
      <w:r w:rsidR="00A420B8">
        <w:rPr>
          <w:rFonts w:ascii="Calibri" w:eastAsia="Times New Roman" w:hAnsi="Calibri" w:cs="Calibri"/>
          <w:b/>
          <w:bCs/>
          <w:sz w:val="24"/>
          <w:szCs w:val="24"/>
        </w:rPr>
        <w:t xml:space="preserve">………………………………………………………….   </w:t>
      </w:r>
      <w:r w:rsidR="00A420B8" w:rsidRPr="00A420B8">
        <w:rPr>
          <w:rFonts w:ascii="Calibri" w:eastAsia="Times New Roman" w:hAnsi="Calibri" w:cs="Calibri"/>
          <w:bCs/>
          <w:sz w:val="24"/>
          <w:szCs w:val="24"/>
        </w:rPr>
        <w:t>13</w:t>
      </w:r>
      <w:r w:rsidRPr="00901491">
        <w:rPr>
          <w:rFonts w:ascii="Calibri" w:eastAsia="Times New Roman" w:hAnsi="Calibri" w:cs="Calibri"/>
          <w:sz w:val="24"/>
          <w:szCs w:val="24"/>
        </w:rPr>
        <w:br/>
        <w:t>4.1. Methodology</w:t>
      </w:r>
      <w:r w:rsidR="00A420B8">
        <w:rPr>
          <w:rFonts w:ascii="Calibri" w:eastAsia="Times New Roman" w:hAnsi="Calibri" w:cs="Calibri"/>
          <w:sz w:val="24"/>
          <w:szCs w:val="24"/>
        </w:rPr>
        <w:t>……………………………………………………………………………………………………………</w:t>
      </w:r>
      <w:proofErr w:type="gramStart"/>
      <w:r w:rsidR="00A420B8">
        <w:rPr>
          <w:rFonts w:ascii="Calibri" w:eastAsia="Times New Roman" w:hAnsi="Calibri" w:cs="Calibri"/>
          <w:sz w:val="24"/>
          <w:szCs w:val="24"/>
        </w:rPr>
        <w:t>…..</w:t>
      </w:r>
      <w:proofErr w:type="gramEnd"/>
      <w:r w:rsidR="00A420B8">
        <w:rPr>
          <w:rFonts w:ascii="Calibri" w:eastAsia="Times New Roman" w:hAnsi="Calibri" w:cs="Calibri"/>
          <w:sz w:val="24"/>
          <w:szCs w:val="24"/>
        </w:rPr>
        <w:t xml:space="preserve">   14</w:t>
      </w:r>
      <w:r w:rsidRPr="00901491">
        <w:rPr>
          <w:rFonts w:ascii="Calibri" w:eastAsia="Times New Roman" w:hAnsi="Calibri" w:cs="Calibri"/>
          <w:sz w:val="24"/>
          <w:szCs w:val="24"/>
        </w:rPr>
        <w:br/>
        <w:t>4.2. Stakeholder Mapping</w:t>
      </w:r>
      <w:r w:rsidR="00A420B8">
        <w:rPr>
          <w:rFonts w:ascii="Calibri" w:eastAsia="Times New Roman" w:hAnsi="Calibri" w:cs="Calibri"/>
          <w:sz w:val="24"/>
          <w:szCs w:val="24"/>
        </w:rPr>
        <w:t>……………………………………………………………………………………………………   15</w:t>
      </w:r>
      <w:r w:rsidRPr="00901491">
        <w:rPr>
          <w:rFonts w:ascii="Calibri" w:eastAsia="Times New Roman" w:hAnsi="Calibri" w:cs="Calibri"/>
          <w:sz w:val="24"/>
          <w:szCs w:val="24"/>
        </w:rPr>
        <w:br/>
        <w:t>4.3. Project Affected Parties</w:t>
      </w:r>
      <w:r w:rsidR="00A420B8">
        <w:rPr>
          <w:rFonts w:ascii="Calibri" w:eastAsia="Times New Roman" w:hAnsi="Calibri" w:cs="Calibri"/>
          <w:sz w:val="24"/>
          <w:szCs w:val="24"/>
        </w:rPr>
        <w:t>……………………………………………………………………………………………</w:t>
      </w:r>
      <w:proofErr w:type="gramStart"/>
      <w:r w:rsidR="00A420B8">
        <w:rPr>
          <w:rFonts w:ascii="Calibri" w:eastAsia="Times New Roman" w:hAnsi="Calibri" w:cs="Calibri"/>
          <w:sz w:val="24"/>
          <w:szCs w:val="24"/>
        </w:rPr>
        <w:t>…..</w:t>
      </w:r>
      <w:proofErr w:type="gramEnd"/>
      <w:r w:rsidR="00A420B8">
        <w:rPr>
          <w:rFonts w:ascii="Calibri" w:eastAsia="Times New Roman" w:hAnsi="Calibri" w:cs="Calibri"/>
          <w:sz w:val="24"/>
          <w:szCs w:val="24"/>
        </w:rPr>
        <w:t xml:space="preserve">   15</w:t>
      </w:r>
      <w:r w:rsidRPr="00901491">
        <w:rPr>
          <w:rFonts w:ascii="Calibri" w:eastAsia="Times New Roman" w:hAnsi="Calibri" w:cs="Calibri"/>
          <w:sz w:val="24"/>
          <w:szCs w:val="24"/>
        </w:rPr>
        <w:br/>
        <w:t>4.4. Other Interested Parties</w:t>
      </w:r>
      <w:r w:rsidR="00A420B8">
        <w:rPr>
          <w:rFonts w:ascii="Calibri" w:eastAsia="Times New Roman" w:hAnsi="Calibri" w:cs="Calibri"/>
          <w:sz w:val="24"/>
          <w:szCs w:val="24"/>
        </w:rPr>
        <w:t>……………………………………………………………………………………………….   19</w:t>
      </w:r>
      <w:r w:rsidRPr="00901491">
        <w:rPr>
          <w:rFonts w:ascii="Calibri" w:eastAsia="Times New Roman" w:hAnsi="Calibri" w:cs="Calibri"/>
          <w:sz w:val="24"/>
          <w:szCs w:val="24"/>
        </w:rPr>
        <w:br/>
        <w:t>4.5. Disadvantaged and Vulnerable Individuals or Groups</w:t>
      </w:r>
      <w:r w:rsidR="00A420B8">
        <w:rPr>
          <w:rFonts w:ascii="Calibri" w:eastAsia="Times New Roman" w:hAnsi="Calibri" w:cs="Calibri"/>
          <w:sz w:val="24"/>
          <w:szCs w:val="24"/>
        </w:rPr>
        <w:t>………………………………………………</w:t>
      </w:r>
      <w:proofErr w:type="gramStart"/>
      <w:r w:rsidR="00A420B8">
        <w:rPr>
          <w:rFonts w:ascii="Calibri" w:eastAsia="Times New Roman" w:hAnsi="Calibri" w:cs="Calibri"/>
          <w:sz w:val="24"/>
          <w:szCs w:val="24"/>
        </w:rPr>
        <w:t>…..</w:t>
      </w:r>
      <w:proofErr w:type="gramEnd"/>
      <w:r w:rsidR="00A420B8">
        <w:rPr>
          <w:rFonts w:ascii="Calibri" w:eastAsia="Times New Roman" w:hAnsi="Calibri" w:cs="Calibri"/>
          <w:sz w:val="24"/>
          <w:szCs w:val="24"/>
        </w:rPr>
        <w:t xml:space="preserve">   20</w:t>
      </w:r>
    </w:p>
    <w:p w14:paraId="507571D4" w14:textId="77777777" w:rsidR="00901491" w:rsidRPr="00901491" w:rsidRDefault="00901491" w:rsidP="00901491">
      <w:pPr>
        <w:spacing w:before="100" w:beforeAutospacing="1" w:after="100" w:afterAutospacing="1" w:line="240" w:lineRule="auto"/>
        <w:rPr>
          <w:rFonts w:ascii="Calibri" w:eastAsia="Times New Roman" w:hAnsi="Calibri" w:cs="Calibri"/>
          <w:sz w:val="24"/>
          <w:szCs w:val="24"/>
        </w:rPr>
      </w:pPr>
      <w:r w:rsidRPr="00901491">
        <w:rPr>
          <w:rFonts w:ascii="Calibri" w:eastAsia="Times New Roman" w:hAnsi="Calibri" w:cs="Calibri"/>
          <w:b/>
          <w:bCs/>
          <w:sz w:val="24"/>
          <w:szCs w:val="24"/>
        </w:rPr>
        <w:t>V. STAKEHOLDER ENGAGEMENT PROGRAM</w:t>
      </w:r>
      <w:r w:rsidR="00A420B8">
        <w:rPr>
          <w:rFonts w:ascii="Calibri" w:eastAsia="Times New Roman" w:hAnsi="Calibri" w:cs="Calibri"/>
          <w:b/>
          <w:bCs/>
          <w:sz w:val="24"/>
          <w:szCs w:val="24"/>
        </w:rPr>
        <w:t xml:space="preserve">……………………………………………………………………    </w:t>
      </w:r>
      <w:r w:rsidR="00A420B8" w:rsidRPr="00A420B8">
        <w:rPr>
          <w:rFonts w:ascii="Calibri" w:eastAsia="Times New Roman" w:hAnsi="Calibri" w:cs="Calibri"/>
          <w:bCs/>
          <w:sz w:val="24"/>
          <w:szCs w:val="24"/>
        </w:rPr>
        <w:t>21</w:t>
      </w:r>
      <w:r w:rsidRPr="00901491">
        <w:rPr>
          <w:rFonts w:ascii="Calibri" w:eastAsia="Times New Roman" w:hAnsi="Calibri" w:cs="Calibri"/>
          <w:sz w:val="24"/>
          <w:szCs w:val="24"/>
        </w:rPr>
        <w:br/>
        <w:t>5.1. Purpose and Timing of Stakeholder Engagement Program</w:t>
      </w:r>
      <w:r w:rsidR="00A420B8">
        <w:rPr>
          <w:rFonts w:ascii="Calibri" w:eastAsia="Times New Roman" w:hAnsi="Calibri" w:cs="Calibri"/>
          <w:sz w:val="24"/>
          <w:szCs w:val="24"/>
        </w:rPr>
        <w:t>………………………………………</w:t>
      </w:r>
      <w:proofErr w:type="gramStart"/>
      <w:r w:rsidR="00A420B8">
        <w:rPr>
          <w:rFonts w:ascii="Calibri" w:eastAsia="Times New Roman" w:hAnsi="Calibri" w:cs="Calibri"/>
          <w:sz w:val="24"/>
          <w:szCs w:val="24"/>
        </w:rPr>
        <w:t>…..</w:t>
      </w:r>
      <w:proofErr w:type="gramEnd"/>
      <w:r w:rsidR="00A420B8">
        <w:rPr>
          <w:rFonts w:ascii="Calibri" w:eastAsia="Times New Roman" w:hAnsi="Calibri" w:cs="Calibri"/>
          <w:sz w:val="24"/>
          <w:szCs w:val="24"/>
        </w:rPr>
        <w:t xml:space="preserve">    21</w:t>
      </w:r>
      <w:r w:rsidRPr="00901491">
        <w:rPr>
          <w:rFonts w:ascii="Calibri" w:eastAsia="Times New Roman" w:hAnsi="Calibri" w:cs="Calibri"/>
          <w:sz w:val="24"/>
          <w:szCs w:val="24"/>
        </w:rPr>
        <w:br/>
        <w:t>5.2. Proposed Strategy for Information Disclosure</w:t>
      </w:r>
      <w:r w:rsidR="00A420B8">
        <w:rPr>
          <w:rFonts w:ascii="Calibri" w:eastAsia="Times New Roman" w:hAnsi="Calibri" w:cs="Calibri"/>
          <w:sz w:val="24"/>
          <w:szCs w:val="24"/>
        </w:rPr>
        <w:t>…………………………………………………………</w:t>
      </w:r>
      <w:proofErr w:type="gramStart"/>
      <w:r w:rsidR="00A420B8">
        <w:rPr>
          <w:rFonts w:ascii="Calibri" w:eastAsia="Times New Roman" w:hAnsi="Calibri" w:cs="Calibri"/>
          <w:sz w:val="24"/>
          <w:szCs w:val="24"/>
        </w:rPr>
        <w:t>…..</w:t>
      </w:r>
      <w:proofErr w:type="gramEnd"/>
      <w:r w:rsidR="00A420B8">
        <w:rPr>
          <w:rFonts w:ascii="Calibri" w:eastAsia="Times New Roman" w:hAnsi="Calibri" w:cs="Calibri"/>
          <w:sz w:val="24"/>
          <w:szCs w:val="24"/>
        </w:rPr>
        <w:t xml:space="preserve">    24</w:t>
      </w:r>
      <w:r w:rsidRPr="00901491">
        <w:rPr>
          <w:rFonts w:ascii="Calibri" w:eastAsia="Times New Roman" w:hAnsi="Calibri" w:cs="Calibri"/>
          <w:sz w:val="24"/>
          <w:szCs w:val="24"/>
        </w:rPr>
        <w:br/>
      </w:r>
      <w:r w:rsidRPr="00901491">
        <w:rPr>
          <w:rFonts w:ascii="Calibri" w:eastAsia="Times New Roman" w:hAnsi="Calibri" w:cs="Calibri"/>
          <w:sz w:val="24"/>
          <w:szCs w:val="24"/>
        </w:rPr>
        <w:lastRenderedPageBreak/>
        <w:t>5.3. Proposed Strategy for Consultation</w:t>
      </w:r>
      <w:r w:rsidR="00A420B8">
        <w:rPr>
          <w:rFonts w:ascii="Calibri" w:eastAsia="Times New Roman" w:hAnsi="Calibri" w:cs="Calibri"/>
          <w:sz w:val="24"/>
          <w:szCs w:val="24"/>
        </w:rPr>
        <w:t>…………………………………………………………………………</w:t>
      </w:r>
      <w:proofErr w:type="gramStart"/>
      <w:r w:rsidR="00A420B8">
        <w:rPr>
          <w:rFonts w:ascii="Calibri" w:eastAsia="Times New Roman" w:hAnsi="Calibri" w:cs="Calibri"/>
          <w:sz w:val="24"/>
          <w:szCs w:val="24"/>
        </w:rPr>
        <w:t>…..</w:t>
      </w:r>
      <w:proofErr w:type="gramEnd"/>
      <w:r w:rsidR="00A420B8">
        <w:rPr>
          <w:rFonts w:ascii="Calibri" w:eastAsia="Times New Roman" w:hAnsi="Calibri" w:cs="Calibri"/>
          <w:sz w:val="24"/>
          <w:szCs w:val="24"/>
        </w:rPr>
        <w:t xml:space="preserve">    25</w:t>
      </w:r>
      <w:r w:rsidRPr="00901491">
        <w:rPr>
          <w:rFonts w:ascii="Calibri" w:eastAsia="Times New Roman" w:hAnsi="Calibri" w:cs="Calibri"/>
          <w:sz w:val="24"/>
          <w:szCs w:val="24"/>
        </w:rPr>
        <w:br/>
        <w:t>5.4. Stakeholder Engagement Methods to Be Used in the Next Stages</w:t>
      </w:r>
      <w:r w:rsidR="00A420B8">
        <w:rPr>
          <w:rFonts w:ascii="Calibri" w:eastAsia="Times New Roman" w:hAnsi="Calibri" w:cs="Calibri"/>
          <w:sz w:val="24"/>
          <w:szCs w:val="24"/>
        </w:rPr>
        <w:t>……………………………….    26</w:t>
      </w:r>
      <w:r w:rsidRPr="00901491">
        <w:rPr>
          <w:rFonts w:ascii="Calibri" w:eastAsia="Times New Roman" w:hAnsi="Calibri" w:cs="Calibri"/>
          <w:sz w:val="24"/>
          <w:szCs w:val="24"/>
        </w:rPr>
        <w:br/>
        <w:t>5.5. Proposed Strategy to Incorporate the Views of Vulnerable Groups</w:t>
      </w:r>
      <w:r w:rsidR="00A420B8">
        <w:rPr>
          <w:rFonts w:ascii="Calibri" w:eastAsia="Times New Roman" w:hAnsi="Calibri" w:cs="Calibri"/>
          <w:sz w:val="24"/>
          <w:szCs w:val="24"/>
        </w:rPr>
        <w:t>…………………………</w:t>
      </w:r>
      <w:proofErr w:type="gramStart"/>
      <w:r w:rsidR="00A420B8">
        <w:rPr>
          <w:rFonts w:ascii="Calibri" w:eastAsia="Times New Roman" w:hAnsi="Calibri" w:cs="Calibri"/>
          <w:sz w:val="24"/>
          <w:szCs w:val="24"/>
        </w:rPr>
        <w:t>…..</w:t>
      </w:r>
      <w:proofErr w:type="gramEnd"/>
      <w:r w:rsidR="00A420B8">
        <w:rPr>
          <w:rFonts w:ascii="Calibri" w:eastAsia="Times New Roman" w:hAnsi="Calibri" w:cs="Calibri"/>
          <w:sz w:val="24"/>
          <w:szCs w:val="24"/>
        </w:rPr>
        <w:t xml:space="preserve">    27</w:t>
      </w:r>
      <w:r w:rsidRPr="00901491">
        <w:rPr>
          <w:rFonts w:ascii="Calibri" w:eastAsia="Times New Roman" w:hAnsi="Calibri" w:cs="Calibri"/>
          <w:sz w:val="24"/>
          <w:szCs w:val="24"/>
        </w:rPr>
        <w:br/>
        <w:t>5.7. Project Timelines</w:t>
      </w:r>
      <w:r w:rsidRPr="00901491">
        <w:rPr>
          <w:rFonts w:ascii="Calibri" w:eastAsia="Times New Roman" w:hAnsi="Calibri" w:cs="Calibri"/>
          <w:sz w:val="24"/>
          <w:szCs w:val="24"/>
        </w:rPr>
        <w:br/>
        <w:t>5.8. Information Disclosure</w:t>
      </w:r>
      <w:r w:rsidR="00A420B8">
        <w:rPr>
          <w:rFonts w:ascii="Calibri" w:eastAsia="Times New Roman" w:hAnsi="Calibri" w:cs="Calibri"/>
          <w:sz w:val="24"/>
          <w:szCs w:val="24"/>
        </w:rPr>
        <w:t>……………………………………………………………………………………………….  28</w:t>
      </w:r>
      <w:r w:rsidRPr="00901491">
        <w:rPr>
          <w:rFonts w:ascii="Calibri" w:eastAsia="Times New Roman" w:hAnsi="Calibri" w:cs="Calibri"/>
          <w:sz w:val="24"/>
          <w:szCs w:val="24"/>
        </w:rPr>
        <w:br/>
        <w:t>5.9. Review of Comments</w:t>
      </w:r>
      <w:r w:rsidR="00A420B8">
        <w:rPr>
          <w:rFonts w:ascii="Calibri" w:eastAsia="Times New Roman" w:hAnsi="Calibri" w:cs="Calibri"/>
          <w:sz w:val="24"/>
          <w:szCs w:val="24"/>
        </w:rPr>
        <w:t>………………………………………………………………………………………………….  28</w:t>
      </w:r>
    </w:p>
    <w:p w14:paraId="449CBC0A" w14:textId="77777777" w:rsidR="00901491" w:rsidRPr="00901491" w:rsidRDefault="00901491" w:rsidP="00780301">
      <w:pPr>
        <w:spacing w:before="100" w:beforeAutospacing="1" w:after="100" w:afterAutospacing="1" w:line="240" w:lineRule="auto"/>
        <w:rPr>
          <w:rFonts w:ascii="Calibri" w:eastAsia="Times New Roman" w:hAnsi="Calibri" w:cs="Calibri"/>
          <w:sz w:val="24"/>
          <w:szCs w:val="24"/>
        </w:rPr>
      </w:pPr>
      <w:r w:rsidRPr="00901491">
        <w:rPr>
          <w:rFonts w:ascii="Calibri" w:eastAsia="Times New Roman" w:hAnsi="Calibri" w:cs="Calibri"/>
          <w:b/>
          <w:bCs/>
          <w:sz w:val="24"/>
          <w:szCs w:val="24"/>
        </w:rPr>
        <w:t>VI. RESOURCES AND RESPONSIBILITIES FOR IMPLEMENTING STAKEHOLDER ENGAGEMENT ACTIVITIES</w:t>
      </w:r>
      <w:r w:rsidR="00A420B8">
        <w:rPr>
          <w:rFonts w:ascii="Calibri" w:eastAsia="Times New Roman" w:hAnsi="Calibri" w:cs="Calibri"/>
          <w:b/>
          <w:bCs/>
          <w:sz w:val="24"/>
          <w:szCs w:val="24"/>
        </w:rPr>
        <w:t xml:space="preserve">…………………………………………………………………………………………………………………….  </w:t>
      </w:r>
      <w:r w:rsidR="00A420B8" w:rsidRPr="00A420B8">
        <w:rPr>
          <w:rFonts w:ascii="Calibri" w:eastAsia="Times New Roman" w:hAnsi="Calibri" w:cs="Calibri"/>
          <w:bCs/>
          <w:sz w:val="24"/>
          <w:szCs w:val="24"/>
        </w:rPr>
        <w:t>29</w:t>
      </w:r>
      <w:r w:rsidRPr="00901491">
        <w:rPr>
          <w:rFonts w:ascii="Calibri" w:eastAsia="Times New Roman" w:hAnsi="Calibri" w:cs="Calibri"/>
          <w:sz w:val="24"/>
          <w:szCs w:val="24"/>
        </w:rPr>
        <w:br/>
        <w:t>6.1. Resources</w:t>
      </w:r>
      <w:r w:rsidR="00A420B8">
        <w:rPr>
          <w:rFonts w:ascii="Calibri" w:eastAsia="Times New Roman" w:hAnsi="Calibri" w:cs="Calibri"/>
          <w:sz w:val="24"/>
          <w:szCs w:val="24"/>
        </w:rPr>
        <w:t>………………………………………………………………………………………………………………</w:t>
      </w:r>
      <w:proofErr w:type="gramStart"/>
      <w:r w:rsidR="00A420B8">
        <w:rPr>
          <w:rFonts w:ascii="Calibri" w:eastAsia="Times New Roman" w:hAnsi="Calibri" w:cs="Calibri"/>
          <w:sz w:val="24"/>
          <w:szCs w:val="24"/>
        </w:rPr>
        <w:t>…..</w:t>
      </w:r>
      <w:proofErr w:type="gramEnd"/>
      <w:r w:rsidR="00A420B8">
        <w:rPr>
          <w:rFonts w:ascii="Calibri" w:eastAsia="Times New Roman" w:hAnsi="Calibri" w:cs="Calibri"/>
          <w:sz w:val="24"/>
          <w:szCs w:val="24"/>
        </w:rPr>
        <w:t xml:space="preserve">  29</w:t>
      </w:r>
      <w:r w:rsidRPr="00901491">
        <w:rPr>
          <w:rFonts w:ascii="Calibri" w:eastAsia="Times New Roman" w:hAnsi="Calibri" w:cs="Calibri"/>
          <w:sz w:val="24"/>
          <w:szCs w:val="24"/>
        </w:rPr>
        <w:br/>
        <w:t>6.2. Management Functions and Responsibilities</w:t>
      </w:r>
      <w:r w:rsidR="00A420B8">
        <w:rPr>
          <w:rFonts w:ascii="Calibri" w:eastAsia="Times New Roman" w:hAnsi="Calibri" w:cs="Calibri"/>
          <w:sz w:val="24"/>
          <w:szCs w:val="24"/>
        </w:rPr>
        <w:t>…………………………………………………………</w:t>
      </w:r>
      <w:proofErr w:type="gramStart"/>
      <w:r w:rsidR="00A420B8">
        <w:rPr>
          <w:rFonts w:ascii="Calibri" w:eastAsia="Times New Roman" w:hAnsi="Calibri" w:cs="Calibri"/>
          <w:sz w:val="24"/>
          <w:szCs w:val="24"/>
        </w:rPr>
        <w:t>…..</w:t>
      </w:r>
      <w:proofErr w:type="gramEnd"/>
      <w:r w:rsidR="00A420B8">
        <w:rPr>
          <w:rFonts w:ascii="Calibri" w:eastAsia="Times New Roman" w:hAnsi="Calibri" w:cs="Calibri"/>
          <w:sz w:val="24"/>
          <w:szCs w:val="24"/>
        </w:rPr>
        <w:t xml:space="preserve">  30</w:t>
      </w:r>
      <w:r w:rsidRPr="00901491">
        <w:rPr>
          <w:rFonts w:ascii="Calibri" w:eastAsia="Times New Roman" w:hAnsi="Calibri" w:cs="Calibri"/>
          <w:sz w:val="24"/>
          <w:szCs w:val="24"/>
        </w:rPr>
        <w:br/>
        <w:t>6.3. Budget for the SEP Preparation and Implementation</w:t>
      </w:r>
      <w:r w:rsidR="00A420B8">
        <w:rPr>
          <w:rFonts w:ascii="Calibri" w:eastAsia="Times New Roman" w:hAnsi="Calibri" w:cs="Calibri"/>
          <w:sz w:val="24"/>
          <w:szCs w:val="24"/>
        </w:rPr>
        <w:t>…………………………………………………  31</w:t>
      </w:r>
    </w:p>
    <w:p w14:paraId="4BE6A64C" w14:textId="77777777" w:rsidR="00780301" w:rsidRPr="00780301" w:rsidRDefault="00901491" w:rsidP="00780301">
      <w:pPr>
        <w:spacing w:before="100" w:beforeAutospacing="1" w:after="100" w:afterAutospacing="1" w:line="240" w:lineRule="auto"/>
        <w:rPr>
          <w:rFonts w:ascii="Calibri" w:eastAsia="Times New Roman" w:hAnsi="Calibri" w:cs="Calibri"/>
          <w:bCs/>
          <w:sz w:val="24"/>
          <w:szCs w:val="24"/>
        </w:rPr>
      </w:pPr>
      <w:r w:rsidRPr="00901491">
        <w:rPr>
          <w:rFonts w:ascii="Calibri" w:eastAsia="Times New Roman" w:hAnsi="Calibri" w:cs="Calibri"/>
          <w:b/>
          <w:bCs/>
          <w:sz w:val="24"/>
          <w:szCs w:val="24"/>
        </w:rPr>
        <w:t xml:space="preserve">VII. </w:t>
      </w:r>
      <w:r w:rsidRPr="00780301">
        <w:rPr>
          <w:rFonts w:ascii="Calibri" w:eastAsia="Times New Roman" w:hAnsi="Calibri" w:cs="Calibri"/>
          <w:b/>
          <w:sz w:val="24"/>
          <w:szCs w:val="24"/>
        </w:rPr>
        <w:t>GRIEVANCE</w:t>
      </w:r>
      <w:r w:rsidRPr="00901491">
        <w:rPr>
          <w:rFonts w:ascii="Calibri" w:eastAsia="Times New Roman" w:hAnsi="Calibri" w:cs="Calibri"/>
          <w:b/>
          <w:bCs/>
          <w:sz w:val="24"/>
          <w:szCs w:val="24"/>
        </w:rPr>
        <w:t xml:space="preserve"> REDRESS MECHANISM (GRM)</w:t>
      </w:r>
      <w:r w:rsidR="00A420B8">
        <w:rPr>
          <w:rFonts w:ascii="Calibri" w:eastAsia="Times New Roman" w:hAnsi="Calibri" w:cs="Calibri"/>
          <w:b/>
          <w:bCs/>
          <w:sz w:val="24"/>
          <w:szCs w:val="24"/>
        </w:rPr>
        <w:t>………………………………………………………………</w:t>
      </w:r>
      <w:r w:rsidR="00780301">
        <w:rPr>
          <w:rFonts w:ascii="Calibri" w:eastAsia="Times New Roman" w:hAnsi="Calibri" w:cs="Calibri"/>
          <w:b/>
          <w:bCs/>
          <w:sz w:val="24"/>
          <w:szCs w:val="24"/>
        </w:rPr>
        <w:t xml:space="preserve">  </w:t>
      </w:r>
      <w:r w:rsidR="00780301" w:rsidRPr="00780301">
        <w:rPr>
          <w:rFonts w:ascii="Calibri" w:eastAsia="Times New Roman" w:hAnsi="Calibri" w:cs="Calibri"/>
          <w:bCs/>
          <w:sz w:val="24"/>
          <w:szCs w:val="24"/>
        </w:rPr>
        <w:t>32</w:t>
      </w:r>
    </w:p>
    <w:p w14:paraId="6A868334" w14:textId="77777777" w:rsidR="00780301" w:rsidRPr="00780301" w:rsidRDefault="00780301" w:rsidP="00780301">
      <w:pPr>
        <w:spacing w:before="100" w:beforeAutospacing="1" w:after="100" w:afterAutospacing="1" w:line="240" w:lineRule="auto"/>
        <w:rPr>
          <w:rFonts w:ascii="Calibri" w:eastAsia="Times New Roman" w:hAnsi="Calibri" w:cs="Calibri"/>
          <w:bCs/>
          <w:sz w:val="24"/>
          <w:szCs w:val="24"/>
        </w:rPr>
      </w:pPr>
      <w:r w:rsidRPr="00780301">
        <w:rPr>
          <w:rFonts w:ascii="Calibri" w:eastAsia="Times New Roman" w:hAnsi="Calibri" w:cs="Calibri"/>
          <w:bCs/>
          <w:sz w:val="24"/>
          <w:szCs w:val="24"/>
        </w:rPr>
        <w:t>7.1.</w:t>
      </w:r>
      <w:r>
        <w:rPr>
          <w:rFonts w:ascii="Calibri" w:eastAsia="Times New Roman" w:hAnsi="Calibri" w:cs="Calibri"/>
          <w:bCs/>
          <w:sz w:val="24"/>
          <w:szCs w:val="24"/>
        </w:rPr>
        <w:t xml:space="preserve"> Grievance Procedure…………………………………………………………………………………………………. 33</w:t>
      </w:r>
    </w:p>
    <w:p w14:paraId="45645AAD" w14:textId="77777777" w:rsidR="00901491" w:rsidRPr="00780301" w:rsidRDefault="00901491" w:rsidP="00901491">
      <w:pPr>
        <w:spacing w:before="100" w:beforeAutospacing="1" w:after="100" w:afterAutospacing="1" w:line="240" w:lineRule="auto"/>
        <w:rPr>
          <w:rFonts w:ascii="Calibri" w:eastAsia="Times New Roman" w:hAnsi="Calibri" w:cs="Calibri"/>
          <w:sz w:val="24"/>
          <w:szCs w:val="24"/>
        </w:rPr>
      </w:pPr>
      <w:r w:rsidRPr="00901491">
        <w:rPr>
          <w:rFonts w:ascii="Calibri" w:eastAsia="Times New Roman" w:hAnsi="Calibri" w:cs="Calibri"/>
          <w:b/>
          <w:bCs/>
          <w:sz w:val="24"/>
          <w:szCs w:val="24"/>
        </w:rPr>
        <w:t>VIII. MONITORING AND REPORTING</w:t>
      </w:r>
      <w:r w:rsidR="00780301">
        <w:rPr>
          <w:rFonts w:ascii="Calibri" w:eastAsia="Times New Roman" w:hAnsi="Calibri" w:cs="Calibri"/>
          <w:b/>
          <w:bCs/>
          <w:sz w:val="24"/>
          <w:szCs w:val="24"/>
        </w:rPr>
        <w:t>…………………………………………………………………………</w:t>
      </w:r>
      <w:proofErr w:type="gramStart"/>
      <w:r w:rsidR="00780301">
        <w:rPr>
          <w:rFonts w:ascii="Calibri" w:eastAsia="Times New Roman" w:hAnsi="Calibri" w:cs="Calibri"/>
          <w:b/>
          <w:bCs/>
          <w:sz w:val="24"/>
          <w:szCs w:val="24"/>
        </w:rPr>
        <w:t>…..</w:t>
      </w:r>
      <w:proofErr w:type="gramEnd"/>
      <w:r w:rsidR="00780301">
        <w:rPr>
          <w:rFonts w:ascii="Calibri" w:eastAsia="Times New Roman" w:hAnsi="Calibri" w:cs="Calibri"/>
          <w:b/>
          <w:bCs/>
          <w:sz w:val="24"/>
          <w:szCs w:val="24"/>
        </w:rPr>
        <w:t xml:space="preserve"> </w:t>
      </w:r>
      <w:r w:rsidR="00780301" w:rsidRPr="00780301">
        <w:rPr>
          <w:rFonts w:ascii="Calibri" w:eastAsia="Times New Roman" w:hAnsi="Calibri" w:cs="Calibri"/>
          <w:bCs/>
          <w:sz w:val="24"/>
          <w:szCs w:val="24"/>
        </w:rPr>
        <w:t>34</w:t>
      </w:r>
    </w:p>
    <w:p w14:paraId="35F77132" w14:textId="77777777" w:rsidR="00901491" w:rsidRPr="00901491" w:rsidRDefault="00901491" w:rsidP="00901491">
      <w:pPr>
        <w:spacing w:before="100" w:beforeAutospacing="1" w:after="100" w:afterAutospacing="1" w:line="240" w:lineRule="auto"/>
        <w:rPr>
          <w:rFonts w:ascii="Calibri" w:eastAsia="Times New Roman" w:hAnsi="Calibri" w:cs="Calibri"/>
          <w:sz w:val="24"/>
          <w:szCs w:val="24"/>
        </w:rPr>
      </w:pPr>
      <w:r w:rsidRPr="00901491">
        <w:rPr>
          <w:rFonts w:ascii="Calibri" w:eastAsia="Times New Roman" w:hAnsi="Calibri" w:cs="Calibri"/>
          <w:b/>
          <w:bCs/>
          <w:sz w:val="24"/>
          <w:szCs w:val="24"/>
        </w:rPr>
        <w:t>ANNEXES</w:t>
      </w:r>
      <w:r w:rsidRPr="00901491">
        <w:rPr>
          <w:rFonts w:ascii="Calibri" w:eastAsia="Times New Roman" w:hAnsi="Calibri" w:cs="Calibri"/>
          <w:sz w:val="24"/>
          <w:szCs w:val="24"/>
        </w:rPr>
        <w:br/>
        <w:t>Annex 1: Template to Record Grievances / Grievance Log</w:t>
      </w:r>
      <w:r w:rsidR="00780301">
        <w:rPr>
          <w:rFonts w:ascii="Calibri" w:eastAsia="Times New Roman" w:hAnsi="Calibri" w:cs="Calibri"/>
          <w:sz w:val="24"/>
          <w:szCs w:val="24"/>
        </w:rPr>
        <w:t>……………………………………………</w:t>
      </w:r>
      <w:proofErr w:type="gramStart"/>
      <w:r w:rsidR="00780301">
        <w:rPr>
          <w:rFonts w:ascii="Calibri" w:eastAsia="Times New Roman" w:hAnsi="Calibri" w:cs="Calibri"/>
          <w:sz w:val="24"/>
          <w:szCs w:val="24"/>
        </w:rPr>
        <w:t>…..</w:t>
      </w:r>
      <w:proofErr w:type="gramEnd"/>
      <w:r w:rsidR="00780301">
        <w:rPr>
          <w:rFonts w:ascii="Calibri" w:eastAsia="Times New Roman" w:hAnsi="Calibri" w:cs="Calibri"/>
          <w:sz w:val="24"/>
          <w:szCs w:val="24"/>
        </w:rPr>
        <w:t xml:space="preserve">  35</w:t>
      </w:r>
      <w:r w:rsidRPr="00901491">
        <w:rPr>
          <w:rFonts w:ascii="Calibri" w:eastAsia="Times New Roman" w:hAnsi="Calibri" w:cs="Calibri"/>
          <w:sz w:val="24"/>
          <w:szCs w:val="24"/>
        </w:rPr>
        <w:br/>
        <w:t>Annex 2: Sample Form to Submit Grievances</w:t>
      </w:r>
      <w:r w:rsidR="00780301">
        <w:rPr>
          <w:rFonts w:ascii="Calibri" w:eastAsia="Times New Roman" w:hAnsi="Calibri" w:cs="Calibri"/>
          <w:sz w:val="24"/>
          <w:szCs w:val="24"/>
        </w:rPr>
        <w:t>……………………………………………………………………  36</w:t>
      </w:r>
      <w:r w:rsidRPr="00901491">
        <w:rPr>
          <w:rFonts w:ascii="Calibri" w:eastAsia="Times New Roman" w:hAnsi="Calibri" w:cs="Calibri"/>
          <w:sz w:val="24"/>
          <w:szCs w:val="24"/>
        </w:rPr>
        <w:br/>
        <w:t>Annex 3: Template to Record Consultations</w:t>
      </w:r>
      <w:r w:rsidR="00780301">
        <w:rPr>
          <w:rFonts w:ascii="Calibri" w:eastAsia="Times New Roman" w:hAnsi="Calibri" w:cs="Calibri"/>
          <w:sz w:val="24"/>
          <w:szCs w:val="24"/>
        </w:rPr>
        <w:t>…………………………………………………………………</w:t>
      </w:r>
      <w:proofErr w:type="gramStart"/>
      <w:r w:rsidR="00780301">
        <w:rPr>
          <w:rFonts w:ascii="Calibri" w:eastAsia="Times New Roman" w:hAnsi="Calibri" w:cs="Calibri"/>
          <w:sz w:val="24"/>
          <w:szCs w:val="24"/>
        </w:rPr>
        <w:t>…..</w:t>
      </w:r>
      <w:proofErr w:type="gramEnd"/>
      <w:r w:rsidR="00780301">
        <w:rPr>
          <w:rFonts w:ascii="Calibri" w:eastAsia="Times New Roman" w:hAnsi="Calibri" w:cs="Calibri"/>
          <w:sz w:val="24"/>
          <w:szCs w:val="24"/>
        </w:rPr>
        <w:t xml:space="preserve">  37</w:t>
      </w:r>
    </w:p>
    <w:p w14:paraId="70BE568A" w14:textId="77777777" w:rsidR="004F3F40" w:rsidRPr="0053204F" w:rsidRDefault="0053204F" w:rsidP="00B217E6">
      <w:pPr>
        <w:jc w:val="both"/>
        <w:rPr>
          <w:rFonts w:ascii="Calibri" w:eastAsia="Times New Roman" w:hAnsi="Calibri" w:cs="Calibri"/>
          <w:b/>
          <w:sz w:val="24"/>
          <w:szCs w:val="24"/>
        </w:rPr>
      </w:pPr>
      <w:r w:rsidRPr="0053204F">
        <w:rPr>
          <w:rFonts w:ascii="Calibri" w:eastAsia="Times New Roman" w:hAnsi="Calibri" w:cs="Calibri"/>
          <w:b/>
          <w:sz w:val="24"/>
          <w:szCs w:val="24"/>
        </w:rPr>
        <w:t>TABLES</w:t>
      </w:r>
    </w:p>
    <w:p w14:paraId="510AE1FF" w14:textId="77777777" w:rsidR="0056129E" w:rsidRPr="0053204F" w:rsidRDefault="0056129E" w:rsidP="0056129E">
      <w:pPr>
        <w:pStyle w:val="Caption"/>
        <w:rPr>
          <w:rFonts w:ascii="Calibri" w:eastAsia="Times New Roman" w:hAnsi="Calibri" w:cs="Calibri"/>
          <w:b w:val="0"/>
          <w:iCs w:val="0"/>
          <w:sz w:val="24"/>
          <w:szCs w:val="24"/>
        </w:rPr>
      </w:pPr>
      <w:r w:rsidRPr="0053204F">
        <w:rPr>
          <w:rFonts w:ascii="Calibri" w:eastAsia="Times New Roman" w:hAnsi="Calibri" w:cs="Calibri"/>
          <w:b w:val="0"/>
          <w:iCs w:val="0"/>
          <w:sz w:val="24"/>
          <w:szCs w:val="24"/>
        </w:rPr>
        <w:t>Table 1</w:t>
      </w:r>
      <w:r w:rsidR="0053204F" w:rsidRPr="0053204F">
        <w:rPr>
          <w:rFonts w:ascii="Calibri" w:eastAsia="Times New Roman" w:hAnsi="Calibri" w:cs="Calibri"/>
          <w:b w:val="0"/>
          <w:iCs w:val="0"/>
          <w:sz w:val="24"/>
          <w:szCs w:val="24"/>
        </w:rPr>
        <w:t>:</w:t>
      </w:r>
      <w:r w:rsidRPr="0053204F">
        <w:rPr>
          <w:rFonts w:ascii="Calibri" w:eastAsia="Times New Roman" w:hAnsi="Calibri" w:cs="Calibri"/>
          <w:b w:val="0"/>
          <w:iCs w:val="0"/>
          <w:sz w:val="24"/>
          <w:szCs w:val="24"/>
        </w:rPr>
        <w:t xml:space="preserve"> Identification of Stakeholders</w:t>
      </w:r>
      <w:r w:rsidR="00780301">
        <w:rPr>
          <w:rFonts w:ascii="Calibri" w:eastAsia="Times New Roman" w:hAnsi="Calibri" w:cs="Calibri"/>
          <w:b w:val="0"/>
          <w:iCs w:val="0"/>
          <w:sz w:val="24"/>
          <w:szCs w:val="24"/>
        </w:rPr>
        <w:t>…………………………………………………………………………….   18</w:t>
      </w:r>
    </w:p>
    <w:p w14:paraId="298CC2D6" w14:textId="77777777" w:rsidR="0056129E" w:rsidRPr="0053204F" w:rsidRDefault="0056129E" w:rsidP="0056129E">
      <w:pPr>
        <w:pStyle w:val="Caption"/>
        <w:rPr>
          <w:rFonts w:ascii="Calibri" w:eastAsia="Times New Roman" w:hAnsi="Calibri" w:cs="Calibri"/>
          <w:b w:val="0"/>
          <w:iCs w:val="0"/>
          <w:sz w:val="24"/>
          <w:szCs w:val="24"/>
        </w:rPr>
      </w:pPr>
      <w:r w:rsidRPr="0053204F">
        <w:rPr>
          <w:rFonts w:ascii="Calibri" w:eastAsia="Times New Roman" w:hAnsi="Calibri" w:cs="Calibri"/>
          <w:b w:val="0"/>
          <w:iCs w:val="0"/>
          <w:sz w:val="24"/>
          <w:szCs w:val="24"/>
        </w:rPr>
        <w:t>Table 2: Planned schedule of the SEP activities</w:t>
      </w:r>
      <w:r w:rsidR="00780301">
        <w:rPr>
          <w:rFonts w:ascii="Calibri" w:eastAsia="Times New Roman" w:hAnsi="Calibri" w:cs="Calibri"/>
          <w:b w:val="0"/>
          <w:iCs w:val="0"/>
          <w:sz w:val="24"/>
          <w:szCs w:val="24"/>
        </w:rPr>
        <w:t>……………………………………………………………</w:t>
      </w:r>
      <w:proofErr w:type="gramStart"/>
      <w:r w:rsidR="00780301">
        <w:rPr>
          <w:rFonts w:ascii="Calibri" w:eastAsia="Times New Roman" w:hAnsi="Calibri" w:cs="Calibri"/>
          <w:b w:val="0"/>
          <w:iCs w:val="0"/>
          <w:sz w:val="24"/>
          <w:szCs w:val="24"/>
        </w:rPr>
        <w:t>…..</w:t>
      </w:r>
      <w:proofErr w:type="gramEnd"/>
      <w:r w:rsidR="00780301">
        <w:rPr>
          <w:rFonts w:ascii="Calibri" w:eastAsia="Times New Roman" w:hAnsi="Calibri" w:cs="Calibri"/>
          <w:b w:val="0"/>
          <w:iCs w:val="0"/>
          <w:sz w:val="24"/>
          <w:szCs w:val="24"/>
        </w:rPr>
        <w:t xml:space="preserve">   22</w:t>
      </w:r>
    </w:p>
    <w:p w14:paraId="181B655C" w14:textId="77777777" w:rsidR="0053204F" w:rsidRPr="0053204F" w:rsidRDefault="0056129E" w:rsidP="0053204F">
      <w:pPr>
        <w:spacing w:after="0" w:line="240" w:lineRule="auto"/>
        <w:jc w:val="both"/>
        <w:rPr>
          <w:rFonts w:ascii="Calibri" w:eastAsia="Times New Roman" w:hAnsi="Calibri" w:cs="Calibri"/>
          <w:sz w:val="24"/>
          <w:szCs w:val="24"/>
        </w:rPr>
      </w:pPr>
      <w:r w:rsidRPr="0053204F">
        <w:rPr>
          <w:rFonts w:ascii="Calibri" w:eastAsia="Times New Roman" w:hAnsi="Calibri" w:cs="Calibri"/>
          <w:sz w:val="24"/>
          <w:szCs w:val="24"/>
        </w:rPr>
        <w:t>Table 3: Disclosure of project information</w:t>
      </w:r>
      <w:r w:rsidR="00780301">
        <w:rPr>
          <w:rFonts w:ascii="Calibri" w:eastAsia="Times New Roman" w:hAnsi="Calibri" w:cs="Calibri"/>
          <w:sz w:val="24"/>
          <w:szCs w:val="24"/>
        </w:rPr>
        <w:t>……………………………………………………………………….</w:t>
      </w:r>
      <w:r w:rsidR="0053204F" w:rsidRPr="0053204F">
        <w:rPr>
          <w:rFonts w:ascii="Calibri" w:eastAsia="Times New Roman" w:hAnsi="Calibri" w:cs="Calibri"/>
          <w:sz w:val="24"/>
          <w:szCs w:val="24"/>
        </w:rPr>
        <w:t xml:space="preserve"> </w:t>
      </w:r>
      <w:r w:rsidR="00780301">
        <w:rPr>
          <w:rFonts w:ascii="Calibri" w:eastAsia="Times New Roman" w:hAnsi="Calibri" w:cs="Calibri"/>
          <w:sz w:val="24"/>
          <w:szCs w:val="24"/>
        </w:rPr>
        <w:t xml:space="preserve">  24</w:t>
      </w:r>
    </w:p>
    <w:p w14:paraId="6E0C3730" w14:textId="77777777" w:rsidR="0053204F" w:rsidRPr="0053204F" w:rsidRDefault="0053204F" w:rsidP="0053204F">
      <w:pPr>
        <w:spacing w:after="0" w:line="240" w:lineRule="auto"/>
        <w:jc w:val="both"/>
        <w:rPr>
          <w:rFonts w:ascii="Calibri" w:eastAsia="Times New Roman" w:hAnsi="Calibri" w:cs="Calibri"/>
          <w:sz w:val="24"/>
          <w:szCs w:val="24"/>
        </w:rPr>
      </w:pPr>
      <w:r w:rsidRPr="0053204F">
        <w:rPr>
          <w:rFonts w:ascii="Calibri" w:eastAsia="Times New Roman" w:hAnsi="Calibri" w:cs="Calibri"/>
          <w:sz w:val="24"/>
          <w:szCs w:val="24"/>
        </w:rPr>
        <w:t>Table 4: Project Consultations</w:t>
      </w:r>
      <w:r w:rsidR="00780301">
        <w:rPr>
          <w:rFonts w:ascii="Calibri" w:eastAsia="Times New Roman" w:hAnsi="Calibri" w:cs="Calibri"/>
          <w:sz w:val="24"/>
          <w:szCs w:val="24"/>
        </w:rPr>
        <w:t>………………………………………………………………………………………….   27</w:t>
      </w:r>
    </w:p>
    <w:p w14:paraId="65AE1230" w14:textId="77777777" w:rsidR="0053204F" w:rsidRDefault="0053204F" w:rsidP="0053204F">
      <w:pPr>
        <w:spacing w:after="0"/>
        <w:jc w:val="both"/>
        <w:rPr>
          <w:rFonts w:ascii="Calibri" w:eastAsia="Times New Roman" w:hAnsi="Calibri" w:cs="Calibri"/>
          <w:sz w:val="24"/>
          <w:szCs w:val="24"/>
        </w:rPr>
      </w:pPr>
      <w:r w:rsidRPr="0053204F">
        <w:rPr>
          <w:rFonts w:ascii="Calibri" w:eastAsia="Times New Roman" w:hAnsi="Calibri" w:cs="Calibri"/>
          <w:sz w:val="24"/>
          <w:szCs w:val="24"/>
        </w:rPr>
        <w:t>Table 5: Project timeline</w:t>
      </w:r>
      <w:r w:rsidR="00780301">
        <w:rPr>
          <w:rFonts w:ascii="Calibri" w:eastAsia="Times New Roman" w:hAnsi="Calibri" w:cs="Calibri"/>
          <w:sz w:val="24"/>
          <w:szCs w:val="24"/>
        </w:rPr>
        <w:t>………………………………………………………………………………………………</w:t>
      </w:r>
      <w:proofErr w:type="gramStart"/>
      <w:r w:rsidR="00780301">
        <w:rPr>
          <w:rFonts w:ascii="Calibri" w:eastAsia="Times New Roman" w:hAnsi="Calibri" w:cs="Calibri"/>
          <w:sz w:val="24"/>
          <w:szCs w:val="24"/>
        </w:rPr>
        <w:t>…..</w:t>
      </w:r>
      <w:proofErr w:type="gramEnd"/>
      <w:r>
        <w:rPr>
          <w:rFonts w:ascii="Calibri" w:eastAsia="Times New Roman" w:hAnsi="Calibri" w:cs="Calibri"/>
          <w:sz w:val="24"/>
          <w:szCs w:val="24"/>
        </w:rPr>
        <w:t xml:space="preserve"> </w:t>
      </w:r>
      <w:r w:rsidR="00780301">
        <w:rPr>
          <w:rFonts w:ascii="Calibri" w:eastAsia="Times New Roman" w:hAnsi="Calibri" w:cs="Calibri"/>
          <w:sz w:val="24"/>
          <w:szCs w:val="24"/>
        </w:rPr>
        <w:t xml:space="preserve">  28</w:t>
      </w:r>
    </w:p>
    <w:p w14:paraId="61FCAF0D" w14:textId="77777777" w:rsidR="0053204F" w:rsidRDefault="0053204F" w:rsidP="0053204F">
      <w:pPr>
        <w:spacing w:after="0"/>
        <w:jc w:val="both"/>
        <w:rPr>
          <w:rFonts w:ascii="Calibri" w:eastAsia="Times New Roman" w:hAnsi="Calibri" w:cs="Calibri"/>
          <w:sz w:val="24"/>
          <w:szCs w:val="24"/>
        </w:rPr>
      </w:pPr>
      <w:r w:rsidRPr="0053204F">
        <w:rPr>
          <w:rFonts w:ascii="Calibri" w:eastAsia="Times New Roman" w:hAnsi="Calibri" w:cs="Calibri"/>
          <w:sz w:val="24"/>
          <w:szCs w:val="24"/>
        </w:rPr>
        <w:t>Table 6: Responsible Staff for SEP Implementation</w:t>
      </w:r>
      <w:r w:rsidR="00780301">
        <w:rPr>
          <w:rFonts w:ascii="Calibri" w:eastAsia="Times New Roman" w:hAnsi="Calibri" w:cs="Calibri"/>
          <w:sz w:val="24"/>
          <w:szCs w:val="24"/>
        </w:rPr>
        <w:t>………………………………………………………</w:t>
      </w:r>
      <w:proofErr w:type="gramStart"/>
      <w:r w:rsidR="00780301">
        <w:rPr>
          <w:rFonts w:ascii="Calibri" w:eastAsia="Times New Roman" w:hAnsi="Calibri" w:cs="Calibri"/>
          <w:sz w:val="24"/>
          <w:szCs w:val="24"/>
        </w:rPr>
        <w:t>…..</w:t>
      </w:r>
      <w:proofErr w:type="gramEnd"/>
      <w:r>
        <w:rPr>
          <w:rFonts w:ascii="Calibri" w:eastAsia="Times New Roman" w:hAnsi="Calibri" w:cs="Calibri"/>
          <w:sz w:val="24"/>
          <w:szCs w:val="24"/>
        </w:rPr>
        <w:t xml:space="preserve"> </w:t>
      </w:r>
      <w:r w:rsidR="00780301">
        <w:rPr>
          <w:rFonts w:ascii="Calibri" w:eastAsia="Times New Roman" w:hAnsi="Calibri" w:cs="Calibri"/>
          <w:sz w:val="24"/>
          <w:szCs w:val="24"/>
        </w:rPr>
        <w:t xml:space="preserve">  30</w:t>
      </w:r>
    </w:p>
    <w:p w14:paraId="35D469FA" w14:textId="77777777" w:rsidR="0053204F" w:rsidRDefault="0053204F" w:rsidP="0053204F">
      <w:pPr>
        <w:spacing w:after="0"/>
        <w:jc w:val="both"/>
        <w:rPr>
          <w:rFonts w:ascii="Calibri" w:eastAsia="Times New Roman" w:hAnsi="Calibri" w:cs="Calibri"/>
          <w:sz w:val="24"/>
          <w:szCs w:val="24"/>
        </w:rPr>
      </w:pPr>
      <w:r w:rsidRPr="0053204F">
        <w:rPr>
          <w:rFonts w:ascii="Calibri" w:eastAsia="Times New Roman" w:hAnsi="Calibri" w:cs="Calibri"/>
          <w:sz w:val="24"/>
          <w:szCs w:val="24"/>
        </w:rPr>
        <w:t>Table 7: Estimated Project Budget</w:t>
      </w:r>
      <w:r w:rsidR="00780301">
        <w:rPr>
          <w:rFonts w:ascii="Calibri" w:eastAsia="Times New Roman" w:hAnsi="Calibri" w:cs="Calibri"/>
          <w:sz w:val="24"/>
          <w:szCs w:val="24"/>
        </w:rPr>
        <w:t>…………………………………………………………………………………….  31</w:t>
      </w:r>
    </w:p>
    <w:p w14:paraId="30F27702" w14:textId="77777777" w:rsidR="0056129E" w:rsidRPr="00030731" w:rsidRDefault="0056129E" w:rsidP="0056129E">
      <w:pPr>
        <w:rPr>
          <w:b/>
          <w:sz w:val="20"/>
          <w:szCs w:val="20"/>
          <w:lang w:bidi="en-US"/>
        </w:rPr>
      </w:pPr>
    </w:p>
    <w:p w14:paraId="60CC63BD" w14:textId="77777777" w:rsidR="0056129E" w:rsidRPr="0056129E" w:rsidRDefault="0056129E" w:rsidP="0056129E"/>
    <w:p w14:paraId="1C1B259A" w14:textId="77777777" w:rsidR="0056129E" w:rsidRPr="0056129E" w:rsidRDefault="0056129E" w:rsidP="0056129E"/>
    <w:p w14:paraId="587E338D" w14:textId="77777777" w:rsidR="0056129E" w:rsidRDefault="0056129E" w:rsidP="00B217E6">
      <w:pPr>
        <w:jc w:val="both"/>
        <w:rPr>
          <w:b/>
          <w:sz w:val="28"/>
          <w:szCs w:val="28"/>
        </w:rPr>
      </w:pPr>
    </w:p>
    <w:p w14:paraId="7C8C814F" w14:textId="77777777" w:rsidR="004F3F40" w:rsidRDefault="004F3F40" w:rsidP="00B217E6">
      <w:pPr>
        <w:jc w:val="both"/>
        <w:rPr>
          <w:b/>
          <w:sz w:val="28"/>
          <w:szCs w:val="28"/>
        </w:rPr>
      </w:pPr>
    </w:p>
    <w:p w14:paraId="3549B2C7" w14:textId="77777777" w:rsidR="004F3F40" w:rsidRDefault="004F3F40" w:rsidP="00B217E6">
      <w:pPr>
        <w:jc w:val="both"/>
        <w:rPr>
          <w:b/>
          <w:sz w:val="28"/>
          <w:szCs w:val="28"/>
        </w:rPr>
      </w:pPr>
    </w:p>
    <w:p w14:paraId="675C5887" w14:textId="77777777" w:rsidR="004F3F40" w:rsidRDefault="004F3F40" w:rsidP="00B217E6">
      <w:pPr>
        <w:jc w:val="both"/>
        <w:rPr>
          <w:b/>
          <w:sz w:val="28"/>
          <w:szCs w:val="28"/>
        </w:rPr>
      </w:pPr>
    </w:p>
    <w:p w14:paraId="5CBD23E2" w14:textId="77777777" w:rsidR="004F3F40" w:rsidRDefault="004F3F40" w:rsidP="00B217E6">
      <w:pPr>
        <w:jc w:val="both"/>
        <w:rPr>
          <w:b/>
          <w:sz w:val="28"/>
          <w:szCs w:val="28"/>
        </w:rPr>
      </w:pPr>
    </w:p>
    <w:p w14:paraId="5F168412" w14:textId="77777777" w:rsidR="004F3F40" w:rsidRDefault="004F3F40" w:rsidP="00B217E6">
      <w:pPr>
        <w:jc w:val="both"/>
        <w:rPr>
          <w:b/>
          <w:sz w:val="28"/>
          <w:szCs w:val="28"/>
        </w:rPr>
      </w:pPr>
    </w:p>
    <w:p w14:paraId="7DD580C0" w14:textId="77777777" w:rsidR="004F3F40" w:rsidRPr="00901491" w:rsidRDefault="004F3F40" w:rsidP="00B217E6">
      <w:pPr>
        <w:jc w:val="both"/>
        <w:rPr>
          <w:b/>
          <w:color w:val="385623" w:themeColor="accent6" w:themeShade="80"/>
          <w:sz w:val="28"/>
          <w:szCs w:val="28"/>
        </w:rPr>
      </w:pPr>
      <w:r w:rsidRPr="00901491">
        <w:rPr>
          <w:b/>
          <w:color w:val="385623" w:themeColor="accent6" w:themeShade="80"/>
          <w:sz w:val="28"/>
          <w:szCs w:val="28"/>
        </w:rPr>
        <w:t>ABBREVIATIONS</w:t>
      </w:r>
    </w:p>
    <w:p w14:paraId="02B93A44" w14:textId="77777777" w:rsidR="00901491" w:rsidRPr="005400DF" w:rsidRDefault="00901491" w:rsidP="00901491">
      <w:pPr>
        <w:jc w:val="both"/>
      </w:pPr>
    </w:p>
    <w:tbl>
      <w:tblPr>
        <w:tblW w:w="0" w:type="auto"/>
        <w:tblLook w:val="04A0" w:firstRow="1" w:lastRow="0" w:firstColumn="1" w:lastColumn="0" w:noHBand="0" w:noVBand="1"/>
      </w:tblPr>
      <w:tblGrid>
        <w:gridCol w:w="4680"/>
        <w:gridCol w:w="4680"/>
      </w:tblGrid>
      <w:tr w:rsidR="00901491" w14:paraId="2653DAA1" w14:textId="77777777" w:rsidTr="00A27093">
        <w:tc>
          <w:tcPr>
            <w:tcW w:w="4680" w:type="dxa"/>
          </w:tcPr>
          <w:p w14:paraId="16FD0791" w14:textId="77777777" w:rsidR="00901491" w:rsidRDefault="00901491" w:rsidP="00A27093">
            <w:r>
              <w:t xml:space="preserve">Acronym </w:t>
            </w:r>
          </w:p>
        </w:tc>
        <w:tc>
          <w:tcPr>
            <w:tcW w:w="4680" w:type="dxa"/>
          </w:tcPr>
          <w:p w14:paraId="0417F663" w14:textId="77777777" w:rsidR="00901491" w:rsidRDefault="00901491" w:rsidP="00A27093">
            <w:r>
              <w:t xml:space="preserve">Full Form </w:t>
            </w:r>
          </w:p>
        </w:tc>
      </w:tr>
      <w:tr w:rsidR="00901491" w14:paraId="7CCA7648" w14:textId="77777777" w:rsidTr="00A27093">
        <w:tc>
          <w:tcPr>
            <w:tcW w:w="4680" w:type="dxa"/>
          </w:tcPr>
          <w:p w14:paraId="79F721D6" w14:textId="77777777" w:rsidR="00901491" w:rsidRDefault="00901491" w:rsidP="00A27093">
            <w:r>
              <w:t>CE</w:t>
            </w:r>
          </w:p>
        </w:tc>
        <w:tc>
          <w:tcPr>
            <w:tcW w:w="4680" w:type="dxa"/>
          </w:tcPr>
          <w:p w14:paraId="18D9F64C" w14:textId="77777777" w:rsidR="00901491" w:rsidRDefault="00901491" w:rsidP="00A27093">
            <w:proofErr w:type="spellStart"/>
            <w:r>
              <w:t>Conformité</w:t>
            </w:r>
            <w:proofErr w:type="spellEnd"/>
            <w:r>
              <w:t xml:space="preserve"> </w:t>
            </w:r>
            <w:proofErr w:type="spellStart"/>
            <w:r>
              <w:t>Européenne</w:t>
            </w:r>
            <w:proofErr w:type="spellEnd"/>
            <w:r>
              <w:t xml:space="preserve"> (European Conformity)</w:t>
            </w:r>
          </w:p>
        </w:tc>
      </w:tr>
      <w:tr w:rsidR="00901491" w14:paraId="2F877817" w14:textId="77777777" w:rsidTr="00A27093">
        <w:tc>
          <w:tcPr>
            <w:tcW w:w="4680" w:type="dxa"/>
          </w:tcPr>
          <w:p w14:paraId="7E289C97" w14:textId="77777777" w:rsidR="00901491" w:rsidRDefault="00901491" w:rsidP="00A27093">
            <w:r>
              <w:t>CLFDC</w:t>
            </w:r>
          </w:p>
        </w:tc>
        <w:tc>
          <w:tcPr>
            <w:tcW w:w="4680" w:type="dxa"/>
          </w:tcPr>
          <w:p w14:paraId="770C578B" w14:textId="77777777" w:rsidR="00901491" w:rsidRDefault="00901491" w:rsidP="00A27093"/>
        </w:tc>
      </w:tr>
      <w:tr w:rsidR="00901491" w14:paraId="6748C2D8" w14:textId="77777777" w:rsidTr="00A27093">
        <w:tc>
          <w:tcPr>
            <w:tcW w:w="4680" w:type="dxa"/>
          </w:tcPr>
          <w:p w14:paraId="7B16E949" w14:textId="77777777" w:rsidR="00901491" w:rsidRDefault="00901491" w:rsidP="00A27093">
            <w:r>
              <w:t>DBM</w:t>
            </w:r>
          </w:p>
        </w:tc>
        <w:tc>
          <w:tcPr>
            <w:tcW w:w="4680" w:type="dxa"/>
          </w:tcPr>
          <w:p w14:paraId="39009B0B" w14:textId="77777777" w:rsidR="00901491" w:rsidRDefault="00901491" w:rsidP="00A27093">
            <w:r>
              <w:t>Development Bank of Montenegro</w:t>
            </w:r>
          </w:p>
        </w:tc>
      </w:tr>
      <w:tr w:rsidR="00901491" w14:paraId="2EE0556A" w14:textId="77777777" w:rsidTr="00A27093">
        <w:tc>
          <w:tcPr>
            <w:tcW w:w="4680" w:type="dxa"/>
          </w:tcPr>
          <w:p w14:paraId="6D67CE1B" w14:textId="77777777" w:rsidR="00901491" w:rsidRDefault="00901491" w:rsidP="00A27093">
            <w:r>
              <w:t>ECSP</w:t>
            </w:r>
          </w:p>
        </w:tc>
        <w:tc>
          <w:tcPr>
            <w:tcW w:w="4680" w:type="dxa"/>
          </w:tcPr>
          <w:p w14:paraId="425AC264" w14:textId="77777777" w:rsidR="00901491" w:rsidRDefault="00901491" w:rsidP="00A27093">
            <w:r>
              <w:t>Environmental and Social Commitment Plan</w:t>
            </w:r>
          </w:p>
        </w:tc>
      </w:tr>
      <w:tr w:rsidR="00901491" w14:paraId="7D7F52B5" w14:textId="77777777" w:rsidTr="00A27093">
        <w:tc>
          <w:tcPr>
            <w:tcW w:w="4680" w:type="dxa"/>
          </w:tcPr>
          <w:p w14:paraId="6F398A3D" w14:textId="77777777" w:rsidR="00901491" w:rsidRDefault="00901491" w:rsidP="00A27093">
            <w:r>
              <w:t>E&amp;S</w:t>
            </w:r>
          </w:p>
        </w:tc>
        <w:tc>
          <w:tcPr>
            <w:tcW w:w="4680" w:type="dxa"/>
          </w:tcPr>
          <w:p w14:paraId="0D7931FC" w14:textId="77777777" w:rsidR="00901491" w:rsidRDefault="00901491" w:rsidP="00A27093">
            <w:r>
              <w:t>Environmental and Social</w:t>
            </w:r>
          </w:p>
        </w:tc>
      </w:tr>
      <w:tr w:rsidR="00901491" w14:paraId="16336734" w14:textId="77777777" w:rsidTr="00A27093">
        <w:tc>
          <w:tcPr>
            <w:tcW w:w="4680" w:type="dxa"/>
          </w:tcPr>
          <w:p w14:paraId="1894D282" w14:textId="77777777" w:rsidR="00901491" w:rsidRDefault="00901491" w:rsidP="00A27093">
            <w:r>
              <w:t>ESMF</w:t>
            </w:r>
          </w:p>
        </w:tc>
        <w:tc>
          <w:tcPr>
            <w:tcW w:w="4680" w:type="dxa"/>
          </w:tcPr>
          <w:p w14:paraId="205C764F" w14:textId="77777777" w:rsidR="00901491" w:rsidRDefault="00901491" w:rsidP="00A27093">
            <w:r>
              <w:t>Environmental and Social Management Framework</w:t>
            </w:r>
          </w:p>
        </w:tc>
      </w:tr>
      <w:tr w:rsidR="00901491" w14:paraId="3CC859D8" w14:textId="77777777" w:rsidTr="00A27093">
        <w:tc>
          <w:tcPr>
            <w:tcW w:w="4680" w:type="dxa"/>
          </w:tcPr>
          <w:p w14:paraId="4D0AF9B3" w14:textId="77777777" w:rsidR="00901491" w:rsidRDefault="00901491" w:rsidP="00A27093">
            <w:r>
              <w:t>ESMP</w:t>
            </w:r>
          </w:p>
        </w:tc>
        <w:tc>
          <w:tcPr>
            <w:tcW w:w="4680" w:type="dxa"/>
          </w:tcPr>
          <w:p w14:paraId="391A30A1" w14:textId="77777777" w:rsidR="00901491" w:rsidRDefault="00901491" w:rsidP="00A27093">
            <w:r>
              <w:t>Environmental and Social Management Plan</w:t>
            </w:r>
          </w:p>
        </w:tc>
      </w:tr>
      <w:tr w:rsidR="00901491" w14:paraId="56D002B5" w14:textId="77777777" w:rsidTr="00A27093">
        <w:tc>
          <w:tcPr>
            <w:tcW w:w="4680" w:type="dxa"/>
          </w:tcPr>
          <w:p w14:paraId="6D2B86A3" w14:textId="77777777" w:rsidR="00901491" w:rsidRDefault="00901491" w:rsidP="00A27093">
            <w:r>
              <w:t>ESS</w:t>
            </w:r>
          </w:p>
        </w:tc>
        <w:tc>
          <w:tcPr>
            <w:tcW w:w="4680" w:type="dxa"/>
          </w:tcPr>
          <w:p w14:paraId="39D90CE2" w14:textId="77777777" w:rsidR="00901491" w:rsidRDefault="00901491" w:rsidP="00A27093">
            <w:r>
              <w:t>Environmental and Social Standard</w:t>
            </w:r>
          </w:p>
        </w:tc>
      </w:tr>
      <w:tr w:rsidR="00901491" w14:paraId="5CE4D8AB" w14:textId="77777777" w:rsidTr="00A27093">
        <w:tc>
          <w:tcPr>
            <w:tcW w:w="4680" w:type="dxa"/>
          </w:tcPr>
          <w:p w14:paraId="0504B3F9" w14:textId="77777777" w:rsidR="00901491" w:rsidRDefault="00901491" w:rsidP="00A27093">
            <w:r>
              <w:t>ESS9</w:t>
            </w:r>
          </w:p>
        </w:tc>
        <w:tc>
          <w:tcPr>
            <w:tcW w:w="4680" w:type="dxa"/>
          </w:tcPr>
          <w:p w14:paraId="2078FF3F" w14:textId="77777777" w:rsidR="00901491" w:rsidRDefault="00901491" w:rsidP="00A27093">
            <w:r>
              <w:t>Environmental and Social Standard 9 – Financial Intermediaries</w:t>
            </w:r>
          </w:p>
        </w:tc>
      </w:tr>
      <w:tr w:rsidR="00901491" w14:paraId="09E92742" w14:textId="77777777" w:rsidTr="00A27093">
        <w:tc>
          <w:tcPr>
            <w:tcW w:w="4680" w:type="dxa"/>
          </w:tcPr>
          <w:p w14:paraId="52590E95" w14:textId="77777777" w:rsidR="00901491" w:rsidRDefault="00901491" w:rsidP="00A27093">
            <w:r>
              <w:t>ESS10</w:t>
            </w:r>
          </w:p>
        </w:tc>
        <w:tc>
          <w:tcPr>
            <w:tcW w:w="4680" w:type="dxa"/>
          </w:tcPr>
          <w:p w14:paraId="3D914AA3" w14:textId="77777777" w:rsidR="00901491" w:rsidRDefault="00901491" w:rsidP="00A27093">
            <w:r>
              <w:t>Environmental and Social Standard 10 – Stakeholder Engagement and Information Disclosure</w:t>
            </w:r>
          </w:p>
        </w:tc>
      </w:tr>
      <w:tr w:rsidR="00901491" w14:paraId="5F307401" w14:textId="77777777" w:rsidTr="00A27093">
        <w:tc>
          <w:tcPr>
            <w:tcW w:w="4680" w:type="dxa"/>
          </w:tcPr>
          <w:p w14:paraId="5093D2DC" w14:textId="77777777" w:rsidR="00901491" w:rsidRDefault="00901491" w:rsidP="00A27093">
            <w:r>
              <w:t>ESIA</w:t>
            </w:r>
          </w:p>
        </w:tc>
        <w:tc>
          <w:tcPr>
            <w:tcW w:w="4680" w:type="dxa"/>
          </w:tcPr>
          <w:p w14:paraId="520D317D" w14:textId="77777777" w:rsidR="00901491" w:rsidRDefault="00901491" w:rsidP="00A27093">
            <w:r>
              <w:t>Environmental and Social Impact Assessment</w:t>
            </w:r>
          </w:p>
        </w:tc>
      </w:tr>
      <w:tr w:rsidR="00901491" w14:paraId="074766E9" w14:textId="77777777" w:rsidTr="00A27093">
        <w:tc>
          <w:tcPr>
            <w:tcW w:w="4680" w:type="dxa"/>
          </w:tcPr>
          <w:p w14:paraId="60DF4445" w14:textId="77777777" w:rsidR="00901491" w:rsidRDefault="00901491" w:rsidP="00A27093">
            <w:r>
              <w:t>EU</w:t>
            </w:r>
          </w:p>
        </w:tc>
        <w:tc>
          <w:tcPr>
            <w:tcW w:w="4680" w:type="dxa"/>
          </w:tcPr>
          <w:p w14:paraId="704AF935" w14:textId="77777777" w:rsidR="00901491" w:rsidRDefault="00901491" w:rsidP="00A27093">
            <w:r>
              <w:t>European Union</w:t>
            </w:r>
          </w:p>
        </w:tc>
      </w:tr>
      <w:tr w:rsidR="00901491" w14:paraId="331CEEFE" w14:textId="77777777" w:rsidTr="00A27093">
        <w:tc>
          <w:tcPr>
            <w:tcW w:w="4680" w:type="dxa"/>
          </w:tcPr>
          <w:p w14:paraId="5943A779" w14:textId="77777777" w:rsidR="00901491" w:rsidRDefault="00901491" w:rsidP="00A27093">
            <w:r>
              <w:t>ETTS</w:t>
            </w:r>
          </w:p>
        </w:tc>
        <w:tc>
          <w:tcPr>
            <w:tcW w:w="4680" w:type="dxa"/>
          </w:tcPr>
          <w:p w14:paraId="137CBAF4" w14:textId="77777777" w:rsidR="00901491" w:rsidRDefault="00901491" w:rsidP="00A27093">
            <w:r>
              <w:t>Electronic Timber Tracking System</w:t>
            </w:r>
          </w:p>
        </w:tc>
      </w:tr>
      <w:tr w:rsidR="00901491" w14:paraId="06B6DD95" w14:textId="77777777" w:rsidTr="00A27093">
        <w:tc>
          <w:tcPr>
            <w:tcW w:w="4680" w:type="dxa"/>
          </w:tcPr>
          <w:p w14:paraId="780963A2" w14:textId="77777777" w:rsidR="00901491" w:rsidRDefault="00901491" w:rsidP="00A27093">
            <w:r>
              <w:t>FMIS</w:t>
            </w:r>
          </w:p>
        </w:tc>
        <w:tc>
          <w:tcPr>
            <w:tcW w:w="4680" w:type="dxa"/>
          </w:tcPr>
          <w:p w14:paraId="1B402422" w14:textId="77777777" w:rsidR="00901491" w:rsidRDefault="00901491" w:rsidP="00A27093">
            <w:r>
              <w:t>Forest Management Information System</w:t>
            </w:r>
          </w:p>
        </w:tc>
      </w:tr>
      <w:tr w:rsidR="00901491" w14:paraId="5F67D4A8" w14:textId="77777777" w:rsidTr="00A27093">
        <w:tc>
          <w:tcPr>
            <w:tcW w:w="4680" w:type="dxa"/>
          </w:tcPr>
          <w:p w14:paraId="305F5D92" w14:textId="77777777" w:rsidR="00901491" w:rsidRDefault="00901491" w:rsidP="00A27093">
            <w:r>
              <w:t>GBV</w:t>
            </w:r>
          </w:p>
        </w:tc>
        <w:tc>
          <w:tcPr>
            <w:tcW w:w="4680" w:type="dxa"/>
          </w:tcPr>
          <w:p w14:paraId="5595659B" w14:textId="77777777" w:rsidR="00901491" w:rsidRDefault="00901491" w:rsidP="00A27093">
            <w:r>
              <w:t>Gender-Based Violence</w:t>
            </w:r>
          </w:p>
        </w:tc>
      </w:tr>
      <w:tr w:rsidR="00901491" w14:paraId="36409F51" w14:textId="77777777" w:rsidTr="00A27093">
        <w:tc>
          <w:tcPr>
            <w:tcW w:w="4680" w:type="dxa"/>
          </w:tcPr>
          <w:p w14:paraId="2D5619B5" w14:textId="77777777" w:rsidR="00901491" w:rsidRDefault="00901491" w:rsidP="00A27093">
            <w:r>
              <w:t>GOM</w:t>
            </w:r>
          </w:p>
        </w:tc>
        <w:tc>
          <w:tcPr>
            <w:tcW w:w="4680" w:type="dxa"/>
          </w:tcPr>
          <w:p w14:paraId="5B250513" w14:textId="77777777" w:rsidR="00901491" w:rsidRDefault="00901491" w:rsidP="00A27093">
            <w:r>
              <w:t>Government of Montenegro</w:t>
            </w:r>
          </w:p>
        </w:tc>
      </w:tr>
      <w:tr w:rsidR="00901491" w14:paraId="07A988EF" w14:textId="77777777" w:rsidTr="00A27093">
        <w:tc>
          <w:tcPr>
            <w:tcW w:w="4680" w:type="dxa"/>
          </w:tcPr>
          <w:p w14:paraId="682CB21A" w14:textId="77777777" w:rsidR="00901491" w:rsidRDefault="00901491" w:rsidP="00A27093">
            <w:r>
              <w:t>GRM</w:t>
            </w:r>
          </w:p>
        </w:tc>
        <w:tc>
          <w:tcPr>
            <w:tcW w:w="4680" w:type="dxa"/>
          </w:tcPr>
          <w:p w14:paraId="15B97AD2" w14:textId="77777777" w:rsidR="00901491" w:rsidRDefault="00901491" w:rsidP="00A27093">
            <w:r>
              <w:t>Grievance Redress Mechanism</w:t>
            </w:r>
          </w:p>
        </w:tc>
      </w:tr>
      <w:tr w:rsidR="00901491" w14:paraId="2AB47EA4" w14:textId="77777777" w:rsidTr="00A27093">
        <w:tc>
          <w:tcPr>
            <w:tcW w:w="4680" w:type="dxa"/>
          </w:tcPr>
          <w:p w14:paraId="0DF6E69C" w14:textId="77777777" w:rsidR="00901491" w:rsidRDefault="00901491" w:rsidP="00A27093">
            <w:r>
              <w:t>LMP</w:t>
            </w:r>
          </w:p>
        </w:tc>
        <w:tc>
          <w:tcPr>
            <w:tcW w:w="4680" w:type="dxa"/>
          </w:tcPr>
          <w:p w14:paraId="53F9A179" w14:textId="77777777" w:rsidR="00901491" w:rsidRDefault="00901491" w:rsidP="00A27093">
            <w:r>
              <w:t>Labor Management Procedures</w:t>
            </w:r>
          </w:p>
        </w:tc>
      </w:tr>
      <w:tr w:rsidR="00901491" w14:paraId="4B776766" w14:textId="77777777" w:rsidTr="00A27093">
        <w:tc>
          <w:tcPr>
            <w:tcW w:w="4680" w:type="dxa"/>
          </w:tcPr>
          <w:p w14:paraId="696B31B1" w14:textId="77777777" w:rsidR="00901491" w:rsidRDefault="00901491" w:rsidP="00A27093">
            <w:r>
              <w:t>M&amp;E</w:t>
            </w:r>
          </w:p>
        </w:tc>
        <w:tc>
          <w:tcPr>
            <w:tcW w:w="4680" w:type="dxa"/>
          </w:tcPr>
          <w:p w14:paraId="505E4484" w14:textId="77777777" w:rsidR="00901491" w:rsidRDefault="00901491" w:rsidP="00A27093">
            <w:r>
              <w:t>Monitoring and Evaluation</w:t>
            </w:r>
          </w:p>
        </w:tc>
      </w:tr>
      <w:tr w:rsidR="00901491" w14:paraId="4BE72037" w14:textId="77777777" w:rsidTr="00A27093">
        <w:tc>
          <w:tcPr>
            <w:tcW w:w="4680" w:type="dxa"/>
          </w:tcPr>
          <w:p w14:paraId="3EC6A007" w14:textId="77777777" w:rsidR="00901491" w:rsidRDefault="00901491" w:rsidP="00A27093">
            <w:r>
              <w:t>MAFWM</w:t>
            </w:r>
          </w:p>
        </w:tc>
        <w:tc>
          <w:tcPr>
            <w:tcW w:w="4680" w:type="dxa"/>
          </w:tcPr>
          <w:p w14:paraId="64F5FC91" w14:textId="77777777" w:rsidR="00901491" w:rsidRDefault="00901491" w:rsidP="00A27093">
            <w:r>
              <w:t>Ministry of Agriculture, Forestry and Water Management</w:t>
            </w:r>
          </w:p>
        </w:tc>
      </w:tr>
      <w:tr w:rsidR="00901491" w14:paraId="52B2BD71" w14:textId="77777777" w:rsidTr="00A27093">
        <w:tc>
          <w:tcPr>
            <w:tcW w:w="4680" w:type="dxa"/>
          </w:tcPr>
          <w:p w14:paraId="7CCBBA24" w14:textId="77777777" w:rsidR="00901491" w:rsidRDefault="00901491" w:rsidP="00A27093">
            <w:r>
              <w:lastRenderedPageBreak/>
              <w:t>MFEP</w:t>
            </w:r>
          </w:p>
        </w:tc>
        <w:tc>
          <w:tcPr>
            <w:tcW w:w="4680" w:type="dxa"/>
          </w:tcPr>
          <w:p w14:paraId="2EB0E0F4" w14:textId="77777777" w:rsidR="00901491" w:rsidRDefault="00901491" w:rsidP="00A27093"/>
        </w:tc>
      </w:tr>
      <w:tr w:rsidR="00901491" w14:paraId="0B5DC4BA" w14:textId="77777777" w:rsidTr="00A27093">
        <w:tc>
          <w:tcPr>
            <w:tcW w:w="4680" w:type="dxa"/>
          </w:tcPr>
          <w:p w14:paraId="2E1A78DC" w14:textId="77777777" w:rsidR="00901491" w:rsidRDefault="00901491" w:rsidP="00A27093">
            <w:r>
              <w:t>MONSTAT</w:t>
            </w:r>
          </w:p>
        </w:tc>
        <w:tc>
          <w:tcPr>
            <w:tcW w:w="4680" w:type="dxa"/>
          </w:tcPr>
          <w:p w14:paraId="489B5D79" w14:textId="77777777" w:rsidR="00901491" w:rsidRDefault="00901491" w:rsidP="00A27093">
            <w:r>
              <w:t>Statistical Office of Montenegro</w:t>
            </w:r>
          </w:p>
        </w:tc>
      </w:tr>
      <w:tr w:rsidR="00901491" w14:paraId="11992363" w14:textId="77777777" w:rsidTr="00A27093">
        <w:tc>
          <w:tcPr>
            <w:tcW w:w="4680" w:type="dxa"/>
          </w:tcPr>
          <w:p w14:paraId="2750B7EA" w14:textId="77777777" w:rsidR="00901491" w:rsidRDefault="00901491" w:rsidP="00A27093">
            <w:proofErr w:type="spellStart"/>
            <w:r>
              <w:t>MoAFWM</w:t>
            </w:r>
            <w:proofErr w:type="spellEnd"/>
          </w:p>
        </w:tc>
        <w:tc>
          <w:tcPr>
            <w:tcW w:w="4680" w:type="dxa"/>
          </w:tcPr>
          <w:p w14:paraId="5EAC4327" w14:textId="77777777" w:rsidR="00901491" w:rsidRDefault="00901491" w:rsidP="00A27093">
            <w:r>
              <w:t>Ministry of Agriculture, Forestry and Water Management</w:t>
            </w:r>
          </w:p>
        </w:tc>
      </w:tr>
      <w:tr w:rsidR="00901491" w14:paraId="4AC84003" w14:textId="77777777" w:rsidTr="00A27093">
        <w:tc>
          <w:tcPr>
            <w:tcW w:w="4680" w:type="dxa"/>
          </w:tcPr>
          <w:p w14:paraId="3AEF35E0" w14:textId="77777777" w:rsidR="00901491" w:rsidRDefault="00901491" w:rsidP="00A27093">
            <w:r>
              <w:t>MoF</w:t>
            </w:r>
          </w:p>
        </w:tc>
        <w:tc>
          <w:tcPr>
            <w:tcW w:w="4680" w:type="dxa"/>
          </w:tcPr>
          <w:p w14:paraId="05F2B2F6" w14:textId="77777777" w:rsidR="00901491" w:rsidRDefault="00901491" w:rsidP="00A27093">
            <w:r>
              <w:t>Ministry of Finance</w:t>
            </w:r>
          </w:p>
        </w:tc>
      </w:tr>
      <w:tr w:rsidR="00901491" w14:paraId="3DA8BFF6" w14:textId="77777777" w:rsidTr="00A27093">
        <w:tc>
          <w:tcPr>
            <w:tcW w:w="4680" w:type="dxa"/>
          </w:tcPr>
          <w:p w14:paraId="7F4C9937" w14:textId="77777777" w:rsidR="00901491" w:rsidRDefault="00901491" w:rsidP="00A27093">
            <w:r>
              <w:t>MRV</w:t>
            </w:r>
          </w:p>
        </w:tc>
        <w:tc>
          <w:tcPr>
            <w:tcW w:w="4680" w:type="dxa"/>
          </w:tcPr>
          <w:p w14:paraId="389EC2ED" w14:textId="77777777" w:rsidR="00901491" w:rsidRDefault="00901491" w:rsidP="00A27093">
            <w:r>
              <w:t>Monitoring, Reporting and Verification</w:t>
            </w:r>
          </w:p>
        </w:tc>
      </w:tr>
      <w:tr w:rsidR="00901491" w14:paraId="0E98B268" w14:textId="77777777" w:rsidTr="00A27093">
        <w:tc>
          <w:tcPr>
            <w:tcW w:w="4680" w:type="dxa"/>
          </w:tcPr>
          <w:p w14:paraId="0DD90D3F" w14:textId="77777777" w:rsidR="00901491" w:rsidRDefault="00901491" w:rsidP="00A27093">
            <w:r>
              <w:t>NGO</w:t>
            </w:r>
          </w:p>
        </w:tc>
        <w:tc>
          <w:tcPr>
            <w:tcW w:w="4680" w:type="dxa"/>
          </w:tcPr>
          <w:p w14:paraId="5ADDEB4C" w14:textId="77777777" w:rsidR="00901491" w:rsidRDefault="00901491" w:rsidP="00A27093">
            <w:r>
              <w:t>Non-Governmental Organization</w:t>
            </w:r>
          </w:p>
        </w:tc>
      </w:tr>
      <w:tr w:rsidR="00901491" w14:paraId="7682ED41" w14:textId="77777777" w:rsidTr="00A27093">
        <w:tc>
          <w:tcPr>
            <w:tcW w:w="4680" w:type="dxa"/>
          </w:tcPr>
          <w:p w14:paraId="1300F38F" w14:textId="77777777" w:rsidR="00901491" w:rsidRDefault="00901491" w:rsidP="00A27093">
            <w:r>
              <w:t>NFI</w:t>
            </w:r>
          </w:p>
        </w:tc>
        <w:tc>
          <w:tcPr>
            <w:tcW w:w="4680" w:type="dxa"/>
          </w:tcPr>
          <w:p w14:paraId="268C7C22" w14:textId="77777777" w:rsidR="00901491" w:rsidRDefault="00901491" w:rsidP="00A27093">
            <w:r>
              <w:t>National Forest Inventory</w:t>
            </w:r>
          </w:p>
        </w:tc>
      </w:tr>
      <w:tr w:rsidR="00901491" w14:paraId="6256ACBB" w14:textId="77777777" w:rsidTr="00A27093">
        <w:tc>
          <w:tcPr>
            <w:tcW w:w="4680" w:type="dxa"/>
          </w:tcPr>
          <w:p w14:paraId="17D4CCB4" w14:textId="77777777" w:rsidR="00901491" w:rsidRDefault="00901491" w:rsidP="00A27093">
            <w:r>
              <w:t>OHS</w:t>
            </w:r>
          </w:p>
        </w:tc>
        <w:tc>
          <w:tcPr>
            <w:tcW w:w="4680" w:type="dxa"/>
          </w:tcPr>
          <w:p w14:paraId="59BDD30E" w14:textId="77777777" w:rsidR="00901491" w:rsidRDefault="00901491" w:rsidP="00A27093">
            <w:r>
              <w:t>Occupational Health and Safety</w:t>
            </w:r>
          </w:p>
        </w:tc>
      </w:tr>
      <w:tr w:rsidR="00901491" w14:paraId="20490820" w14:textId="77777777" w:rsidTr="00A27093">
        <w:tc>
          <w:tcPr>
            <w:tcW w:w="4680" w:type="dxa"/>
          </w:tcPr>
          <w:p w14:paraId="322D6A4F" w14:textId="77777777" w:rsidR="00901491" w:rsidRDefault="00901491" w:rsidP="00A27093">
            <w:r>
              <w:t>PAD</w:t>
            </w:r>
          </w:p>
        </w:tc>
        <w:tc>
          <w:tcPr>
            <w:tcW w:w="4680" w:type="dxa"/>
          </w:tcPr>
          <w:p w14:paraId="13543384" w14:textId="77777777" w:rsidR="00901491" w:rsidRDefault="00901491" w:rsidP="00A27093">
            <w:r>
              <w:t>Project Appraisal Document</w:t>
            </w:r>
          </w:p>
        </w:tc>
      </w:tr>
      <w:tr w:rsidR="00901491" w14:paraId="24D20729" w14:textId="77777777" w:rsidTr="00A27093">
        <w:tc>
          <w:tcPr>
            <w:tcW w:w="4680" w:type="dxa"/>
          </w:tcPr>
          <w:p w14:paraId="2CC97DCE" w14:textId="77777777" w:rsidR="00901491" w:rsidRDefault="00901491" w:rsidP="00A27093">
            <w:r>
              <w:t>PAP</w:t>
            </w:r>
          </w:p>
        </w:tc>
        <w:tc>
          <w:tcPr>
            <w:tcW w:w="4680" w:type="dxa"/>
          </w:tcPr>
          <w:p w14:paraId="48EC1AEE" w14:textId="77777777" w:rsidR="00901491" w:rsidRDefault="00901491" w:rsidP="00A27093">
            <w:r>
              <w:t>Project-Affected Party</w:t>
            </w:r>
          </w:p>
        </w:tc>
      </w:tr>
      <w:tr w:rsidR="00901491" w14:paraId="1A3CB0BB" w14:textId="77777777" w:rsidTr="00A27093">
        <w:tc>
          <w:tcPr>
            <w:tcW w:w="4680" w:type="dxa"/>
          </w:tcPr>
          <w:p w14:paraId="28697C8C" w14:textId="77777777" w:rsidR="00901491" w:rsidRDefault="00901491" w:rsidP="00A27093">
            <w:r>
              <w:t>PAI</w:t>
            </w:r>
          </w:p>
        </w:tc>
        <w:tc>
          <w:tcPr>
            <w:tcW w:w="4680" w:type="dxa"/>
          </w:tcPr>
          <w:p w14:paraId="71DBD9BA" w14:textId="77777777" w:rsidR="00901491" w:rsidRDefault="00901491" w:rsidP="00A27093">
            <w:r>
              <w:t>Project Area of Influence</w:t>
            </w:r>
          </w:p>
        </w:tc>
      </w:tr>
      <w:tr w:rsidR="00901491" w14:paraId="49F6F269" w14:textId="77777777" w:rsidTr="00A27093">
        <w:tc>
          <w:tcPr>
            <w:tcW w:w="4680" w:type="dxa"/>
          </w:tcPr>
          <w:p w14:paraId="2554A8A9" w14:textId="77777777" w:rsidR="00901491" w:rsidRDefault="00901491" w:rsidP="00A27093">
            <w:r>
              <w:t>PDO</w:t>
            </w:r>
          </w:p>
        </w:tc>
        <w:tc>
          <w:tcPr>
            <w:tcW w:w="4680" w:type="dxa"/>
          </w:tcPr>
          <w:p w14:paraId="3BD7341C" w14:textId="77777777" w:rsidR="00901491" w:rsidRDefault="00901491" w:rsidP="00A27093">
            <w:r>
              <w:t>Project Development Objective</w:t>
            </w:r>
          </w:p>
        </w:tc>
      </w:tr>
      <w:tr w:rsidR="00901491" w14:paraId="13854A26" w14:textId="77777777" w:rsidTr="00A27093">
        <w:tc>
          <w:tcPr>
            <w:tcW w:w="4680" w:type="dxa"/>
          </w:tcPr>
          <w:p w14:paraId="21BE70A0" w14:textId="77777777" w:rsidR="00901491" w:rsidRDefault="00901491" w:rsidP="00A27093">
            <w:r>
              <w:t>PIU</w:t>
            </w:r>
          </w:p>
        </w:tc>
        <w:tc>
          <w:tcPr>
            <w:tcW w:w="4680" w:type="dxa"/>
          </w:tcPr>
          <w:p w14:paraId="21F372BC" w14:textId="77777777" w:rsidR="00901491" w:rsidRDefault="00901491" w:rsidP="00A27093">
            <w:r>
              <w:t>Project Implementation Unit</w:t>
            </w:r>
          </w:p>
        </w:tc>
      </w:tr>
      <w:tr w:rsidR="00901491" w14:paraId="0019EDA3" w14:textId="77777777" w:rsidTr="00A27093">
        <w:tc>
          <w:tcPr>
            <w:tcW w:w="4680" w:type="dxa"/>
          </w:tcPr>
          <w:p w14:paraId="7B7A61F4" w14:textId="77777777" w:rsidR="00901491" w:rsidRDefault="00901491" w:rsidP="00A27093">
            <w:r>
              <w:t>PMU</w:t>
            </w:r>
          </w:p>
        </w:tc>
        <w:tc>
          <w:tcPr>
            <w:tcW w:w="4680" w:type="dxa"/>
          </w:tcPr>
          <w:p w14:paraId="210CB8CA" w14:textId="77777777" w:rsidR="00901491" w:rsidRDefault="00901491" w:rsidP="00A27093">
            <w:r>
              <w:t>Project Management Unit</w:t>
            </w:r>
          </w:p>
        </w:tc>
      </w:tr>
      <w:tr w:rsidR="00901491" w14:paraId="69A68B78" w14:textId="77777777" w:rsidTr="00A27093">
        <w:tc>
          <w:tcPr>
            <w:tcW w:w="4680" w:type="dxa"/>
          </w:tcPr>
          <w:p w14:paraId="7DBE27EE" w14:textId="77777777" w:rsidR="00901491" w:rsidRDefault="00901491" w:rsidP="00A27093">
            <w:r>
              <w:t>POM</w:t>
            </w:r>
          </w:p>
        </w:tc>
        <w:tc>
          <w:tcPr>
            <w:tcW w:w="4680" w:type="dxa"/>
          </w:tcPr>
          <w:p w14:paraId="030ECBA1" w14:textId="77777777" w:rsidR="00901491" w:rsidRDefault="00901491" w:rsidP="00A27093">
            <w:r>
              <w:t>Project Operational Manual</w:t>
            </w:r>
          </w:p>
        </w:tc>
      </w:tr>
      <w:tr w:rsidR="00901491" w14:paraId="78773671" w14:textId="77777777" w:rsidTr="00A27093">
        <w:tc>
          <w:tcPr>
            <w:tcW w:w="4680" w:type="dxa"/>
          </w:tcPr>
          <w:p w14:paraId="35416C57" w14:textId="77777777" w:rsidR="00901491" w:rsidRDefault="00901491" w:rsidP="00A27093">
            <w:r>
              <w:t>PSC</w:t>
            </w:r>
          </w:p>
        </w:tc>
        <w:tc>
          <w:tcPr>
            <w:tcW w:w="4680" w:type="dxa"/>
          </w:tcPr>
          <w:p w14:paraId="29E605BF" w14:textId="77777777" w:rsidR="00901491" w:rsidRDefault="00901491" w:rsidP="00A27093">
            <w:r>
              <w:t>Project Steering Committee</w:t>
            </w:r>
          </w:p>
        </w:tc>
      </w:tr>
      <w:tr w:rsidR="00901491" w14:paraId="61A008F1" w14:textId="77777777" w:rsidTr="00A27093">
        <w:tc>
          <w:tcPr>
            <w:tcW w:w="4680" w:type="dxa"/>
          </w:tcPr>
          <w:p w14:paraId="107086E3" w14:textId="77777777" w:rsidR="00901491" w:rsidRDefault="00901491" w:rsidP="00A27093">
            <w:r>
              <w:t>RP</w:t>
            </w:r>
          </w:p>
        </w:tc>
        <w:tc>
          <w:tcPr>
            <w:tcW w:w="4680" w:type="dxa"/>
          </w:tcPr>
          <w:p w14:paraId="47F3736D" w14:textId="77777777" w:rsidR="00901491" w:rsidRDefault="00901491" w:rsidP="00A27093">
            <w:r>
              <w:t>Resettlement Plan</w:t>
            </w:r>
          </w:p>
        </w:tc>
      </w:tr>
      <w:tr w:rsidR="00901491" w14:paraId="43C5EDDF" w14:textId="77777777" w:rsidTr="00A27093">
        <w:tc>
          <w:tcPr>
            <w:tcW w:w="4680" w:type="dxa"/>
          </w:tcPr>
          <w:p w14:paraId="5383F86A" w14:textId="77777777" w:rsidR="00901491" w:rsidRDefault="00901491" w:rsidP="00A27093">
            <w:r>
              <w:t>SEA</w:t>
            </w:r>
          </w:p>
        </w:tc>
        <w:tc>
          <w:tcPr>
            <w:tcW w:w="4680" w:type="dxa"/>
          </w:tcPr>
          <w:p w14:paraId="08DDE5CF" w14:textId="77777777" w:rsidR="00901491" w:rsidRDefault="00901491" w:rsidP="00A27093">
            <w:r>
              <w:t>Sexual Exploitation and Abuse</w:t>
            </w:r>
          </w:p>
        </w:tc>
      </w:tr>
      <w:tr w:rsidR="00901491" w14:paraId="35E27F56" w14:textId="77777777" w:rsidTr="00A27093">
        <w:tc>
          <w:tcPr>
            <w:tcW w:w="4680" w:type="dxa"/>
          </w:tcPr>
          <w:p w14:paraId="1B435C48" w14:textId="77777777" w:rsidR="00901491" w:rsidRDefault="00901491" w:rsidP="00A27093">
            <w:r>
              <w:t>SEP</w:t>
            </w:r>
          </w:p>
        </w:tc>
        <w:tc>
          <w:tcPr>
            <w:tcW w:w="4680" w:type="dxa"/>
          </w:tcPr>
          <w:p w14:paraId="0237E896" w14:textId="77777777" w:rsidR="00901491" w:rsidRDefault="00901491" w:rsidP="00A27093">
            <w:r>
              <w:t>Stakeholder Engagement Plan</w:t>
            </w:r>
          </w:p>
        </w:tc>
      </w:tr>
      <w:tr w:rsidR="00901491" w14:paraId="4AE0EB16" w14:textId="77777777" w:rsidTr="00A27093">
        <w:tc>
          <w:tcPr>
            <w:tcW w:w="4680" w:type="dxa"/>
          </w:tcPr>
          <w:p w14:paraId="4D3BCC9A" w14:textId="77777777" w:rsidR="00901491" w:rsidRDefault="00901491" w:rsidP="00A27093">
            <w:r>
              <w:t>SH</w:t>
            </w:r>
          </w:p>
        </w:tc>
        <w:tc>
          <w:tcPr>
            <w:tcW w:w="4680" w:type="dxa"/>
          </w:tcPr>
          <w:p w14:paraId="0A250FEF" w14:textId="77777777" w:rsidR="00901491" w:rsidRDefault="00901491" w:rsidP="00A27093">
            <w:r>
              <w:t>Sexual Harassment</w:t>
            </w:r>
          </w:p>
        </w:tc>
      </w:tr>
      <w:tr w:rsidR="00901491" w14:paraId="64A6270D" w14:textId="77777777" w:rsidTr="00A27093">
        <w:tc>
          <w:tcPr>
            <w:tcW w:w="4680" w:type="dxa"/>
          </w:tcPr>
          <w:p w14:paraId="31A78BBA" w14:textId="77777777" w:rsidR="00901491" w:rsidRDefault="00901491" w:rsidP="00A27093">
            <w:r>
              <w:t>SFM</w:t>
            </w:r>
          </w:p>
        </w:tc>
        <w:tc>
          <w:tcPr>
            <w:tcW w:w="4680" w:type="dxa"/>
          </w:tcPr>
          <w:p w14:paraId="03A82528" w14:textId="77777777" w:rsidR="00901491" w:rsidRDefault="00901491" w:rsidP="00A27093">
            <w:r>
              <w:t>Sustainable Forest Management</w:t>
            </w:r>
          </w:p>
        </w:tc>
      </w:tr>
      <w:tr w:rsidR="00901491" w14:paraId="3D846597" w14:textId="77777777" w:rsidTr="00A27093">
        <w:tc>
          <w:tcPr>
            <w:tcW w:w="4680" w:type="dxa"/>
          </w:tcPr>
          <w:p w14:paraId="55350E6A" w14:textId="77777777" w:rsidR="00901491" w:rsidRDefault="00901491" w:rsidP="00A27093">
            <w:r>
              <w:t>SME</w:t>
            </w:r>
          </w:p>
        </w:tc>
        <w:tc>
          <w:tcPr>
            <w:tcW w:w="4680" w:type="dxa"/>
          </w:tcPr>
          <w:p w14:paraId="6F76D98A" w14:textId="77777777" w:rsidR="00901491" w:rsidRDefault="00901491" w:rsidP="00A27093">
            <w:r>
              <w:t>Small and Medium Enterprise</w:t>
            </w:r>
          </w:p>
        </w:tc>
      </w:tr>
      <w:tr w:rsidR="00901491" w14:paraId="17756F91" w14:textId="77777777" w:rsidTr="00A27093">
        <w:tc>
          <w:tcPr>
            <w:tcW w:w="4680" w:type="dxa"/>
          </w:tcPr>
          <w:p w14:paraId="1B3A1F69" w14:textId="77777777" w:rsidR="00901491" w:rsidRDefault="00901491" w:rsidP="00A27093">
            <w:r>
              <w:t>SOE</w:t>
            </w:r>
          </w:p>
        </w:tc>
        <w:tc>
          <w:tcPr>
            <w:tcW w:w="4680" w:type="dxa"/>
          </w:tcPr>
          <w:p w14:paraId="1FD3B28C" w14:textId="77777777" w:rsidR="00901491" w:rsidRDefault="00901491" w:rsidP="00A27093">
            <w:r>
              <w:t>State-Owned Enterprise</w:t>
            </w:r>
          </w:p>
        </w:tc>
      </w:tr>
      <w:tr w:rsidR="00901491" w14:paraId="4DC64423" w14:textId="77777777" w:rsidTr="00A27093">
        <w:tc>
          <w:tcPr>
            <w:tcW w:w="4680" w:type="dxa"/>
          </w:tcPr>
          <w:p w14:paraId="0F45C4D4" w14:textId="77777777" w:rsidR="00901491" w:rsidRDefault="00901491" w:rsidP="00A27093">
            <w:r>
              <w:t>TSU</w:t>
            </w:r>
          </w:p>
        </w:tc>
        <w:tc>
          <w:tcPr>
            <w:tcW w:w="4680" w:type="dxa"/>
          </w:tcPr>
          <w:p w14:paraId="029CA082" w14:textId="77777777" w:rsidR="00901491" w:rsidRDefault="00901491" w:rsidP="00A27093">
            <w:r>
              <w:t>Technical Support Unit</w:t>
            </w:r>
          </w:p>
        </w:tc>
      </w:tr>
      <w:tr w:rsidR="00901491" w14:paraId="494FB0D3" w14:textId="77777777" w:rsidTr="00A27093">
        <w:tc>
          <w:tcPr>
            <w:tcW w:w="4680" w:type="dxa"/>
          </w:tcPr>
          <w:p w14:paraId="4A30D34D" w14:textId="77777777" w:rsidR="00901491" w:rsidRDefault="00901491" w:rsidP="00A27093">
            <w:r>
              <w:t>USETTS</w:t>
            </w:r>
          </w:p>
        </w:tc>
        <w:tc>
          <w:tcPr>
            <w:tcW w:w="4680" w:type="dxa"/>
          </w:tcPr>
          <w:p w14:paraId="4E27009F" w14:textId="77777777" w:rsidR="00901491" w:rsidRDefault="00901491" w:rsidP="00A27093">
            <w:r>
              <w:t>Unified State Electronic Timber Tracking System</w:t>
            </w:r>
          </w:p>
        </w:tc>
      </w:tr>
      <w:tr w:rsidR="00901491" w14:paraId="601B6853" w14:textId="77777777" w:rsidTr="00A27093">
        <w:tc>
          <w:tcPr>
            <w:tcW w:w="4680" w:type="dxa"/>
          </w:tcPr>
          <w:p w14:paraId="113F590F" w14:textId="77777777" w:rsidR="00901491" w:rsidRDefault="00901491" w:rsidP="00A27093">
            <w:r>
              <w:t>VAC</w:t>
            </w:r>
          </w:p>
        </w:tc>
        <w:tc>
          <w:tcPr>
            <w:tcW w:w="4680" w:type="dxa"/>
          </w:tcPr>
          <w:p w14:paraId="46485616" w14:textId="77777777" w:rsidR="00901491" w:rsidRDefault="00901491" w:rsidP="00A27093">
            <w:r>
              <w:t>Violence Against Children</w:t>
            </w:r>
          </w:p>
        </w:tc>
      </w:tr>
      <w:tr w:rsidR="00901491" w14:paraId="272662EE" w14:textId="77777777" w:rsidTr="00A27093">
        <w:tc>
          <w:tcPr>
            <w:tcW w:w="4680" w:type="dxa"/>
          </w:tcPr>
          <w:p w14:paraId="167E2C4B" w14:textId="77777777" w:rsidR="00901491" w:rsidRDefault="00901491" w:rsidP="00A27093">
            <w:r>
              <w:t>VDN</w:t>
            </w:r>
          </w:p>
        </w:tc>
        <w:tc>
          <w:tcPr>
            <w:tcW w:w="4680" w:type="dxa"/>
          </w:tcPr>
          <w:p w14:paraId="0176018E" w14:textId="77777777" w:rsidR="00901491" w:rsidRDefault="00901491" w:rsidP="00A27093"/>
        </w:tc>
      </w:tr>
      <w:tr w:rsidR="00901491" w14:paraId="43DC1D76" w14:textId="77777777" w:rsidTr="00A27093">
        <w:tc>
          <w:tcPr>
            <w:tcW w:w="4680" w:type="dxa"/>
          </w:tcPr>
          <w:p w14:paraId="06ADFCBD" w14:textId="77777777" w:rsidR="00901491" w:rsidRDefault="00901491" w:rsidP="00A27093">
            <w:r>
              <w:t>WB</w:t>
            </w:r>
          </w:p>
        </w:tc>
        <w:tc>
          <w:tcPr>
            <w:tcW w:w="4680" w:type="dxa"/>
          </w:tcPr>
          <w:p w14:paraId="5BC58715" w14:textId="77777777" w:rsidR="00901491" w:rsidRDefault="00901491" w:rsidP="00A27093">
            <w:r>
              <w:t>World Bank</w:t>
            </w:r>
          </w:p>
        </w:tc>
      </w:tr>
      <w:tr w:rsidR="00901491" w14:paraId="0DC3D05E" w14:textId="77777777" w:rsidTr="00A27093">
        <w:tc>
          <w:tcPr>
            <w:tcW w:w="4680" w:type="dxa"/>
          </w:tcPr>
          <w:p w14:paraId="6E631E84" w14:textId="77777777" w:rsidR="00901491" w:rsidRDefault="00901491" w:rsidP="00A27093">
            <w:r>
              <w:lastRenderedPageBreak/>
              <w:t>WICE</w:t>
            </w:r>
          </w:p>
        </w:tc>
        <w:tc>
          <w:tcPr>
            <w:tcW w:w="4680" w:type="dxa"/>
          </w:tcPr>
          <w:p w14:paraId="6B96A84F" w14:textId="77777777" w:rsidR="00901491" w:rsidRDefault="00901491" w:rsidP="00A27093">
            <w:r>
              <w:t>Wood Industry Center of Excellence</w:t>
            </w:r>
          </w:p>
        </w:tc>
      </w:tr>
    </w:tbl>
    <w:p w14:paraId="2C1D6EC1" w14:textId="77777777" w:rsidR="004F3F40" w:rsidRPr="004F3F40" w:rsidRDefault="004F3F40" w:rsidP="00B217E6">
      <w:pPr>
        <w:jc w:val="both"/>
        <w:rPr>
          <w:b/>
          <w:sz w:val="28"/>
          <w:szCs w:val="28"/>
        </w:rPr>
      </w:pPr>
    </w:p>
    <w:p w14:paraId="002EBC55" w14:textId="77777777" w:rsidR="00B217E6" w:rsidRPr="004F3F40" w:rsidRDefault="00B217E6" w:rsidP="00B217E6">
      <w:pPr>
        <w:jc w:val="both"/>
        <w:rPr>
          <w:b/>
          <w:color w:val="385623" w:themeColor="accent6" w:themeShade="80"/>
          <w:sz w:val="32"/>
          <w:szCs w:val="32"/>
        </w:rPr>
      </w:pPr>
      <w:r w:rsidRPr="004F3F40">
        <w:rPr>
          <w:b/>
          <w:color w:val="385623" w:themeColor="accent6" w:themeShade="80"/>
          <w:sz w:val="32"/>
          <w:szCs w:val="32"/>
        </w:rPr>
        <w:t>I. PROJECT BACKGROUND</w:t>
      </w:r>
    </w:p>
    <w:p w14:paraId="1BFBB0AB" w14:textId="77777777" w:rsidR="004F3F40" w:rsidRPr="004F3F40" w:rsidRDefault="004F3F40" w:rsidP="00B217E6">
      <w:pPr>
        <w:jc w:val="both"/>
        <w:rPr>
          <w:b/>
          <w:color w:val="385623" w:themeColor="accent6" w:themeShade="80"/>
          <w:sz w:val="28"/>
          <w:szCs w:val="28"/>
        </w:rPr>
      </w:pPr>
    </w:p>
    <w:p w14:paraId="21B554E9" w14:textId="77777777" w:rsidR="00B217E6" w:rsidRPr="007D0035" w:rsidRDefault="00B217E6" w:rsidP="00B217E6">
      <w:pPr>
        <w:jc w:val="both"/>
        <w:rPr>
          <w:b/>
          <w:i/>
          <w:color w:val="385623" w:themeColor="accent6" w:themeShade="80"/>
          <w:sz w:val="28"/>
          <w:szCs w:val="28"/>
        </w:rPr>
      </w:pPr>
      <w:r w:rsidRPr="007D0035">
        <w:rPr>
          <w:b/>
          <w:i/>
          <w:color w:val="385623" w:themeColor="accent6" w:themeShade="80"/>
          <w:sz w:val="28"/>
          <w:szCs w:val="28"/>
        </w:rPr>
        <w:t>1.1. Project Overview</w:t>
      </w:r>
    </w:p>
    <w:p w14:paraId="448726C4" w14:textId="1C4C1A77" w:rsidR="00B217E6" w:rsidRPr="00B217E6" w:rsidRDefault="00B217E6" w:rsidP="00B217E6">
      <w:pPr>
        <w:spacing w:before="100" w:beforeAutospacing="1" w:after="100" w:afterAutospacing="1" w:line="240" w:lineRule="auto"/>
        <w:jc w:val="both"/>
        <w:outlineLvl w:val="3"/>
        <w:rPr>
          <w:rFonts w:ascii="Calibri" w:hAnsi="Calibri" w:cs="Calibri"/>
          <w:sz w:val="24"/>
          <w:szCs w:val="24"/>
        </w:rPr>
      </w:pPr>
      <w:r w:rsidRPr="00B217E6">
        <w:rPr>
          <w:rFonts w:ascii="Calibri" w:hAnsi="Calibri" w:cs="Calibri"/>
          <w:sz w:val="24"/>
          <w:szCs w:val="24"/>
        </w:rPr>
        <w:t xml:space="preserve">Montenegro is in the process of modernizing its forestry policy and developing a competitive wood industry. Given the challenges of sustainable forest management and reducing the risk of wildfires, the project aims to </w:t>
      </w:r>
      <w:r w:rsidR="00D41129" w:rsidRPr="00D41129">
        <w:rPr>
          <w:rFonts w:ascii="Calibri" w:hAnsi="Calibri" w:cs="Calibri"/>
          <w:sz w:val="24"/>
          <w:szCs w:val="24"/>
        </w:rPr>
        <w:t>boosting the forest industries’ economic viability</w:t>
      </w:r>
      <w:r w:rsidR="00D41129" w:rsidRPr="00D41129" w:rsidDel="00D41129">
        <w:rPr>
          <w:rFonts w:ascii="Calibri" w:hAnsi="Calibri" w:cs="Calibri"/>
          <w:sz w:val="24"/>
          <w:szCs w:val="24"/>
        </w:rPr>
        <w:t xml:space="preserve"> </w:t>
      </w:r>
      <w:r w:rsidRPr="00B217E6">
        <w:rPr>
          <w:rFonts w:ascii="Calibri" w:hAnsi="Calibri" w:cs="Calibri"/>
          <w:sz w:val="24"/>
          <w:szCs w:val="24"/>
        </w:rPr>
        <w:t>while protecting Montenegro’s forested areas.</w:t>
      </w:r>
    </w:p>
    <w:p w14:paraId="0FE708EB" w14:textId="77777777" w:rsidR="00B217E6" w:rsidRPr="00B217E6" w:rsidRDefault="00B217E6" w:rsidP="00B217E6">
      <w:pPr>
        <w:jc w:val="both"/>
        <w:rPr>
          <w:rFonts w:ascii="Calibri" w:hAnsi="Calibri" w:cs="Calibri"/>
          <w:sz w:val="24"/>
          <w:szCs w:val="24"/>
        </w:rPr>
      </w:pPr>
      <w:r w:rsidRPr="00B217E6">
        <w:rPr>
          <w:rFonts w:ascii="Calibri" w:hAnsi="Calibri" w:cs="Calibri"/>
          <w:sz w:val="24"/>
          <w:szCs w:val="24"/>
        </w:rPr>
        <w:t>The project is based on strengthening institutional capacity, modernizing the forestry supply chain, and improving forest resource management.</w:t>
      </w:r>
    </w:p>
    <w:p w14:paraId="2D4DDF70" w14:textId="488FBEF3" w:rsidR="00B217E6" w:rsidRDefault="00B217E6" w:rsidP="00B217E6">
      <w:pPr>
        <w:spacing w:before="100" w:beforeAutospacing="1" w:after="100" w:afterAutospacing="1" w:line="240" w:lineRule="auto"/>
        <w:outlineLvl w:val="3"/>
        <w:rPr>
          <w:rFonts w:ascii="Calibri" w:hAnsi="Calibri" w:cs="Calibri"/>
          <w:sz w:val="24"/>
          <w:szCs w:val="24"/>
        </w:rPr>
      </w:pPr>
      <w:r w:rsidRPr="00B217E6">
        <w:rPr>
          <w:rFonts w:ascii="Calibri" w:hAnsi="Calibri" w:cs="Calibri"/>
          <w:sz w:val="24"/>
          <w:szCs w:val="24"/>
        </w:rPr>
        <w:t xml:space="preserve">The project objective is to </w:t>
      </w:r>
      <w:r w:rsidR="00D41129" w:rsidRPr="00D41129">
        <w:rPr>
          <w:rFonts w:ascii="Calibri" w:hAnsi="Calibri" w:cs="Calibri"/>
          <w:sz w:val="24"/>
          <w:szCs w:val="24"/>
        </w:rPr>
        <w:t xml:space="preserve">economic viability of the </w:t>
      </w:r>
      <w:r w:rsidR="00D41129" w:rsidRPr="00B217E6">
        <w:rPr>
          <w:rFonts w:ascii="Calibri" w:hAnsi="Calibri" w:cs="Calibri"/>
          <w:sz w:val="24"/>
          <w:szCs w:val="24"/>
        </w:rPr>
        <w:t>Montenegro's</w:t>
      </w:r>
      <w:r w:rsidR="00D41129" w:rsidRPr="00D41129">
        <w:rPr>
          <w:rFonts w:ascii="Calibri" w:hAnsi="Calibri" w:cs="Calibri"/>
          <w:sz w:val="24"/>
          <w:szCs w:val="24"/>
        </w:rPr>
        <w:t xml:space="preserve"> </w:t>
      </w:r>
      <w:r w:rsidR="00D41129">
        <w:rPr>
          <w:rFonts w:ascii="Calibri" w:hAnsi="Calibri" w:cs="Calibri"/>
          <w:sz w:val="24"/>
          <w:szCs w:val="24"/>
        </w:rPr>
        <w:t xml:space="preserve">wood </w:t>
      </w:r>
      <w:r w:rsidR="00D41129" w:rsidRPr="00D41129">
        <w:rPr>
          <w:rFonts w:ascii="Calibri" w:hAnsi="Calibri" w:cs="Calibri"/>
          <w:sz w:val="24"/>
          <w:szCs w:val="24"/>
        </w:rPr>
        <w:t xml:space="preserve">industry </w:t>
      </w:r>
      <w:proofErr w:type="gramStart"/>
      <w:r w:rsidRPr="00B217E6">
        <w:rPr>
          <w:rFonts w:ascii="Calibri" w:hAnsi="Calibri" w:cs="Calibri"/>
          <w:sz w:val="24"/>
          <w:szCs w:val="24"/>
        </w:rPr>
        <w:t>of  and</w:t>
      </w:r>
      <w:proofErr w:type="gramEnd"/>
      <w:r w:rsidRPr="00B217E6">
        <w:rPr>
          <w:rFonts w:ascii="Calibri" w:hAnsi="Calibri" w:cs="Calibri"/>
          <w:sz w:val="24"/>
          <w:szCs w:val="24"/>
        </w:rPr>
        <w:t xml:space="preserve"> reduce the risk of forest fires in targeted areas.</w:t>
      </w:r>
    </w:p>
    <w:p w14:paraId="1F818AC8" w14:textId="77777777" w:rsidR="000F13F2" w:rsidRPr="000F13F2" w:rsidRDefault="000F13F2" w:rsidP="001123BC">
      <w:pPr>
        <w:spacing w:before="100" w:beforeAutospacing="1" w:after="100" w:afterAutospacing="1" w:line="240" w:lineRule="auto"/>
        <w:jc w:val="both"/>
        <w:outlineLvl w:val="3"/>
        <w:rPr>
          <w:rFonts w:ascii="Calibri" w:hAnsi="Calibri" w:cs="Calibri"/>
          <w:sz w:val="24"/>
          <w:szCs w:val="24"/>
        </w:rPr>
      </w:pPr>
      <w:r w:rsidRPr="000F13F2">
        <w:rPr>
          <w:rFonts w:ascii="Calibri" w:hAnsi="Calibri" w:cs="Calibri"/>
          <w:sz w:val="24"/>
          <w:szCs w:val="24"/>
        </w:rPr>
        <w:t>This document is called the Stakeholder Engagement Plan (SEP</w:t>
      </w:r>
      <w:proofErr w:type="gramStart"/>
      <w:r w:rsidRPr="000F13F2">
        <w:rPr>
          <w:rFonts w:ascii="Calibri" w:hAnsi="Calibri" w:cs="Calibri"/>
          <w:sz w:val="24"/>
          <w:szCs w:val="24"/>
        </w:rPr>
        <w:t>)</w:t>
      </w:r>
      <w:proofErr w:type="gramEnd"/>
      <w:r w:rsidRPr="000F13F2">
        <w:rPr>
          <w:rFonts w:ascii="Calibri" w:hAnsi="Calibri" w:cs="Calibri"/>
          <w:sz w:val="24"/>
          <w:szCs w:val="24"/>
        </w:rPr>
        <w:t xml:space="preserve"> and it has been prepared by </w:t>
      </w:r>
      <w:r w:rsidR="003B6EAB" w:rsidRPr="001123BC">
        <w:rPr>
          <w:rFonts w:ascii="Calibri" w:hAnsi="Calibri" w:cs="Calibri"/>
          <w:sz w:val="24"/>
          <w:szCs w:val="24"/>
        </w:rPr>
        <w:t xml:space="preserve">Ministry of Agriculture, Forestry and Water Management </w:t>
      </w:r>
      <w:r w:rsidRPr="000F13F2">
        <w:rPr>
          <w:rFonts w:ascii="Calibri" w:hAnsi="Calibri" w:cs="Calibri"/>
          <w:sz w:val="24"/>
          <w:szCs w:val="24"/>
        </w:rPr>
        <w:t>for the</w:t>
      </w:r>
      <w:r w:rsidR="003B6EAB">
        <w:rPr>
          <w:rFonts w:ascii="Calibri" w:hAnsi="Calibri" w:cs="Calibri"/>
          <w:sz w:val="24"/>
          <w:szCs w:val="24"/>
        </w:rPr>
        <w:t xml:space="preserve"> </w:t>
      </w:r>
      <w:r w:rsidR="001123BC" w:rsidRPr="001123BC">
        <w:rPr>
          <w:rFonts w:ascii="Calibri" w:hAnsi="Calibri" w:cs="Calibri"/>
          <w:sz w:val="24"/>
          <w:szCs w:val="24"/>
        </w:rPr>
        <w:t xml:space="preserve">Montenegro Forest </w:t>
      </w:r>
      <w:proofErr w:type="gramStart"/>
      <w:r w:rsidR="001123BC" w:rsidRPr="001123BC">
        <w:rPr>
          <w:rFonts w:ascii="Calibri" w:hAnsi="Calibri" w:cs="Calibri"/>
          <w:sz w:val="24"/>
          <w:szCs w:val="24"/>
        </w:rPr>
        <w:t>For</w:t>
      </w:r>
      <w:proofErr w:type="gramEnd"/>
      <w:r w:rsidR="001123BC" w:rsidRPr="001123BC">
        <w:rPr>
          <w:rFonts w:ascii="Calibri" w:hAnsi="Calibri" w:cs="Calibri"/>
          <w:sz w:val="24"/>
          <w:szCs w:val="24"/>
        </w:rPr>
        <w:t xml:space="preserve"> Shared Prosperity</w:t>
      </w:r>
      <w:r w:rsidR="001123BC">
        <w:rPr>
          <w:rFonts w:ascii="Calibri" w:hAnsi="Calibri" w:cs="Calibri"/>
          <w:sz w:val="24"/>
          <w:szCs w:val="24"/>
        </w:rPr>
        <w:t xml:space="preserve"> project</w:t>
      </w:r>
      <w:r w:rsidRPr="000F13F2">
        <w:rPr>
          <w:rFonts w:ascii="Calibri" w:hAnsi="Calibri" w:cs="Calibri"/>
          <w:sz w:val="24"/>
          <w:szCs w:val="24"/>
        </w:rPr>
        <w:t>. The SEP has been prepared in line with the World Bank’s Environment and Social Framework, specifically the Environmental and Social Standard 10 (ESS 10): Stakeholder Engagement and Information Disclosure</w:t>
      </w:r>
      <w:r w:rsidR="00AB4D8A">
        <w:rPr>
          <w:rFonts w:ascii="Calibri" w:hAnsi="Calibri" w:cs="Calibri"/>
          <w:sz w:val="24"/>
          <w:szCs w:val="24"/>
        </w:rPr>
        <w:t>, and</w:t>
      </w:r>
      <w:r w:rsidR="00AB4D8A" w:rsidRPr="00AB4D8A">
        <w:rPr>
          <w:rFonts w:ascii="Calibri" w:hAnsi="Calibri" w:cs="Calibri"/>
          <w:sz w:val="24"/>
          <w:szCs w:val="24"/>
        </w:rPr>
        <w:t xml:space="preserve"> the regulations of the Government of Montenegro (GOM) on stakeholder engagement and grievance management.</w:t>
      </w:r>
      <w:r w:rsidRPr="000F13F2">
        <w:rPr>
          <w:rFonts w:ascii="Calibri" w:hAnsi="Calibri" w:cs="Calibri"/>
          <w:sz w:val="24"/>
          <w:szCs w:val="24"/>
        </w:rPr>
        <w:t xml:space="preserve"> This document is considered a living document and shall be modified as the project is designed and implemented. </w:t>
      </w:r>
    </w:p>
    <w:p w14:paraId="47B5CBE2" w14:textId="77777777" w:rsidR="000F13F2" w:rsidRPr="00B217E6" w:rsidRDefault="000F13F2" w:rsidP="00B217E6">
      <w:pPr>
        <w:spacing w:before="100" w:beforeAutospacing="1" w:after="100" w:afterAutospacing="1" w:line="240" w:lineRule="auto"/>
        <w:outlineLvl w:val="3"/>
        <w:rPr>
          <w:rFonts w:ascii="Calibri" w:hAnsi="Calibri" w:cs="Calibri"/>
          <w:sz w:val="24"/>
          <w:szCs w:val="24"/>
        </w:rPr>
      </w:pPr>
    </w:p>
    <w:p w14:paraId="245B83E8" w14:textId="77777777" w:rsidR="00B217E6" w:rsidRPr="007D0035" w:rsidRDefault="00B217E6" w:rsidP="00B217E6">
      <w:pPr>
        <w:spacing w:before="100" w:beforeAutospacing="1" w:after="100" w:afterAutospacing="1" w:line="240" w:lineRule="auto"/>
        <w:outlineLvl w:val="3"/>
        <w:rPr>
          <w:rFonts w:ascii="Calibri" w:hAnsi="Calibri" w:cs="Calibri"/>
          <w:b/>
          <w:i/>
          <w:color w:val="385623" w:themeColor="accent6" w:themeShade="80"/>
          <w:sz w:val="28"/>
          <w:szCs w:val="28"/>
        </w:rPr>
      </w:pPr>
      <w:r w:rsidRPr="007D0035">
        <w:rPr>
          <w:b/>
          <w:i/>
          <w:color w:val="385623" w:themeColor="accent6" w:themeShade="80"/>
          <w:sz w:val="28"/>
          <w:szCs w:val="28"/>
        </w:rPr>
        <w:t>1.2. Project Components</w:t>
      </w:r>
    </w:p>
    <w:p w14:paraId="65E016D9" w14:textId="77777777" w:rsidR="00B217E6" w:rsidRDefault="00B217E6" w:rsidP="00B217E6">
      <w:pPr>
        <w:spacing w:before="100" w:beforeAutospacing="1" w:after="100" w:afterAutospacing="1" w:line="240" w:lineRule="auto"/>
        <w:outlineLvl w:val="3"/>
        <w:rPr>
          <w:rFonts w:ascii="Calibri" w:hAnsi="Calibri" w:cs="Calibri"/>
        </w:rPr>
      </w:pPr>
      <w:r>
        <w:rPr>
          <w:rFonts w:ascii="Calibri" w:hAnsi="Calibri" w:cs="Calibri"/>
        </w:rPr>
        <w:t xml:space="preserve">The Project comprises 4 components: </w:t>
      </w:r>
    </w:p>
    <w:p w14:paraId="60D96C2E" w14:textId="77777777" w:rsidR="00B217E6" w:rsidRPr="004F3F40" w:rsidRDefault="00B217E6" w:rsidP="00B217E6">
      <w:pPr>
        <w:spacing w:after="120" w:line="240" w:lineRule="auto"/>
        <w:jc w:val="both"/>
        <w:rPr>
          <w:bCs/>
          <w:kern w:val="2"/>
          <w:sz w:val="24"/>
          <w:szCs w:val="24"/>
          <w14:ligatures w14:val="standardContextual"/>
        </w:rPr>
      </w:pPr>
      <w:r w:rsidRPr="004F3F40">
        <w:rPr>
          <w:b/>
          <w:kern w:val="2"/>
          <w:sz w:val="24"/>
          <w:szCs w:val="24"/>
          <w14:ligatures w14:val="standardContextual"/>
        </w:rPr>
        <w:t>Component 1. Institutional Capacity Development and System Modernization</w:t>
      </w:r>
      <w:r w:rsidRPr="004F3F40">
        <w:rPr>
          <w:bCs/>
          <w:kern w:val="2"/>
          <w:sz w:val="24"/>
          <w:szCs w:val="24"/>
          <w14:ligatures w14:val="standardContextual"/>
        </w:rPr>
        <w:t xml:space="preserve"> </w:t>
      </w:r>
    </w:p>
    <w:p w14:paraId="10180964" w14:textId="77777777" w:rsidR="00B217E6" w:rsidRDefault="00B217E6" w:rsidP="00B217E6">
      <w:pPr>
        <w:spacing w:after="120" w:line="240" w:lineRule="auto"/>
        <w:contextualSpacing/>
        <w:jc w:val="both"/>
        <w:rPr>
          <w:bCs/>
          <w:kern w:val="2"/>
          <w14:ligatures w14:val="standardContextual"/>
        </w:rPr>
      </w:pPr>
    </w:p>
    <w:p w14:paraId="052CEB4B" w14:textId="77777777" w:rsidR="00B217E6" w:rsidRPr="00B217E6" w:rsidRDefault="00B217E6" w:rsidP="00B217E6">
      <w:pPr>
        <w:spacing w:after="120" w:line="240" w:lineRule="auto"/>
        <w:contextualSpacing/>
        <w:jc w:val="both"/>
        <w:rPr>
          <w:bCs/>
          <w:kern w:val="2"/>
          <w14:ligatures w14:val="standardContextual"/>
        </w:rPr>
      </w:pPr>
      <w:r w:rsidRPr="00B217E6">
        <w:rPr>
          <w:bCs/>
          <w:kern w:val="2"/>
          <w14:ligatures w14:val="standardContextual"/>
        </w:rPr>
        <w:t>The objective of this component is to improve the enabling conditions for a stronger Montenegro</w:t>
      </w:r>
      <w:r w:rsidR="001664A5">
        <w:rPr>
          <w:bCs/>
          <w:kern w:val="2"/>
          <w14:ligatures w14:val="standardContextual"/>
        </w:rPr>
        <w:t xml:space="preserve"> </w:t>
      </w:r>
      <w:r w:rsidR="001664A5" w:rsidRPr="00DA21B1">
        <w:rPr>
          <w:bCs/>
          <w:kern w:val="2"/>
          <w14:ligatures w14:val="standardContextual"/>
        </w:rPr>
        <w:t>forest and</w:t>
      </w:r>
      <w:r w:rsidRPr="00B217E6">
        <w:rPr>
          <w:bCs/>
          <w:kern w:val="2"/>
          <w14:ligatures w14:val="standardContextual"/>
        </w:rPr>
        <w:t xml:space="preserve"> wood industry and improved the supply chain of forest products to spur economic growth and sustainable development. The component will facilitate the development of a favorable regulatory environment as well as removal of constraints for forest industry growth and management. The component will focus on the following core interventions: improving policy environment, institutional capacity development, system modernization, and supporting government’s reform of the forest governance including the effective implementation the new Forest Law.  </w:t>
      </w:r>
    </w:p>
    <w:p w14:paraId="274B44EF" w14:textId="77777777" w:rsidR="007E0D14" w:rsidRDefault="007E0D14" w:rsidP="007E0D14">
      <w:pPr>
        <w:spacing w:after="120" w:line="240" w:lineRule="auto"/>
        <w:jc w:val="both"/>
        <w:rPr>
          <w:bCs/>
          <w:i/>
          <w:iCs/>
          <w:kern w:val="2"/>
          <w14:ligatures w14:val="standardContextual"/>
        </w:rPr>
      </w:pPr>
    </w:p>
    <w:p w14:paraId="0DA05081" w14:textId="77777777" w:rsidR="007E0D14" w:rsidRPr="004F3F40" w:rsidRDefault="007E0D14" w:rsidP="007E0D14">
      <w:pPr>
        <w:spacing w:after="120" w:line="240" w:lineRule="auto"/>
        <w:jc w:val="both"/>
        <w:rPr>
          <w:b/>
          <w:bCs/>
          <w:i/>
          <w:iCs/>
          <w:kern w:val="2"/>
          <w14:ligatures w14:val="standardContextual"/>
        </w:rPr>
      </w:pPr>
      <w:r w:rsidRPr="004F3F40">
        <w:rPr>
          <w:b/>
          <w:bCs/>
          <w:i/>
          <w:iCs/>
          <w:kern w:val="2"/>
          <w14:ligatures w14:val="standardContextual"/>
        </w:rPr>
        <w:lastRenderedPageBreak/>
        <w:t xml:space="preserve">Subcomponent 1.1: Policy Review and Development </w:t>
      </w:r>
    </w:p>
    <w:p w14:paraId="5A3D29DF" w14:textId="77777777" w:rsidR="007E0D14" w:rsidRPr="007E0D14" w:rsidRDefault="007E0D14" w:rsidP="007E0D14">
      <w:pPr>
        <w:numPr>
          <w:ilvl w:val="0"/>
          <w:numId w:val="1"/>
        </w:numPr>
        <w:spacing w:after="120" w:line="240" w:lineRule="auto"/>
        <w:contextualSpacing/>
        <w:jc w:val="both"/>
        <w:rPr>
          <w:bCs/>
          <w:kern w:val="2"/>
          <w14:ligatures w14:val="standardContextual"/>
        </w:rPr>
      </w:pPr>
      <w:r w:rsidRPr="007E0D14">
        <w:rPr>
          <w:b/>
          <w:kern w:val="2"/>
          <w14:ligatures w14:val="standardContextual"/>
        </w:rPr>
        <w:t>Overview.</w:t>
      </w:r>
      <w:r w:rsidRPr="007E0D14">
        <w:rPr>
          <w:bCs/>
          <w:kern w:val="2"/>
          <w14:ligatures w14:val="standardContextual"/>
        </w:rPr>
        <w:t xml:space="preserve"> The project will finance technical assistance for the development of regulations which would help remove constraining factors to forest enterprises and wood industry to spur a more dynamic, market-oriented, and productive industry.  It will also finance the effective operationalization of the new Forest Law through the development of implementation mechanisms and institutional capacity buildings and arrangements.  </w:t>
      </w:r>
    </w:p>
    <w:p w14:paraId="777C3503" w14:textId="77777777" w:rsidR="007E0D14" w:rsidRPr="007E0D14" w:rsidRDefault="007E0D14" w:rsidP="007E0D14">
      <w:pPr>
        <w:spacing w:after="120" w:line="240" w:lineRule="auto"/>
        <w:contextualSpacing/>
        <w:jc w:val="both"/>
        <w:rPr>
          <w:bCs/>
          <w:kern w:val="2"/>
          <w14:ligatures w14:val="standardContextual"/>
        </w:rPr>
      </w:pPr>
    </w:p>
    <w:p w14:paraId="730AAE98" w14:textId="77777777" w:rsidR="007E0D14" w:rsidRPr="007E0D14" w:rsidRDefault="007E0D14" w:rsidP="007E0D14">
      <w:pPr>
        <w:spacing w:after="120" w:line="240" w:lineRule="auto"/>
        <w:contextualSpacing/>
        <w:jc w:val="both"/>
        <w:rPr>
          <w:bCs/>
          <w:kern w:val="2"/>
          <w14:ligatures w14:val="standardContextual"/>
        </w:rPr>
      </w:pPr>
      <w:r w:rsidRPr="007E0D14">
        <w:rPr>
          <w:b/>
          <w:kern w:val="2"/>
          <w14:ligatures w14:val="standardContextual"/>
        </w:rPr>
        <w:t>Activities</w:t>
      </w:r>
      <w:r w:rsidRPr="007E0D14">
        <w:rPr>
          <w:bCs/>
          <w:kern w:val="2"/>
          <w14:ligatures w14:val="standardContextual"/>
        </w:rPr>
        <w:t xml:space="preserve">. The major interventions will include ( (a) providing technical assistance to improve policies and regulatory and operational guidelines required for enhancing the competitiveness of the wood industry and the strengthen the engagement of the private sector; (b) providing technical support for the effective rolling out of the Forest Law including reviewing guidelines for development and management of the forest sector; (c) reviewing and updating the institutional and policy frameworks on forest fires management. </w:t>
      </w:r>
    </w:p>
    <w:p w14:paraId="7BD8FCD1" w14:textId="77777777" w:rsidR="007E0D14" w:rsidRPr="007E0D14" w:rsidRDefault="007E0D14" w:rsidP="007E0D14">
      <w:pPr>
        <w:ind w:left="720"/>
        <w:contextualSpacing/>
        <w:rPr>
          <w:bCs/>
          <w:kern w:val="2"/>
          <w14:ligatures w14:val="standardContextual"/>
        </w:rPr>
      </w:pPr>
    </w:p>
    <w:p w14:paraId="4E67EB04" w14:textId="77777777" w:rsidR="007E0D14" w:rsidRDefault="007E0D14" w:rsidP="007E0D14">
      <w:pPr>
        <w:spacing w:after="120" w:line="240" w:lineRule="auto"/>
        <w:contextualSpacing/>
        <w:jc w:val="both"/>
        <w:rPr>
          <w:bCs/>
          <w:kern w:val="2"/>
          <w14:ligatures w14:val="standardContextual"/>
        </w:rPr>
      </w:pPr>
    </w:p>
    <w:p w14:paraId="03AFD37F" w14:textId="77777777" w:rsidR="004F3F40" w:rsidRPr="007E0D14" w:rsidRDefault="004F3F40" w:rsidP="007E0D14">
      <w:pPr>
        <w:spacing w:after="120" w:line="240" w:lineRule="auto"/>
        <w:contextualSpacing/>
        <w:jc w:val="both"/>
        <w:rPr>
          <w:bCs/>
          <w:kern w:val="2"/>
          <w14:ligatures w14:val="standardContextual"/>
        </w:rPr>
      </w:pPr>
    </w:p>
    <w:p w14:paraId="0B5156DA" w14:textId="77777777" w:rsidR="007E0D14" w:rsidRPr="004F3F40" w:rsidRDefault="007E0D14" w:rsidP="007E0D14">
      <w:pPr>
        <w:spacing w:after="120" w:line="240" w:lineRule="auto"/>
        <w:jc w:val="both"/>
        <w:rPr>
          <w:b/>
          <w:bCs/>
          <w:i/>
          <w:iCs/>
          <w:kern w:val="2"/>
          <w14:ligatures w14:val="standardContextual"/>
        </w:rPr>
      </w:pPr>
      <w:r w:rsidRPr="004F3F40">
        <w:rPr>
          <w:b/>
          <w:bCs/>
          <w:i/>
          <w:iCs/>
          <w:kern w:val="2"/>
          <w14:ligatures w14:val="standardContextual"/>
        </w:rPr>
        <w:t xml:space="preserve">Subcomponent 1.2: Modernizing the supply chain management of forest-based products </w:t>
      </w:r>
    </w:p>
    <w:p w14:paraId="4A7DA703" w14:textId="77777777" w:rsidR="007E0D14" w:rsidRPr="007E0D14" w:rsidRDefault="007E0D14" w:rsidP="007E0D14">
      <w:pPr>
        <w:spacing w:after="120" w:line="240" w:lineRule="auto"/>
        <w:ind w:left="720"/>
        <w:jc w:val="both"/>
        <w:rPr>
          <w:bCs/>
          <w:kern w:val="2"/>
          <w14:ligatures w14:val="standardContextual"/>
        </w:rPr>
      </w:pPr>
      <w:r w:rsidRPr="007E0D14">
        <w:rPr>
          <w:b/>
          <w:kern w:val="2"/>
          <w14:ligatures w14:val="standardContextual"/>
        </w:rPr>
        <w:t>Overview</w:t>
      </w:r>
      <w:r w:rsidRPr="007E0D14">
        <w:rPr>
          <w:bCs/>
          <w:kern w:val="2"/>
          <w14:ligatures w14:val="standardContextual"/>
        </w:rPr>
        <w:t xml:space="preserve">. This sub-component will support activities that </w:t>
      </w:r>
      <w:proofErr w:type="gramStart"/>
      <w:r w:rsidRPr="007E0D14">
        <w:rPr>
          <w:bCs/>
          <w:kern w:val="2"/>
          <w14:ligatures w14:val="standardContextual"/>
        </w:rPr>
        <w:t>aimed</w:t>
      </w:r>
      <w:proofErr w:type="gramEnd"/>
      <w:r w:rsidRPr="007E0D14">
        <w:rPr>
          <w:bCs/>
          <w:kern w:val="2"/>
          <w14:ligatures w14:val="standardContextual"/>
        </w:rPr>
        <w:t xml:space="preserve"> at modernizing the supply </w:t>
      </w:r>
      <w:proofErr w:type="gramStart"/>
      <w:r w:rsidRPr="007E0D14">
        <w:rPr>
          <w:bCs/>
          <w:kern w:val="2"/>
          <w14:ligatures w14:val="standardContextual"/>
        </w:rPr>
        <w:t>chain  management</w:t>
      </w:r>
      <w:proofErr w:type="gramEnd"/>
      <w:r w:rsidRPr="007E0D14">
        <w:rPr>
          <w:bCs/>
          <w:kern w:val="2"/>
          <w14:ligatures w14:val="standardContextual"/>
        </w:rPr>
        <w:t xml:space="preserve"> of forest products and improving the provision of services to the wood industry.  It will finance the improvement of management systems and practices for enhancing transparency in supply chain management including strengthening timber legality control to curb illegal logging.  The sub-component will also finance technical support to the establishment of the state-owned enterprise through specific guidelines and procedures. The expected outcomes will include the establishment of Electronic Timber Tracking System (ETTS), strategy document</w:t>
      </w:r>
      <w:proofErr w:type="gramStart"/>
      <w:r w:rsidRPr="007E0D14">
        <w:rPr>
          <w:bCs/>
          <w:kern w:val="2"/>
          <w14:ligatures w14:val="standardContextual"/>
        </w:rPr>
        <w:t>, ,</w:t>
      </w:r>
      <w:proofErr w:type="gramEnd"/>
      <w:r w:rsidRPr="007E0D14">
        <w:rPr>
          <w:bCs/>
          <w:kern w:val="2"/>
          <w14:ligatures w14:val="standardContextual"/>
        </w:rPr>
        <w:t xml:space="preserve"> Business Plan for the SOE, increased forest area under certified forest management and better utilization of Forest Management Information System (FMIS). </w:t>
      </w:r>
    </w:p>
    <w:p w14:paraId="517CF24F" w14:textId="77777777" w:rsidR="00B217E6" w:rsidRDefault="007E0D14" w:rsidP="007E0D14">
      <w:pPr>
        <w:spacing w:before="100" w:beforeAutospacing="1" w:after="100" w:afterAutospacing="1" w:line="240" w:lineRule="auto"/>
        <w:jc w:val="both"/>
        <w:outlineLvl w:val="3"/>
        <w:rPr>
          <w:rFonts w:ascii="Calibri" w:hAnsi="Calibri" w:cs="Calibri"/>
        </w:rPr>
      </w:pPr>
      <w:r w:rsidRPr="007E0D14">
        <w:rPr>
          <w:b/>
          <w:kern w:val="2"/>
          <w14:ligatures w14:val="standardContextual"/>
        </w:rPr>
        <w:t>Activities</w:t>
      </w:r>
      <w:r w:rsidRPr="007E0D14">
        <w:rPr>
          <w:bCs/>
          <w:kern w:val="2"/>
          <w14:ligatures w14:val="standardContextual"/>
        </w:rPr>
        <w:t>. The activities under this sub-component include provision of technical assistance for (a) improving in the overall model of the supply chain including the restructuring of the supply chain to bring improvements to the competitiveness of the wood industry. This will be achieved through technical assistance focused on informing an improved tendering system (a feasibility study for a real-time online timber auction system, followed by the design of an appropriate system)  considering the experience of the current Unified State Electronic Timber Tracking System (USETTS 1.0) and international best practices; (b) supporting the implementation of a strategy document for the development of the wood industry; (c) preparation of Business Plan for the SOE to ensure strong governance, healthy financial performance, efficient internal practices, and effective management of the SOE  to respond to market forces and environmental sustainability; (d) (b) improving Quality Grading and Certification to improve product quality and achieve higher margins. This includes strengthen standards setting bodies to certify effectively different grades of premium products for quality improvement and reduction of imperfect market information; (c) addressing Market Challenges through improving market information, access to raw materials, access to foreign investment capital, and access to European Union market</w:t>
      </w:r>
    </w:p>
    <w:p w14:paraId="4168A0D5" w14:textId="77777777" w:rsidR="007E0D14" w:rsidRPr="007E0D14" w:rsidRDefault="007E0D14" w:rsidP="007E0D14">
      <w:pPr>
        <w:spacing w:after="120" w:line="240" w:lineRule="auto"/>
        <w:jc w:val="both"/>
        <w:rPr>
          <w:b/>
          <w:kern w:val="2"/>
          <w14:ligatures w14:val="standardContextual"/>
        </w:rPr>
      </w:pPr>
    </w:p>
    <w:p w14:paraId="191E840B" w14:textId="1D3C1FED" w:rsidR="007E0D14" w:rsidRPr="007E0D14" w:rsidRDefault="007E0D14" w:rsidP="007E0D14">
      <w:pPr>
        <w:spacing w:after="120" w:line="240" w:lineRule="auto"/>
        <w:jc w:val="both"/>
        <w:rPr>
          <w:kern w:val="2"/>
          <w14:ligatures w14:val="standardContextual"/>
        </w:rPr>
      </w:pPr>
      <w:r w:rsidRPr="004F3F40">
        <w:rPr>
          <w:b/>
          <w:kern w:val="2"/>
          <w:sz w:val="24"/>
          <w:szCs w:val="24"/>
          <w14:ligatures w14:val="standardContextual"/>
        </w:rPr>
        <w:t xml:space="preserve">Component 2. </w:t>
      </w:r>
      <w:r w:rsidR="001438BF" w:rsidRPr="001438BF">
        <w:rPr>
          <w:b/>
          <w:kern w:val="2"/>
          <w:sz w:val="24"/>
          <w:szCs w:val="24"/>
          <w14:ligatures w14:val="standardContextual"/>
        </w:rPr>
        <w:t xml:space="preserve">Forest Resilience and Wildfire Risk Reduction (estimated </w:t>
      </w:r>
      <w:proofErr w:type="gramStart"/>
      <w:r w:rsidR="001438BF" w:rsidRPr="001438BF">
        <w:rPr>
          <w:b/>
          <w:kern w:val="2"/>
          <w:sz w:val="24"/>
          <w:szCs w:val="24"/>
          <w14:ligatures w14:val="standardContextual"/>
        </w:rPr>
        <w:t>52.5  percent</w:t>
      </w:r>
      <w:proofErr w:type="gramEnd"/>
      <w:r w:rsidR="001438BF" w:rsidRPr="001438BF">
        <w:rPr>
          <w:b/>
          <w:kern w:val="2"/>
          <w:sz w:val="24"/>
          <w:szCs w:val="24"/>
          <w14:ligatures w14:val="standardContextual"/>
        </w:rPr>
        <w:t xml:space="preserve"> of total project cost)</w:t>
      </w:r>
    </w:p>
    <w:p w14:paraId="311B4CB3" w14:textId="4DFE2AFD" w:rsidR="007E0D14" w:rsidRPr="00E41801" w:rsidRDefault="007E0D14" w:rsidP="007E0D14">
      <w:pPr>
        <w:spacing w:after="120" w:line="240" w:lineRule="auto"/>
        <w:jc w:val="both"/>
        <w:rPr>
          <w:b/>
          <w:kern w:val="2"/>
          <w14:ligatures w14:val="standardContextual"/>
        </w:rPr>
      </w:pPr>
      <w:r w:rsidRPr="004F3F40">
        <w:rPr>
          <w:b/>
          <w:kern w:val="2"/>
          <w14:ligatures w14:val="standardContextual"/>
        </w:rPr>
        <w:lastRenderedPageBreak/>
        <w:t xml:space="preserve">Sub-component 2.1: </w:t>
      </w:r>
      <w:r w:rsidR="001438BF" w:rsidRPr="001438BF">
        <w:rPr>
          <w:b/>
          <w:bCs/>
          <w:i/>
          <w:iCs/>
          <w:kern w:val="2"/>
          <w14:ligatures w14:val="standardContextual"/>
        </w:rPr>
        <w:t>Shield and Sense: Promoting Forest Fire Resilience</w:t>
      </w:r>
      <w:r w:rsidR="0042099C">
        <w:rPr>
          <w:b/>
          <w:bCs/>
          <w:i/>
          <w:iCs/>
          <w:kern w:val="2"/>
          <w14:ligatures w14:val="standardContextual"/>
        </w:rPr>
        <w:t xml:space="preserve"> </w:t>
      </w:r>
      <w:r w:rsidR="001438BF" w:rsidRPr="00E41801">
        <w:rPr>
          <w:b/>
          <w:kern w:val="2"/>
          <w14:ligatures w14:val="standardContextual"/>
        </w:rPr>
        <w:t xml:space="preserve">Overview. </w:t>
      </w:r>
      <w:r w:rsidR="0042099C" w:rsidRPr="0042099C">
        <w:rPr>
          <w:bCs/>
          <w:kern w:val="2"/>
          <w14:ligatures w14:val="standardContextual"/>
        </w:rPr>
        <w:t xml:space="preserve">This subcomponent focuses on strengthening forest fire prevention, preparedness, and early detection </w:t>
      </w:r>
      <w:proofErr w:type="gramStart"/>
      <w:r w:rsidR="0042099C" w:rsidRPr="0042099C">
        <w:rPr>
          <w:bCs/>
          <w:kern w:val="2"/>
          <w14:ligatures w14:val="standardContextual"/>
        </w:rPr>
        <w:t>in order to</w:t>
      </w:r>
      <w:proofErr w:type="gramEnd"/>
      <w:r w:rsidR="0042099C" w:rsidRPr="0042099C">
        <w:rPr>
          <w:bCs/>
          <w:kern w:val="2"/>
          <w14:ligatures w14:val="standardContextual"/>
        </w:rPr>
        <w:t xml:space="preserve"> reduce wildfire risks and enhance forest resilience. It supports integrated approaches that combine preventive forest management measures, improved detection and monitoring systems, and increased awareness and preparedness at the local level. The subcomponent aims to improve coordination among relevant institutions and stakeholders, promote proactive risk reduction, and support timely response to wildfire threats, particularly in areas most vulnerable to climate change–induced fire risks.</w:t>
      </w:r>
      <w:r w:rsidR="001438BF" w:rsidRPr="001438BF">
        <w:rPr>
          <w:bCs/>
          <w:kern w:val="2"/>
          <w14:ligatures w14:val="standardContextual"/>
        </w:rPr>
        <w:t xml:space="preserve"> </w:t>
      </w:r>
      <w:r w:rsidR="0042099C">
        <w:rPr>
          <w:bCs/>
          <w:kern w:val="2"/>
          <w14:ligatures w14:val="standardContextual"/>
        </w:rPr>
        <w:t xml:space="preserve">        </w:t>
      </w:r>
      <w:r w:rsidR="0042099C" w:rsidRPr="00E41801">
        <w:rPr>
          <w:b/>
          <w:kern w:val="2"/>
          <w14:ligatures w14:val="standardContextual"/>
        </w:rPr>
        <w:t>Activities.</w:t>
      </w:r>
      <w:r w:rsidR="0042099C" w:rsidRPr="0042099C">
        <w:t xml:space="preserve"> </w:t>
      </w:r>
      <w:r w:rsidR="0042099C" w:rsidRPr="00E41801">
        <w:rPr>
          <w:bCs/>
          <w:kern w:val="2"/>
          <w14:ligatures w14:val="standardContextual"/>
        </w:rPr>
        <w:t>The interventions under this subcomponent include: (a) strengthening forest fire prevention and preparedness measures through community awareness activities and maintenance of existing fire protection areas, firebreaks, and buffer zones; (b) implementing silvicultural and fuel load management interventions aimed at reducing wildfire risks and improving forest resilience; (c) improving forest fire detection, monitoring, and early warning systems through enhanced surveillance technologies and updated fire protection mapping; and (d) supporting planning, coordination, and preparedness activities at the local level to improve early response capacity and cooperation among relevant institutions and stakeholders</w:t>
      </w:r>
      <w:r w:rsidR="0042099C" w:rsidRPr="0042099C">
        <w:rPr>
          <w:b/>
          <w:kern w:val="2"/>
          <w14:ligatures w14:val="standardContextual"/>
        </w:rPr>
        <w:t>.</w:t>
      </w:r>
    </w:p>
    <w:p w14:paraId="7F5A2E43" w14:textId="2AC41470" w:rsidR="007E0D14" w:rsidRPr="004F3F40" w:rsidRDefault="007E0D14" w:rsidP="007E0D14">
      <w:pPr>
        <w:spacing w:after="120" w:line="240" w:lineRule="auto"/>
        <w:jc w:val="both"/>
        <w:rPr>
          <w:b/>
          <w:bCs/>
          <w:i/>
          <w:iCs/>
          <w:kern w:val="2"/>
          <w14:ligatures w14:val="standardContextual"/>
        </w:rPr>
      </w:pPr>
      <w:r w:rsidRPr="004F3F40">
        <w:rPr>
          <w:b/>
          <w:bCs/>
          <w:i/>
          <w:iCs/>
          <w:kern w:val="2"/>
          <w14:ligatures w14:val="standardContextual"/>
        </w:rPr>
        <w:t xml:space="preserve">Subcomponent 2.2: </w:t>
      </w:r>
      <w:r w:rsidR="0042099C" w:rsidRPr="0042099C">
        <w:rPr>
          <w:b/>
          <w:bCs/>
          <w:i/>
          <w:iCs/>
          <w:kern w:val="2"/>
          <w14:ligatures w14:val="standardContextual"/>
        </w:rPr>
        <w:t>Recover and Revitalize – Suppression, Restoration, and Rehabilitation</w:t>
      </w:r>
      <w:r w:rsidR="0042099C">
        <w:rPr>
          <w:b/>
          <w:bCs/>
          <w:i/>
          <w:iCs/>
          <w:kern w:val="2"/>
          <w14:ligatures w14:val="standardContextual"/>
        </w:rPr>
        <w:t xml:space="preserve"> </w:t>
      </w:r>
    </w:p>
    <w:p w14:paraId="0456DFD7" w14:textId="5FE77848" w:rsidR="007E0D14" w:rsidRPr="004F3F40" w:rsidRDefault="007E0D14" w:rsidP="00B92D7E">
      <w:pPr>
        <w:spacing w:after="120" w:line="240" w:lineRule="auto"/>
        <w:ind w:left="720"/>
        <w:jc w:val="both"/>
        <w:rPr>
          <w:b/>
          <w:kern w:val="2"/>
          <w:sz w:val="24"/>
          <w:szCs w:val="24"/>
          <w14:ligatures w14:val="standardContextual"/>
        </w:rPr>
      </w:pPr>
      <w:r w:rsidRPr="007E0D14">
        <w:rPr>
          <w:b/>
          <w:kern w:val="2"/>
          <w14:ligatures w14:val="standardContextual"/>
        </w:rPr>
        <w:t>Overview</w:t>
      </w:r>
      <w:r w:rsidRPr="007E0D14">
        <w:rPr>
          <w:bCs/>
          <w:kern w:val="2"/>
          <w14:ligatures w14:val="standardContextual"/>
        </w:rPr>
        <w:t xml:space="preserve">. </w:t>
      </w:r>
      <w:r w:rsidR="0042099C" w:rsidRPr="0042099C">
        <w:rPr>
          <w:bCs/>
          <w:kern w:val="2"/>
          <w14:ligatures w14:val="standardContextual"/>
        </w:rPr>
        <w:t xml:space="preserve">This subcomponent supports activities aimed at reducing wildfire risks, strengthening suppression and response efforts, and restoring forest landscapes affected by wildfires in targeted areas of Montenegro. It focuses on improving preparedness and response systems, supporting post-fire recovery of forest ecosystems, and enhancing access for fire management, while also strengthening institutional coordination and operational capacity for wildfire </w:t>
      </w:r>
      <w:proofErr w:type="spellStart"/>
      <w:proofErr w:type="gramStart"/>
      <w:r w:rsidR="0042099C" w:rsidRPr="0042099C">
        <w:rPr>
          <w:bCs/>
          <w:kern w:val="2"/>
          <w14:ligatures w14:val="standardContextual"/>
        </w:rPr>
        <w:t>management.</w:t>
      </w:r>
      <w:r w:rsidRPr="007E0D14">
        <w:rPr>
          <w:b/>
          <w:kern w:val="2"/>
          <w14:ligatures w14:val="standardContextual"/>
        </w:rPr>
        <w:t>Activities</w:t>
      </w:r>
      <w:proofErr w:type="spellEnd"/>
      <w:proofErr w:type="gramEnd"/>
      <w:r w:rsidRPr="007E0D14">
        <w:rPr>
          <w:bCs/>
          <w:kern w:val="2"/>
          <w14:ligatures w14:val="standardContextual"/>
        </w:rPr>
        <w:t xml:space="preserve">. </w:t>
      </w:r>
      <w:r w:rsidR="00B92D7E" w:rsidRPr="00B92D7E">
        <w:rPr>
          <w:bCs/>
          <w:kern w:val="2"/>
          <w14:ligatures w14:val="standardContextual"/>
        </w:rPr>
        <w:t xml:space="preserve">The interventions under this subcomponent include: (a) supporting forest fire suppression and rapid response efforts through improvements in surveillance, detection, communication, and dispatching systems aimed at reducing detection and first response time; (b) supporting the preparation and implementation of post-fire rehabilitation and restoration plans for forest areas affected by wildfires, including targeted restoration measures to enhance ecosystem recovery and long-term forest resilience; (c) rehabilitating selected sections of existing forest road networks to improve access for fire management and forestry operations; and (d) providing technical and institutional support to strengthen coordination, operational readiness, and human resource capacities for wildfire </w:t>
      </w:r>
      <w:proofErr w:type="spellStart"/>
      <w:r w:rsidR="00B92D7E" w:rsidRPr="00B92D7E">
        <w:rPr>
          <w:bCs/>
          <w:kern w:val="2"/>
          <w14:ligatures w14:val="standardContextual"/>
        </w:rPr>
        <w:t>management.</w:t>
      </w:r>
      <w:r w:rsidRPr="004F3F40">
        <w:rPr>
          <w:b/>
          <w:kern w:val="2"/>
          <w:sz w:val="24"/>
          <w:szCs w:val="24"/>
          <w14:ligatures w14:val="standardContextual"/>
        </w:rPr>
        <w:t>Component</w:t>
      </w:r>
      <w:proofErr w:type="spellEnd"/>
      <w:r w:rsidRPr="004F3F40">
        <w:rPr>
          <w:b/>
          <w:kern w:val="2"/>
          <w:sz w:val="24"/>
          <w:szCs w:val="24"/>
          <w14:ligatures w14:val="standardContextual"/>
        </w:rPr>
        <w:t xml:space="preserve"> 3. </w:t>
      </w:r>
      <w:r w:rsidR="0042099C" w:rsidRPr="0042099C">
        <w:rPr>
          <w:b/>
          <w:kern w:val="2"/>
          <w:sz w:val="24"/>
          <w:szCs w:val="24"/>
          <w14:ligatures w14:val="standardContextual"/>
        </w:rPr>
        <w:t>Empowering Growth and Enhancing Wood Sector Performance</w:t>
      </w:r>
    </w:p>
    <w:p w14:paraId="13D5FAF3" w14:textId="77777777" w:rsidR="007E0D14" w:rsidRPr="007E0D14" w:rsidRDefault="007E0D14" w:rsidP="007E0D14">
      <w:pPr>
        <w:spacing w:after="120" w:line="240" w:lineRule="auto"/>
        <w:jc w:val="both"/>
        <w:rPr>
          <w:b/>
          <w:kern w:val="2"/>
          <w14:ligatures w14:val="standardContextual"/>
        </w:rPr>
      </w:pPr>
    </w:p>
    <w:p w14:paraId="577E20D2" w14:textId="7DD39104" w:rsidR="007E0D14" w:rsidRPr="007E0D14" w:rsidRDefault="0042099C" w:rsidP="007E0D14">
      <w:pPr>
        <w:spacing w:after="120" w:line="240" w:lineRule="auto"/>
        <w:jc w:val="both"/>
        <w:rPr>
          <w:bCs/>
          <w:i/>
          <w:iCs/>
          <w:kern w:val="2"/>
          <w14:ligatures w14:val="standardContextual"/>
        </w:rPr>
      </w:pPr>
      <w:r w:rsidRPr="0042099C">
        <w:rPr>
          <w:bCs/>
          <w:kern w:val="2"/>
          <w14:ligatures w14:val="standardContextual"/>
        </w:rPr>
        <w:t xml:space="preserve">The objective of this component is to strengthen the economic viability of Montenegro’s forest industry by enhancing firm performance through increased access to markets through firm-level certification and </w:t>
      </w:r>
      <w:proofErr w:type="gramStart"/>
      <w:r w:rsidRPr="0042099C">
        <w:rPr>
          <w:bCs/>
          <w:kern w:val="2"/>
          <w14:ligatures w14:val="standardContextual"/>
        </w:rPr>
        <w:t>standardization, and</w:t>
      </w:r>
      <w:proofErr w:type="gramEnd"/>
      <w:r w:rsidRPr="0042099C">
        <w:rPr>
          <w:bCs/>
          <w:kern w:val="2"/>
          <w14:ligatures w14:val="standardContextual"/>
        </w:rPr>
        <w:t xml:space="preserve"> supporting the upskilling of the workforce across the sector. </w:t>
      </w:r>
    </w:p>
    <w:p w14:paraId="1CBDFDF8" w14:textId="386F3C9E" w:rsidR="007E0D14" w:rsidRPr="004F3F40" w:rsidRDefault="007E0D14" w:rsidP="007E0D14">
      <w:pPr>
        <w:rPr>
          <w:b/>
          <w:bCs/>
          <w:i/>
          <w:iCs/>
          <w:kern w:val="2"/>
          <w14:ligatures w14:val="standardContextual"/>
        </w:rPr>
      </w:pPr>
      <w:r w:rsidRPr="004F3F40">
        <w:rPr>
          <w:b/>
          <w:bCs/>
          <w:i/>
          <w:iCs/>
          <w:kern w:val="2"/>
          <w14:ligatures w14:val="standardContextual"/>
        </w:rPr>
        <w:t xml:space="preserve">Subcomponent 3.1: </w:t>
      </w:r>
      <w:r w:rsidR="0042099C" w:rsidRPr="0042099C">
        <w:rPr>
          <w:b/>
          <w:bCs/>
          <w:i/>
          <w:iCs/>
          <w:kern w:val="2"/>
          <w14:ligatures w14:val="standardContextual"/>
        </w:rPr>
        <w:t>Smart</w:t>
      </w:r>
      <w:r w:rsidR="00E16AD7">
        <w:rPr>
          <w:b/>
          <w:bCs/>
          <w:i/>
          <w:iCs/>
          <w:kern w:val="2"/>
          <w14:ligatures w14:val="standardContextual"/>
        </w:rPr>
        <w:t xml:space="preserve"> </w:t>
      </w:r>
      <w:r w:rsidR="0042099C" w:rsidRPr="0042099C">
        <w:rPr>
          <w:b/>
          <w:bCs/>
          <w:i/>
          <w:iCs/>
          <w:kern w:val="2"/>
          <w14:ligatures w14:val="standardContextual"/>
        </w:rPr>
        <w:t>Wood Capacity Program</w:t>
      </w:r>
      <w:r w:rsidR="0042099C">
        <w:rPr>
          <w:b/>
          <w:bCs/>
          <w:i/>
          <w:iCs/>
          <w:kern w:val="2"/>
          <w14:ligatures w14:val="standardContextual"/>
        </w:rPr>
        <w:t xml:space="preserve"> </w:t>
      </w:r>
    </w:p>
    <w:p w14:paraId="7DCE6081" w14:textId="3EC1ED84" w:rsidR="007E0D14" w:rsidRDefault="007E0D14" w:rsidP="00E16AD7">
      <w:pPr>
        <w:spacing w:after="120" w:line="240" w:lineRule="auto"/>
        <w:ind w:left="720"/>
        <w:jc w:val="both"/>
        <w:rPr>
          <w:bCs/>
          <w:kern w:val="2"/>
          <w14:ligatures w14:val="standardContextual"/>
        </w:rPr>
      </w:pPr>
      <w:r w:rsidRPr="007E0D14">
        <w:rPr>
          <w:b/>
          <w:kern w:val="2"/>
          <w14:ligatures w14:val="standardContextual"/>
        </w:rPr>
        <w:t>Overview.</w:t>
      </w:r>
      <w:r w:rsidRPr="007E0D14">
        <w:rPr>
          <w:bCs/>
          <w:kern w:val="2"/>
          <w14:ligatures w14:val="standardContextual"/>
        </w:rPr>
        <w:t xml:space="preserve"> </w:t>
      </w:r>
      <w:r w:rsidR="00E16AD7" w:rsidRPr="00E16AD7">
        <w:rPr>
          <w:bCs/>
          <w:kern w:val="2"/>
          <w14:ligatures w14:val="standardContextual"/>
        </w:rPr>
        <w:t xml:space="preserve">This subcomponent supports the establishment and operationalization of the </w:t>
      </w:r>
      <w:proofErr w:type="spellStart"/>
      <w:r w:rsidR="00E16AD7" w:rsidRPr="00E16AD7">
        <w:rPr>
          <w:bCs/>
          <w:kern w:val="2"/>
          <w14:ligatures w14:val="standardContextual"/>
        </w:rPr>
        <w:t>SmartWood</w:t>
      </w:r>
      <w:proofErr w:type="spellEnd"/>
      <w:r w:rsidR="00E16AD7" w:rsidRPr="00E16AD7">
        <w:rPr>
          <w:bCs/>
          <w:kern w:val="2"/>
          <w14:ligatures w14:val="standardContextual"/>
        </w:rPr>
        <w:t xml:space="preserve"> Capacity Program as a central platform for workforce development, knowledge transfer, and capacity building in the wood processing and forestry sectors. It aims to improve skills, strengthen collaboration between academia, industry, and public institutions, and support the long-term sustainability and competitiveness of the sector through training and advisory </w:t>
      </w:r>
      <w:proofErr w:type="spellStart"/>
      <w:proofErr w:type="gramStart"/>
      <w:r w:rsidR="00E16AD7" w:rsidRPr="00E16AD7">
        <w:rPr>
          <w:bCs/>
          <w:kern w:val="2"/>
          <w14:ligatures w14:val="standardContextual"/>
        </w:rPr>
        <w:t>support.</w:t>
      </w:r>
      <w:r w:rsidRPr="007E0D14">
        <w:rPr>
          <w:b/>
          <w:kern w:val="2"/>
          <w14:ligatures w14:val="standardContextual"/>
        </w:rPr>
        <w:t>Activities</w:t>
      </w:r>
      <w:proofErr w:type="spellEnd"/>
      <w:proofErr w:type="gramEnd"/>
      <w:r w:rsidRPr="007E0D14">
        <w:rPr>
          <w:b/>
          <w:kern w:val="2"/>
          <w14:ligatures w14:val="standardContextual"/>
        </w:rPr>
        <w:t>.</w:t>
      </w:r>
      <w:r w:rsidRPr="007E0D14">
        <w:rPr>
          <w:bCs/>
          <w:kern w:val="2"/>
          <w14:ligatures w14:val="standardContextual"/>
        </w:rPr>
        <w:t xml:space="preserve"> </w:t>
      </w:r>
      <w:r w:rsidR="00E16AD7" w:rsidRPr="00E16AD7">
        <w:rPr>
          <w:bCs/>
          <w:kern w:val="2"/>
          <w14:ligatures w14:val="standardContextual"/>
        </w:rPr>
        <w:t xml:space="preserve">The interventions under this subcomponent include: (a) delivery of training, professional education, and capacity-building programs for workers, enterprises, and stakeholders in the wood processing and forestry sectors; (b) provision of technical assistance and advisory services to support adoption of improved production practices, quality management systems, and sustainability principles; (c) facilitation of applied research, knowledge exchange, and </w:t>
      </w:r>
      <w:r w:rsidR="00E16AD7" w:rsidRPr="00E16AD7">
        <w:rPr>
          <w:bCs/>
          <w:kern w:val="2"/>
          <w14:ligatures w14:val="standardContextual"/>
        </w:rPr>
        <w:lastRenderedPageBreak/>
        <w:t>collaboration between academia, industry, and public institutions; and (d) dissemination of market intelligence, sector analysis, and best practices to support enterprise readiness for certification, market requirements, and value addition.</w:t>
      </w:r>
    </w:p>
    <w:p w14:paraId="71593E47" w14:textId="77777777" w:rsidR="004F3F40" w:rsidRPr="007E0D14" w:rsidRDefault="004F3F40" w:rsidP="007E0D14">
      <w:pPr>
        <w:spacing w:after="120" w:line="240" w:lineRule="auto"/>
        <w:jc w:val="both"/>
        <w:rPr>
          <w:bCs/>
          <w:kern w:val="2"/>
          <w14:ligatures w14:val="standardContextual"/>
        </w:rPr>
      </w:pPr>
    </w:p>
    <w:p w14:paraId="07B72F18" w14:textId="77777777" w:rsidR="007E0D14" w:rsidRPr="007E0D14" w:rsidRDefault="007E0D14" w:rsidP="007E0D14">
      <w:pPr>
        <w:spacing w:after="120" w:line="240" w:lineRule="auto"/>
        <w:jc w:val="both"/>
        <w:rPr>
          <w:bCs/>
          <w:kern w:val="2"/>
          <w14:ligatures w14:val="standardContextual"/>
        </w:rPr>
      </w:pPr>
    </w:p>
    <w:p w14:paraId="7548FD42" w14:textId="2A107721" w:rsidR="007E0D14" w:rsidRPr="007E0D14" w:rsidRDefault="007E0D14" w:rsidP="00E41801">
      <w:pPr>
        <w:spacing w:after="120" w:line="240" w:lineRule="auto"/>
        <w:jc w:val="both"/>
        <w:rPr>
          <w:bCs/>
          <w:kern w:val="2"/>
          <w14:ligatures w14:val="standardContextual"/>
        </w:rPr>
      </w:pPr>
      <w:r w:rsidRPr="004F3F40">
        <w:rPr>
          <w:b/>
          <w:bCs/>
          <w:i/>
          <w:kern w:val="2"/>
          <w14:ligatures w14:val="standardContextual"/>
        </w:rPr>
        <w:t xml:space="preserve">Subcomponent 3.2: </w:t>
      </w:r>
      <w:r w:rsidR="00E16AD7" w:rsidRPr="00E16AD7">
        <w:rPr>
          <w:b/>
          <w:bCs/>
          <w:i/>
          <w:kern w:val="2"/>
          <w14:ligatures w14:val="standardContextual"/>
        </w:rPr>
        <w:t xml:space="preserve">Advancing Certification, Grading, and </w:t>
      </w:r>
      <w:proofErr w:type="spellStart"/>
      <w:r w:rsidR="00E16AD7" w:rsidRPr="00E16AD7">
        <w:rPr>
          <w:b/>
          <w:bCs/>
          <w:i/>
          <w:kern w:val="2"/>
          <w14:ligatures w14:val="standardContextual"/>
        </w:rPr>
        <w:t>Standardization</w:t>
      </w:r>
      <w:r w:rsidRPr="007E0D14">
        <w:rPr>
          <w:b/>
          <w:kern w:val="2"/>
          <w14:ligatures w14:val="standardContextual"/>
        </w:rPr>
        <w:t>Overview</w:t>
      </w:r>
      <w:proofErr w:type="spellEnd"/>
      <w:r w:rsidRPr="007E0D14">
        <w:rPr>
          <w:b/>
          <w:kern w:val="2"/>
          <w14:ligatures w14:val="standardContextual"/>
        </w:rPr>
        <w:t>:</w:t>
      </w:r>
      <w:r w:rsidRPr="007E0D14">
        <w:rPr>
          <w:bCs/>
          <w:kern w:val="2"/>
          <w14:ligatures w14:val="standardContextual"/>
        </w:rPr>
        <w:t xml:space="preserve"> </w:t>
      </w:r>
      <w:r w:rsidR="00E16AD7" w:rsidRPr="00E16AD7">
        <w:rPr>
          <w:bCs/>
          <w:kern w:val="2"/>
          <w14:ligatures w14:val="standardContextual"/>
        </w:rPr>
        <w:t xml:space="preserve">This subcomponent supports the adoption of certification, grading, and standardization systems in the wood processing industry to improve product quality, traceability, and access to domestic and international markets. Implementation will be carried out in close cooperation with relevant national institutions, including the Institute for Standardization of Montenegro, and in coordination with the </w:t>
      </w:r>
      <w:proofErr w:type="spellStart"/>
      <w:r w:rsidR="00E16AD7" w:rsidRPr="00E16AD7">
        <w:rPr>
          <w:bCs/>
          <w:kern w:val="2"/>
          <w14:ligatures w14:val="standardContextual"/>
        </w:rPr>
        <w:t>SmartWood</w:t>
      </w:r>
      <w:proofErr w:type="spellEnd"/>
      <w:r w:rsidR="00E16AD7" w:rsidRPr="00E16AD7">
        <w:rPr>
          <w:bCs/>
          <w:kern w:val="2"/>
          <w14:ligatures w14:val="standardContextual"/>
        </w:rPr>
        <w:t xml:space="preserve"> Capacity Program.</w:t>
      </w:r>
      <w:bookmarkStart w:id="0" w:name="_Ref90649416"/>
    </w:p>
    <w:p w14:paraId="10E1B717" w14:textId="5E80A664" w:rsidR="007E0D14" w:rsidRPr="007E0D14" w:rsidRDefault="007E0D14" w:rsidP="007E0D14">
      <w:pPr>
        <w:spacing w:after="120" w:line="240" w:lineRule="auto"/>
        <w:jc w:val="both"/>
        <w:rPr>
          <w:bCs/>
          <w:kern w:val="2"/>
          <w14:ligatures w14:val="standardContextual"/>
        </w:rPr>
      </w:pPr>
      <w:r w:rsidRPr="007E0D14">
        <w:rPr>
          <w:b/>
          <w:kern w:val="2"/>
          <w14:ligatures w14:val="standardContextual"/>
        </w:rPr>
        <w:t>Activities.</w:t>
      </w:r>
      <w:r w:rsidRPr="007E0D14">
        <w:rPr>
          <w:bCs/>
          <w:kern w:val="2"/>
          <w14:ligatures w14:val="standardContextual"/>
        </w:rPr>
        <w:t xml:space="preserve"> </w:t>
      </w:r>
      <w:r w:rsidR="00E16AD7" w:rsidRPr="00E16AD7">
        <w:rPr>
          <w:bCs/>
          <w:kern w:val="2"/>
          <w14:ligatures w14:val="standardContextual"/>
        </w:rPr>
        <w:t xml:space="preserve">The interventions under this subcomponent include: (a) provision of technical assistance and capacity-building support to enterprises to meet certification, grading, and standardization requirements in line with recognized international standards; (b) support for the establishment and maintenance of certifiable chains of custody to improve traceability and compliance; (c) training and accreditation of local certification and chain-of-custody assessors to strengthen national capacities; and (d) cooperation with the Institute for Standardization of Montenegro and other relevant institutions to support consistent application of certification and standardization systems, in coordination with the </w:t>
      </w:r>
      <w:proofErr w:type="spellStart"/>
      <w:r w:rsidR="00E16AD7" w:rsidRPr="00E16AD7">
        <w:rPr>
          <w:bCs/>
          <w:kern w:val="2"/>
          <w14:ligatures w14:val="standardContextual"/>
        </w:rPr>
        <w:t>SmartWood</w:t>
      </w:r>
      <w:proofErr w:type="spellEnd"/>
      <w:r w:rsidR="00E16AD7" w:rsidRPr="00E16AD7">
        <w:rPr>
          <w:bCs/>
          <w:kern w:val="2"/>
          <w14:ligatures w14:val="standardContextual"/>
        </w:rPr>
        <w:t xml:space="preserve"> Capacity Program.</w:t>
      </w:r>
    </w:p>
    <w:bookmarkEnd w:id="0"/>
    <w:p w14:paraId="66717450" w14:textId="77777777" w:rsidR="004F3F40" w:rsidRDefault="004F3F40" w:rsidP="007E0D14">
      <w:pPr>
        <w:spacing w:after="120" w:line="240" w:lineRule="auto"/>
        <w:jc w:val="both"/>
        <w:rPr>
          <w:b/>
          <w:kern w:val="2"/>
          <w14:ligatures w14:val="standardContextual"/>
        </w:rPr>
      </w:pPr>
    </w:p>
    <w:p w14:paraId="29880252" w14:textId="77777777" w:rsidR="007E0D14" w:rsidRPr="004F3F40" w:rsidRDefault="007E0D14" w:rsidP="007E0D14">
      <w:pPr>
        <w:spacing w:after="120" w:line="240" w:lineRule="auto"/>
        <w:jc w:val="both"/>
        <w:rPr>
          <w:b/>
          <w:kern w:val="2"/>
          <w:sz w:val="24"/>
          <w:szCs w:val="24"/>
          <w14:ligatures w14:val="standardContextual"/>
        </w:rPr>
      </w:pPr>
      <w:r w:rsidRPr="004F3F40">
        <w:rPr>
          <w:b/>
          <w:kern w:val="2"/>
          <w:sz w:val="24"/>
          <w:szCs w:val="24"/>
          <w14:ligatures w14:val="standardContextual"/>
        </w:rPr>
        <w:t>Component 4. Project Management, Monitoring, and Communication (estimated 8% of total allocated budget)</w:t>
      </w:r>
    </w:p>
    <w:p w14:paraId="61CDD4C9" w14:textId="77777777" w:rsidR="007E0D14" w:rsidRPr="007E0D14" w:rsidRDefault="007E0D14" w:rsidP="007E0D14">
      <w:pPr>
        <w:spacing w:after="120" w:line="240" w:lineRule="auto"/>
        <w:ind w:left="720"/>
        <w:jc w:val="both"/>
        <w:rPr>
          <w:bCs/>
          <w:kern w:val="2"/>
          <w14:ligatures w14:val="standardContextual"/>
        </w:rPr>
      </w:pPr>
      <w:r w:rsidRPr="007E0D14">
        <w:rPr>
          <w:bCs/>
          <w:kern w:val="2"/>
          <w14:ligatures w14:val="standardContextual"/>
        </w:rPr>
        <w:t xml:space="preserve">This component will finance the operating costs of the Project Implementation Unit (PIU) to carry out the oversight and management functions of the project. This includes activities such as procurement and contract management, financial management, environmental and social risk management, monitoring and evaluation (M&amp;E), stakeholder engagement and communication as well as documentation of lessons learned from project implementation and stakeholders’ efforts to </w:t>
      </w:r>
      <w:proofErr w:type="gramStart"/>
      <w:r w:rsidRPr="007E0D14">
        <w:rPr>
          <w:bCs/>
          <w:kern w:val="2"/>
          <w14:ligatures w14:val="standardContextual"/>
        </w:rPr>
        <w:t>scale-up</w:t>
      </w:r>
      <w:proofErr w:type="gramEnd"/>
      <w:r w:rsidRPr="007E0D14">
        <w:rPr>
          <w:bCs/>
          <w:kern w:val="2"/>
          <w14:ligatures w14:val="standardContextual"/>
        </w:rPr>
        <w:t xml:space="preserve"> good practices. </w:t>
      </w:r>
    </w:p>
    <w:p w14:paraId="30690A6C" w14:textId="77777777" w:rsidR="007E0D14" w:rsidRPr="007E0D14" w:rsidRDefault="007E0D14" w:rsidP="007E0D14">
      <w:pPr>
        <w:rPr>
          <w:kern w:val="2"/>
          <w14:ligatures w14:val="standardContextual"/>
        </w:rPr>
      </w:pPr>
    </w:p>
    <w:p w14:paraId="48C19E2F" w14:textId="77777777" w:rsidR="00B217E6" w:rsidRPr="007D0035" w:rsidRDefault="007E0D14" w:rsidP="007E0D14">
      <w:pPr>
        <w:spacing w:before="100" w:beforeAutospacing="1" w:after="100" w:afterAutospacing="1" w:line="240" w:lineRule="auto"/>
        <w:jc w:val="both"/>
        <w:outlineLvl w:val="3"/>
        <w:rPr>
          <w:b/>
          <w:i/>
          <w:color w:val="385623" w:themeColor="accent6" w:themeShade="80"/>
          <w:sz w:val="28"/>
          <w:szCs w:val="28"/>
        </w:rPr>
      </w:pPr>
      <w:r w:rsidRPr="007D0035">
        <w:rPr>
          <w:b/>
          <w:i/>
          <w:color w:val="385623" w:themeColor="accent6" w:themeShade="80"/>
          <w:sz w:val="28"/>
          <w:szCs w:val="28"/>
        </w:rPr>
        <w:t>1.3. Project Environmental and Social Risks and Impacts</w:t>
      </w:r>
    </w:p>
    <w:p w14:paraId="46DE5FD1" w14:textId="77777777" w:rsidR="007E0D14" w:rsidRPr="00AF17FE" w:rsidRDefault="00D93685" w:rsidP="00AF17FE">
      <w:pPr>
        <w:spacing w:after="120" w:line="240" w:lineRule="auto"/>
        <w:jc w:val="both"/>
        <w:rPr>
          <w:bCs/>
          <w:kern w:val="2"/>
          <w14:ligatures w14:val="standardContextual"/>
        </w:rPr>
      </w:pPr>
      <w:r w:rsidRPr="00AF17FE">
        <w:rPr>
          <w:bCs/>
          <w:kern w:val="2"/>
          <w14:ligatures w14:val="standardContextual"/>
        </w:rPr>
        <w:t xml:space="preserve">From the environmental </w:t>
      </w:r>
      <w:r w:rsidR="004F6718" w:rsidRPr="00AF17FE">
        <w:rPr>
          <w:bCs/>
          <w:kern w:val="2"/>
          <w14:ligatures w14:val="standardContextual"/>
        </w:rPr>
        <w:t xml:space="preserve">perspective, </w:t>
      </w:r>
      <w:r w:rsidRPr="00AF17FE">
        <w:rPr>
          <w:bCs/>
          <w:kern w:val="2"/>
          <w14:ligatures w14:val="standardContextual"/>
        </w:rPr>
        <w:t>Component 1 is focused on improving the policy environment and sectoral reform to better implement the new Forest law. This poses no foreseen environmental impacts, but any technical assistance or planning documentation</w:t>
      </w:r>
      <w:r w:rsidR="004F6718" w:rsidRPr="00AF17FE">
        <w:rPr>
          <w:bCs/>
          <w:kern w:val="2"/>
          <w14:ligatures w14:val="standardContextual"/>
        </w:rPr>
        <w:t xml:space="preserve"> </w:t>
      </w:r>
      <w:r w:rsidRPr="00AF17FE">
        <w:rPr>
          <w:bCs/>
          <w:kern w:val="2"/>
          <w14:ligatures w14:val="standardContextual"/>
        </w:rPr>
        <w:t>will follow provisions of the ESF, as outlined in the Project Operational Manual (POM). Component 2 activities may</w:t>
      </w:r>
      <w:r w:rsidR="004F6718" w:rsidRPr="00AF17FE">
        <w:rPr>
          <w:bCs/>
          <w:kern w:val="2"/>
          <w14:ligatures w14:val="standardContextual"/>
        </w:rPr>
        <w:t xml:space="preserve"> </w:t>
      </w:r>
      <w:r w:rsidRPr="00AF17FE">
        <w:rPr>
          <w:bCs/>
          <w:kern w:val="2"/>
          <w14:ligatures w14:val="standardContextual"/>
        </w:rPr>
        <w:t>include clearing of forests to prevent spread of forest fires, while focusing on a sustainable supply of raw materials to</w:t>
      </w:r>
      <w:r w:rsidR="0011524A" w:rsidRPr="00AF17FE">
        <w:rPr>
          <w:bCs/>
          <w:kern w:val="2"/>
          <w14:ligatures w14:val="standardContextual"/>
        </w:rPr>
        <w:t xml:space="preserve"> the forest industry. These activities, if not aligned with sound forestry and environmental practices pose the risk of noise, biodiversity impacts, worker OHS, invasive species, chance finds, management of forest waste &amp; harvesting of forest products. The activities will be aligned with practices developed under Component 1, </w:t>
      </w:r>
      <w:proofErr w:type="gramStart"/>
      <w:r w:rsidR="0011524A" w:rsidRPr="00AF17FE">
        <w:rPr>
          <w:bCs/>
          <w:kern w:val="2"/>
          <w14:ligatures w14:val="standardContextual"/>
        </w:rPr>
        <w:t>and also</w:t>
      </w:r>
      <w:proofErr w:type="gramEnd"/>
      <w:r w:rsidR="0011524A" w:rsidRPr="00AF17FE">
        <w:rPr>
          <w:bCs/>
          <w:kern w:val="2"/>
          <w14:ligatures w14:val="standardContextual"/>
        </w:rPr>
        <w:t xml:space="preserve"> </w:t>
      </w:r>
      <w:proofErr w:type="spellStart"/>
      <w:r w:rsidR="0011524A" w:rsidRPr="00AF17FE">
        <w:rPr>
          <w:bCs/>
          <w:kern w:val="2"/>
          <w14:ligatures w14:val="standardContextual"/>
        </w:rPr>
        <w:t>site</w:t>
      </w:r>
      <w:proofErr w:type="spellEnd"/>
      <w:r w:rsidR="0011524A" w:rsidRPr="00AF17FE">
        <w:rPr>
          <w:bCs/>
          <w:kern w:val="2"/>
          <w14:ligatures w14:val="standardContextual"/>
        </w:rPr>
        <w:t xml:space="preserve"> specific ESMPs with adequate measures </w:t>
      </w:r>
      <w:proofErr w:type="gramStart"/>
      <w:r w:rsidR="0011524A" w:rsidRPr="00AF17FE">
        <w:rPr>
          <w:bCs/>
          <w:kern w:val="2"/>
          <w14:ligatures w14:val="standardContextual"/>
        </w:rPr>
        <w:t>identified,</w:t>
      </w:r>
      <w:proofErr w:type="gramEnd"/>
      <w:r w:rsidR="0011524A" w:rsidRPr="00AF17FE">
        <w:rPr>
          <w:bCs/>
          <w:kern w:val="2"/>
          <w14:ligatures w14:val="standardContextual"/>
        </w:rPr>
        <w:t xml:space="preserve"> that will readily mitigate identified impacts. Component 3 includes interventions to boost forest sector competitiveness. These are yet to be identified, but may include </w:t>
      </w:r>
      <w:proofErr w:type="gramStart"/>
      <w:r w:rsidR="0011524A" w:rsidRPr="00AF17FE">
        <w:rPr>
          <w:bCs/>
          <w:kern w:val="2"/>
          <w14:ligatures w14:val="standardContextual"/>
        </w:rPr>
        <w:t>a number of</w:t>
      </w:r>
      <w:proofErr w:type="gramEnd"/>
      <w:r w:rsidR="0011524A" w:rsidRPr="00AF17FE">
        <w:rPr>
          <w:bCs/>
          <w:kern w:val="2"/>
          <w14:ligatures w14:val="standardContextual"/>
        </w:rPr>
        <w:t xml:space="preserve"> different interventions, including replacement of equipment or </w:t>
      </w:r>
      <w:proofErr w:type="gramStart"/>
      <w:r w:rsidR="0011524A" w:rsidRPr="00AF17FE">
        <w:rPr>
          <w:bCs/>
          <w:kern w:val="2"/>
          <w14:ligatures w14:val="standardContextual"/>
        </w:rPr>
        <w:t>small scale</w:t>
      </w:r>
      <w:proofErr w:type="gramEnd"/>
      <w:r w:rsidR="0011524A" w:rsidRPr="00AF17FE">
        <w:rPr>
          <w:bCs/>
          <w:kern w:val="2"/>
          <w14:ligatures w14:val="standardContextual"/>
        </w:rPr>
        <w:t xml:space="preserve"> works. All impacts associated under this component should be readily mitigated through applicable environmental </w:t>
      </w:r>
      <w:r w:rsidR="0011524A" w:rsidRPr="00AF17FE">
        <w:rPr>
          <w:bCs/>
          <w:kern w:val="2"/>
          <w14:ligatures w14:val="standardContextual"/>
        </w:rPr>
        <w:lastRenderedPageBreak/>
        <w:t>and forestry practices and mitigation measures that will be defined for each of the interventions supported in site specific ESMPs. While the north part of the country boasts three national parks, the project will not support any activities in the given areas.</w:t>
      </w:r>
    </w:p>
    <w:p w14:paraId="5C0EC099" w14:textId="77777777" w:rsidR="007E0D14" w:rsidRDefault="00AF17FE" w:rsidP="00171C57">
      <w:pPr>
        <w:spacing w:after="120" w:line="240" w:lineRule="auto"/>
        <w:jc w:val="both"/>
        <w:rPr>
          <w:bCs/>
          <w:kern w:val="2"/>
          <w14:ligatures w14:val="standardContextual"/>
        </w:rPr>
      </w:pPr>
      <w:r>
        <w:rPr>
          <w:bCs/>
          <w:kern w:val="2"/>
          <w14:ligatures w14:val="standardContextual"/>
        </w:rPr>
        <w:t xml:space="preserve">From the social perspective, </w:t>
      </w:r>
      <w:r w:rsidR="00171C57">
        <w:rPr>
          <w:bCs/>
          <w:kern w:val="2"/>
          <w14:ligatures w14:val="standardContextual"/>
        </w:rPr>
        <w:t>w</w:t>
      </w:r>
      <w:r w:rsidRPr="00171C57">
        <w:rPr>
          <w:bCs/>
          <w:kern w:val="2"/>
          <w14:ligatures w14:val="standardContextual"/>
        </w:rPr>
        <w:t>hile the project aims to deliver a range of benefits, including</w:t>
      </w:r>
      <w:r>
        <w:rPr>
          <w:bCs/>
          <w:kern w:val="2"/>
          <w14:ligatures w14:val="standardContextual"/>
        </w:rPr>
        <w:t xml:space="preserve"> </w:t>
      </w:r>
      <w:r w:rsidRPr="00171C57">
        <w:rPr>
          <w:bCs/>
          <w:kern w:val="2"/>
          <w14:ligatures w14:val="standardContextual"/>
        </w:rPr>
        <w:t>economic development and community livelihood opportunities, through supporting the preparation of business</w:t>
      </w:r>
      <w:r>
        <w:rPr>
          <w:bCs/>
          <w:kern w:val="2"/>
          <w14:ligatures w14:val="standardContextual"/>
        </w:rPr>
        <w:t xml:space="preserve"> </w:t>
      </w:r>
      <w:r w:rsidRPr="00171C57">
        <w:rPr>
          <w:bCs/>
          <w:kern w:val="2"/>
          <w14:ligatures w14:val="standardContextual"/>
        </w:rPr>
        <w:t>plans for the new State-Owned Enterprise (SOE), it might generate conflict at the local level due to the potential loss</w:t>
      </w:r>
      <w:r>
        <w:rPr>
          <w:bCs/>
          <w:kern w:val="2"/>
          <w14:ligatures w14:val="standardContextual"/>
        </w:rPr>
        <w:t xml:space="preserve"> </w:t>
      </w:r>
      <w:r w:rsidRPr="00171C57">
        <w:rPr>
          <w:bCs/>
          <w:kern w:val="2"/>
          <w14:ligatures w14:val="standardContextual"/>
        </w:rPr>
        <w:t>of concession rights and fees. Even if some of the project activities remain undefined, the scale and nature of some</w:t>
      </w:r>
      <w:r>
        <w:rPr>
          <w:bCs/>
          <w:kern w:val="2"/>
          <w14:ligatures w14:val="standardContextual"/>
        </w:rPr>
        <w:t xml:space="preserve"> </w:t>
      </w:r>
      <w:r w:rsidRPr="00171C57">
        <w:rPr>
          <w:bCs/>
          <w:kern w:val="2"/>
          <w14:ligatures w14:val="standardContextual"/>
        </w:rPr>
        <w:t>activities -e.g., the implementation of the project-financed Forest Harvesting Plans or the pilots for credit lines to the</w:t>
      </w:r>
      <w:r>
        <w:rPr>
          <w:bCs/>
          <w:kern w:val="2"/>
          <w14:ligatures w14:val="standardContextual"/>
        </w:rPr>
        <w:t xml:space="preserve"> </w:t>
      </w:r>
      <w:r w:rsidRPr="00171C57">
        <w:rPr>
          <w:bCs/>
          <w:kern w:val="2"/>
          <w14:ligatures w14:val="standardContextual"/>
        </w:rPr>
        <w:t>forest industry- presents a potential risk of restriction on resource access and exclusion from project benefits for</w:t>
      </w:r>
      <w:r>
        <w:rPr>
          <w:bCs/>
          <w:kern w:val="2"/>
          <w14:ligatures w14:val="standardContextual"/>
        </w:rPr>
        <w:t xml:space="preserve"> </w:t>
      </w:r>
      <w:r w:rsidRPr="00171C57">
        <w:rPr>
          <w:bCs/>
          <w:kern w:val="2"/>
          <w14:ligatures w14:val="standardContextual"/>
        </w:rPr>
        <w:t xml:space="preserve">vulnerable and marginal groups. Even if the proposed project does not finance any construction activity, other </w:t>
      </w:r>
      <w:proofErr w:type="gramStart"/>
      <w:r w:rsidRPr="00171C57">
        <w:rPr>
          <w:bCs/>
          <w:kern w:val="2"/>
          <w14:ligatures w14:val="standardContextual"/>
        </w:rPr>
        <w:t>labor</w:t>
      </w:r>
      <w:r>
        <w:rPr>
          <w:bCs/>
          <w:kern w:val="2"/>
          <w14:ligatures w14:val="standardContextual"/>
        </w:rPr>
        <w:t xml:space="preserve"> </w:t>
      </w:r>
      <w:r w:rsidRPr="00171C57">
        <w:rPr>
          <w:bCs/>
          <w:kern w:val="2"/>
          <w14:ligatures w14:val="standardContextual"/>
        </w:rPr>
        <w:t>intensive</w:t>
      </w:r>
      <w:proofErr w:type="gramEnd"/>
      <w:r>
        <w:rPr>
          <w:bCs/>
          <w:kern w:val="2"/>
          <w14:ligatures w14:val="standardContextual"/>
        </w:rPr>
        <w:t xml:space="preserve"> </w:t>
      </w:r>
      <w:r w:rsidRPr="00171C57">
        <w:rPr>
          <w:bCs/>
          <w:kern w:val="2"/>
          <w14:ligatures w14:val="standardContextual"/>
        </w:rPr>
        <w:t>activities (reforestation, creating defensible space for forest fire protection, etc.) might cause risks related to</w:t>
      </w:r>
      <w:r>
        <w:rPr>
          <w:bCs/>
          <w:kern w:val="2"/>
          <w14:ligatures w14:val="standardContextual"/>
        </w:rPr>
        <w:t xml:space="preserve"> </w:t>
      </w:r>
      <w:r w:rsidRPr="00171C57">
        <w:rPr>
          <w:bCs/>
          <w:kern w:val="2"/>
          <w14:ligatures w14:val="standardContextual"/>
        </w:rPr>
        <w:t>occupational health and safety (OHS) and working conditions. Some project activities, like the creation of fire</w:t>
      </w:r>
      <w:r>
        <w:rPr>
          <w:bCs/>
          <w:kern w:val="2"/>
          <w14:ligatures w14:val="standardContextual"/>
        </w:rPr>
        <w:t xml:space="preserve"> </w:t>
      </w:r>
      <w:r w:rsidRPr="00171C57">
        <w:rPr>
          <w:bCs/>
          <w:kern w:val="2"/>
          <w14:ligatures w14:val="standardContextual"/>
        </w:rPr>
        <w:t xml:space="preserve">protection areas and buffer zones, might restrict local stakeholders' land access and use. None is expected to </w:t>
      </w:r>
      <w:proofErr w:type="gramStart"/>
      <w:r w:rsidRPr="00171C57">
        <w:rPr>
          <w:bCs/>
          <w:kern w:val="2"/>
          <w14:ligatures w14:val="standardContextual"/>
        </w:rPr>
        <w:t>be</w:t>
      </w:r>
      <w:r>
        <w:rPr>
          <w:bCs/>
          <w:kern w:val="2"/>
          <w14:ligatures w14:val="standardContextual"/>
        </w:rPr>
        <w:t xml:space="preserve"> </w:t>
      </w:r>
      <w:r w:rsidRPr="00171C57">
        <w:rPr>
          <w:bCs/>
          <w:kern w:val="2"/>
          <w14:ligatures w14:val="standardContextual"/>
        </w:rPr>
        <w:t>located in</w:t>
      </w:r>
      <w:proofErr w:type="gramEnd"/>
      <w:r w:rsidRPr="00171C57">
        <w:rPr>
          <w:bCs/>
          <w:kern w:val="2"/>
          <w14:ligatures w14:val="standardContextual"/>
        </w:rPr>
        <w:t xml:space="preserve"> protected areas or national parks. A key risk is the limited capacity of forest agencies and institutions to</w:t>
      </w:r>
      <w:r>
        <w:rPr>
          <w:bCs/>
          <w:kern w:val="2"/>
          <w14:ligatures w14:val="standardContextual"/>
        </w:rPr>
        <w:t xml:space="preserve"> </w:t>
      </w:r>
      <w:r w:rsidRPr="00171C57">
        <w:rPr>
          <w:bCs/>
          <w:kern w:val="2"/>
          <w14:ligatures w14:val="standardContextual"/>
        </w:rPr>
        <w:t>engage stakeholders and manage inclusive consultations, grievance management, and public disclosure under</w:t>
      </w:r>
      <w:r>
        <w:rPr>
          <w:bCs/>
          <w:kern w:val="2"/>
          <w14:ligatures w14:val="standardContextual"/>
        </w:rPr>
        <w:t xml:space="preserve"> </w:t>
      </w:r>
      <w:r w:rsidRPr="00171C57">
        <w:rPr>
          <w:bCs/>
          <w:kern w:val="2"/>
          <w14:ligatures w14:val="standardContextual"/>
        </w:rPr>
        <w:t>international standards, ensuring the proper management of conflict and dispute over resource management roles</w:t>
      </w:r>
      <w:r>
        <w:rPr>
          <w:bCs/>
          <w:kern w:val="2"/>
          <w14:ligatures w14:val="standardContextual"/>
        </w:rPr>
        <w:t xml:space="preserve"> </w:t>
      </w:r>
      <w:r w:rsidRPr="00171C57">
        <w:rPr>
          <w:bCs/>
          <w:kern w:val="2"/>
          <w14:ligatures w14:val="standardContextual"/>
        </w:rPr>
        <w:t>and benefits.</w:t>
      </w:r>
    </w:p>
    <w:p w14:paraId="3CFF8819" w14:textId="77777777" w:rsidR="00171C57" w:rsidRPr="00171C57" w:rsidRDefault="00171C57" w:rsidP="00171C57">
      <w:pPr>
        <w:spacing w:after="120" w:line="240" w:lineRule="auto"/>
        <w:jc w:val="both"/>
        <w:rPr>
          <w:bCs/>
          <w:kern w:val="2"/>
          <w14:ligatures w14:val="standardContextual"/>
        </w:rPr>
      </w:pPr>
    </w:p>
    <w:p w14:paraId="3214EABE" w14:textId="77777777" w:rsidR="00B217E6" w:rsidRPr="004F3F40" w:rsidRDefault="007E0D14" w:rsidP="00B217E6">
      <w:pPr>
        <w:jc w:val="both"/>
        <w:rPr>
          <w:b/>
          <w:color w:val="385623" w:themeColor="accent6" w:themeShade="80"/>
          <w:sz w:val="32"/>
          <w:szCs w:val="32"/>
        </w:rPr>
      </w:pPr>
      <w:r w:rsidRPr="004F3F40">
        <w:rPr>
          <w:b/>
          <w:color w:val="385623" w:themeColor="accent6" w:themeShade="80"/>
          <w:sz w:val="32"/>
          <w:szCs w:val="32"/>
        </w:rPr>
        <w:t>II. BRIEF SUMMARY OF STAKEHOLDER ENGAGEMENT ACTIVITIES</w:t>
      </w:r>
    </w:p>
    <w:p w14:paraId="677E55AF" w14:textId="77777777" w:rsidR="006D349D" w:rsidRDefault="006D349D" w:rsidP="00B217E6">
      <w:pPr>
        <w:jc w:val="both"/>
        <w:rPr>
          <w:b/>
        </w:rPr>
      </w:pPr>
    </w:p>
    <w:p w14:paraId="74AA1288" w14:textId="77777777" w:rsidR="006D349D" w:rsidRPr="007D0035" w:rsidRDefault="006D349D" w:rsidP="00B217E6">
      <w:pPr>
        <w:jc w:val="both"/>
        <w:rPr>
          <w:b/>
          <w:sz w:val="28"/>
          <w:szCs w:val="28"/>
        </w:rPr>
      </w:pPr>
      <w:r w:rsidRPr="007D0035">
        <w:rPr>
          <w:b/>
          <w:sz w:val="28"/>
          <w:szCs w:val="28"/>
        </w:rPr>
        <w:t>2.1. Stakeholders Consultation Activities Undertaken</w:t>
      </w:r>
    </w:p>
    <w:p w14:paraId="3B95E431" w14:textId="77777777" w:rsidR="006D349D" w:rsidRDefault="00596986" w:rsidP="00B217E6">
      <w:pPr>
        <w:jc w:val="both"/>
        <w:rPr>
          <w:b/>
          <w:sz w:val="28"/>
          <w:szCs w:val="28"/>
        </w:rPr>
      </w:pPr>
      <w:r>
        <w:t>At this early stage of project preparation, p</w:t>
      </w:r>
      <w:r w:rsidR="006D349D">
        <w:t xml:space="preserve">ublic consultations with the stakeholders related to the Project have not yet been conducted. After the consultations, </w:t>
      </w:r>
      <w:r>
        <w:t xml:space="preserve">which are expected to be carried out before World Bank’s appraisal, </w:t>
      </w:r>
      <w:r w:rsidR="006D349D">
        <w:t>this section will be attached to the document as an Annex, subsequently.</w:t>
      </w:r>
    </w:p>
    <w:p w14:paraId="005FFE27" w14:textId="77777777" w:rsidR="004F3F40" w:rsidRDefault="004F3F40" w:rsidP="00B217E6">
      <w:pPr>
        <w:jc w:val="both"/>
        <w:rPr>
          <w:b/>
        </w:rPr>
      </w:pPr>
    </w:p>
    <w:p w14:paraId="7DA5C32E" w14:textId="77777777" w:rsidR="006D349D" w:rsidRPr="007D0035" w:rsidRDefault="006D349D" w:rsidP="00B217E6">
      <w:pPr>
        <w:jc w:val="both"/>
        <w:rPr>
          <w:b/>
          <w:color w:val="385623" w:themeColor="accent6" w:themeShade="80"/>
          <w:sz w:val="32"/>
          <w:szCs w:val="32"/>
        </w:rPr>
      </w:pPr>
      <w:r w:rsidRPr="007D0035">
        <w:rPr>
          <w:b/>
          <w:color w:val="385623" w:themeColor="accent6" w:themeShade="80"/>
          <w:sz w:val="32"/>
          <w:szCs w:val="32"/>
        </w:rPr>
        <w:t xml:space="preserve">III. POLICY AND LEGAL REQUIREMENTS </w:t>
      </w:r>
    </w:p>
    <w:p w14:paraId="5B3DB193" w14:textId="77777777" w:rsidR="006D349D" w:rsidRDefault="006D349D" w:rsidP="00B217E6">
      <w:pPr>
        <w:jc w:val="both"/>
      </w:pPr>
      <w:r>
        <w:t>This SEP has been developed in compliance with World Bank’s Environmental and Social Framework (ESF), specified in the Environmental and Social Standard 10 (ESS10) and the regulations of the Government of Montenegro (GOM) on stakeholder engagement</w:t>
      </w:r>
      <w:r w:rsidR="00B339FF">
        <w:t xml:space="preserve"> and grievance management</w:t>
      </w:r>
      <w:r>
        <w:t xml:space="preserve">. </w:t>
      </w:r>
    </w:p>
    <w:p w14:paraId="68D231FC" w14:textId="77777777" w:rsidR="007D0035" w:rsidRDefault="007D0035" w:rsidP="00B217E6">
      <w:pPr>
        <w:jc w:val="both"/>
      </w:pPr>
    </w:p>
    <w:p w14:paraId="62D48BBA" w14:textId="77777777" w:rsidR="007F02CC" w:rsidRDefault="007F02CC" w:rsidP="00B217E6">
      <w:pPr>
        <w:jc w:val="both"/>
      </w:pPr>
    </w:p>
    <w:p w14:paraId="0F015017" w14:textId="77777777" w:rsidR="007F02CC" w:rsidRDefault="007F02CC" w:rsidP="00B217E6">
      <w:pPr>
        <w:jc w:val="both"/>
      </w:pPr>
    </w:p>
    <w:p w14:paraId="406A3CF3" w14:textId="77777777" w:rsidR="006D349D" w:rsidRPr="007D0035" w:rsidRDefault="006D349D" w:rsidP="00B217E6">
      <w:pPr>
        <w:jc w:val="both"/>
        <w:rPr>
          <w:b/>
          <w:i/>
          <w:color w:val="385623" w:themeColor="accent6" w:themeShade="80"/>
          <w:sz w:val="28"/>
          <w:szCs w:val="28"/>
        </w:rPr>
      </w:pPr>
      <w:r w:rsidRPr="007D0035">
        <w:rPr>
          <w:b/>
          <w:i/>
          <w:color w:val="385623" w:themeColor="accent6" w:themeShade="80"/>
          <w:sz w:val="28"/>
          <w:szCs w:val="28"/>
        </w:rPr>
        <w:t>3.1. National Regulation</w:t>
      </w:r>
    </w:p>
    <w:p w14:paraId="46B111C4" w14:textId="77777777" w:rsidR="006D349D" w:rsidRDefault="006D349D" w:rsidP="00B217E6">
      <w:pPr>
        <w:jc w:val="both"/>
      </w:pPr>
      <w:r>
        <w:t xml:space="preserve">This SEP considers the existing institutional and regulatory framework within the context of the following main Government of Montenegro (GOM) legal instruments: </w:t>
      </w:r>
    </w:p>
    <w:p w14:paraId="12035DBA" w14:textId="77777777" w:rsidR="00B217E6" w:rsidRDefault="006D349D" w:rsidP="00B217E6">
      <w:pPr>
        <w:jc w:val="both"/>
      </w:pPr>
      <w:r>
        <w:lastRenderedPageBreak/>
        <w:t>- The Constitution of the Montenegro</w:t>
      </w:r>
      <w:r w:rsidRPr="006D349D">
        <w:t xml:space="preserve"> </w:t>
      </w:r>
      <w:r>
        <w:t xml:space="preserve">„Official </w:t>
      </w:r>
      <w:proofErr w:type="gramStart"/>
      <w:r>
        <w:t>Gazette“</w:t>
      </w:r>
      <w:proofErr w:type="gramEnd"/>
      <w:r>
        <w:t>, No. 1/2007, 38/2013</w:t>
      </w:r>
    </w:p>
    <w:p w14:paraId="262F7406" w14:textId="77777777" w:rsidR="007846BB" w:rsidRDefault="007846BB" w:rsidP="00B217E6">
      <w:pPr>
        <w:jc w:val="both"/>
      </w:pPr>
      <w:r w:rsidRPr="00AC5238">
        <w:t>- The Law on Forests</w:t>
      </w:r>
      <w:r w:rsidR="00AC5238" w:rsidRPr="00AC5238">
        <w:t xml:space="preserve"> </w:t>
      </w:r>
      <w:r w:rsidR="00AC5238" w:rsidRPr="00172EE1">
        <w:t>("Official Gazette of Montenegro" No.</w:t>
      </w:r>
      <w:r w:rsidR="00AC5238">
        <w:t>77/20</w:t>
      </w:r>
      <w:r w:rsidR="004F3F40">
        <w:t>24</w:t>
      </w:r>
      <w:r w:rsidR="00AC5238">
        <w:t>)</w:t>
      </w:r>
    </w:p>
    <w:p w14:paraId="0582E0A7" w14:textId="77777777" w:rsidR="001664A5" w:rsidRPr="00172EE1" w:rsidRDefault="001664A5" w:rsidP="00B217E6">
      <w:pPr>
        <w:jc w:val="both"/>
      </w:pPr>
      <w:r w:rsidRPr="00172EE1">
        <w:t>- The Law of Forest Reproductive Material (“Official Gazette of Montenegro”, No. 37/07 i 57/15)</w:t>
      </w:r>
    </w:p>
    <w:p w14:paraId="08F10B50" w14:textId="77777777" w:rsidR="007846BB" w:rsidRDefault="007846BB" w:rsidP="00B217E6">
      <w:pPr>
        <w:jc w:val="both"/>
      </w:pPr>
      <w:r>
        <w:t>- The Law on Protection from the negative impacts of climate change</w:t>
      </w:r>
      <w:r w:rsidR="00F51ED5">
        <w:t xml:space="preserve"> </w:t>
      </w:r>
      <w:r w:rsidR="00F51ED5" w:rsidRPr="00172EE1">
        <w:t>("Official Gazette of Montenegro" No.</w:t>
      </w:r>
      <w:r w:rsidR="00F51ED5">
        <w:t>73/2016)</w:t>
      </w:r>
    </w:p>
    <w:p w14:paraId="224BA8B9" w14:textId="77777777" w:rsidR="007846BB" w:rsidRDefault="007846BB" w:rsidP="00B217E6">
      <w:pPr>
        <w:jc w:val="both"/>
      </w:pPr>
      <w:r>
        <w:t>- The Nature Protection Law</w:t>
      </w:r>
      <w:r w:rsidRPr="00172EE1">
        <w:t xml:space="preserve"> ("Official Gazette of Montenegro" No.</w:t>
      </w:r>
      <w:r>
        <w:t>54/2016)</w:t>
      </w:r>
    </w:p>
    <w:p w14:paraId="4B947E93" w14:textId="77777777" w:rsidR="007846BB" w:rsidRDefault="007846BB" w:rsidP="00B217E6">
      <w:pPr>
        <w:jc w:val="both"/>
      </w:pPr>
      <w:r>
        <w:t xml:space="preserve">- The Energy Law. </w:t>
      </w:r>
      <w:r w:rsidRPr="00172EE1">
        <w:t>("Official Gazette of Montenegro" No.</w:t>
      </w:r>
      <w:r>
        <w:t>5/2016, 51/2017 i 82/2020)</w:t>
      </w:r>
    </w:p>
    <w:p w14:paraId="1AC89E2D" w14:textId="77777777" w:rsidR="00B217E6" w:rsidRPr="00172EE1" w:rsidRDefault="007846BB" w:rsidP="00B217E6">
      <w:pPr>
        <w:jc w:val="both"/>
      </w:pPr>
      <w:r w:rsidRPr="00172EE1">
        <w:t>- The Law on Energy Efficiency ("Official Gazette of Montenegro" 29/10)</w:t>
      </w:r>
    </w:p>
    <w:p w14:paraId="1D68F6D9" w14:textId="77777777" w:rsidR="007D0035" w:rsidRDefault="007D0035" w:rsidP="00B217E6">
      <w:pPr>
        <w:jc w:val="both"/>
        <w:rPr>
          <w:b/>
          <w:sz w:val="36"/>
          <w:szCs w:val="36"/>
          <w:lang w:val="hr-BA"/>
        </w:rPr>
      </w:pPr>
    </w:p>
    <w:p w14:paraId="5ED295C8" w14:textId="77777777" w:rsidR="00434ED3" w:rsidRPr="007D0035" w:rsidRDefault="00434ED3" w:rsidP="00434ED3">
      <w:pPr>
        <w:jc w:val="both"/>
        <w:rPr>
          <w:b/>
          <w:i/>
          <w:color w:val="385623" w:themeColor="accent6" w:themeShade="80"/>
          <w:sz w:val="28"/>
          <w:szCs w:val="28"/>
        </w:rPr>
      </w:pPr>
      <w:r w:rsidRPr="007D0035">
        <w:rPr>
          <w:b/>
          <w:i/>
          <w:color w:val="385623" w:themeColor="accent6" w:themeShade="80"/>
          <w:sz w:val="28"/>
          <w:szCs w:val="28"/>
        </w:rPr>
        <w:t xml:space="preserve">3.2. World Bank Requirements for Stakeholder Engagement and Information Disclosure (ESS10) </w:t>
      </w:r>
    </w:p>
    <w:p w14:paraId="4FC90747" w14:textId="77777777" w:rsidR="00434ED3" w:rsidRDefault="00434ED3" w:rsidP="00434ED3">
      <w:pPr>
        <w:jc w:val="both"/>
      </w:pPr>
      <w:r>
        <w:t xml:space="preserve">The World Bank’s Environmental and Social Framework (ESF) includes Environmental and Social Standard (ESS) - “Stakeholder Engagement and Information Disclosure” (ESS10), which recognizes “the importance of open and transparent engagement between the Borrower and project stakeholders as an essential element of good international practice”. ESS10 emphasizes that effective stakeholder engagement can significantly improve the </w:t>
      </w:r>
      <w:r w:rsidR="002F0721">
        <w:t>development impact of the project.</w:t>
      </w:r>
    </w:p>
    <w:p w14:paraId="6E28FEAA" w14:textId="77777777" w:rsidR="00434ED3" w:rsidRDefault="00434ED3" w:rsidP="00434ED3">
      <w:pPr>
        <w:jc w:val="both"/>
      </w:pPr>
      <w:r>
        <w:t xml:space="preserve"> The main objectives of ESS10 are: </w:t>
      </w:r>
    </w:p>
    <w:p w14:paraId="35BEB1BA" w14:textId="77777777" w:rsidR="00434ED3" w:rsidRDefault="00434ED3" w:rsidP="00434ED3">
      <w:pPr>
        <w:jc w:val="both"/>
      </w:pPr>
      <w:r>
        <w:t xml:space="preserve">• To establish a systematic approach to stakeholder engagement that will help Borrowers identify stakeholders and build and maintain a constructive relationship with them, in particular project-affected parties; </w:t>
      </w:r>
    </w:p>
    <w:p w14:paraId="6FB4EAAF" w14:textId="77777777" w:rsidR="00434ED3" w:rsidRDefault="00434ED3" w:rsidP="00434ED3">
      <w:pPr>
        <w:jc w:val="both"/>
      </w:pPr>
      <w:r>
        <w:t xml:space="preserve">• To assess the level of stakeholder interest and support for the project and to enable stakeholders’ views to be </w:t>
      </w:r>
      <w:r w:rsidR="00776EB5">
        <w:t>considered</w:t>
      </w:r>
      <w:r>
        <w:t xml:space="preserve"> in project design and environmental and social performance; </w:t>
      </w:r>
    </w:p>
    <w:p w14:paraId="0A9C2BAC" w14:textId="77777777" w:rsidR="00434ED3" w:rsidRDefault="00434ED3" w:rsidP="00434ED3">
      <w:pPr>
        <w:jc w:val="both"/>
      </w:pPr>
      <w:r>
        <w:t>• To promote and provide means for effective and inclusive engagement with project</w:t>
      </w:r>
      <w:r w:rsidR="00577713">
        <w:t xml:space="preserve"> </w:t>
      </w:r>
      <w:r>
        <w:t>affected parties throughout the project life cycle on issues that could potentially affect them;</w:t>
      </w:r>
    </w:p>
    <w:p w14:paraId="24440EC6" w14:textId="77777777" w:rsidR="007D0035" w:rsidRDefault="00434ED3" w:rsidP="00434ED3">
      <w:pPr>
        <w:jc w:val="both"/>
      </w:pPr>
      <w:r>
        <w:t xml:space="preserve"> • To ensure that appropriate project information on environmental and social risks and impacts is disclosed to stakeholders in a timely, understandable, accessible and appropriate manner and </w:t>
      </w:r>
      <w:proofErr w:type="gramStart"/>
      <w:r>
        <w:t>format;</w:t>
      </w:r>
      <w:proofErr w:type="gramEnd"/>
      <w:r>
        <w:t xml:space="preserve"> </w:t>
      </w:r>
    </w:p>
    <w:p w14:paraId="61F778A0" w14:textId="77777777" w:rsidR="00434ED3" w:rsidRDefault="00434ED3" w:rsidP="00434ED3">
      <w:pPr>
        <w:jc w:val="both"/>
      </w:pPr>
      <w:r>
        <w:t xml:space="preserve">• To provide project-affected parties with accessible and inclusive means to raise issues and grievances and allow Borrowers to respond to and manage such grievances. </w:t>
      </w:r>
    </w:p>
    <w:p w14:paraId="6DDB82E4" w14:textId="77777777" w:rsidR="00174E86" w:rsidRDefault="00174E86" w:rsidP="00434ED3">
      <w:pPr>
        <w:jc w:val="both"/>
      </w:pPr>
    </w:p>
    <w:p w14:paraId="19394CD5" w14:textId="77777777" w:rsidR="00174E86" w:rsidRDefault="00174E86" w:rsidP="00434ED3">
      <w:pPr>
        <w:jc w:val="both"/>
      </w:pPr>
    </w:p>
    <w:p w14:paraId="46453F5A" w14:textId="77777777" w:rsidR="00434ED3" w:rsidRDefault="00434ED3" w:rsidP="007D0035">
      <w:pPr>
        <w:ind w:firstLine="720"/>
        <w:jc w:val="both"/>
      </w:pPr>
      <w:r w:rsidRPr="00434ED3">
        <w:rPr>
          <w:b/>
        </w:rPr>
        <w:t>Scope of application</w:t>
      </w:r>
      <w:r>
        <w:t xml:space="preserve"> </w:t>
      </w:r>
    </w:p>
    <w:p w14:paraId="699C2D78" w14:textId="77777777" w:rsidR="00434ED3" w:rsidRDefault="00434ED3" w:rsidP="00434ED3">
      <w:pPr>
        <w:jc w:val="both"/>
      </w:pPr>
      <w:r>
        <w:t xml:space="preserve">ESS10 applies to all projects supported by the Bank through Investment Project Financing. </w:t>
      </w:r>
      <w:proofErr w:type="gramStart"/>
      <w:r>
        <w:t>For the purpose of</w:t>
      </w:r>
      <w:proofErr w:type="gramEnd"/>
      <w:r>
        <w:t xml:space="preserve"> this ESS, “stakeholder” refers to individuals or groups who: (a) are affected or likely to be affected by </w:t>
      </w:r>
      <w:r>
        <w:lastRenderedPageBreak/>
        <w:t>the project (project-affected parties); and (b) may have an interest in the project (other interested parties).</w:t>
      </w:r>
    </w:p>
    <w:p w14:paraId="27894344" w14:textId="77777777" w:rsidR="00434ED3" w:rsidRDefault="00434ED3" w:rsidP="007D0035">
      <w:pPr>
        <w:ind w:firstLine="720"/>
        <w:jc w:val="both"/>
        <w:rPr>
          <w:b/>
        </w:rPr>
      </w:pPr>
      <w:r w:rsidRPr="00434ED3">
        <w:rPr>
          <w:b/>
        </w:rPr>
        <w:t>Requirements</w:t>
      </w:r>
    </w:p>
    <w:p w14:paraId="57E6460B" w14:textId="77777777" w:rsidR="00434ED3" w:rsidRDefault="00434ED3" w:rsidP="00434ED3">
      <w:pPr>
        <w:jc w:val="both"/>
      </w:pPr>
      <w:r>
        <w:t xml:space="preserve"> The Bank standard on Stakeholder Engagement and Information Disclosure (ESS10) requires that the project implementing agency engages with stakeholders throughout the project life cycle, commencing such engagement as early as possible in the project development process and in a timeframe that enables meaningful consultations with stakeholders on project design. The nature, scope and frequency of stakeholder engagement will be proportionate to the nature and scale of the project and its potential risks and impacts. The project will engage in meaningful consultations with all stakeholders. It will provide stakeholders with timely, relevant, understandable and accessible information, and consult with them in a culturally appropriate manner, free of manipulation, interference, coercion, discrimination and intimidation. The project implementing </w:t>
      </w:r>
      <w:r w:rsidR="00E5325F">
        <w:t xml:space="preserve">body </w:t>
      </w:r>
      <w:r>
        <w:t>will maintain and disclose as part of the environmental and social assessment, a documented record of stakeholder engagement, including a description of the stakeholders consulted, a summary of the feedback received and a brief explanation of how the feedback was considered, or the reasons why it was not. 2</w:t>
      </w:r>
    </w:p>
    <w:p w14:paraId="3819F2A2" w14:textId="77777777" w:rsidR="00434ED3" w:rsidRDefault="00434ED3" w:rsidP="00434ED3">
      <w:pPr>
        <w:jc w:val="both"/>
      </w:pPr>
      <w:r w:rsidRPr="00434ED3">
        <w:rPr>
          <w:b/>
        </w:rPr>
        <w:t>The ESS10</w:t>
      </w:r>
      <w:r>
        <w:t xml:space="preserve"> requires the project implementing agencies to develop a Stakeholder Engagement Plan (SEP) proportionate to the nature and scale of the project and its potential risks and impacts (paragraph 13 – ESS10). Stakeholders </w:t>
      </w:r>
      <w:proofErr w:type="gramStart"/>
      <w:r>
        <w:t>have to</w:t>
      </w:r>
      <w:proofErr w:type="gramEnd"/>
      <w:r>
        <w:t xml:space="preserve"> be </w:t>
      </w:r>
      <w:proofErr w:type="gramStart"/>
      <w:r>
        <w:t>identified</w:t>
      </w:r>
      <w:proofErr w:type="gramEnd"/>
      <w:r>
        <w:t xml:space="preserve"> and the SEP </w:t>
      </w:r>
      <w:proofErr w:type="gramStart"/>
      <w:r>
        <w:t>has to</w:t>
      </w:r>
      <w:proofErr w:type="gramEnd"/>
      <w:r>
        <w:t xml:space="preserve"> be disclosed for public review and comment as early as possible, before the project is appraised by the World Bank. </w:t>
      </w:r>
    </w:p>
    <w:p w14:paraId="567DF423" w14:textId="77777777" w:rsidR="00B217E6" w:rsidRDefault="00434ED3" w:rsidP="00434ED3">
      <w:pPr>
        <w:jc w:val="both"/>
      </w:pPr>
      <w:r w:rsidRPr="00434ED3">
        <w:rPr>
          <w:b/>
        </w:rPr>
        <w:t>The ESS10</w:t>
      </w:r>
      <w:r>
        <w:t xml:space="preserve"> also requires the development and implementation of a grievance redress mechanism that allows project-affected parties and others to raise concerns and provide feedback related to the environmental and social performance of the project and to have those concerns addressed in a timely manner.</w:t>
      </w:r>
    </w:p>
    <w:p w14:paraId="390BC0E7" w14:textId="77777777" w:rsidR="007E2E78" w:rsidRPr="007D0035" w:rsidRDefault="007E2E78" w:rsidP="00434ED3">
      <w:pPr>
        <w:jc w:val="both"/>
        <w:rPr>
          <w:b/>
          <w:sz w:val="32"/>
          <w:szCs w:val="32"/>
          <w:lang w:val="hr-BA"/>
        </w:rPr>
      </w:pPr>
    </w:p>
    <w:p w14:paraId="12F41DC3" w14:textId="77777777" w:rsidR="00434ED3" w:rsidRPr="007D0035" w:rsidRDefault="00434ED3" w:rsidP="00434ED3">
      <w:pPr>
        <w:jc w:val="both"/>
        <w:rPr>
          <w:b/>
          <w:color w:val="385623" w:themeColor="accent6" w:themeShade="80"/>
          <w:sz w:val="32"/>
          <w:szCs w:val="32"/>
        </w:rPr>
      </w:pPr>
      <w:r w:rsidRPr="007D0035">
        <w:rPr>
          <w:b/>
          <w:color w:val="385623" w:themeColor="accent6" w:themeShade="80"/>
          <w:sz w:val="32"/>
          <w:szCs w:val="32"/>
        </w:rPr>
        <w:t xml:space="preserve">IV. STAKEHOLDER IDENTIFICATION AND ANALYSIS </w:t>
      </w:r>
    </w:p>
    <w:p w14:paraId="3A266C06" w14:textId="77777777" w:rsidR="00434ED3" w:rsidRDefault="00434ED3" w:rsidP="00434ED3">
      <w:pPr>
        <w:jc w:val="both"/>
      </w:pPr>
    </w:p>
    <w:p w14:paraId="6F0B0622" w14:textId="77777777" w:rsidR="00434ED3" w:rsidRDefault="00434ED3" w:rsidP="00434ED3">
      <w:pPr>
        <w:jc w:val="both"/>
      </w:pPr>
      <w:r>
        <w:t xml:space="preserve">Project stakeholders are people and entities who have a role in the Project, or could be affected by the Project, or who are interested in the Project. Project stakeholders are defined as individuals, groups or other entities who: </w:t>
      </w:r>
    </w:p>
    <w:p w14:paraId="14F72C08" w14:textId="77777777" w:rsidR="00434ED3" w:rsidRDefault="00434ED3" w:rsidP="00434ED3">
      <w:pPr>
        <w:jc w:val="both"/>
      </w:pPr>
      <w:r>
        <w:t>(i) are impacted or likely to be impacted directly or indirectly, positively or adversely, by the Project (also known as ‘affected parties’); and</w:t>
      </w:r>
    </w:p>
    <w:p w14:paraId="6960F51D" w14:textId="77777777" w:rsidR="00434ED3" w:rsidRDefault="00434ED3" w:rsidP="00434ED3">
      <w:pPr>
        <w:jc w:val="both"/>
      </w:pPr>
      <w:r>
        <w:t xml:space="preserve">(ii) may have an interest in the Project (‘interested parties’). They include individuals or groups whose interests may be affected by the Project and who have the potential to influence the Project outcomes in any way. </w:t>
      </w:r>
    </w:p>
    <w:p w14:paraId="47A83AF1" w14:textId="77777777" w:rsidR="00434ED3" w:rsidRDefault="00434ED3" w:rsidP="00434ED3">
      <w:pPr>
        <w:jc w:val="both"/>
      </w:pPr>
      <w:r>
        <w:t xml:space="preserve">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t>
      </w:r>
      <w:r>
        <w:lastRenderedPageBreak/>
        <w:t>with advocating the groups’ interests in the process of engagement with the Project. Community representatives</w:t>
      </w:r>
      <w:r w:rsidR="00E5325F">
        <w:t xml:space="preserve"> (if)</w:t>
      </w:r>
      <w:r>
        <w:t xml:space="preserve">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 Legitimacy of the community representatives can be verified by talking informally to a random sample of community members and heeding their views on who can be representing their interests in the most effective way. </w:t>
      </w:r>
    </w:p>
    <w:p w14:paraId="1BEA0E7D" w14:textId="77777777" w:rsidR="007D0035" w:rsidRDefault="007D0035" w:rsidP="00434ED3">
      <w:pPr>
        <w:jc w:val="both"/>
      </w:pPr>
    </w:p>
    <w:p w14:paraId="7D3A8A34" w14:textId="77777777" w:rsidR="00434ED3" w:rsidRPr="007D0035" w:rsidRDefault="00434ED3" w:rsidP="00434ED3">
      <w:pPr>
        <w:jc w:val="both"/>
        <w:rPr>
          <w:i/>
          <w:color w:val="385623" w:themeColor="accent6" w:themeShade="80"/>
          <w:sz w:val="28"/>
          <w:szCs w:val="28"/>
        </w:rPr>
      </w:pPr>
      <w:r w:rsidRPr="007D0035">
        <w:rPr>
          <w:b/>
          <w:i/>
          <w:color w:val="385623" w:themeColor="accent6" w:themeShade="80"/>
          <w:sz w:val="28"/>
          <w:szCs w:val="28"/>
        </w:rPr>
        <w:t>4.1. Methodology</w:t>
      </w:r>
      <w:r w:rsidRPr="007D0035">
        <w:rPr>
          <w:i/>
          <w:color w:val="385623" w:themeColor="accent6" w:themeShade="80"/>
          <w:sz w:val="28"/>
          <w:szCs w:val="28"/>
        </w:rPr>
        <w:t xml:space="preserve"> </w:t>
      </w:r>
    </w:p>
    <w:p w14:paraId="49D4E0F4" w14:textId="77777777" w:rsidR="00434ED3" w:rsidRDefault="00434ED3" w:rsidP="00434ED3">
      <w:pPr>
        <w:jc w:val="both"/>
      </w:pPr>
      <w:proofErr w:type="gramStart"/>
      <w:r>
        <w:t>In order to</w:t>
      </w:r>
      <w:proofErr w:type="gramEnd"/>
      <w:r>
        <w:t xml:space="preserve"> meet best practice approaches, the project will apply the following principles for stakeholder engagement: </w:t>
      </w:r>
    </w:p>
    <w:p w14:paraId="06C6D86C" w14:textId="77777777" w:rsidR="00434ED3" w:rsidRDefault="00434ED3" w:rsidP="00434ED3">
      <w:pPr>
        <w:jc w:val="both"/>
      </w:pPr>
      <w:r>
        <w:t xml:space="preserve">• Openness and life-cycle approach: public consultations for the project(s) will be arranged during the whole life cycle, carried out in an open manner, free of external manipulation, interference, coercion or </w:t>
      </w:r>
      <w:proofErr w:type="gramStart"/>
      <w:r>
        <w:t>intimidation;</w:t>
      </w:r>
      <w:proofErr w:type="gramEnd"/>
      <w:r>
        <w:t xml:space="preserve"> </w:t>
      </w:r>
    </w:p>
    <w:p w14:paraId="15694A4E" w14:textId="77777777" w:rsidR="00434ED3" w:rsidRDefault="00434ED3" w:rsidP="00434ED3">
      <w:pPr>
        <w:jc w:val="both"/>
      </w:pPr>
      <w:r>
        <w:t xml:space="preserve">• Informed participation and feedback: information will be provided to and widely distributed among all stakeholders in an appropriate format; opportunities are provided for communicating stakeholders’ feedback, for </w:t>
      </w:r>
      <w:proofErr w:type="spellStart"/>
      <w:r>
        <w:t>analysing</w:t>
      </w:r>
      <w:proofErr w:type="spellEnd"/>
      <w:r>
        <w:t xml:space="preserve"> and addressing comments and concerns; </w:t>
      </w:r>
    </w:p>
    <w:p w14:paraId="0354461E" w14:textId="77777777" w:rsidR="00434ED3" w:rsidRDefault="00434ED3" w:rsidP="00434ED3">
      <w:pPr>
        <w:jc w:val="both"/>
      </w:pPr>
      <w:r>
        <w:t>• Inclusiveness and sensitivity: stakeholder identification is undertaken to support better communications and build effective relationships. The participation process for the projects is inclusive. All stakeholders at all times encouraged to be involved in the consultation process. Equal access to information is provided to all stakeholders. Sensitivity to stakeholders’ needs is the key principle underlying the selection of engagement methods. Special attention is given to vulnerable groups, in particular women, youth, elderly and the cultural sensitivities of diverse ethnic groups.</w:t>
      </w:r>
    </w:p>
    <w:p w14:paraId="53128DB7" w14:textId="77777777" w:rsidR="00434ED3" w:rsidRDefault="00434ED3" w:rsidP="00434ED3">
      <w:pPr>
        <w:jc w:val="both"/>
      </w:pPr>
      <w:r>
        <w:t xml:space="preserve"> For the purposes of effective and tailored engagement, stakeholders of the proposed project(s) can be divided into the following core categories: </w:t>
      </w:r>
    </w:p>
    <w:p w14:paraId="09D394C1" w14:textId="77777777" w:rsidR="00434ED3" w:rsidRDefault="00434ED3" w:rsidP="00434ED3">
      <w:pPr>
        <w:jc w:val="both"/>
      </w:pPr>
      <w:r w:rsidRPr="00434ED3">
        <w:rPr>
          <w:b/>
        </w:rPr>
        <w:t>• Affected Parties</w:t>
      </w:r>
      <w:r>
        <w:t xml:space="preserve"> – persons, groups and other entities within the Project Area of Influence (PAI) that are directly influenced (actually or potentially) by the project and/or have been identified as most susceptible to change associated with the project, and who need to be STAKEHOLDER ENGAGEMENT PLAN (SEP)</w:t>
      </w:r>
    </w:p>
    <w:p w14:paraId="14FE707B" w14:textId="77777777" w:rsidR="00434ED3" w:rsidRDefault="00434ED3" w:rsidP="00434ED3">
      <w:pPr>
        <w:jc w:val="both"/>
      </w:pPr>
      <w:r>
        <w:t xml:space="preserve"> • </w:t>
      </w:r>
      <w:r w:rsidRPr="00434ED3">
        <w:rPr>
          <w:b/>
        </w:rPr>
        <w:t>Other Interested Parties</w:t>
      </w:r>
      <w:r>
        <w:t xml:space="preserve"> – individuals/groups/entities that may not experience direct impacts from the Project but who consider or perceive their interests as being affected by the project and/or who could affect the project and the process of its implementation in some way; and </w:t>
      </w:r>
    </w:p>
    <w:p w14:paraId="002DD34A" w14:textId="77777777" w:rsidR="00434ED3" w:rsidRDefault="00434ED3" w:rsidP="00434ED3">
      <w:pPr>
        <w:jc w:val="both"/>
      </w:pPr>
      <w:r w:rsidRPr="00434ED3">
        <w:rPr>
          <w:b/>
        </w:rPr>
        <w:t>• Vulnerable Groups</w:t>
      </w:r>
      <w:r>
        <w:t xml:space="preserve"> – persons who may be disproportionately impacted or further disadvantaged by the project(s) as compared with any other groups due to their vulnerable statu</w:t>
      </w:r>
      <w:proofErr w:type="gramStart"/>
      <w:r>
        <w:t>3 ,</w:t>
      </w:r>
      <w:proofErr w:type="gramEnd"/>
      <w:r>
        <w:t xml:space="preserve"> and that may require special engagement efforts to ensure their equal representation in the consultation and decision-making process associated with the project. </w:t>
      </w:r>
    </w:p>
    <w:p w14:paraId="790F5EA0" w14:textId="77777777" w:rsidR="00434ED3" w:rsidRDefault="00434ED3" w:rsidP="00434ED3">
      <w:pPr>
        <w:jc w:val="both"/>
      </w:pPr>
      <w:r w:rsidRPr="00434ED3">
        <w:rPr>
          <w:b/>
        </w:rPr>
        <w:t>4.2. Stakeholder Mapping</w:t>
      </w:r>
      <w:r>
        <w:t xml:space="preserve"> </w:t>
      </w:r>
    </w:p>
    <w:p w14:paraId="5DAE086D" w14:textId="77777777" w:rsidR="00434ED3" w:rsidRPr="00E5325F" w:rsidRDefault="00E5325F" w:rsidP="00434ED3">
      <w:pPr>
        <w:jc w:val="both"/>
      </w:pPr>
      <w:r w:rsidRPr="00E5325F">
        <w:lastRenderedPageBreak/>
        <w:t>Below are listed</w:t>
      </w:r>
      <w:r w:rsidR="00434ED3" w:rsidRPr="00E5325F">
        <w:t xml:space="preserve"> the core project stakeholders and beneficiaries as well as host communities of the project and hence, the project will mobilize efforts through facilitator/consultant teams to ensure early and inclusive engagement with these groups.</w:t>
      </w:r>
    </w:p>
    <w:p w14:paraId="78861FD3" w14:textId="77777777" w:rsidR="00B66B02" w:rsidRDefault="00E5325F" w:rsidP="00434ED3">
      <w:pPr>
        <w:jc w:val="both"/>
        <w:rPr>
          <w:b/>
          <w:i/>
        </w:rPr>
      </w:pPr>
      <w:r w:rsidRPr="00E5325F">
        <w:rPr>
          <w:b/>
          <w:i/>
        </w:rPr>
        <w:t>- Government</w:t>
      </w:r>
      <w:bookmarkStart w:id="1" w:name="_Hlk196905180"/>
    </w:p>
    <w:p w14:paraId="4C7FE6E0" w14:textId="77777777" w:rsidR="00E5325F" w:rsidRPr="00E5325F" w:rsidRDefault="00B66B02" w:rsidP="00434ED3">
      <w:pPr>
        <w:jc w:val="both"/>
        <w:rPr>
          <w:b/>
          <w:i/>
        </w:rPr>
      </w:pPr>
      <w:r w:rsidRPr="00E5325F">
        <w:rPr>
          <w:b/>
        </w:rPr>
        <w:t>- Private forest owners</w:t>
      </w:r>
      <w:bookmarkEnd w:id="1"/>
    </w:p>
    <w:p w14:paraId="61C8F7B7" w14:textId="77777777" w:rsidR="009657D9" w:rsidRPr="00E5325F" w:rsidRDefault="00E5325F" w:rsidP="00434ED3">
      <w:pPr>
        <w:jc w:val="both"/>
        <w:rPr>
          <w:b/>
          <w:i/>
        </w:rPr>
      </w:pPr>
      <w:r w:rsidRPr="00E5325F">
        <w:rPr>
          <w:b/>
          <w:i/>
        </w:rPr>
        <w:t>- Forest sector institutions</w:t>
      </w:r>
    </w:p>
    <w:p w14:paraId="75D4073C" w14:textId="77777777" w:rsidR="00E5325F" w:rsidRPr="00E5325F" w:rsidRDefault="00E5325F" w:rsidP="00434ED3">
      <w:pPr>
        <w:jc w:val="both"/>
        <w:rPr>
          <w:b/>
          <w:i/>
        </w:rPr>
      </w:pPr>
      <w:r w:rsidRPr="00E5325F">
        <w:rPr>
          <w:b/>
          <w:i/>
        </w:rPr>
        <w:t>- Representatives of the wood industry</w:t>
      </w:r>
    </w:p>
    <w:p w14:paraId="62268E3E" w14:textId="77777777" w:rsidR="00E5325F" w:rsidRDefault="00E5325F" w:rsidP="00434ED3">
      <w:pPr>
        <w:jc w:val="both"/>
        <w:rPr>
          <w:b/>
          <w:i/>
        </w:rPr>
      </w:pPr>
      <w:r w:rsidRPr="00E5325F">
        <w:rPr>
          <w:b/>
          <w:i/>
        </w:rPr>
        <w:t>- Scientific representatives</w:t>
      </w:r>
    </w:p>
    <w:p w14:paraId="7C2BCDB1" w14:textId="77777777" w:rsidR="00E5325F" w:rsidRDefault="00E5325F" w:rsidP="00434ED3">
      <w:pPr>
        <w:jc w:val="both"/>
        <w:rPr>
          <w:b/>
          <w:i/>
        </w:rPr>
      </w:pPr>
      <w:r>
        <w:rPr>
          <w:b/>
          <w:i/>
        </w:rPr>
        <w:t>-</w:t>
      </w:r>
      <w:r w:rsidRPr="00E5325F">
        <w:rPr>
          <w:b/>
          <w:i/>
        </w:rPr>
        <w:t xml:space="preserve"> NGO’s</w:t>
      </w:r>
    </w:p>
    <w:p w14:paraId="377EF217" w14:textId="77777777" w:rsidR="009657D9" w:rsidRDefault="009657D9" w:rsidP="00434ED3">
      <w:pPr>
        <w:jc w:val="both"/>
        <w:rPr>
          <w:color w:val="385623" w:themeColor="accent6" w:themeShade="80"/>
        </w:rPr>
      </w:pPr>
    </w:p>
    <w:p w14:paraId="1C1A40B0" w14:textId="77777777" w:rsidR="009657D9" w:rsidRPr="007D0035" w:rsidRDefault="009657D9" w:rsidP="00434ED3">
      <w:pPr>
        <w:jc w:val="both"/>
        <w:rPr>
          <w:b/>
          <w:i/>
          <w:color w:val="385623" w:themeColor="accent6" w:themeShade="80"/>
          <w:sz w:val="28"/>
          <w:szCs w:val="28"/>
        </w:rPr>
      </w:pPr>
      <w:r w:rsidRPr="007D0035">
        <w:rPr>
          <w:b/>
          <w:i/>
          <w:color w:val="385623" w:themeColor="accent6" w:themeShade="80"/>
          <w:sz w:val="28"/>
          <w:szCs w:val="28"/>
        </w:rPr>
        <w:t>4.3. Project Affected Parties</w:t>
      </w:r>
    </w:p>
    <w:p w14:paraId="36305BBB" w14:textId="77777777" w:rsidR="00B81DCD" w:rsidRDefault="00153D9C" w:rsidP="005A1DCC">
      <w:pPr>
        <w:jc w:val="both"/>
      </w:pPr>
      <w:r>
        <w:t xml:space="preserve">One of the primary goals of </w:t>
      </w:r>
      <w:r w:rsidR="00015670">
        <w:t>this SEP</w:t>
      </w:r>
      <w:r>
        <w:t xml:space="preserve"> is to identify stakeholders on which the project can have negative impact such as households or businesses who may be impacted by land acquisition, livelihoods and business activities. However, the Project may influence the activities of various stakeholders in positive or negative ways. Thus, a list of key stakeholder groups can be identified as potentially affected parties. These should be engaged throughout the life of the Project and impacts on them should be monitored and mitigated. Project-affected parties </w:t>
      </w:r>
      <w:proofErr w:type="gramStart"/>
      <w:r>
        <w:t>includes</w:t>
      </w:r>
      <w:proofErr w:type="gramEnd"/>
      <w:r>
        <w:t xml:space="preserve"> those likely to be affected by the Project because of actual impacts or potential risks to their physical environment, health, security, cultural practices, well-being, or livelihoods. </w:t>
      </w:r>
    </w:p>
    <w:p w14:paraId="783BECD2" w14:textId="77777777" w:rsidR="00B81DCD" w:rsidRDefault="00B81DCD" w:rsidP="005A1DCC">
      <w:pPr>
        <w:jc w:val="both"/>
      </w:pPr>
      <w:r w:rsidRPr="00B81DCD">
        <w:t>Given that the Project is primarily focused on technical assistance, institutional strengthening, policy reforms, and support to sustainable forest management (SFM), rather than on construction activities or physical works, most impacts are expected to be institutional, economic, or regulatory in nature. The stakeholder categories reflect these characteristics.</w:t>
      </w:r>
    </w:p>
    <w:p w14:paraId="2DF936F7" w14:textId="77777777" w:rsidR="004F3F40" w:rsidRDefault="00153D9C" w:rsidP="005A1DCC">
      <w:pPr>
        <w:jc w:val="both"/>
      </w:pPr>
      <w:r>
        <w:t>The following groups can be identified as potential project-affected stakeholders:</w:t>
      </w:r>
    </w:p>
    <w:p w14:paraId="4CBE732D" w14:textId="77777777" w:rsidR="007E2E78" w:rsidRPr="007D0035" w:rsidRDefault="007E2E78" w:rsidP="005A1DCC">
      <w:pPr>
        <w:jc w:val="both"/>
      </w:pPr>
    </w:p>
    <w:p w14:paraId="41557032" w14:textId="77777777" w:rsidR="0056129E" w:rsidRDefault="0056129E" w:rsidP="00B81DCD">
      <w:pPr>
        <w:spacing w:before="100" w:beforeAutospacing="1" w:after="100" w:afterAutospacing="1" w:line="240" w:lineRule="auto"/>
        <w:jc w:val="both"/>
        <w:rPr>
          <w:b/>
          <w:color w:val="1F4E79" w:themeColor="accent5" w:themeShade="80"/>
        </w:rPr>
      </w:pPr>
    </w:p>
    <w:p w14:paraId="05BE08C2" w14:textId="77777777" w:rsidR="00B81DCD" w:rsidRPr="00901491" w:rsidRDefault="00153D9C" w:rsidP="00B81DCD">
      <w:pPr>
        <w:spacing w:before="100" w:beforeAutospacing="1" w:after="100" w:afterAutospacing="1" w:line="240" w:lineRule="auto"/>
        <w:jc w:val="both"/>
        <w:rPr>
          <w:b/>
          <w:color w:val="1F4E79" w:themeColor="accent5" w:themeShade="80"/>
        </w:rPr>
      </w:pPr>
      <w:r w:rsidRPr="00901491">
        <w:rPr>
          <w:b/>
          <w:color w:val="1F4E79" w:themeColor="accent5" w:themeShade="80"/>
        </w:rPr>
        <w:t>People who are physically or economically displaced by the project</w:t>
      </w:r>
    </w:p>
    <w:p w14:paraId="66629EBD" w14:textId="77777777" w:rsidR="00B81DCD" w:rsidRPr="00B81DCD" w:rsidRDefault="00B81DCD" w:rsidP="00B81DCD">
      <w:p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t>This category includes those most directly impacted by the Project’s interventions, reforms, or new systems of forest management, marketing, and fire protection.</w:t>
      </w:r>
    </w:p>
    <w:p w14:paraId="7070B590"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Ministry of Agriculture, Forestry and Water Management (</w:t>
      </w:r>
      <w:proofErr w:type="spellStart"/>
      <w:r w:rsidRPr="00B81DCD">
        <w:rPr>
          <w:rFonts w:eastAsia="Times New Roman" w:cs="Times New Roman"/>
          <w:b/>
          <w:bCs/>
          <w:sz w:val="24"/>
          <w:szCs w:val="24"/>
        </w:rPr>
        <w:t>MoAFWM</w:t>
      </w:r>
      <w:proofErr w:type="spellEnd"/>
      <w:r w:rsidRPr="00B81DCD">
        <w:rPr>
          <w:rFonts w:eastAsia="Times New Roman" w:cs="Times New Roman"/>
          <w:b/>
          <w:bCs/>
          <w:sz w:val="24"/>
          <w:szCs w:val="24"/>
        </w:rPr>
        <w:t>)</w:t>
      </w:r>
      <w:r w:rsidRPr="00B81DCD">
        <w:rPr>
          <w:rFonts w:eastAsia="Times New Roman" w:cs="Times New Roman"/>
          <w:sz w:val="24"/>
          <w:szCs w:val="24"/>
        </w:rPr>
        <w:t xml:space="preserve"> – As the lead implementing agency, </w:t>
      </w:r>
      <w:proofErr w:type="spellStart"/>
      <w:r w:rsidRPr="00B81DCD">
        <w:rPr>
          <w:rFonts w:eastAsia="Times New Roman" w:cs="Times New Roman"/>
          <w:sz w:val="24"/>
          <w:szCs w:val="24"/>
        </w:rPr>
        <w:t>MoAFWM</w:t>
      </w:r>
      <w:proofErr w:type="spellEnd"/>
      <w:r w:rsidRPr="00B81DCD">
        <w:rPr>
          <w:rFonts w:eastAsia="Times New Roman" w:cs="Times New Roman"/>
          <w:sz w:val="24"/>
          <w:szCs w:val="24"/>
        </w:rPr>
        <w:t xml:space="preserve"> will undergo internal restructuring and capacity building, and will bear the primary responsibility for implementing new laws and establishing the State-Owned Enterprise (SOE). The Ministry will experience institutional and operational impacts due to policy and procedural reforms supported by the Project.</w:t>
      </w:r>
    </w:p>
    <w:p w14:paraId="2EF24DA6"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lastRenderedPageBreak/>
        <w:t>Forest Administration (Directorate for Forests and Hunting Affairs)</w:t>
      </w:r>
      <w:r w:rsidRPr="00B81DCD">
        <w:rPr>
          <w:rFonts w:eastAsia="Times New Roman" w:cs="Times New Roman"/>
          <w:sz w:val="24"/>
          <w:szCs w:val="24"/>
        </w:rPr>
        <w:t xml:space="preserve"> – Directly affected by the new forest management system and integration into modernized information systems (FMIS, NFI, ETTS, MRV). Staff will require training and adaptation to new operational standards and digital tools.</w:t>
      </w:r>
    </w:p>
    <w:p w14:paraId="2099A85B"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Future State-Owned Enterprise (SOE)</w:t>
      </w:r>
      <w:r w:rsidRPr="00B81DCD">
        <w:rPr>
          <w:rFonts w:eastAsia="Times New Roman" w:cs="Times New Roman"/>
          <w:sz w:val="24"/>
          <w:szCs w:val="24"/>
        </w:rPr>
        <w:t xml:space="preserve"> – To be established under the new Forest Law, the SOE will assume management of state forests and replace the concession-based system. The establishment process will bring significant institutional, operational, and capacity-related impacts.</w:t>
      </w:r>
    </w:p>
    <w:p w14:paraId="41DC76BD"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Forestry Inspection and local administrative units</w:t>
      </w:r>
      <w:r w:rsidRPr="00B81DCD">
        <w:rPr>
          <w:rFonts w:eastAsia="Times New Roman" w:cs="Times New Roman"/>
          <w:sz w:val="24"/>
          <w:szCs w:val="24"/>
        </w:rPr>
        <w:t xml:space="preserve"> – Will be responsible for ensuring compliance with new regulations, certification systems, and sustainable forest management practices, increasing their administrative workload.</w:t>
      </w:r>
    </w:p>
    <w:p w14:paraId="41C3F5AB"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Wood industry enterprises and wood buyers</w:t>
      </w:r>
      <w:r w:rsidRPr="00B81DCD">
        <w:rPr>
          <w:rFonts w:eastAsia="Times New Roman" w:cs="Times New Roman"/>
          <w:sz w:val="24"/>
          <w:szCs w:val="24"/>
        </w:rPr>
        <w:t xml:space="preserve"> – These private sector actors will be economically affected by changes in timber allocation, pricing mechanisms, and the shift toward competitive and transparent sales through the SOE.</w:t>
      </w:r>
    </w:p>
    <w:p w14:paraId="15B48621"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Private forest owners</w:t>
      </w:r>
      <w:r w:rsidRPr="00B81DCD">
        <w:rPr>
          <w:rFonts w:eastAsia="Times New Roman" w:cs="Times New Roman"/>
          <w:sz w:val="24"/>
          <w:szCs w:val="24"/>
        </w:rPr>
        <w:t xml:space="preserve"> – Will experience regulatory impacts related to sustainable forest management, certification, and licensing. They will also benefit from technical assistance, advisory services, and training in sustainable practices.</w:t>
      </w:r>
    </w:p>
    <w:p w14:paraId="498A4DC5"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Former forest concessionaires and service providers</w:t>
      </w:r>
      <w:r w:rsidRPr="00B81DCD">
        <w:rPr>
          <w:rFonts w:eastAsia="Times New Roman" w:cs="Times New Roman"/>
          <w:sz w:val="24"/>
          <w:szCs w:val="24"/>
        </w:rPr>
        <w:t xml:space="preserve"> – Economically affected by the discontinuation of concession-based harvesting, but may transition into providing operational services (logging, transport, maintenance) to the SOE.</w:t>
      </w:r>
    </w:p>
    <w:p w14:paraId="59D657BB"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proofErr w:type="gramStart"/>
      <w:r w:rsidRPr="00B81DCD">
        <w:rPr>
          <w:rFonts w:eastAsia="Times New Roman" w:cs="Times New Roman"/>
          <w:b/>
          <w:bCs/>
          <w:sz w:val="24"/>
          <w:szCs w:val="24"/>
        </w:rPr>
        <w:t>Local residents</w:t>
      </w:r>
      <w:proofErr w:type="gramEnd"/>
      <w:r w:rsidRPr="00B81DCD">
        <w:rPr>
          <w:rFonts w:eastAsia="Times New Roman" w:cs="Times New Roman"/>
          <w:b/>
          <w:bCs/>
          <w:sz w:val="24"/>
          <w:szCs w:val="24"/>
        </w:rPr>
        <w:t xml:space="preserve"> and forest-dependent communities</w:t>
      </w:r>
      <w:r w:rsidRPr="00B81DCD">
        <w:rPr>
          <w:rFonts w:eastAsia="Times New Roman" w:cs="Times New Roman"/>
          <w:sz w:val="24"/>
          <w:szCs w:val="24"/>
        </w:rPr>
        <w:t xml:space="preserve"> – Indirectly affected by changes in forest management, forest access, and local employment structures. They may also benefit from improved environmental protection, fire safety, and employment in forest operations.</w:t>
      </w:r>
    </w:p>
    <w:p w14:paraId="0EF0809F" w14:textId="77777777" w:rsidR="00B81DCD" w:rsidRPr="00B81DCD" w:rsidRDefault="00B81DCD" w:rsidP="00B81DCD">
      <w:pPr>
        <w:numPr>
          <w:ilvl w:val="0"/>
          <w:numId w:val="30"/>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b/>
          <w:bCs/>
          <w:sz w:val="24"/>
          <w:szCs w:val="24"/>
        </w:rPr>
        <w:t>Fire protection and emergency response services</w:t>
      </w:r>
      <w:r w:rsidRPr="00B81DCD">
        <w:rPr>
          <w:rFonts w:eastAsia="Times New Roman" w:cs="Times New Roman"/>
          <w:sz w:val="24"/>
          <w:szCs w:val="24"/>
        </w:rPr>
        <w:t xml:space="preserve"> – Will receive targeted support, training, and equipment to improve preparedness and response to wildfires. Their roles and coordination mechanisms will expand under the Project’s Component 2.</w:t>
      </w:r>
    </w:p>
    <w:p w14:paraId="3B830584" w14:textId="77777777" w:rsidR="005A1DCC" w:rsidRPr="004F3F40" w:rsidRDefault="005A1DCC" w:rsidP="007D0035">
      <w:pPr>
        <w:ind w:firstLine="360"/>
        <w:jc w:val="both"/>
        <w:rPr>
          <w:b/>
        </w:rPr>
      </w:pPr>
      <w:r w:rsidRPr="004F3F40">
        <w:rPr>
          <w:b/>
        </w:rPr>
        <w:t>Executing/implementing agencies, relevant province/city’s agencies, and administrative authorities at all levels</w:t>
      </w:r>
    </w:p>
    <w:p w14:paraId="2C7763CF" w14:textId="77777777" w:rsidR="00B81DCD" w:rsidRPr="00B81DCD" w:rsidRDefault="00B81DCD" w:rsidP="00901491">
      <w:p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t>These are institutions responsible for project coordination, supervision, and technical oversight. While they are implementing the Project, many also experience institutional change and capacity-building impacts.</w:t>
      </w:r>
    </w:p>
    <w:p w14:paraId="7B3CC148" w14:textId="77777777" w:rsidR="00B81DCD" w:rsidRPr="00B81DCD" w:rsidRDefault="00B81DCD" w:rsidP="00901491">
      <w:pPr>
        <w:numPr>
          <w:ilvl w:val="0"/>
          <w:numId w:val="31"/>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t>Ministry of Agriculture, Forestry and Water Management (</w:t>
      </w:r>
      <w:proofErr w:type="spellStart"/>
      <w:r w:rsidRPr="00B81DCD">
        <w:rPr>
          <w:rFonts w:eastAsia="Times New Roman" w:cs="Times New Roman"/>
          <w:sz w:val="24"/>
          <w:szCs w:val="24"/>
        </w:rPr>
        <w:t>MoAFWM</w:t>
      </w:r>
      <w:proofErr w:type="spellEnd"/>
      <w:r w:rsidRPr="00B81DCD">
        <w:rPr>
          <w:rFonts w:eastAsia="Times New Roman" w:cs="Times New Roman"/>
          <w:sz w:val="24"/>
          <w:szCs w:val="24"/>
        </w:rPr>
        <w:t>) – Primary implementing agency responsible for overall project coordination and institutional reform.</w:t>
      </w:r>
    </w:p>
    <w:p w14:paraId="64CFD320" w14:textId="77777777" w:rsidR="00B81DCD" w:rsidRPr="00B81DCD" w:rsidRDefault="00B81DCD" w:rsidP="00901491">
      <w:pPr>
        <w:numPr>
          <w:ilvl w:val="0"/>
          <w:numId w:val="31"/>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t>Ministry of Finance (MoF) – Oversees financial management through the Technical Support Unit (TSU), provides fiduciary oversight, and coordinates financial mechanisms for competitiveness improvement.</w:t>
      </w:r>
    </w:p>
    <w:p w14:paraId="13E36917" w14:textId="77777777" w:rsidR="00B81DCD" w:rsidRPr="00B81DCD" w:rsidRDefault="00B81DCD" w:rsidP="00901491">
      <w:pPr>
        <w:numPr>
          <w:ilvl w:val="0"/>
          <w:numId w:val="31"/>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t>Forest Administration – Implements operational aspects of forest management, data collection, and monitoring.</w:t>
      </w:r>
    </w:p>
    <w:p w14:paraId="16435181" w14:textId="77777777" w:rsidR="00B81DCD" w:rsidRPr="00B81DCD" w:rsidRDefault="00B81DCD" w:rsidP="00901491">
      <w:pPr>
        <w:numPr>
          <w:ilvl w:val="0"/>
          <w:numId w:val="31"/>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lastRenderedPageBreak/>
        <w:t>Development Bank of Montenegro (DBM) – Key institution for implementing credit and guarantee mechanisms supporting private sector investment in sustainable forest industry.</w:t>
      </w:r>
    </w:p>
    <w:p w14:paraId="2F9A738B" w14:textId="77777777" w:rsidR="00B81DCD" w:rsidRPr="00B81DCD" w:rsidRDefault="00B81DCD" w:rsidP="00901491">
      <w:pPr>
        <w:numPr>
          <w:ilvl w:val="0"/>
          <w:numId w:val="31"/>
        </w:numPr>
        <w:spacing w:before="100" w:beforeAutospacing="1" w:after="100" w:afterAutospacing="1" w:line="240" w:lineRule="auto"/>
        <w:jc w:val="both"/>
        <w:rPr>
          <w:rFonts w:eastAsia="Times New Roman" w:cs="Times New Roman"/>
          <w:sz w:val="24"/>
          <w:szCs w:val="24"/>
        </w:rPr>
      </w:pPr>
      <w:r w:rsidRPr="00B81DCD">
        <w:rPr>
          <w:rFonts w:eastAsia="Times New Roman" w:cs="Times New Roman"/>
          <w:sz w:val="24"/>
          <w:szCs w:val="24"/>
        </w:rPr>
        <w:t>Local self-governments and municipal authorities – Facilitate local coordination, public consultations, and grievance redress mechanisms, particularly in areas where forest and fire management activities are implemented.</w:t>
      </w:r>
    </w:p>
    <w:p w14:paraId="534F5F61" w14:textId="77777777" w:rsidR="005A1DCC" w:rsidRDefault="005A1DCC" w:rsidP="007D0035">
      <w:pPr>
        <w:ind w:firstLine="720"/>
        <w:jc w:val="both"/>
      </w:pPr>
      <w:r w:rsidRPr="005A1DCC">
        <w:rPr>
          <w:b/>
        </w:rPr>
        <w:t>Project beneficiaries</w:t>
      </w:r>
      <w:r>
        <w:t xml:space="preserve"> </w:t>
      </w:r>
    </w:p>
    <w:p w14:paraId="270AFBCF" w14:textId="77777777" w:rsidR="00B81DCD" w:rsidRPr="00901491" w:rsidRDefault="00B81DCD" w:rsidP="00901491">
      <w:pPr>
        <w:spacing w:before="100" w:beforeAutospacing="1" w:after="100" w:afterAutospacing="1" w:line="240" w:lineRule="auto"/>
        <w:jc w:val="both"/>
        <w:rPr>
          <w:rFonts w:eastAsia="Times New Roman" w:cs="Times New Roman"/>
          <w:sz w:val="24"/>
          <w:szCs w:val="24"/>
        </w:rPr>
      </w:pPr>
      <w:r w:rsidRPr="00901491">
        <w:rPr>
          <w:rFonts w:eastAsia="Times New Roman" w:cs="Times New Roman"/>
          <w:sz w:val="24"/>
          <w:szCs w:val="24"/>
        </w:rPr>
        <w:t>Project beneficiaries include a broad range of individuals, communities, and organizations who will experience positive impacts through improved governance, transparency, competitiveness, and sustainability in the forest sector.</w:t>
      </w:r>
    </w:p>
    <w:p w14:paraId="6B6AF96E" w14:textId="355E6CAB" w:rsidR="00B81DCD" w:rsidRPr="00901491" w:rsidRDefault="00B81DCD" w:rsidP="00901491">
      <w:pPr>
        <w:numPr>
          <w:ilvl w:val="0"/>
          <w:numId w:val="32"/>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Small and medium-sized enterprises (SMEs) in wood processing and manufacturing</w:t>
      </w:r>
      <w:proofErr w:type="gramStart"/>
      <w:r w:rsidRPr="00901491">
        <w:rPr>
          <w:rFonts w:eastAsia="Times New Roman" w:cs="Times New Roman"/>
          <w:sz w:val="24"/>
          <w:szCs w:val="24"/>
        </w:rPr>
        <w:t>, who</w:t>
      </w:r>
      <w:proofErr w:type="gramEnd"/>
      <w:r w:rsidRPr="00901491">
        <w:rPr>
          <w:rFonts w:eastAsia="Times New Roman" w:cs="Times New Roman"/>
          <w:sz w:val="24"/>
          <w:szCs w:val="24"/>
        </w:rPr>
        <w:t xml:space="preserve"> will gain from technical assistance, and improved access to raw materials.</w:t>
      </w:r>
    </w:p>
    <w:p w14:paraId="01EFEAE0" w14:textId="77777777" w:rsidR="00B81DCD" w:rsidRPr="00901491" w:rsidRDefault="00B81DCD" w:rsidP="00901491">
      <w:pPr>
        <w:numPr>
          <w:ilvl w:val="0"/>
          <w:numId w:val="32"/>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Local communities and rural residents</w:t>
      </w:r>
      <w:r w:rsidRPr="00901491">
        <w:rPr>
          <w:rFonts w:eastAsia="Times New Roman" w:cs="Times New Roman"/>
          <w:sz w:val="24"/>
          <w:szCs w:val="24"/>
        </w:rPr>
        <w:t xml:space="preserve"> benefiting from employment, training, and fire management activities, particularly in northern Montenegro.</w:t>
      </w:r>
    </w:p>
    <w:p w14:paraId="6C1234DE" w14:textId="77777777" w:rsidR="00B81DCD" w:rsidRPr="00901491" w:rsidRDefault="00B81DCD" w:rsidP="00901491">
      <w:pPr>
        <w:numPr>
          <w:ilvl w:val="0"/>
          <w:numId w:val="32"/>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Academic and research institutions</w:t>
      </w:r>
      <w:r w:rsidRPr="00901491">
        <w:rPr>
          <w:rFonts w:eastAsia="Times New Roman" w:cs="Times New Roman"/>
          <w:sz w:val="24"/>
          <w:szCs w:val="24"/>
        </w:rPr>
        <w:t xml:space="preserve"> (University of Montenegro, Institute of Forestry) that will engage in training, applied research, and the establishment of the Wood Industry Center of Excellence (WICE).</w:t>
      </w:r>
    </w:p>
    <w:p w14:paraId="118309E9" w14:textId="77777777" w:rsidR="00B81DCD" w:rsidRPr="00901491" w:rsidRDefault="00B81DCD" w:rsidP="00901491">
      <w:pPr>
        <w:numPr>
          <w:ilvl w:val="0"/>
          <w:numId w:val="32"/>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Environmental NGOs and civil society organizations</w:t>
      </w:r>
      <w:r w:rsidRPr="00901491">
        <w:rPr>
          <w:rFonts w:eastAsia="Times New Roman" w:cs="Times New Roman"/>
          <w:sz w:val="24"/>
          <w:szCs w:val="24"/>
        </w:rPr>
        <w:t xml:space="preserve"> that promote sustainable management, biodiversity protection, and transparency.</w:t>
      </w:r>
    </w:p>
    <w:p w14:paraId="6B1FF15B" w14:textId="77777777" w:rsidR="00B81DCD" w:rsidRPr="00901491" w:rsidRDefault="00B81DCD" w:rsidP="00901491">
      <w:pPr>
        <w:numPr>
          <w:ilvl w:val="0"/>
          <w:numId w:val="32"/>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General public</w:t>
      </w:r>
      <w:r w:rsidRPr="00901491">
        <w:rPr>
          <w:rFonts w:eastAsia="Times New Roman" w:cs="Times New Roman"/>
          <w:sz w:val="24"/>
          <w:szCs w:val="24"/>
        </w:rPr>
        <w:t>, who will benefit from improved forest fire resilience, reduced illegal logging, enhanced biodiversity protection, and improved ecosystem services.</w:t>
      </w:r>
    </w:p>
    <w:p w14:paraId="437B155D" w14:textId="77777777" w:rsidR="000D0AB6" w:rsidRDefault="000D0AB6" w:rsidP="005A1DCC">
      <w:pPr>
        <w:jc w:val="both"/>
      </w:pPr>
    </w:p>
    <w:p w14:paraId="63EF5A70" w14:textId="77777777" w:rsidR="0056129E" w:rsidRDefault="0056129E" w:rsidP="005A1DCC">
      <w:pPr>
        <w:jc w:val="both"/>
      </w:pPr>
    </w:p>
    <w:p w14:paraId="706D69BB" w14:textId="77777777" w:rsidR="0056129E" w:rsidRDefault="0056129E" w:rsidP="005A1DCC">
      <w:pPr>
        <w:jc w:val="both"/>
      </w:pPr>
    </w:p>
    <w:p w14:paraId="307E0C1E" w14:textId="77777777" w:rsidR="0056129E" w:rsidRDefault="0056129E" w:rsidP="005A1DCC">
      <w:pPr>
        <w:jc w:val="both"/>
      </w:pPr>
    </w:p>
    <w:p w14:paraId="6EA3A500" w14:textId="77777777" w:rsidR="0056129E" w:rsidRDefault="0056129E" w:rsidP="005A1DCC">
      <w:pPr>
        <w:jc w:val="both"/>
      </w:pPr>
    </w:p>
    <w:p w14:paraId="16FDE37E" w14:textId="77777777" w:rsidR="004F3F40" w:rsidRDefault="004F3F40" w:rsidP="005A1DCC">
      <w:pPr>
        <w:jc w:val="both"/>
      </w:pPr>
    </w:p>
    <w:p w14:paraId="250D213B" w14:textId="77777777" w:rsidR="0065166A" w:rsidRPr="0056129E" w:rsidRDefault="0065166A" w:rsidP="0065166A">
      <w:pPr>
        <w:pStyle w:val="Caption"/>
        <w:rPr>
          <w:color w:val="1F3864" w:themeColor="accent1" w:themeShade="80"/>
        </w:rPr>
      </w:pPr>
      <w:bookmarkStart w:id="2" w:name="_Ref178351575"/>
      <w:bookmarkStart w:id="3" w:name="_Toc178351526"/>
      <w:bookmarkStart w:id="4" w:name="_Toc182213380"/>
      <w:r w:rsidRPr="0056129E">
        <w:rPr>
          <w:color w:val="1F3864" w:themeColor="accent1" w:themeShade="80"/>
        </w:rPr>
        <w:t>Table</w:t>
      </w:r>
      <w:bookmarkEnd w:id="2"/>
      <w:r w:rsidR="0056129E" w:rsidRPr="0056129E">
        <w:rPr>
          <w:color w:val="1F3864" w:themeColor="accent1" w:themeShade="80"/>
        </w:rPr>
        <w:t xml:space="preserve"> 1</w:t>
      </w:r>
      <w:r w:rsidRPr="0056129E">
        <w:rPr>
          <w:color w:val="1F3864" w:themeColor="accent1" w:themeShade="80"/>
        </w:rPr>
        <w:t>. Identification of Stakeholders</w:t>
      </w:r>
      <w:bookmarkEnd w:id="3"/>
      <w:bookmarkEnd w:id="4"/>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3116"/>
        <w:gridCol w:w="3117"/>
        <w:gridCol w:w="3117"/>
      </w:tblGrid>
      <w:tr w:rsidR="0065166A" w:rsidRPr="00526BA3" w14:paraId="07D49E45" w14:textId="77777777" w:rsidTr="000D0AB6">
        <w:trPr>
          <w:trHeight w:val="283"/>
          <w:tblHeader/>
        </w:trPr>
        <w:tc>
          <w:tcPr>
            <w:tcW w:w="1666" w:type="pct"/>
            <w:tcBorders>
              <w:bottom w:val="nil"/>
            </w:tcBorders>
            <w:shd w:val="clear" w:color="auto" w:fill="D9D9D9" w:themeFill="background1" w:themeFillShade="D9"/>
            <w:vAlign w:val="center"/>
          </w:tcPr>
          <w:p w14:paraId="03C0A0B7" w14:textId="77777777" w:rsidR="0065166A" w:rsidRPr="00526BA3" w:rsidRDefault="0065166A" w:rsidP="003A5434">
            <w:pPr>
              <w:tabs>
                <w:tab w:val="left" w:pos="768"/>
              </w:tabs>
              <w:rPr>
                <w:b/>
                <w:bCs/>
                <w:sz w:val="18"/>
                <w:szCs w:val="18"/>
              </w:rPr>
            </w:pPr>
            <w:r w:rsidRPr="00526BA3">
              <w:rPr>
                <w:b/>
                <w:bCs/>
                <w:sz w:val="18"/>
                <w:szCs w:val="18"/>
              </w:rPr>
              <w:t>Stakeholder Category</w:t>
            </w:r>
          </w:p>
        </w:tc>
        <w:tc>
          <w:tcPr>
            <w:tcW w:w="1667" w:type="pct"/>
            <w:shd w:val="clear" w:color="auto" w:fill="D9D9D9" w:themeFill="background1" w:themeFillShade="D9"/>
            <w:vAlign w:val="center"/>
          </w:tcPr>
          <w:p w14:paraId="0FE23C83" w14:textId="77777777" w:rsidR="0065166A" w:rsidRPr="00526BA3" w:rsidRDefault="0065166A" w:rsidP="003A5434">
            <w:pPr>
              <w:tabs>
                <w:tab w:val="left" w:pos="768"/>
              </w:tabs>
              <w:rPr>
                <w:b/>
                <w:bCs/>
                <w:sz w:val="18"/>
                <w:szCs w:val="18"/>
              </w:rPr>
            </w:pPr>
            <w:r w:rsidRPr="00526BA3">
              <w:rPr>
                <w:b/>
                <w:bCs/>
                <w:sz w:val="18"/>
                <w:szCs w:val="18"/>
              </w:rPr>
              <w:t>Stakeholders</w:t>
            </w:r>
          </w:p>
        </w:tc>
        <w:tc>
          <w:tcPr>
            <w:tcW w:w="1667" w:type="pct"/>
            <w:shd w:val="clear" w:color="auto" w:fill="D9D9D9" w:themeFill="background1" w:themeFillShade="D9"/>
            <w:vAlign w:val="center"/>
          </w:tcPr>
          <w:p w14:paraId="7538319F" w14:textId="77777777" w:rsidR="0065166A" w:rsidRPr="00526BA3" w:rsidRDefault="0065166A" w:rsidP="003A5434">
            <w:pPr>
              <w:tabs>
                <w:tab w:val="left" w:pos="768"/>
              </w:tabs>
              <w:rPr>
                <w:b/>
                <w:bCs/>
                <w:sz w:val="18"/>
                <w:szCs w:val="18"/>
              </w:rPr>
            </w:pPr>
            <w:r w:rsidRPr="00526BA3">
              <w:rPr>
                <w:b/>
                <w:bCs/>
                <w:sz w:val="18"/>
                <w:szCs w:val="18"/>
              </w:rPr>
              <w:t>Relevance to the project</w:t>
            </w:r>
          </w:p>
        </w:tc>
      </w:tr>
      <w:tr w:rsidR="0065166A" w:rsidRPr="00526BA3" w14:paraId="68BD3745" w14:textId="77777777" w:rsidTr="00E318DB">
        <w:trPr>
          <w:trHeight w:val="283"/>
        </w:trPr>
        <w:tc>
          <w:tcPr>
            <w:tcW w:w="1666" w:type="pct"/>
            <w:vMerge w:val="restart"/>
            <w:tcBorders>
              <w:top w:val="nil"/>
              <w:left w:val="nil"/>
              <w:bottom w:val="nil"/>
              <w:right w:val="nil"/>
            </w:tcBorders>
            <w:vAlign w:val="center"/>
          </w:tcPr>
          <w:p w14:paraId="02C87A23" w14:textId="77777777" w:rsidR="0065166A" w:rsidRPr="00526BA3" w:rsidRDefault="0065166A" w:rsidP="003A5434">
            <w:pPr>
              <w:tabs>
                <w:tab w:val="left" w:pos="768"/>
              </w:tabs>
              <w:rPr>
                <w:b/>
                <w:bCs/>
                <w:sz w:val="18"/>
                <w:szCs w:val="18"/>
              </w:rPr>
            </w:pPr>
            <w:r w:rsidRPr="00526BA3">
              <w:rPr>
                <w:b/>
                <w:bCs/>
                <w:sz w:val="18"/>
                <w:szCs w:val="18"/>
              </w:rPr>
              <w:t>Project-Affected Parties</w:t>
            </w:r>
          </w:p>
        </w:tc>
        <w:tc>
          <w:tcPr>
            <w:tcW w:w="1667" w:type="pct"/>
            <w:tcBorders>
              <w:left w:val="nil"/>
            </w:tcBorders>
            <w:vAlign w:val="center"/>
          </w:tcPr>
          <w:p w14:paraId="6002459D" w14:textId="77777777" w:rsidR="0065166A" w:rsidRPr="00526BA3" w:rsidRDefault="003A5434" w:rsidP="00E318DB">
            <w:pPr>
              <w:tabs>
                <w:tab w:val="left" w:pos="768"/>
              </w:tabs>
              <w:jc w:val="both"/>
            </w:pPr>
            <w:r w:rsidRPr="003A5434">
              <w:rPr>
                <w:sz w:val="18"/>
                <w:szCs w:val="18"/>
              </w:rPr>
              <w:t>Ministry of Agriculture, Forestry and Water Management (</w:t>
            </w:r>
            <w:proofErr w:type="spellStart"/>
            <w:r w:rsidRPr="003A5434">
              <w:rPr>
                <w:sz w:val="18"/>
                <w:szCs w:val="18"/>
              </w:rPr>
              <w:t>MoAFWM</w:t>
            </w:r>
            <w:proofErr w:type="spellEnd"/>
            <w:r w:rsidRPr="003A5434">
              <w:rPr>
                <w:sz w:val="18"/>
                <w:szCs w:val="18"/>
              </w:rPr>
              <w:t>)</w:t>
            </w:r>
            <w:r w:rsidR="00372481">
              <w:rPr>
                <w:sz w:val="18"/>
                <w:szCs w:val="18"/>
              </w:rPr>
              <w:t xml:space="preserve"> </w:t>
            </w:r>
          </w:p>
        </w:tc>
        <w:tc>
          <w:tcPr>
            <w:tcW w:w="1667" w:type="pct"/>
          </w:tcPr>
          <w:p w14:paraId="52357B04" w14:textId="77777777" w:rsidR="0065166A" w:rsidRPr="00526BA3" w:rsidRDefault="00372481" w:rsidP="00E318DB">
            <w:pPr>
              <w:tabs>
                <w:tab w:val="left" w:pos="768"/>
              </w:tabs>
              <w:jc w:val="both"/>
            </w:pPr>
            <w:r w:rsidRPr="00372481">
              <w:rPr>
                <w:sz w:val="18"/>
                <w:szCs w:val="18"/>
              </w:rPr>
              <w:t xml:space="preserve">Lead implementing </w:t>
            </w:r>
            <w:r>
              <w:rPr>
                <w:sz w:val="18"/>
                <w:szCs w:val="18"/>
              </w:rPr>
              <w:t>body</w:t>
            </w:r>
            <w:r w:rsidRPr="00372481">
              <w:rPr>
                <w:sz w:val="18"/>
                <w:szCs w:val="18"/>
              </w:rPr>
              <w:t xml:space="preserve"> responsible for coordinating all project activities. The Ministry oversees forest policy, legislation, and institutional reforms, including the establishment of the new State-Owned Enterprise (SOE) for forest management. It will also coordinate technical assistance, training, and inter-institutional </w:t>
            </w:r>
            <w:proofErr w:type="gramStart"/>
            <w:r w:rsidRPr="00372481">
              <w:rPr>
                <w:sz w:val="18"/>
                <w:szCs w:val="18"/>
              </w:rPr>
              <w:t>cooperation..</w:t>
            </w:r>
            <w:proofErr w:type="gramEnd"/>
          </w:p>
        </w:tc>
      </w:tr>
      <w:tr w:rsidR="0065166A" w:rsidRPr="00526BA3" w14:paraId="72550A3F" w14:textId="77777777" w:rsidTr="000D0AB6">
        <w:trPr>
          <w:trHeight w:val="283"/>
        </w:trPr>
        <w:tc>
          <w:tcPr>
            <w:tcW w:w="1666" w:type="pct"/>
            <w:vMerge/>
            <w:tcBorders>
              <w:top w:val="nil"/>
              <w:left w:val="nil"/>
              <w:bottom w:val="nil"/>
              <w:right w:val="nil"/>
            </w:tcBorders>
            <w:vAlign w:val="center"/>
          </w:tcPr>
          <w:p w14:paraId="3DFE44B5" w14:textId="77777777" w:rsidR="0065166A" w:rsidRPr="00526BA3" w:rsidRDefault="0065166A" w:rsidP="003A5434">
            <w:pPr>
              <w:tabs>
                <w:tab w:val="left" w:pos="768"/>
              </w:tabs>
              <w:rPr>
                <w:b/>
                <w:bCs/>
                <w:sz w:val="18"/>
                <w:szCs w:val="18"/>
              </w:rPr>
            </w:pPr>
          </w:p>
        </w:tc>
        <w:tc>
          <w:tcPr>
            <w:tcW w:w="1667" w:type="pct"/>
            <w:tcBorders>
              <w:left w:val="nil"/>
            </w:tcBorders>
            <w:shd w:val="clear" w:color="auto" w:fill="FFFF00"/>
            <w:vAlign w:val="center"/>
          </w:tcPr>
          <w:p w14:paraId="5E9EAA25" w14:textId="77777777" w:rsidR="0065166A" w:rsidRPr="00526BA3" w:rsidRDefault="00372481" w:rsidP="003A5434">
            <w:pPr>
              <w:tabs>
                <w:tab w:val="left" w:pos="768"/>
              </w:tabs>
            </w:pPr>
            <w:r w:rsidRPr="00E318DB">
              <w:rPr>
                <w:sz w:val="18"/>
                <w:szCs w:val="18"/>
                <w:highlight w:val="yellow"/>
                <w:shd w:val="clear" w:color="auto" w:fill="FFFF00"/>
              </w:rPr>
              <w:t>Forest Administration (Directorate for Forests and Hunting Affairs)</w:t>
            </w:r>
          </w:p>
        </w:tc>
        <w:tc>
          <w:tcPr>
            <w:tcW w:w="1667" w:type="pct"/>
            <w:vAlign w:val="center"/>
          </w:tcPr>
          <w:p w14:paraId="07F237D8" w14:textId="77777777" w:rsidR="0065166A" w:rsidRPr="00526BA3" w:rsidRDefault="00372481" w:rsidP="003A5434">
            <w:pPr>
              <w:tabs>
                <w:tab w:val="left" w:pos="768"/>
              </w:tabs>
            </w:pPr>
            <w:r w:rsidRPr="00372481">
              <w:rPr>
                <w:sz w:val="18"/>
                <w:szCs w:val="18"/>
              </w:rPr>
              <w:t>Key agency responsible for forest management, supervision, and enforcement. It will play a central role in operationalizing the new forest law, developing management plans, and ensuring compliance with sustainable forest management (SFM) standards.</w:t>
            </w:r>
          </w:p>
        </w:tc>
      </w:tr>
      <w:tr w:rsidR="0065166A" w:rsidRPr="00526BA3" w14:paraId="424DE0D1" w14:textId="77777777" w:rsidTr="000D0AB6">
        <w:trPr>
          <w:trHeight w:val="283"/>
        </w:trPr>
        <w:tc>
          <w:tcPr>
            <w:tcW w:w="1666" w:type="pct"/>
            <w:vMerge/>
            <w:tcBorders>
              <w:top w:val="nil"/>
              <w:left w:val="nil"/>
              <w:bottom w:val="nil"/>
              <w:right w:val="nil"/>
            </w:tcBorders>
            <w:vAlign w:val="center"/>
          </w:tcPr>
          <w:p w14:paraId="4376F63E" w14:textId="77777777" w:rsidR="0065166A" w:rsidRPr="00526BA3" w:rsidRDefault="0065166A" w:rsidP="003A5434">
            <w:pPr>
              <w:tabs>
                <w:tab w:val="left" w:pos="768"/>
              </w:tabs>
              <w:rPr>
                <w:b/>
                <w:bCs/>
                <w:sz w:val="18"/>
                <w:szCs w:val="18"/>
              </w:rPr>
            </w:pPr>
          </w:p>
        </w:tc>
        <w:tc>
          <w:tcPr>
            <w:tcW w:w="1667" w:type="pct"/>
            <w:tcBorders>
              <w:left w:val="nil"/>
            </w:tcBorders>
            <w:vAlign w:val="center"/>
          </w:tcPr>
          <w:p w14:paraId="45D17CF8" w14:textId="77777777" w:rsidR="00372481" w:rsidRDefault="00372481" w:rsidP="003A5434">
            <w:pPr>
              <w:tabs>
                <w:tab w:val="left" w:pos="768"/>
              </w:tabs>
              <w:rPr>
                <w:rFonts w:cs="Arial"/>
                <w:sz w:val="18"/>
                <w:szCs w:val="18"/>
              </w:rPr>
            </w:pPr>
            <w:proofErr w:type="gramStart"/>
            <w:r w:rsidRPr="00372481">
              <w:rPr>
                <w:rFonts w:cs="Arial"/>
                <w:sz w:val="18"/>
                <w:szCs w:val="18"/>
              </w:rPr>
              <w:t>Local residents</w:t>
            </w:r>
            <w:proofErr w:type="gramEnd"/>
            <w:r w:rsidRPr="00372481">
              <w:rPr>
                <w:rFonts w:cs="Arial"/>
                <w:sz w:val="18"/>
                <w:szCs w:val="18"/>
              </w:rPr>
              <w:t xml:space="preserve"> and communities</w:t>
            </w:r>
          </w:p>
          <w:p w14:paraId="10B404C6" w14:textId="77777777" w:rsidR="0065166A" w:rsidRPr="00526BA3" w:rsidRDefault="0065166A" w:rsidP="003A5434">
            <w:pPr>
              <w:tabs>
                <w:tab w:val="left" w:pos="768"/>
              </w:tabs>
            </w:pPr>
          </w:p>
        </w:tc>
        <w:tc>
          <w:tcPr>
            <w:tcW w:w="1667" w:type="pct"/>
            <w:vAlign w:val="center"/>
          </w:tcPr>
          <w:p w14:paraId="6527C8C3" w14:textId="77777777" w:rsidR="00E318DB" w:rsidRPr="00526BA3" w:rsidRDefault="00E318DB" w:rsidP="003A5434">
            <w:pPr>
              <w:tabs>
                <w:tab w:val="left" w:pos="768"/>
              </w:tabs>
            </w:pPr>
            <w:r w:rsidRPr="00E318DB">
              <w:rPr>
                <w:sz w:val="18"/>
                <w:szCs w:val="18"/>
              </w:rPr>
              <w:t>Depend on forest resources for livelihoods, fuelwood, and seasonal income. May experience indirect social and economic effects due to changes in forest management and access, as well as new rules on harvesting and utilization.</w:t>
            </w:r>
          </w:p>
        </w:tc>
      </w:tr>
      <w:tr w:rsidR="00E318DB" w:rsidRPr="00526BA3" w14:paraId="3271EF93" w14:textId="77777777" w:rsidTr="000D0AB6">
        <w:trPr>
          <w:trHeight w:val="283"/>
        </w:trPr>
        <w:tc>
          <w:tcPr>
            <w:tcW w:w="1666" w:type="pct"/>
            <w:tcBorders>
              <w:top w:val="nil"/>
              <w:left w:val="nil"/>
              <w:bottom w:val="nil"/>
              <w:right w:val="nil"/>
            </w:tcBorders>
            <w:vAlign w:val="center"/>
          </w:tcPr>
          <w:p w14:paraId="40B6950E" w14:textId="77777777" w:rsidR="00E318DB" w:rsidRPr="00526BA3" w:rsidRDefault="00E318DB" w:rsidP="003A5434">
            <w:pPr>
              <w:tabs>
                <w:tab w:val="left" w:pos="768"/>
              </w:tabs>
              <w:rPr>
                <w:b/>
                <w:bCs/>
                <w:sz w:val="18"/>
                <w:szCs w:val="18"/>
              </w:rPr>
            </w:pPr>
          </w:p>
        </w:tc>
        <w:tc>
          <w:tcPr>
            <w:tcW w:w="1667" w:type="pct"/>
            <w:tcBorders>
              <w:left w:val="nil"/>
            </w:tcBorders>
            <w:vAlign w:val="center"/>
          </w:tcPr>
          <w:p w14:paraId="37811FD7" w14:textId="77777777" w:rsidR="00E318DB" w:rsidRPr="00372481" w:rsidRDefault="00E318DB" w:rsidP="003A5434">
            <w:pPr>
              <w:tabs>
                <w:tab w:val="left" w:pos="768"/>
              </w:tabs>
              <w:rPr>
                <w:rFonts w:cs="Arial"/>
                <w:sz w:val="18"/>
                <w:szCs w:val="18"/>
              </w:rPr>
            </w:pPr>
            <w:r w:rsidRPr="00E318DB">
              <w:rPr>
                <w:rFonts w:cs="Arial"/>
                <w:sz w:val="18"/>
                <w:szCs w:val="18"/>
              </w:rPr>
              <w:t>Local representatives (municipal leaders, community councils)</w:t>
            </w:r>
          </w:p>
        </w:tc>
        <w:tc>
          <w:tcPr>
            <w:tcW w:w="1667" w:type="pct"/>
            <w:vAlign w:val="center"/>
          </w:tcPr>
          <w:p w14:paraId="6FAF4834" w14:textId="77777777" w:rsidR="00E318DB" w:rsidRPr="00372481" w:rsidRDefault="00E318DB" w:rsidP="003A5434">
            <w:pPr>
              <w:tabs>
                <w:tab w:val="left" w:pos="768"/>
              </w:tabs>
              <w:rPr>
                <w:sz w:val="18"/>
                <w:szCs w:val="18"/>
              </w:rPr>
            </w:pPr>
            <w:r w:rsidRPr="00E318DB">
              <w:rPr>
                <w:sz w:val="18"/>
                <w:szCs w:val="18"/>
              </w:rPr>
              <w:t>Act as the link between communities and authorities. Will participate in consultations, information dissemination, and grievance redress related to forest sector reforms and fire prevention measures.</w:t>
            </w:r>
          </w:p>
        </w:tc>
      </w:tr>
      <w:tr w:rsidR="00E318DB" w:rsidRPr="00526BA3" w14:paraId="1FA2E2F3" w14:textId="77777777" w:rsidTr="00E318DB">
        <w:trPr>
          <w:trHeight w:val="283"/>
        </w:trPr>
        <w:tc>
          <w:tcPr>
            <w:tcW w:w="1666" w:type="pct"/>
            <w:tcBorders>
              <w:top w:val="nil"/>
              <w:left w:val="nil"/>
              <w:bottom w:val="nil"/>
              <w:right w:val="nil"/>
            </w:tcBorders>
            <w:vAlign w:val="center"/>
          </w:tcPr>
          <w:p w14:paraId="58009778" w14:textId="77777777" w:rsidR="00E318DB" w:rsidRPr="00526BA3" w:rsidRDefault="00E318DB" w:rsidP="003A5434">
            <w:pPr>
              <w:tabs>
                <w:tab w:val="left" w:pos="768"/>
              </w:tabs>
              <w:rPr>
                <w:b/>
                <w:bCs/>
                <w:sz w:val="18"/>
                <w:szCs w:val="18"/>
              </w:rPr>
            </w:pPr>
          </w:p>
        </w:tc>
        <w:tc>
          <w:tcPr>
            <w:tcW w:w="1667" w:type="pct"/>
            <w:tcBorders>
              <w:left w:val="nil"/>
            </w:tcBorders>
            <w:vAlign w:val="center"/>
          </w:tcPr>
          <w:p w14:paraId="29BFB1DC" w14:textId="77777777" w:rsidR="00E318DB" w:rsidRPr="00E318DB" w:rsidRDefault="00E318DB" w:rsidP="003A5434">
            <w:pPr>
              <w:tabs>
                <w:tab w:val="left" w:pos="768"/>
              </w:tabs>
              <w:rPr>
                <w:rFonts w:cs="Arial"/>
                <w:sz w:val="18"/>
                <w:szCs w:val="18"/>
              </w:rPr>
            </w:pPr>
            <w:r w:rsidRPr="00E318DB">
              <w:rPr>
                <w:rFonts w:cs="Arial"/>
                <w:sz w:val="18"/>
                <w:szCs w:val="18"/>
              </w:rPr>
              <w:t>Forest users (former concessionaires and private forest owners)</w:t>
            </w:r>
          </w:p>
        </w:tc>
        <w:tc>
          <w:tcPr>
            <w:tcW w:w="1667" w:type="pct"/>
            <w:vAlign w:val="center"/>
          </w:tcPr>
          <w:p w14:paraId="3A17018A" w14:textId="77777777" w:rsidR="00E318DB" w:rsidRPr="00E318DB" w:rsidRDefault="00E318DB" w:rsidP="003A5434">
            <w:pPr>
              <w:tabs>
                <w:tab w:val="left" w:pos="768"/>
              </w:tabs>
              <w:rPr>
                <w:sz w:val="18"/>
                <w:szCs w:val="18"/>
              </w:rPr>
            </w:pPr>
            <w:r w:rsidRPr="00E318DB">
              <w:rPr>
                <w:sz w:val="18"/>
                <w:szCs w:val="18"/>
              </w:rPr>
              <w:t>Affected by the transition from the concession-based system to a public enterprise model. Former concessionaires may lose direct access to forest harvesting rights but can continue as service providers (e.g., logging, transport). Private forest owners will be impacted by new forest management requirements, certification procedures, and monitoring.</w:t>
            </w:r>
          </w:p>
        </w:tc>
      </w:tr>
      <w:tr w:rsidR="00E318DB" w:rsidRPr="00526BA3" w14:paraId="3F1AB606" w14:textId="77777777" w:rsidTr="00E318DB">
        <w:trPr>
          <w:trHeight w:val="283"/>
        </w:trPr>
        <w:tc>
          <w:tcPr>
            <w:tcW w:w="1666" w:type="pct"/>
            <w:tcBorders>
              <w:top w:val="nil"/>
              <w:left w:val="nil"/>
              <w:bottom w:val="nil"/>
              <w:right w:val="nil"/>
            </w:tcBorders>
            <w:vAlign w:val="center"/>
          </w:tcPr>
          <w:p w14:paraId="46E9599F" w14:textId="77777777" w:rsidR="00E318DB" w:rsidRPr="00526BA3" w:rsidRDefault="00E318DB" w:rsidP="003A5434">
            <w:pPr>
              <w:tabs>
                <w:tab w:val="left" w:pos="768"/>
              </w:tabs>
              <w:rPr>
                <w:b/>
                <w:bCs/>
                <w:sz w:val="18"/>
                <w:szCs w:val="18"/>
              </w:rPr>
            </w:pPr>
          </w:p>
        </w:tc>
        <w:tc>
          <w:tcPr>
            <w:tcW w:w="1667" w:type="pct"/>
            <w:tcBorders>
              <w:left w:val="nil"/>
            </w:tcBorders>
            <w:vAlign w:val="center"/>
          </w:tcPr>
          <w:p w14:paraId="011FFE56" w14:textId="77777777" w:rsidR="00E318DB" w:rsidRPr="00E318DB" w:rsidRDefault="00E318DB" w:rsidP="003A5434">
            <w:pPr>
              <w:tabs>
                <w:tab w:val="left" w:pos="768"/>
              </w:tabs>
              <w:rPr>
                <w:rFonts w:cs="Arial"/>
                <w:sz w:val="18"/>
                <w:szCs w:val="18"/>
              </w:rPr>
            </w:pPr>
            <w:r w:rsidRPr="00E318DB">
              <w:rPr>
                <w:rFonts w:cs="Arial"/>
                <w:sz w:val="18"/>
                <w:szCs w:val="18"/>
              </w:rPr>
              <w:t>Small and medium wood-processing enterprises (sawmills, carpenters, local processors)</w:t>
            </w:r>
          </w:p>
        </w:tc>
        <w:tc>
          <w:tcPr>
            <w:tcW w:w="1667" w:type="pct"/>
            <w:vAlign w:val="center"/>
          </w:tcPr>
          <w:p w14:paraId="436CC6FD" w14:textId="5CC749A5" w:rsidR="00E318DB" w:rsidRPr="00E318DB" w:rsidRDefault="00E318DB" w:rsidP="003A5434">
            <w:pPr>
              <w:tabs>
                <w:tab w:val="left" w:pos="768"/>
              </w:tabs>
              <w:rPr>
                <w:sz w:val="18"/>
                <w:szCs w:val="18"/>
              </w:rPr>
            </w:pPr>
            <w:r w:rsidRPr="00E318DB">
              <w:rPr>
                <w:sz w:val="18"/>
                <w:szCs w:val="18"/>
              </w:rPr>
              <w:t>Key beneficiaries of project support through access to technical assistance Their modernization and compliance with environmental and social standards are essential for sector competitiveness.</w:t>
            </w:r>
          </w:p>
        </w:tc>
      </w:tr>
      <w:tr w:rsidR="00E318DB" w:rsidRPr="00526BA3" w14:paraId="6D126F5F" w14:textId="77777777" w:rsidTr="00E318DB">
        <w:trPr>
          <w:trHeight w:val="283"/>
        </w:trPr>
        <w:tc>
          <w:tcPr>
            <w:tcW w:w="1666" w:type="pct"/>
            <w:tcBorders>
              <w:top w:val="nil"/>
              <w:left w:val="nil"/>
              <w:bottom w:val="nil"/>
              <w:right w:val="nil"/>
            </w:tcBorders>
            <w:vAlign w:val="center"/>
          </w:tcPr>
          <w:p w14:paraId="7EC5C883" w14:textId="77777777" w:rsidR="00E318DB" w:rsidRPr="00526BA3" w:rsidRDefault="00E318DB" w:rsidP="003A5434">
            <w:pPr>
              <w:tabs>
                <w:tab w:val="left" w:pos="768"/>
              </w:tabs>
              <w:rPr>
                <w:b/>
                <w:bCs/>
                <w:sz w:val="18"/>
                <w:szCs w:val="18"/>
              </w:rPr>
            </w:pPr>
          </w:p>
        </w:tc>
        <w:tc>
          <w:tcPr>
            <w:tcW w:w="1667" w:type="pct"/>
            <w:tcBorders>
              <w:left w:val="nil"/>
            </w:tcBorders>
            <w:vAlign w:val="center"/>
          </w:tcPr>
          <w:p w14:paraId="04AA3C9C" w14:textId="77777777" w:rsidR="00E318DB" w:rsidRPr="00E318DB" w:rsidRDefault="00E318DB" w:rsidP="003A5434">
            <w:pPr>
              <w:tabs>
                <w:tab w:val="left" w:pos="768"/>
              </w:tabs>
              <w:rPr>
                <w:rFonts w:cs="Arial"/>
                <w:sz w:val="18"/>
                <w:szCs w:val="18"/>
              </w:rPr>
            </w:pPr>
            <w:r w:rsidRPr="00E318DB">
              <w:rPr>
                <w:rFonts w:cs="Arial"/>
                <w:sz w:val="18"/>
                <w:szCs w:val="18"/>
              </w:rPr>
              <w:t>Entrepreneurs and cooperatives in forest-based value chains</w:t>
            </w:r>
          </w:p>
        </w:tc>
        <w:tc>
          <w:tcPr>
            <w:tcW w:w="1667" w:type="pct"/>
            <w:vAlign w:val="center"/>
          </w:tcPr>
          <w:p w14:paraId="11E3D942" w14:textId="77777777" w:rsidR="00E318DB" w:rsidRPr="00E318DB" w:rsidRDefault="00E318DB" w:rsidP="003A5434">
            <w:pPr>
              <w:tabs>
                <w:tab w:val="left" w:pos="768"/>
              </w:tabs>
              <w:rPr>
                <w:sz w:val="18"/>
                <w:szCs w:val="18"/>
              </w:rPr>
            </w:pPr>
            <w:r w:rsidRPr="00E318DB">
              <w:rPr>
                <w:sz w:val="18"/>
                <w:szCs w:val="18"/>
              </w:rPr>
              <w:t>May receive support for innovation and diversification of forest-based products. Need to be informed about project opportunities and compliance requirements.</w:t>
            </w:r>
          </w:p>
        </w:tc>
      </w:tr>
      <w:tr w:rsidR="00E318DB" w:rsidRPr="00526BA3" w14:paraId="2F4B9E8E" w14:textId="77777777" w:rsidTr="00E318DB">
        <w:trPr>
          <w:trHeight w:val="283"/>
        </w:trPr>
        <w:tc>
          <w:tcPr>
            <w:tcW w:w="1666" w:type="pct"/>
            <w:tcBorders>
              <w:top w:val="nil"/>
              <w:left w:val="nil"/>
              <w:bottom w:val="nil"/>
              <w:right w:val="nil"/>
            </w:tcBorders>
            <w:vAlign w:val="center"/>
          </w:tcPr>
          <w:p w14:paraId="77478AC4" w14:textId="77777777" w:rsidR="00E318DB" w:rsidRPr="00526BA3" w:rsidRDefault="00E318DB" w:rsidP="003A5434">
            <w:pPr>
              <w:tabs>
                <w:tab w:val="left" w:pos="768"/>
              </w:tabs>
              <w:rPr>
                <w:b/>
                <w:bCs/>
                <w:sz w:val="18"/>
                <w:szCs w:val="18"/>
              </w:rPr>
            </w:pPr>
          </w:p>
        </w:tc>
        <w:tc>
          <w:tcPr>
            <w:tcW w:w="1667" w:type="pct"/>
            <w:tcBorders>
              <w:left w:val="nil"/>
            </w:tcBorders>
            <w:vAlign w:val="center"/>
          </w:tcPr>
          <w:p w14:paraId="0EA379C4" w14:textId="77777777" w:rsidR="00E318DB" w:rsidRPr="00E318DB" w:rsidRDefault="00E318DB" w:rsidP="003A5434">
            <w:pPr>
              <w:tabs>
                <w:tab w:val="left" w:pos="768"/>
              </w:tabs>
              <w:rPr>
                <w:rFonts w:cs="Arial"/>
                <w:sz w:val="18"/>
                <w:szCs w:val="18"/>
              </w:rPr>
            </w:pPr>
            <w:r w:rsidRPr="00E318DB">
              <w:rPr>
                <w:rFonts w:cs="Arial"/>
                <w:sz w:val="18"/>
                <w:szCs w:val="18"/>
              </w:rPr>
              <w:t>Fire protection and emergency response units (Forestry Fire Units, Directorate for Emergency Situations, municipal fire brigades)</w:t>
            </w:r>
          </w:p>
        </w:tc>
        <w:tc>
          <w:tcPr>
            <w:tcW w:w="1667" w:type="pct"/>
            <w:vAlign w:val="center"/>
          </w:tcPr>
          <w:p w14:paraId="308311B8" w14:textId="77777777" w:rsidR="00E318DB" w:rsidRPr="00E318DB" w:rsidRDefault="00E318DB" w:rsidP="003A5434">
            <w:pPr>
              <w:tabs>
                <w:tab w:val="left" w:pos="768"/>
              </w:tabs>
              <w:rPr>
                <w:sz w:val="18"/>
                <w:szCs w:val="18"/>
              </w:rPr>
            </w:pPr>
            <w:r w:rsidRPr="00E318DB">
              <w:rPr>
                <w:sz w:val="18"/>
                <w:szCs w:val="18"/>
              </w:rPr>
              <w:t>Core participants in project components focused on forest fire prevention and response. Will receive training, equipment, and support for coordination and risk management planning.</w:t>
            </w:r>
          </w:p>
        </w:tc>
      </w:tr>
      <w:tr w:rsidR="0065166A" w:rsidRPr="00526BA3" w14:paraId="4C18F58E" w14:textId="77777777" w:rsidTr="000D0AB6">
        <w:trPr>
          <w:trHeight w:val="283"/>
        </w:trPr>
        <w:tc>
          <w:tcPr>
            <w:tcW w:w="1666" w:type="pct"/>
            <w:vMerge w:val="restart"/>
            <w:tcBorders>
              <w:top w:val="nil"/>
            </w:tcBorders>
            <w:vAlign w:val="center"/>
          </w:tcPr>
          <w:p w14:paraId="030E77D8" w14:textId="77777777" w:rsidR="0065166A" w:rsidRPr="00526BA3" w:rsidRDefault="0065166A" w:rsidP="003A5434">
            <w:pPr>
              <w:tabs>
                <w:tab w:val="left" w:pos="768"/>
              </w:tabs>
              <w:rPr>
                <w:b/>
                <w:bCs/>
                <w:sz w:val="18"/>
                <w:szCs w:val="18"/>
              </w:rPr>
            </w:pPr>
            <w:r w:rsidRPr="00526BA3">
              <w:rPr>
                <w:b/>
                <w:bCs/>
                <w:sz w:val="18"/>
                <w:szCs w:val="18"/>
              </w:rPr>
              <w:t>Other Interested Parties</w:t>
            </w:r>
          </w:p>
        </w:tc>
        <w:tc>
          <w:tcPr>
            <w:tcW w:w="1667" w:type="pct"/>
            <w:vAlign w:val="center"/>
          </w:tcPr>
          <w:p w14:paraId="5D184D2B" w14:textId="77777777" w:rsidR="0065166A" w:rsidRPr="00526BA3" w:rsidRDefault="00E318DB" w:rsidP="003A5434">
            <w:pPr>
              <w:tabs>
                <w:tab w:val="left" w:pos="768"/>
              </w:tabs>
            </w:pPr>
            <w:r w:rsidRPr="00E318DB">
              <w:rPr>
                <w:rFonts w:cs="Arial"/>
                <w:sz w:val="18"/>
                <w:szCs w:val="18"/>
              </w:rPr>
              <w:t>Local governments (municipalities, cadastral and inspection offices)</w:t>
            </w:r>
          </w:p>
        </w:tc>
        <w:tc>
          <w:tcPr>
            <w:tcW w:w="1667" w:type="pct"/>
            <w:vAlign w:val="center"/>
          </w:tcPr>
          <w:p w14:paraId="08555134" w14:textId="77777777" w:rsidR="0065166A" w:rsidRPr="00526BA3" w:rsidRDefault="00E318DB" w:rsidP="003A5434">
            <w:pPr>
              <w:tabs>
                <w:tab w:val="left" w:pos="768"/>
              </w:tabs>
            </w:pPr>
            <w:r w:rsidRPr="00E318DB">
              <w:rPr>
                <w:sz w:val="18"/>
                <w:szCs w:val="18"/>
              </w:rPr>
              <w:t>Facilitate coordination and local-level implementation, including data exchange, forest monitoring, and grievance resolution.</w:t>
            </w:r>
          </w:p>
        </w:tc>
      </w:tr>
      <w:tr w:rsidR="00E318DB" w:rsidRPr="00526BA3" w14:paraId="3794927F" w14:textId="77777777" w:rsidTr="00E318DB">
        <w:trPr>
          <w:trHeight w:val="283"/>
        </w:trPr>
        <w:tc>
          <w:tcPr>
            <w:tcW w:w="1666" w:type="pct"/>
            <w:vMerge/>
            <w:tcBorders>
              <w:top w:val="nil"/>
            </w:tcBorders>
            <w:vAlign w:val="center"/>
          </w:tcPr>
          <w:p w14:paraId="7491353B" w14:textId="77777777" w:rsidR="00E318DB" w:rsidRPr="00526BA3" w:rsidRDefault="00E318DB" w:rsidP="003A5434">
            <w:pPr>
              <w:tabs>
                <w:tab w:val="left" w:pos="768"/>
              </w:tabs>
              <w:rPr>
                <w:b/>
                <w:bCs/>
                <w:sz w:val="18"/>
                <w:szCs w:val="18"/>
              </w:rPr>
            </w:pPr>
          </w:p>
        </w:tc>
        <w:tc>
          <w:tcPr>
            <w:tcW w:w="1667" w:type="pct"/>
            <w:vAlign w:val="center"/>
          </w:tcPr>
          <w:p w14:paraId="01B400D0" w14:textId="77777777" w:rsidR="00E318DB" w:rsidRPr="00E318DB" w:rsidRDefault="00E318DB" w:rsidP="003A5434">
            <w:pPr>
              <w:tabs>
                <w:tab w:val="left" w:pos="768"/>
              </w:tabs>
              <w:rPr>
                <w:rFonts w:cs="Arial"/>
                <w:sz w:val="18"/>
                <w:szCs w:val="18"/>
              </w:rPr>
            </w:pPr>
            <w:r>
              <w:rPr>
                <w:rFonts w:cs="Arial"/>
                <w:sz w:val="18"/>
                <w:szCs w:val="18"/>
              </w:rPr>
              <w:t>A</w:t>
            </w:r>
            <w:r w:rsidRPr="00E318DB">
              <w:rPr>
                <w:rFonts w:cs="Arial"/>
                <w:sz w:val="18"/>
                <w:szCs w:val="18"/>
              </w:rPr>
              <w:t>cademic and research institutions (University of Montenegro, Institute of Forestry)</w:t>
            </w:r>
          </w:p>
        </w:tc>
        <w:tc>
          <w:tcPr>
            <w:tcW w:w="1667" w:type="pct"/>
            <w:vAlign w:val="center"/>
          </w:tcPr>
          <w:p w14:paraId="718FE016" w14:textId="77777777" w:rsidR="00E318DB" w:rsidRPr="00E318DB" w:rsidRDefault="00E318DB" w:rsidP="003A5434">
            <w:pPr>
              <w:tabs>
                <w:tab w:val="left" w:pos="768"/>
              </w:tabs>
              <w:rPr>
                <w:sz w:val="18"/>
                <w:szCs w:val="18"/>
              </w:rPr>
            </w:pPr>
            <w:r w:rsidRPr="00E318DB">
              <w:rPr>
                <w:sz w:val="18"/>
                <w:szCs w:val="18"/>
              </w:rPr>
              <w:t>Provide technical expertise, research, and capacity building in forest management, fire prevention, and bioeconomy.</w:t>
            </w:r>
          </w:p>
        </w:tc>
      </w:tr>
      <w:tr w:rsidR="0065166A" w:rsidRPr="00526BA3" w14:paraId="378CF07B" w14:textId="77777777" w:rsidTr="003A5434">
        <w:trPr>
          <w:trHeight w:val="283"/>
        </w:trPr>
        <w:tc>
          <w:tcPr>
            <w:tcW w:w="1666" w:type="pct"/>
            <w:vMerge/>
            <w:vAlign w:val="center"/>
          </w:tcPr>
          <w:p w14:paraId="59C4EF45" w14:textId="77777777" w:rsidR="0065166A" w:rsidRPr="00526BA3" w:rsidRDefault="0065166A" w:rsidP="003A5434">
            <w:pPr>
              <w:tabs>
                <w:tab w:val="left" w:pos="768"/>
              </w:tabs>
              <w:rPr>
                <w:b/>
                <w:bCs/>
                <w:sz w:val="18"/>
                <w:szCs w:val="18"/>
              </w:rPr>
            </w:pPr>
          </w:p>
        </w:tc>
        <w:tc>
          <w:tcPr>
            <w:tcW w:w="1667" w:type="pct"/>
            <w:vAlign w:val="center"/>
          </w:tcPr>
          <w:p w14:paraId="731C21CD" w14:textId="77777777" w:rsidR="0065166A" w:rsidRPr="00526BA3" w:rsidRDefault="0065166A" w:rsidP="003A5434">
            <w:pPr>
              <w:tabs>
                <w:tab w:val="left" w:pos="768"/>
              </w:tabs>
            </w:pPr>
            <w:r w:rsidRPr="00526BA3">
              <w:rPr>
                <w:rFonts w:cs="Arial"/>
                <w:sz w:val="18"/>
                <w:szCs w:val="18"/>
              </w:rPr>
              <w:t>NGOs</w:t>
            </w:r>
          </w:p>
        </w:tc>
        <w:tc>
          <w:tcPr>
            <w:tcW w:w="1667" w:type="pct"/>
            <w:vAlign w:val="center"/>
          </w:tcPr>
          <w:p w14:paraId="1949995B" w14:textId="77777777" w:rsidR="0065166A" w:rsidRPr="00526BA3" w:rsidRDefault="00E318DB" w:rsidP="003A5434">
            <w:pPr>
              <w:tabs>
                <w:tab w:val="left" w:pos="768"/>
              </w:tabs>
            </w:pPr>
            <w:r w:rsidRPr="00E318DB">
              <w:rPr>
                <w:sz w:val="18"/>
                <w:szCs w:val="18"/>
              </w:rPr>
              <w:t>Interested in transparency, biodiversity protection, and sustainable forest use. May participate in consultations and monitoring activities.</w:t>
            </w:r>
          </w:p>
        </w:tc>
      </w:tr>
      <w:tr w:rsidR="00E318DB" w:rsidRPr="00526BA3" w14:paraId="703C3EE6" w14:textId="77777777" w:rsidTr="003A5434">
        <w:trPr>
          <w:trHeight w:val="283"/>
        </w:trPr>
        <w:tc>
          <w:tcPr>
            <w:tcW w:w="1666" w:type="pct"/>
            <w:vAlign w:val="center"/>
          </w:tcPr>
          <w:p w14:paraId="34F26FE8" w14:textId="77777777" w:rsidR="00E318DB" w:rsidRPr="00526BA3" w:rsidRDefault="00E318DB" w:rsidP="003A5434">
            <w:pPr>
              <w:tabs>
                <w:tab w:val="left" w:pos="768"/>
              </w:tabs>
              <w:rPr>
                <w:b/>
                <w:bCs/>
                <w:sz w:val="18"/>
                <w:szCs w:val="18"/>
              </w:rPr>
            </w:pPr>
          </w:p>
        </w:tc>
        <w:tc>
          <w:tcPr>
            <w:tcW w:w="1667" w:type="pct"/>
            <w:vAlign w:val="center"/>
          </w:tcPr>
          <w:p w14:paraId="53BBED39" w14:textId="77777777" w:rsidR="00E318DB" w:rsidRPr="00526BA3" w:rsidRDefault="000D0AB6" w:rsidP="003A5434">
            <w:pPr>
              <w:tabs>
                <w:tab w:val="left" w:pos="768"/>
              </w:tabs>
              <w:rPr>
                <w:rFonts w:cs="Arial"/>
                <w:sz w:val="18"/>
                <w:szCs w:val="18"/>
              </w:rPr>
            </w:pPr>
            <w:r w:rsidRPr="000D0AB6">
              <w:rPr>
                <w:rFonts w:cs="Arial"/>
                <w:sz w:val="18"/>
                <w:szCs w:val="18"/>
              </w:rPr>
              <w:t>Financial institutions (Development Fund, commercial banks)</w:t>
            </w:r>
          </w:p>
        </w:tc>
        <w:tc>
          <w:tcPr>
            <w:tcW w:w="1667" w:type="pct"/>
            <w:vAlign w:val="center"/>
          </w:tcPr>
          <w:p w14:paraId="6B888AA8" w14:textId="77777777" w:rsidR="00E318DB" w:rsidRPr="00E318DB" w:rsidRDefault="000D0AB6" w:rsidP="003A5434">
            <w:pPr>
              <w:tabs>
                <w:tab w:val="left" w:pos="768"/>
              </w:tabs>
              <w:rPr>
                <w:sz w:val="18"/>
                <w:szCs w:val="18"/>
              </w:rPr>
            </w:pPr>
            <w:r w:rsidRPr="000D0AB6">
              <w:rPr>
                <w:sz w:val="18"/>
                <w:szCs w:val="18"/>
              </w:rPr>
              <w:t>Potential partners for implementing financial mechanisms or credit lines to support modernization of the forest-based industry. Relevant for ESS9 (Financial Intermediaries).</w:t>
            </w:r>
          </w:p>
        </w:tc>
      </w:tr>
    </w:tbl>
    <w:p w14:paraId="5245DEBC" w14:textId="77777777" w:rsidR="0065166A" w:rsidRDefault="0065166A" w:rsidP="005A1DCC">
      <w:pPr>
        <w:jc w:val="both"/>
      </w:pPr>
    </w:p>
    <w:p w14:paraId="5D7EC2C3" w14:textId="77777777" w:rsidR="0065166A" w:rsidRDefault="0065166A" w:rsidP="005A1DCC">
      <w:pPr>
        <w:jc w:val="both"/>
      </w:pPr>
    </w:p>
    <w:p w14:paraId="6302A554" w14:textId="77777777" w:rsidR="0065166A" w:rsidRPr="00D61680" w:rsidRDefault="0065166A" w:rsidP="005A1DCC">
      <w:pPr>
        <w:jc w:val="both"/>
      </w:pPr>
    </w:p>
    <w:p w14:paraId="778D7655" w14:textId="77777777" w:rsidR="00D61680" w:rsidRPr="007D0035" w:rsidRDefault="00D61680" w:rsidP="005A1DCC">
      <w:pPr>
        <w:jc w:val="both"/>
        <w:rPr>
          <w:b/>
          <w:i/>
          <w:color w:val="385623" w:themeColor="accent6" w:themeShade="80"/>
          <w:sz w:val="28"/>
          <w:szCs w:val="28"/>
        </w:rPr>
      </w:pPr>
      <w:r w:rsidRPr="007D0035">
        <w:rPr>
          <w:b/>
          <w:i/>
          <w:color w:val="385623" w:themeColor="accent6" w:themeShade="80"/>
          <w:sz w:val="28"/>
          <w:szCs w:val="28"/>
        </w:rPr>
        <w:t xml:space="preserve">4.4. Other Interested Parties </w:t>
      </w:r>
    </w:p>
    <w:p w14:paraId="09018D86" w14:textId="77777777" w:rsidR="00BE21FC" w:rsidRPr="00901491" w:rsidRDefault="00BE21FC" w:rsidP="00BE21FC">
      <w:pPr>
        <w:spacing w:before="100" w:beforeAutospacing="1" w:after="100" w:afterAutospacing="1" w:line="240" w:lineRule="auto"/>
        <w:rPr>
          <w:rFonts w:eastAsia="Times New Roman" w:cs="Times New Roman"/>
          <w:sz w:val="24"/>
          <w:szCs w:val="24"/>
        </w:rPr>
      </w:pPr>
      <w:r w:rsidRPr="00901491">
        <w:rPr>
          <w:rFonts w:eastAsia="Times New Roman" w:cs="Times New Roman"/>
          <w:sz w:val="24"/>
          <w:szCs w:val="24"/>
        </w:rPr>
        <w:t>Other Interested Parties include individuals, groups, and organizations that may not be directly affected by the Project but have an interest in its outcomes, implementation, or impacts. These stakeholders can influence Project performance, ensure transparency, and support communication with the wider public.</w:t>
      </w:r>
    </w:p>
    <w:p w14:paraId="1B9EFDDC" w14:textId="77777777" w:rsidR="00BE21FC" w:rsidRPr="00901491" w:rsidRDefault="00BE21FC" w:rsidP="00BE21FC">
      <w:pPr>
        <w:spacing w:before="100" w:beforeAutospacing="1" w:after="100" w:afterAutospacing="1" w:line="240" w:lineRule="auto"/>
        <w:rPr>
          <w:rFonts w:eastAsia="Times New Roman" w:cs="Times New Roman"/>
          <w:sz w:val="24"/>
          <w:szCs w:val="24"/>
        </w:rPr>
      </w:pPr>
      <w:r w:rsidRPr="00901491">
        <w:rPr>
          <w:rFonts w:eastAsia="Times New Roman" w:cs="Times New Roman"/>
          <w:sz w:val="24"/>
          <w:szCs w:val="24"/>
        </w:rPr>
        <w:t>This category includes:</w:t>
      </w:r>
    </w:p>
    <w:p w14:paraId="3D7DB2E5" w14:textId="77777777" w:rsidR="00BE21FC" w:rsidRPr="00901491" w:rsidRDefault="00BE21FC" w:rsidP="00882FBB">
      <w:pPr>
        <w:numPr>
          <w:ilvl w:val="0"/>
          <w:numId w:val="34"/>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Local administrative bodies and municipal authorities</w:t>
      </w:r>
      <w:r w:rsidRPr="00901491">
        <w:rPr>
          <w:rFonts w:eastAsia="Times New Roman" w:cs="Times New Roman"/>
          <w:sz w:val="24"/>
          <w:szCs w:val="24"/>
        </w:rPr>
        <w:t>, which will play an important role in facilitating public consultations, grievance management, and local-level coordination. They are also essential for aligning Project activities with local development plans.</w:t>
      </w:r>
    </w:p>
    <w:p w14:paraId="1A44CA18" w14:textId="77777777" w:rsidR="00BE21FC" w:rsidRPr="00901491" w:rsidRDefault="00BE21FC" w:rsidP="00882FBB">
      <w:pPr>
        <w:numPr>
          <w:ilvl w:val="0"/>
          <w:numId w:val="34"/>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Environmental and forestry-related NGOs</w:t>
      </w:r>
      <w:r w:rsidRPr="00901491">
        <w:rPr>
          <w:rFonts w:eastAsia="Times New Roman" w:cs="Times New Roman"/>
          <w:sz w:val="24"/>
          <w:szCs w:val="24"/>
        </w:rPr>
        <w:t>, which may monitor project implementation, advocate for sustainable forest management, and participate in public consultations.</w:t>
      </w:r>
    </w:p>
    <w:p w14:paraId="5C09B875" w14:textId="77777777" w:rsidR="00BE21FC" w:rsidRPr="00901491" w:rsidRDefault="00BE21FC" w:rsidP="00882FBB">
      <w:pPr>
        <w:numPr>
          <w:ilvl w:val="0"/>
          <w:numId w:val="34"/>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Academic and research institutions</w:t>
      </w:r>
      <w:r w:rsidRPr="00901491">
        <w:rPr>
          <w:rFonts w:eastAsia="Times New Roman" w:cs="Times New Roman"/>
          <w:sz w:val="24"/>
          <w:szCs w:val="24"/>
        </w:rPr>
        <w:t xml:space="preserve"> such as the University of Montenegro and the Institute of Forestry, which will support the Project through research, data collection, and training activities.</w:t>
      </w:r>
    </w:p>
    <w:p w14:paraId="7BF6541D" w14:textId="77777777" w:rsidR="00BE21FC" w:rsidRPr="00901491" w:rsidRDefault="00BE21FC" w:rsidP="00882FBB">
      <w:pPr>
        <w:numPr>
          <w:ilvl w:val="0"/>
          <w:numId w:val="34"/>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Chambers of Commerce, professional associations, and business support organizations</w:t>
      </w:r>
      <w:r w:rsidRPr="00901491">
        <w:rPr>
          <w:rFonts w:eastAsia="Times New Roman" w:cs="Times New Roman"/>
          <w:sz w:val="24"/>
          <w:szCs w:val="24"/>
        </w:rPr>
        <w:t>, which can provide input on market dynamics, competitiveness, and the needs of the forest industry.</w:t>
      </w:r>
    </w:p>
    <w:p w14:paraId="3405E727" w14:textId="77777777" w:rsidR="00BE21FC" w:rsidRPr="00901491" w:rsidRDefault="00BE21FC" w:rsidP="00882FBB">
      <w:pPr>
        <w:numPr>
          <w:ilvl w:val="0"/>
          <w:numId w:val="34"/>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Media and communication outlets</w:t>
      </w:r>
      <w:r w:rsidRPr="00901491">
        <w:rPr>
          <w:rFonts w:eastAsia="Times New Roman" w:cs="Times New Roman"/>
          <w:sz w:val="24"/>
          <w:szCs w:val="24"/>
        </w:rPr>
        <w:t>, which play a key role in ensuring transparency and disseminating information to the public about forest sector reforms and environmental initiatives.</w:t>
      </w:r>
    </w:p>
    <w:p w14:paraId="61819E81" w14:textId="77777777" w:rsidR="00BE21FC" w:rsidRPr="00901491" w:rsidRDefault="00BE21FC" w:rsidP="00882FBB">
      <w:pPr>
        <w:numPr>
          <w:ilvl w:val="0"/>
          <w:numId w:val="34"/>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General public</w:t>
      </w:r>
      <w:r w:rsidRPr="00901491">
        <w:rPr>
          <w:rFonts w:eastAsia="Times New Roman" w:cs="Times New Roman"/>
          <w:sz w:val="24"/>
          <w:szCs w:val="24"/>
        </w:rPr>
        <w:t>, especially those concerned with forest fire prevention, biodiversity conservation, and sustainable resource use.</w:t>
      </w:r>
    </w:p>
    <w:p w14:paraId="44AAA4D0" w14:textId="77777777" w:rsidR="00BE21FC" w:rsidRPr="00901491" w:rsidRDefault="00BE21FC" w:rsidP="00882FBB">
      <w:pPr>
        <w:spacing w:before="100" w:beforeAutospacing="1" w:after="100" w:afterAutospacing="1" w:line="240" w:lineRule="auto"/>
        <w:jc w:val="both"/>
        <w:rPr>
          <w:rFonts w:eastAsia="Times New Roman" w:cs="Times New Roman"/>
          <w:sz w:val="24"/>
          <w:szCs w:val="24"/>
        </w:rPr>
      </w:pPr>
      <w:r w:rsidRPr="00901491">
        <w:rPr>
          <w:rFonts w:eastAsia="Times New Roman" w:cs="Times New Roman"/>
          <w:sz w:val="24"/>
          <w:szCs w:val="24"/>
        </w:rPr>
        <w:t>These stakeholders are essential for ensuring that the Project is implemented transparently, with adequate participation and oversight, and that communication flows effectively between government, private sector, and citizens.</w:t>
      </w:r>
    </w:p>
    <w:p w14:paraId="61819341" w14:textId="77777777" w:rsidR="00D61680" w:rsidRDefault="00D61680" w:rsidP="005A1DCC">
      <w:pPr>
        <w:jc w:val="both"/>
      </w:pPr>
    </w:p>
    <w:p w14:paraId="42FB20B2" w14:textId="77777777" w:rsidR="004F3F40" w:rsidRDefault="004F3F40" w:rsidP="004F3F40">
      <w:pPr>
        <w:jc w:val="both"/>
      </w:pPr>
    </w:p>
    <w:p w14:paraId="37221EB6" w14:textId="77777777" w:rsidR="00A618B9" w:rsidRPr="007D0035" w:rsidRDefault="00A618B9" w:rsidP="00A618B9">
      <w:pPr>
        <w:jc w:val="both"/>
        <w:rPr>
          <w:b/>
          <w:i/>
          <w:color w:val="385623" w:themeColor="accent6" w:themeShade="80"/>
          <w:sz w:val="28"/>
          <w:szCs w:val="28"/>
        </w:rPr>
      </w:pPr>
      <w:r w:rsidRPr="007D0035">
        <w:rPr>
          <w:b/>
          <w:i/>
          <w:color w:val="385623" w:themeColor="accent6" w:themeShade="80"/>
          <w:sz w:val="28"/>
          <w:szCs w:val="28"/>
        </w:rPr>
        <w:t>4.</w:t>
      </w:r>
      <w:r>
        <w:rPr>
          <w:b/>
          <w:i/>
          <w:color w:val="385623" w:themeColor="accent6" w:themeShade="80"/>
          <w:sz w:val="28"/>
          <w:szCs w:val="28"/>
        </w:rPr>
        <w:t>5</w:t>
      </w:r>
      <w:r w:rsidRPr="007D0035">
        <w:rPr>
          <w:b/>
          <w:i/>
          <w:color w:val="385623" w:themeColor="accent6" w:themeShade="80"/>
          <w:sz w:val="28"/>
          <w:szCs w:val="28"/>
        </w:rPr>
        <w:t xml:space="preserve">. </w:t>
      </w:r>
      <w:r>
        <w:rPr>
          <w:b/>
          <w:i/>
          <w:color w:val="385623" w:themeColor="accent6" w:themeShade="80"/>
          <w:sz w:val="28"/>
          <w:szCs w:val="28"/>
        </w:rPr>
        <w:t xml:space="preserve">Disadvantaged </w:t>
      </w:r>
      <w:r w:rsidR="000C79F6">
        <w:rPr>
          <w:b/>
          <w:i/>
          <w:color w:val="385623" w:themeColor="accent6" w:themeShade="80"/>
          <w:sz w:val="28"/>
          <w:szCs w:val="28"/>
        </w:rPr>
        <w:t>and vulnerable individuals or groups</w:t>
      </w:r>
      <w:r w:rsidRPr="007D0035">
        <w:rPr>
          <w:b/>
          <w:i/>
          <w:color w:val="385623" w:themeColor="accent6" w:themeShade="80"/>
          <w:sz w:val="28"/>
          <w:szCs w:val="28"/>
        </w:rPr>
        <w:t xml:space="preserve"> </w:t>
      </w:r>
    </w:p>
    <w:p w14:paraId="330101FC" w14:textId="77777777" w:rsidR="00BE21FC" w:rsidRPr="00901491" w:rsidRDefault="00BE21FC" w:rsidP="00882FBB">
      <w:pPr>
        <w:spacing w:before="100" w:beforeAutospacing="1" w:after="100" w:afterAutospacing="1" w:line="240" w:lineRule="auto"/>
        <w:jc w:val="both"/>
        <w:rPr>
          <w:rFonts w:eastAsia="Times New Roman" w:cs="Times New Roman"/>
          <w:sz w:val="24"/>
          <w:szCs w:val="24"/>
        </w:rPr>
      </w:pPr>
      <w:r w:rsidRPr="00901491">
        <w:rPr>
          <w:rFonts w:eastAsia="Times New Roman" w:cs="Times New Roman"/>
          <w:sz w:val="24"/>
          <w:szCs w:val="24"/>
        </w:rPr>
        <w:t>The Project recognizes that certain groups within the affected communities may be more vulnerable to social, economic, or institutional changes. Special attention will be given to these groups to ensure equitable access to Project benefits, participation in decision-making, and protection from potential adverse impacts. The following categories are identified:</w:t>
      </w:r>
    </w:p>
    <w:p w14:paraId="48B60088" w14:textId="77777777" w:rsidR="00BE21FC" w:rsidRPr="00901491" w:rsidRDefault="00BE21FC" w:rsidP="00882FBB">
      <w:pPr>
        <w:numPr>
          <w:ilvl w:val="0"/>
          <w:numId w:val="33"/>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Women in rural forest-dependent communities</w:t>
      </w:r>
      <w:r w:rsidR="00882FBB">
        <w:rPr>
          <w:rFonts w:eastAsia="Times New Roman" w:cs="Times New Roman"/>
          <w:sz w:val="24"/>
          <w:szCs w:val="24"/>
        </w:rPr>
        <w:t xml:space="preserve"> -</w:t>
      </w:r>
      <w:r w:rsidRPr="00901491">
        <w:rPr>
          <w:rFonts w:eastAsia="Times New Roman" w:cs="Times New Roman"/>
          <w:sz w:val="24"/>
          <w:szCs w:val="24"/>
        </w:rPr>
        <w:t>Women often have limited access to formal employment, technical training, and decision-making processes in forest management. The Project will ensure gender-sensitive engagement, provide targeted training opportunities, and facilitate equitable access to jobs created through sustainable forest management and wood-processing activities.</w:t>
      </w:r>
    </w:p>
    <w:p w14:paraId="093F2F09" w14:textId="77777777" w:rsidR="00BE21FC" w:rsidRPr="00901491" w:rsidRDefault="00BE21FC" w:rsidP="00882FBB">
      <w:pPr>
        <w:numPr>
          <w:ilvl w:val="0"/>
          <w:numId w:val="33"/>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Low-income households and subsistence forest users</w:t>
      </w:r>
      <w:r w:rsidR="00882FBB">
        <w:rPr>
          <w:rFonts w:eastAsia="Times New Roman" w:cs="Times New Roman"/>
          <w:sz w:val="24"/>
          <w:szCs w:val="24"/>
        </w:rPr>
        <w:t xml:space="preserve"> - </w:t>
      </w:r>
      <w:r w:rsidRPr="00901491">
        <w:rPr>
          <w:rFonts w:eastAsia="Times New Roman" w:cs="Times New Roman"/>
          <w:sz w:val="24"/>
          <w:szCs w:val="24"/>
        </w:rPr>
        <w:t>Households relying on forests for fuelwood, small-scale logging, or non-timber forest products may face changes in access due to the transition from concession-based systems to SOE-managed forests. The Project will provide guidance, alternative livelihood support, and technical assistance to mitigate adverse effects and enhance sustainable income opportunities.</w:t>
      </w:r>
    </w:p>
    <w:p w14:paraId="57FC26A3" w14:textId="77777777" w:rsidR="00BE21FC" w:rsidRPr="00901491" w:rsidRDefault="00BE21FC" w:rsidP="00882FBB">
      <w:pPr>
        <w:numPr>
          <w:ilvl w:val="0"/>
          <w:numId w:val="33"/>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Indigenous or minority groups (if applicable in targeted regions)</w:t>
      </w:r>
      <w:r w:rsidR="00882FBB">
        <w:rPr>
          <w:rFonts w:eastAsia="Times New Roman" w:cs="Times New Roman"/>
          <w:b/>
          <w:bCs/>
          <w:sz w:val="24"/>
          <w:szCs w:val="24"/>
        </w:rPr>
        <w:t xml:space="preserve"> </w:t>
      </w:r>
      <w:r w:rsidR="00882FBB">
        <w:rPr>
          <w:rFonts w:eastAsia="Times New Roman" w:cs="Times New Roman"/>
          <w:sz w:val="24"/>
          <w:szCs w:val="24"/>
        </w:rPr>
        <w:t xml:space="preserve">- </w:t>
      </w:r>
      <w:r w:rsidRPr="00901491">
        <w:rPr>
          <w:rFonts w:eastAsia="Times New Roman" w:cs="Times New Roman"/>
          <w:sz w:val="24"/>
          <w:szCs w:val="24"/>
        </w:rPr>
        <w:t>These groups may have traditional rights or customary practices related to forest use. Project interventions will respect these rights, incorporate them into consultation processes, and provide culturally appropriate participation opportunities.</w:t>
      </w:r>
    </w:p>
    <w:p w14:paraId="7F632828" w14:textId="77777777" w:rsidR="00BE21FC" w:rsidRPr="00901491" w:rsidRDefault="00BE21FC" w:rsidP="00882FBB">
      <w:pPr>
        <w:numPr>
          <w:ilvl w:val="0"/>
          <w:numId w:val="33"/>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Elderly and disabled persons</w:t>
      </w:r>
      <w:r w:rsidR="00882FBB">
        <w:rPr>
          <w:rFonts w:eastAsia="Times New Roman" w:cs="Times New Roman"/>
          <w:sz w:val="24"/>
          <w:szCs w:val="24"/>
        </w:rPr>
        <w:t xml:space="preserve">- </w:t>
      </w:r>
      <w:r w:rsidRPr="00901491">
        <w:rPr>
          <w:rFonts w:eastAsia="Times New Roman" w:cs="Times New Roman"/>
          <w:sz w:val="24"/>
          <w:szCs w:val="24"/>
        </w:rPr>
        <w:t>Individuals with limited mobility or capacity to participate in trainings, employment, or forest management activities may be disadvantaged. The Project will design engagement and capacity-building activities that are inclusive, accessible, and supportive.</w:t>
      </w:r>
    </w:p>
    <w:p w14:paraId="1A088AC8" w14:textId="77777777" w:rsidR="00BE21FC" w:rsidRPr="00901491" w:rsidRDefault="00BE21FC" w:rsidP="00882FBB">
      <w:pPr>
        <w:numPr>
          <w:ilvl w:val="0"/>
          <w:numId w:val="33"/>
        </w:numPr>
        <w:spacing w:before="100" w:beforeAutospacing="1" w:after="100" w:afterAutospacing="1" w:line="240" w:lineRule="auto"/>
        <w:jc w:val="both"/>
        <w:rPr>
          <w:rFonts w:eastAsia="Times New Roman" w:cs="Times New Roman"/>
          <w:sz w:val="24"/>
          <w:szCs w:val="24"/>
        </w:rPr>
      </w:pPr>
      <w:r w:rsidRPr="00901491">
        <w:rPr>
          <w:rFonts w:eastAsia="Times New Roman" w:cs="Times New Roman"/>
          <w:b/>
          <w:bCs/>
          <w:sz w:val="24"/>
          <w:szCs w:val="24"/>
        </w:rPr>
        <w:t>Small-scale wood processing operators and micro-enterprises</w:t>
      </w:r>
      <w:r w:rsidR="00882FBB">
        <w:rPr>
          <w:rFonts w:eastAsia="Times New Roman" w:cs="Times New Roman"/>
          <w:sz w:val="24"/>
          <w:szCs w:val="24"/>
        </w:rPr>
        <w:t xml:space="preserve">- </w:t>
      </w:r>
      <w:proofErr w:type="gramStart"/>
      <w:r w:rsidRPr="00901491">
        <w:rPr>
          <w:rFonts w:eastAsia="Times New Roman" w:cs="Times New Roman"/>
          <w:sz w:val="24"/>
          <w:szCs w:val="24"/>
        </w:rPr>
        <w:t>Smaller</w:t>
      </w:r>
      <w:proofErr w:type="gramEnd"/>
      <w:r w:rsidRPr="00901491">
        <w:rPr>
          <w:rFonts w:eastAsia="Times New Roman" w:cs="Times New Roman"/>
          <w:sz w:val="24"/>
          <w:szCs w:val="24"/>
        </w:rPr>
        <w:t xml:space="preserve"> enterprises may lack the capacity, technical knowledge, or access to finance to comply with new regulations and certification requirements. Targeted technical assistance, training, and potential access to credit mechanisms will be provided to ensure they are not excluded from economic benefits.</w:t>
      </w:r>
    </w:p>
    <w:p w14:paraId="54C0E50F" w14:textId="77777777" w:rsidR="00A618B9" w:rsidRDefault="00A618B9" w:rsidP="004F3F40">
      <w:pPr>
        <w:jc w:val="both"/>
      </w:pPr>
    </w:p>
    <w:p w14:paraId="07205874" w14:textId="77777777" w:rsidR="007E2E78" w:rsidRPr="00D13834" w:rsidRDefault="007E2E78" w:rsidP="004F3F40">
      <w:pPr>
        <w:jc w:val="both"/>
      </w:pPr>
    </w:p>
    <w:p w14:paraId="7EEE121C" w14:textId="77777777" w:rsidR="00D13834" w:rsidRPr="007D0035" w:rsidRDefault="00D13834" w:rsidP="00434ED3">
      <w:pPr>
        <w:jc w:val="both"/>
        <w:rPr>
          <w:b/>
          <w:color w:val="385623" w:themeColor="accent6" w:themeShade="80"/>
          <w:sz w:val="32"/>
          <w:szCs w:val="32"/>
          <w:lang w:val="hr-BA"/>
        </w:rPr>
      </w:pPr>
      <w:r w:rsidRPr="007D0035">
        <w:rPr>
          <w:b/>
          <w:color w:val="385623" w:themeColor="accent6" w:themeShade="80"/>
          <w:sz w:val="32"/>
          <w:szCs w:val="32"/>
          <w:lang w:val="hr-BA"/>
        </w:rPr>
        <w:t xml:space="preserve">V. STAKEHOLDER ENGAGEMENT PROGRAM </w:t>
      </w:r>
    </w:p>
    <w:p w14:paraId="0E39B050" w14:textId="77777777" w:rsidR="00D13834" w:rsidRDefault="00D13834" w:rsidP="00434ED3">
      <w:pPr>
        <w:jc w:val="both"/>
      </w:pPr>
      <w:r>
        <w:t xml:space="preserve">This section describes stakeholder engagement activities that will be implemented during preparation of the Stakeholder’s Engagement Program under the MFEP, including adjusted activities for vulnerable and disadvantaged groups. </w:t>
      </w:r>
    </w:p>
    <w:p w14:paraId="562DB584" w14:textId="77777777" w:rsidR="007D0035" w:rsidRDefault="007D0035" w:rsidP="00434ED3">
      <w:pPr>
        <w:jc w:val="both"/>
      </w:pPr>
    </w:p>
    <w:p w14:paraId="32997B98" w14:textId="77777777" w:rsidR="00D13834" w:rsidRPr="007D0035" w:rsidRDefault="00D13834" w:rsidP="00434ED3">
      <w:pPr>
        <w:jc w:val="both"/>
        <w:rPr>
          <w:i/>
          <w:color w:val="385623" w:themeColor="accent6" w:themeShade="80"/>
          <w:sz w:val="28"/>
          <w:szCs w:val="28"/>
        </w:rPr>
      </w:pPr>
      <w:r w:rsidRPr="007D0035">
        <w:rPr>
          <w:b/>
          <w:i/>
          <w:color w:val="385623" w:themeColor="accent6" w:themeShade="80"/>
          <w:sz w:val="28"/>
          <w:szCs w:val="28"/>
        </w:rPr>
        <w:t>5.1. Purpose and Timing of Stakeholder Engagement Program</w:t>
      </w:r>
      <w:r w:rsidRPr="007D0035">
        <w:rPr>
          <w:i/>
          <w:color w:val="385623" w:themeColor="accent6" w:themeShade="80"/>
          <w:sz w:val="28"/>
          <w:szCs w:val="28"/>
        </w:rPr>
        <w:t xml:space="preserve"> </w:t>
      </w:r>
    </w:p>
    <w:p w14:paraId="45274C9C" w14:textId="77777777" w:rsidR="007E4B74" w:rsidRPr="007E4B74" w:rsidRDefault="007E4B74" w:rsidP="007E4B74">
      <w:pPr>
        <w:spacing w:before="100" w:beforeAutospacing="1" w:after="100" w:afterAutospacing="1" w:line="240" w:lineRule="auto"/>
        <w:jc w:val="both"/>
        <w:rPr>
          <w:rFonts w:eastAsia="Times New Roman" w:cs="Times New Roman"/>
          <w:sz w:val="24"/>
          <w:szCs w:val="24"/>
        </w:rPr>
      </w:pPr>
      <w:r w:rsidRPr="007E4B74">
        <w:rPr>
          <w:rFonts w:eastAsia="Times New Roman" w:cs="Times New Roman"/>
          <w:sz w:val="24"/>
          <w:szCs w:val="24"/>
        </w:rPr>
        <w:lastRenderedPageBreak/>
        <w:t xml:space="preserve">The Stakeholder Engagement Program (SEP) for the </w:t>
      </w:r>
      <w:r w:rsidRPr="007E4B74">
        <w:rPr>
          <w:rFonts w:eastAsia="Times New Roman" w:cs="Times New Roman"/>
          <w:b/>
          <w:bCs/>
          <w:i/>
          <w:color w:val="1F4E79" w:themeColor="accent5" w:themeShade="80"/>
          <w:sz w:val="24"/>
          <w:szCs w:val="24"/>
        </w:rPr>
        <w:t>FORESTS FOR SHARED PROSPERITY</w:t>
      </w:r>
      <w:r w:rsidRPr="007E4B74">
        <w:rPr>
          <w:rFonts w:eastAsia="Times New Roman" w:cs="Times New Roman"/>
          <w:color w:val="1F4E79" w:themeColor="accent5" w:themeShade="80"/>
          <w:sz w:val="24"/>
          <w:szCs w:val="24"/>
        </w:rPr>
        <w:t xml:space="preserve"> </w:t>
      </w:r>
      <w:r w:rsidRPr="007E4B74">
        <w:rPr>
          <w:rFonts w:eastAsia="Times New Roman" w:cs="Times New Roman"/>
          <w:sz w:val="24"/>
          <w:szCs w:val="24"/>
        </w:rPr>
        <w:t>project in Montenegro is designed to ensure effective communication, participation, and feedback throughout the project lifecycle. Its primary objectives are to:</w:t>
      </w:r>
    </w:p>
    <w:p w14:paraId="0FB2E713" w14:textId="77777777" w:rsidR="007E4B74" w:rsidRPr="007E4B74" w:rsidRDefault="007E4B74" w:rsidP="007E4B74">
      <w:pPr>
        <w:numPr>
          <w:ilvl w:val="0"/>
          <w:numId w:val="35"/>
        </w:numPr>
        <w:spacing w:before="100" w:beforeAutospacing="1" w:after="100" w:afterAutospacing="1" w:line="240" w:lineRule="auto"/>
        <w:jc w:val="both"/>
        <w:rPr>
          <w:rFonts w:eastAsia="Times New Roman" w:cs="Times New Roman"/>
          <w:sz w:val="24"/>
          <w:szCs w:val="24"/>
        </w:rPr>
      </w:pPr>
      <w:r w:rsidRPr="007E4B74">
        <w:rPr>
          <w:rFonts w:eastAsia="Times New Roman" w:cs="Times New Roman"/>
          <w:sz w:val="24"/>
          <w:szCs w:val="24"/>
        </w:rPr>
        <w:t>Raise awareness among stakeholders about the project’s key objectives, components, and expected outcomes.</w:t>
      </w:r>
    </w:p>
    <w:p w14:paraId="5D5774AE" w14:textId="77777777" w:rsidR="007E4B74" w:rsidRPr="007E4B74" w:rsidRDefault="007E4B74" w:rsidP="007E4B74">
      <w:pPr>
        <w:numPr>
          <w:ilvl w:val="0"/>
          <w:numId w:val="35"/>
        </w:numPr>
        <w:spacing w:before="100" w:beforeAutospacing="1" w:after="100" w:afterAutospacing="1" w:line="240" w:lineRule="auto"/>
        <w:jc w:val="both"/>
        <w:rPr>
          <w:rFonts w:eastAsia="Times New Roman" w:cs="Times New Roman"/>
          <w:sz w:val="24"/>
          <w:szCs w:val="24"/>
        </w:rPr>
      </w:pPr>
      <w:r w:rsidRPr="007E4B74">
        <w:rPr>
          <w:rFonts w:eastAsia="Times New Roman" w:cs="Times New Roman"/>
          <w:sz w:val="24"/>
          <w:szCs w:val="24"/>
        </w:rPr>
        <w:t>Provide timely updates on project activities, technical assistance, and support for sustainable forest management.</w:t>
      </w:r>
    </w:p>
    <w:p w14:paraId="7F241A90" w14:textId="77777777" w:rsidR="007E4B74" w:rsidRPr="007E4B74" w:rsidRDefault="007E4B74" w:rsidP="007E4B74">
      <w:pPr>
        <w:numPr>
          <w:ilvl w:val="0"/>
          <w:numId w:val="35"/>
        </w:numPr>
        <w:spacing w:before="100" w:beforeAutospacing="1" w:after="100" w:afterAutospacing="1" w:line="240" w:lineRule="auto"/>
        <w:jc w:val="both"/>
        <w:rPr>
          <w:rFonts w:eastAsia="Times New Roman" w:cs="Times New Roman"/>
          <w:sz w:val="24"/>
          <w:szCs w:val="24"/>
        </w:rPr>
      </w:pPr>
      <w:r w:rsidRPr="007E4B74">
        <w:rPr>
          <w:rFonts w:eastAsia="Times New Roman" w:cs="Times New Roman"/>
          <w:sz w:val="24"/>
          <w:szCs w:val="24"/>
        </w:rPr>
        <w:t>Offer avenues for affected communities and other stakeholders to express concerns and provide input, including through grievance redress mechanisms.</w:t>
      </w:r>
    </w:p>
    <w:p w14:paraId="271C00F9" w14:textId="77777777" w:rsidR="007E4B74" w:rsidRPr="007E4B74" w:rsidRDefault="007E4B74" w:rsidP="007E4B74">
      <w:pPr>
        <w:spacing w:before="100" w:beforeAutospacing="1" w:after="100" w:afterAutospacing="1" w:line="240" w:lineRule="auto"/>
        <w:jc w:val="both"/>
        <w:rPr>
          <w:rFonts w:eastAsia="Times New Roman" w:cs="Times New Roman"/>
          <w:sz w:val="24"/>
          <w:szCs w:val="24"/>
        </w:rPr>
      </w:pPr>
      <w:r w:rsidRPr="007E4B74">
        <w:rPr>
          <w:rFonts w:eastAsia="Times New Roman" w:cs="Times New Roman"/>
          <w:sz w:val="24"/>
          <w:szCs w:val="24"/>
        </w:rPr>
        <w:t>The SEP is closely aligned with the project’s operational needs. Technical assistance and governance strengthening activities require continuous stakeholder engagement, while the adoption of Sustainable Forest Management (SFM) practices and traceability systems necessitate active participation from government agencies, local communities, and private sector actors.</w:t>
      </w:r>
    </w:p>
    <w:p w14:paraId="785E1144" w14:textId="77777777" w:rsidR="007E4B74" w:rsidRPr="007E4B74" w:rsidRDefault="007E4B74" w:rsidP="007E4B74">
      <w:pPr>
        <w:spacing w:before="100" w:beforeAutospacing="1" w:after="100" w:afterAutospacing="1" w:line="240" w:lineRule="auto"/>
        <w:jc w:val="both"/>
        <w:rPr>
          <w:rFonts w:eastAsia="Times New Roman" w:cs="Times New Roman"/>
          <w:sz w:val="24"/>
          <w:szCs w:val="24"/>
        </w:rPr>
      </w:pPr>
      <w:r w:rsidRPr="007E4B74">
        <w:rPr>
          <w:rFonts w:eastAsia="Times New Roman" w:cs="Times New Roman"/>
          <w:sz w:val="24"/>
          <w:szCs w:val="24"/>
        </w:rPr>
        <w:t>The table below presents the planned schedule of SEP activities, showing the project stages, expected consultation topics, methods, target stakeholders, and the responsibilities of the Project Implementation Unit (PIU). This ensures that engagement is structured, timely, and directly supports the successful implementation of the project objectives.</w:t>
      </w:r>
    </w:p>
    <w:p w14:paraId="2C437D53" w14:textId="77777777" w:rsidR="000B08CF" w:rsidRDefault="000B08CF">
      <w:pPr>
        <w:sectPr w:rsidR="000B08CF" w:rsidSect="0056129E">
          <w:headerReference w:type="default" r:id="rId8"/>
          <w:footerReference w:type="even" r:id="rId9"/>
          <w:footerReference w:type="default" r:id="rId10"/>
          <w:footerReference w:type="first" r:id="rId11"/>
          <w:pgSz w:w="12240" w:h="15840"/>
          <w:pgMar w:top="1440" w:right="1440" w:bottom="1440" w:left="1440" w:header="720" w:footer="720" w:gutter="0"/>
          <w:cols w:space="720"/>
          <w:titlePg/>
          <w:docGrid w:linePitch="360"/>
        </w:sectPr>
      </w:pPr>
    </w:p>
    <w:p w14:paraId="342BADBF" w14:textId="77777777" w:rsidR="00FE4D3D" w:rsidRPr="0056129E" w:rsidRDefault="00FA684F" w:rsidP="0056129E">
      <w:pPr>
        <w:pStyle w:val="Caption"/>
        <w:rPr>
          <w:color w:val="1F3864" w:themeColor="accent1" w:themeShade="80"/>
        </w:rPr>
      </w:pPr>
      <w:bookmarkStart w:id="5" w:name="_Ref178695367"/>
      <w:bookmarkStart w:id="6" w:name="_Ref174456619"/>
      <w:bookmarkStart w:id="7" w:name="_Toc182213381"/>
      <w:r w:rsidRPr="0056129E">
        <w:rPr>
          <w:color w:val="1F3864" w:themeColor="accent1" w:themeShade="80"/>
        </w:rPr>
        <w:lastRenderedPageBreak/>
        <w:t>Table</w:t>
      </w:r>
      <w:bookmarkEnd w:id="5"/>
      <w:bookmarkEnd w:id="6"/>
      <w:r w:rsidR="0056129E" w:rsidRPr="0056129E">
        <w:rPr>
          <w:color w:val="1F3864" w:themeColor="accent1" w:themeShade="80"/>
        </w:rPr>
        <w:t xml:space="preserve"> 2: </w:t>
      </w:r>
      <w:r w:rsidRPr="0056129E">
        <w:rPr>
          <w:color w:val="1F3864" w:themeColor="accent1" w:themeShade="80"/>
        </w:rPr>
        <w:t>Planned schedule of the SEP activities</w:t>
      </w:r>
      <w:bookmarkEnd w:id="7"/>
    </w:p>
    <w:p w14:paraId="0AB55500" w14:textId="77777777" w:rsidR="00FE4D3D" w:rsidRPr="00FE4D3D" w:rsidRDefault="00FE4D3D" w:rsidP="007A1DAD">
      <w:r>
        <w:t>Government agencies (MAFWM, Forest Administration), local communities, private wood processing firms, NGOs</w:t>
      </w:r>
    </w:p>
    <w:tbl>
      <w:tblPr>
        <w:tblStyle w:val="TableGrid1"/>
        <w:tblW w:w="5000" w:type="pct"/>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CellMar>
          <w:top w:w="46" w:type="dxa"/>
          <w:left w:w="107" w:type="dxa"/>
          <w:right w:w="79" w:type="dxa"/>
        </w:tblCellMar>
        <w:tblLook w:val="04A0" w:firstRow="1" w:lastRow="0" w:firstColumn="1" w:lastColumn="0" w:noHBand="0" w:noVBand="1"/>
      </w:tblPr>
      <w:tblGrid>
        <w:gridCol w:w="2051"/>
        <w:gridCol w:w="1945"/>
        <w:gridCol w:w="2168"/>
        <w:gridCol w:w="2476"/>
        <w:gridCol w:w="1961"/>
        <w:gridCol w:w="2349"/>
      </w:tblGrid>
      <w:tr w:rsidR="00FA684F" w:rsidRPr="001F7C17" w14:paraId="6F73D051" w14:textId="77777777" w:rsidTr="007A1DAD">
        <w:trPr>
          <w:trHeight w:val="283"/>
          <w:tblHeader/>
        </w:trPr>
        <w:tc>
          <w:tcPr>
            <w:tcW w:w="792" w:type="pct"/>
            <w:shd w:val="clear" w:color="auto" w:fill="BFBFBF" w:themeFill="background1" w:themeFillShade="BF"/>
            <w:vAlign w:val="center"/>
          </w:tcPr>
          <w:p w14:paraId="698AA7F4" w14:textId="77777777" w:rsidR="00FA684F" w:rsidRPr="001F7C17" w:rsidRDefault="00FA684F" w:rsidP="003A5434">
            <w:pPr>
              <w:jc w:val="center"/>
              <w:rPr>
                <w:rFonts w:cs="Arial"/>
                <w:sz w:val="18"/>
                <w:szCs w:val="18"/>
              </w:rPr>
            </w:pPr>
            <w:r w:rsidRPr="001F7C17">
              <w:rPr>
                <w:rFonts w:cs="Arial"/>
                <w:b/>
                <w:sz w:val="18"/>
                <w:szCs w:val="18"/>
              </w:rPr>
              <w:t>Project Stage</w:t>
            </w:r>
          </w:p>
        </w:tc>
        <w:tc>
          <w:tcPr>
            <w:tcW w:w="751" w:type="pct"/>
            <w:shd w:val="clear" w:color="auto" w:fill="BFBFBF" w:themeFill="background1" w:themeFillShade="BF"/>
            <w:vAlign w:val="center"/>
          </w:tcPr>
          <w:p w14:paraId="075A3C5F" w14:textId="77777777" w:rsidR="00FA684F" w:rsidRPr="001F7C17" w:rsidRDefault="00FA684F" w:rsidP="003A5434">
            <w:pPr>
              <w:jc w:val="center"/>
              <w:rPr>
                <w:rFonts w:cs="Arial"/>
                <w:b/>
                <w:sz w:val="18"/>
                <w:szCs w:val="18"/>
              </w:rPr>
            </w:pPr>
            <w:r w:rsidRPr="001F7C17">
              <w:rPr>
                <w:rFonts w:cs="Arial"/>
                <w:b/>
                <w:sz w:val="18"/>
                <w:szCs w:val="18"/>
              </w:rPr>
              <w:t>Estimated Date/Time Period</w:t>
            </w:r>
          </w:p>
        </w:tc>
        <w:tc>
          <w:tcPr>
            <w:tcW w:w="837" w:type="pct"/>
            <w:shd w:val="clear" w:color="auto" w:fill="BFBFBF" w:themeFill="background1" w:themeFillShade="BF"/>
            <w:vAlign w:val="center"/>
          </w:tcPr>
          <w:p w14:paraId="2BCABE3D" w14:textId="77777777" w:rsidR="00FA684F" w:rsidRPr="001F7C17" w:rsidRDefault="00FA684F" w:rsidP="003A5434">
            <w:pPr>
              <w:jc w:val="center"/>
              <w:rPr>
                <w:rFonts w:cs="Arial"/>
                <w:sz w:val="18"/>
                <w:szCs w:val="18"/>
              </w:rPr>
            </w:pPr>
            <w:r w:rsidRPr="001F7C17">
              <w:rPr>
                <w:rFonts w:cs="Arial"/>
                <w:b/>
                <w:sz w:val="18"/>
                <w:szCs w:val="18"/>
              </w:rPr>
              <w:t>Topic of Consultation/ Message</w:t>
            </w:r>
          </w:p>
        </w:tc>
        <w:tc>
          <w:tcPr>
            <w:tcW w:w="956" w:type="pct"/>
            <w:shd w:val="clear" w:color="auto" w:fill="BFBFBF" w:themeFill="background1" w:themeFillShade="BF"/>
            <w:vAlign w:val="center"/>
          </w:tcPr>
          <w:p w14:paraId="1BF0E6B4" w14:textId="77777777" w:rsidR="00FA684F" w:rsidRPr="001F7C17" w:rsidRDefault="00FA684F" w:rsidP="003A5434">
            <w:pPr>
              <w:jc w:val="center"/>
              <w:rPr>
                <w:rFonts w:cs="Arial"/>
                <w:sz w:val="18"/>
                <w:szCs w:val="18"/>
              </w:rPr>
            </w:pPr>
            <w:r w:rsidRPr="001F7C17">
              <w:rPr>
                <w:rFonts w:cs="Arial"/>
                <w:b/>
                <w:sz w:val="18"/>
                <w:szCs w:val="18"/>
              </w:rPr>
              <w:t>Method Used</w:t>
            </w:r>
          </w:p>
        </w:tc>
        <w:tc>
          <w:tcPr>
            <w:tcW w:w="757" w:type="pct"/>
            <w:shd w:val="clear" w:color="auto" w:fill="BFBFBF" w:themeFill="background1" w:themeFillShade="BF"/>
            <w:vAlign w:val="center"/>
          </w:tcPr>
          <w:p w14:paraId="03CF583E" w14:textId="77777777" w:rsidR="00FA684F" w:rsidRPr="001F7C17" w:rsidRDefault="00FA684F" w:rsidP="003A5434">
            <w:pPr>
              <w:jc w:val="center"/>
              <w:rPr>
                <w:rFonts w:cs="Arial"/>
                <w:sz w:val="18"/>
                <w:szCs w:val="18"/>
              </w:rPr>
            </w:pPr>
            <w:r w:rsidRPr="001F7C17">
              <w:rPr>
                <w:rFonts w:cs="Arial"/>
                <w:b/>
                <w:sz w:val="18"/>
                <w:szCs w:val="18"/>
              </w:rPr>
              <w:t>Target Stakeholders</w:t>
            </w:r>
          </w:p>
        </w:tc>
        <w:tc>
          <w:tcPr>
            <w:tcW w:w="907" w:type="pct"/>
            <w:shd w:val="clear" w:color="auto" w:fill="BFBFBF" w:themeFill="background1" w:themeFillShade="BF"/>
            <w:vAlign w:val="center"/>
          </w:tcPr>
          <w:p w14:paraId="4478F5A0" w14:textId="77777777" w:rsidR="00FA684F" w:rsidRPr="001F7C17" w:rsidRDefault="00FA684F" w:rsidP="003A5434">
            <w:pPr>
              <w:jc w:val="center"/>
              <w:rPr>
                <w:rFonts w:cs="Arial"/>
                <w:sz w:val="18"/>
                <w:szCs w:val="18"/>
              </w:rPr>
            </w:pPr>
            <w:r w:rsidRPr="001F7C17">
              <w:rPr>
                <w:rFonts w:cs="Arial"/>
                <w:b/>
                <w:sz w:val="18"/>
                <w:szCs w:val="18"/>
              </w:rPr>
              <w:t>Responsibilities</w:t>
            </w:r>
          </w:p>
        </w:tc>
      </w:tr>
      <w:tr w:rsidR="00A5694D" w:rsidRPr="001F7C17" w14:paraId="19DCFD70" w14:textId="77777777" w:rsidTr="007A1DAD">
        <w:trPr>
          <w:trHeight w:val="283"/>
        </w:trPr>
        <w:tc>
          <w:tcPr>
            <w:tcW w:w="792" w:type="pct"/>
            <w:tcBorders>
              <w:top w:val="nil"/>
              <w:left w:val="nil"/>
              <w:right w:val="nil"/>
            </w:tcBorders>
          </w:tcPr>
          <w:p w14:paraId="490BA16C" w14:textId="77777777" w:rsidR="00A5694D" w:rsidRPr="001F7C17" w:rsidRDefault="00A5694D" w:rsidP="00A5694D">
            <w:pPr>
              <w:rPr>
                <w:rFonts w:cs="Arial"/>
                <w:sz w:val="18"/>
                <w:szCs w:val="18"/>
              </w:rPr>
            </w:pPr>
            <w:r w:rsidRPr="007A5B8E">
              <w:t>Pre-Appraisal Consultation</w:t>
            </w:r>
          </w:p>
        </w:tc>
        <w:tc>
          <w:tcPr>
            <w:tcW w:w="751" w:type="pct"/>
            <w:tcBorders>
              <w:top w:val="nil"/>
              <w:left w:val="nil"/>
              <w:right w:val="nil"/>
            </w:tcBorders>
          </w:tcPr>
          <w:p w14:paraId="5E3C7896" w14:textId="77777777" w:rsidR="00A5694D" w:rsidRPr="001F7C17" w:rsidRDefault="00A5694D" w:rsidP="00A5694D">
            <w:pPr>
              <w:rPr>
                <w:rFonts w:cs="Arial"/>
                <w:i/>
                <w:sz w:val="18"/>
                <w:szCs w:val="18"/>
              </w:rPr>
            </w:pPr>
            <w:r w:rsidRPr="007A5B8E">
              <w:t>Q</w:t>
            </w:r>
            <w:r w:rsidR="00A27093">
              <w:t>3</w:t>
            </w:r>
            <w:r w:rsidRPr="007A5B8E">
              <w:t>–Q</w:t>
            </w:r>
            <w:r w:rsidR="00A27093">
              <w:t>4</w:t>
            </w:r>
            <w:r w:rsidRPr="007A5B8E">
              <w:t xml:space="preserve"> 202</w:t>
            </w:r>
            <w:r w:rsidR="00A27093">
              <w:t>4</w:t>
            </w:r>
          </w:p>
        </w:tc>
        <w:tc>
          <w:tcPr>
            <w:tcW w:w="837" w:type="pct"/>
            <w:tcBorders>
              <w:top w:val="nil"/>
              <w:left w:val="nil"/>
              <w:right w:val="nil"/>
            </w:tcBorders>
          </w:tcPr>
          <w:p w14:paraId="50EAEFDA" w14:textId="77777777" w:rsidR="00A5694D" w:rsidRPr="001F7C17" w:rsidRDefault="00A5694D" w:rsidP="00A5694D">
            <w:pPr>
              <w:rPr>
                <w:rFonts w:cs="Arial"/>
                <w:sz w:val="18"/>
                <w:szCs w:val="18"/>
              </w:rPr>
            </w:pPr>
            <w:r w:rsidRPr="007A5B8E">
              <w:t>Introduce project objectives, PDO, ESIA, ESMP, RP, LMP, ECSP; raise stakeholder awareness and disclosure</w:t>
            </w:r>
          </w:p>
        </w:tc>
        <w:tc>
          <w:tcPr>
            <w:tcW w:w="956" w:type="pct"/>
            <w:tcBorders>
              <w:top w:val="nil"/>
              <w:left w:val="nil"/>
              <w:right w:val="nil"/>
            </w:tcBorders>
          </w:tcPr>
          <w:p w14:paraId="60006479" w14:textId="77777777" w:rsidR="00A5694D" w:rsidRPr="001F7C17" w:rsidRDefault="00A5694D" w:rsidP="00A5694D">
            <w:pPr>
              <w:rPr>
                <w:rFonts w:cs="Arial"/>
                <w:sz w:val="18"/>
                <w:szCs w:val="18"/>
              </w:rPr>
            </w:pPr>
            <w:r w:rsidRPr="007A5B8E">
              <w:t>Meetings, Public Notices</w:t>
            </w:r>
          </w:p>
        </w:tc>
        <w:tc>
          <w:tcPr>
            <w:tcW w:w="757" w:type="pct"/>
            <w:tcBorders>
              <w:top w:val="nil"/>
              <w:left w:val="nil"/>
              <w:right w:val="nil"/>
            </w:tcBorders>
          </w:tcPr>
          <w:p w14:paraId="0A1B4D7A" w14:textId="77777777" w:rsidR="00A5694D" w:rsidRPr="001F7C17" w:rsidRDefault="00A5694D" w:rsidP="00A5694D">
            <w:pPr>
              <w:rPr>
                <w:rFonts w:cs="Arial"/>
                <w:sz w:val="18"/>
                <w:szCs w:val="18"/>
              </w:rPr>
            </w:pPr>
            <w:r w:rsidRPr="007A5B8E">
              <w:t>Government agencies (MAFWM, Forest Administration), local communities, private wood processing firms, NGOs</w:t>
            </w:r>
          </w:p>
        </w:tc>
        <w:tc>
          <w:tcPr>
            <w:tcW w:w="907" w:type="pct"/>
            <w:tcBorders>
              <w:top w:val="nil"/>
              <w:left w:val="nil"/>
              <w:right w:val="nil"/>
            </w:tcBorders>
          </w:tcPr>
          <w:p w14:paraId="5477FACA" w14:textId="77777777" w:rsidR="00A5694D" w:rsidRPr="001F7C17" w:rsidRDefault="00A27093" w:rsidP="00A5694D">
            <w:pPr>
              <w:rPr>
                <w:rFonts w:cs="Arial"/>
                <w:sz w:val="18"/>
                <w:szCs w:val="18"/>
              </w:rPr>
            </w:pPr>
            <w:r>
              <w:t>WB and MAFWM</w:t>
            </w:r>
            <w:r w:rsidR="00A5694D" w:rsidRPr="007A5B8E">
              <w:t xml:space="preserve"> organizes, facilitates, and documents consultations; ensures disclosure of key documents; prepares consultation reports</w:t>
            </w:r>
          </w:p>
        </w:tc>
      </w:tr>
      <w:tr w:rsidR="00A5694D" w:rsidRPr="001F7C17" w14:paraId="2FFE886B" w14:textId="77777777" w:rsidTr="001E0D3D">
        <w:trPr>
          <w:trHeight w:val="283"/>
        </w:trPr>
        <w:tc>
          <w:tcPr>
            <w:tcW w:w="792" w:type="pct"/>
          </w:tcPr>
          <w:p w14:paraId="4DF3744C" w14:textId="77777777" w:rsidR="00A5694D" w:rsidRPr="001F7C17" w:rsidRDefault="00A5694D" w:rsidP="00A5694D">
            <w:pPr>
              <w:rPr>
                <w:rFonts w:cs="Arial"/>
                <w:sz w:val="18"/>
                <w:szCs w:val="18"/>
              </w:rPr>
            </w:pPr>
            <w:r w:rsidRPr="007A5B8E">
              <w:t>Project Preparation / Early Engagement</w:t>
            </w:r>
          </w:p>
        </w:tc>
        <w:tc>
          <w:tcPr>
            <w:tcW w:w="751" w:type="pct"/>
          </w:tcPr>
          <w:p w14:paraId="0FC173CF" w14:textId="77777777" w:rsidR="00A5694D" w:rsidRPr="001F7C17" w:rsidRDefault="00A5694D" w:rsidP="00A5694D">
            <w:pPr>
              <w:rPr>
                <w:rFonts w:cs="Arial"/>
                <w:sz w:val="18"/>
                <w:szCs w:val="18"/>
              </w:rPr>
            </w:pPr>
            <w:r w:rsidRPr="007A5B8E">
              <w:t>Q</w:t>
            </w:r>
            <w:r w:rsidR="00A27093">
              <w:t>1</w:t>
            </w:r>
            <w:r w:rsidRPr="007A5B8E">
              <w:t>–Q</w:t>
            </w:r>
            <w:r w:rsidR="00A27093">
              <w:t>2</w:t>
            </w:r>
            <w:r w:rsidRPr="007A5B8E">
              <w:t xml:space="preserve"> 202</w:t>
            </w:r>
            <w:r w:rsidR="00A27093">
              <w:t>5</w:t>
            </w:r>
          </w:p>
        </w:tc>
        <w:tc>
          <w:tcPr>
            <w:tcW w:w="837" w:type="pct"/>
          </w:tcPr>
          <w:p w14:paraId="0B848AC5" w14:textId="77777777" w:rsidR="00A5694D" w:rsidRPr="001F7C17" w:rsidRDefault="00A5694D" w:rsidP="00A5694D">
            <w:pPr>
              <w:rPr>
                <w:rFonts w:cs="Arial"/>
                <w:sz w:val="18"/>
                <w:szCs w:val="18"/>
              </w:rPr>
            </w:pPr>
            <w:r w:rsidRPr="007A5B8E">
              <w:t>Overview of key components, governance, traceability systems, SOE operationalization, adoption of SFM practices</w:t>
            </w:r>
          </w:p>
        </w:tc>
        <w:tc>
          <w:tcPr>
            <w:tcW w:w="956" w:type="pct"/>
          </w:tcPr>
          <w:p w14:paraId="76CC4E60" w14:textId="77777777" w:rsidR="00A5694D" w:rsidRPr="001F7C17" w:rsidRDefault="00A5694D" w:rsidP="00A5694D">
            <w:pPr>
              <w:rPr>
                <w:rFonts w:cs="Arial"/>
                <w:sz w:val="18"/>
                <w:szCs w:val="18"/>
              </w:rPr>
            </w:pPr>
            <w:r w:rsidRPr="007A5B8E">
              <w:t>Meetings, Demonstrations</w:t>
            </w:r>
          </w:p>
        </w:tc>
        <w:tc>
          <w:tcPr>
            <w:tcW w:w="757" w:type="pct"/>
          </w:tcPr>
          <w:p w14:paraId="16E7BC87" w14:textId="77777777" w:rsidR="00A5694D" w:rsidRPr="001F7C17" w:rsidRDefault="00A5694D" w:rsidP="00A5694D">
            <w:pPr>
              <w:rPr>
                <w:rFonts w:cs="Arial"/>
                <w:b/>
                <w:bCs/>
                <w:sz w:val="18"/>
                <w:szCs w:val="18"/>
              </w:rPr>
            </w:pPr>
            <w:r w:rsidRPr="007A5B8E">
              <w:t xml:space="preserve">Government agencies, MONSTAT, </w:t>
            </w:r>
            <w:r w:rsidR="00A27093">
              <w:t>Biotechnical Faculty</w:t>
            </w:r>
            <w:r w:rsidRPr="007A5B8E">
              <w:t xml:space="preserve">, </w:t>
            </w:r>
            <w:r w:rsidR="00A27093">
              <w:t xml:space="preserve">Development Bank of Montenegro, </w:t>
            </w:r>
            <w:r w:rsidRPr="007A5B8E">
              <w:t>SMEs</w:t>
            </w:r>
          </w:p>
        </w:tc>
        <w:tc>
          <w:tcPr>
            <w:tcW w:w="907" w:type="pct"/>
          </w:tcPr>
          <w:p w14:paraId="53384010" w14:textId="77777777" w:rsidR="00A5694D" w:rsidRPr="001F7C17" w:rsidRDefault="00A27093" w:rsidP="00A5694D">
            <w:pPr>
              <w:rPr>
                <w:rFonts w:cs="Arial"/>
                <w:sz w:val="18"/>
                <w:szCs w:val="18"/>
              </w:rPr>
            </w:pPr>
            <w:r>
              <w:t>WB and MAFWM</w:t>
            </w:r>
            <w:r w:rsidR="00A5694D" w:rsidRPr="007A5B8E">
              <w:t xml:space="preserve"> with technical experts </w:t>
            </w:r>
            <w:r w:rsidRPr="007A5B8E">
              <w:t>lead</w:t>
            </w:r>
            <w:r w:rsidR="00A5694D" w:rsidRPr="007A5B8E">
              <w:t xml:space="preserve"> consultations and gathers feedback; coordinates with ministries and stakeholders; documents inputs and recommendations</w:t>
            </w:r>
          </w:p>
        </w:tc>
      </w:tr>
      <w:tr w:rsidR="00A5694D" w:rsidRPr="001F7C17" w14:paraId="33DF3742" w14:textId="77777777" w:rsidTr="007A1DAD">
        <w:trPr>
          <w:trHeight w:val="283"/>
        </w:trPr>
        <w:tc>
          <w:tcPr>
            <w:tcW w:w="792" w:type="pct"/>
            <w:tcBorders>
              <w:top w:val="nil"/>
              <w:left w:val="nil"/>
              <w:right w:val="nil"/>
            </w:tcBorders>
          </w:tcPr>
          <w:p w14:paraId="52C44C35" w14:textId="77777777" w:rsidR="00A5694D" w:rsidRPr="001F7C17" w:rsidRDefault="00A5694D" w:rsidP="00A5694D">
            <w:pPr>
              <w:rPr>
                <w:rFonts w:cs="Arial"/>
                <w:sz w:val="18"/>
                <w:szCs w:val="18"/>
              </w:rPr>
            </w:pPr>
            <w:r w:rsidRPr="007A5B8E">
              <w:t>Detailed Design Consultation</w:t>
            </w:r>
          </w:p>
        </w:tc>
        <w:tc>
          <w:tcPr>
            <w:tcW w:w="751" w:type="pct"/>
            <w:tcBorders>
              <w:top w:val="nil"/>
              <w:left w:val="nil"/>
              <w:right w:val="nil"/>
            </w:tcBorders>
          </w:tcPr>
          <w:p w14:paraId="4FAC7734" w14:textId="77777777" w:rsidR="00A5694D" w:rsidRPr="001F7C17" w:rsidRDefault="00A27093" w:rsidP="00A5694D">
            <w:pPr>
              <w:rPr>
                <w:rFonts w:cs="Arial"/>
                <w:sz w:val="18"/>
                <w:szCs w:val="18"/>
              </w:rPr>
            </w:pPr>
            <w:r w:rsidRPr="00A27093">
              <w:t>Q</w:t>
            </w:r>
            <w:r>
              <w:t>3</w:t>
            </w:r>
            <w:r w:rsidRPr="00A27093">
              <w:t>–</w:t>
            </w:r>
            <w:r w:rsidR="00A5694D" w:rsidRPr="007A5B8E">
              <w:t>Q4 202</w:t>
            </w:r>
            <w:r>
              <w:t>5</w:t>
            </w:r>
          </w:p>
        </w:tc>
        <w:tc>
          <w:tcPr>
            <w:tcW w:w="837" w:type="pct"/>
            <w:tcBorders>
              <w:top w:val="nil"/>
              <w:left w:val="nil"/>
              <w:right w:val="nil"/>
            </w:tcBorders>
          </w:tcPr>
          <w:p w14:paraId="2665D996" w14:textId="77777777" w:rsidR="00A5694D" w:rsidRPr="001F7C17" w:rsidRDefault="00A5694D" w:rsidP="00A5694D">
            <w:pPr>
              <w:rPr>
                <w:rFonts w:cs="Arial"/>
                <w:sz w:val="18"/>
                <w:szCs w:val="18"/>
              </w:rPr>
            </w:pPr>
            <w:r w:rsidRPr="007A5B8E">
              <w:t>RP/SEP consultation after detailed design; ESCP shared for orientation on government commitments</w:t>
            </w:r>
          </w:p>
        </w:tc>
        <w:tc>
          <w:tcPr>
            <w:tcW w:w="956" w:type="pct"/>
            <w:tcBorders>
              <w:top w:val="nil"/>
              <w:left w:val="nil"/>
              <w:right w:val="nil"/>
            </w:tcBorders>
          </w:tcPr>
          <w:p w14:paraId="2C592536" w14:textId="77777777" w:rsidR="00A5694D" w:rsidRPr="001F7C17" w:rsidRDefault="00A27093" w:rsidP="00A5694D">
            <w:pPr>
              <w:rPr>
                <w:rFonts w:cs="Arial"/>
                <w:sz w:val="18"/>
                <w:szCs w:val="18"/>
              </w:rPr>
            </w:pPr>
            <w:r w:rsidRPr="007A5B8E">
              <w:t xml:space="preserve">Meetings, </w:t>
            </w:r>
            <w:r w:rsidR="00A5694D" w:rsidRPr="007A5B8E">
              <w:t>Focus Groups, Public Notices</w:t>
            </w:r>
          </w:p>
        </w:tc>
        <w:tc>
          <w:tcPr>
            <w:tcW w:w="757" w:type="pct"/>
            <w:tcBorders>
              <w:top w:val="nil"/>
              <w:left w:val="nil"/>
              <w:right w:val="nil"/>
            </w:tcBorders>
          </w:tcPr>
          <w:p w14:paraId="72F55AA9" w14:textId="77777777" w:rsidR="00A5694D" w:rsidRPr="001F7C17" w:rsidRDefault="00A27093" w:rsidP="00A5694D">
            <w:pPr>
              <w:rPr>
                <w:rFonts w:cs="Arial"/>
                <w:b/>
                <w:bCs/>
                <w:sz w:val="18"/>
                <w:szCs w:val="18"/>
              </w:rPr>
            </w:pPr>
            <w:r>
              <w:t>Forestry institutions</w:t>
            </w:r>
            <w:r w:rsidR="00A5694D" w:rsidRPr="007A5B8E">
              <w:t>, SMEs, relevant ministries</w:t>
            </w:r>
          </w:p>
        </w:tc>
        <w:tc>
          <w:tcPr>
            <w:tcW w:w="907" w:type="pct"/>
            <w:tcBorders>
              <w:top w:val="nil"/>
              <w:left w:val="nil"/>
              <w:right w:val="nil"/>
            </w:tcBorders>
          </w:tcPr>
          <w:p w14:paraId="49A401A0" w14:textId="77777777" w:rsidR="00A5694D" w:rsidRPr="001F7C17" w:rsidRDefault="00A27093" w:rsidP="00A5694D">
            <w:pPr>
              <w:rPr>
                <w:rFonts w:cs="Arial"/>
                <w:sz w:val="18"/>
                <w:szCs w:val="18"/>
              </w:rPr>
            </w:pPr>
            <w:r>
              <w:t>WB and MAFWM</w:t>
            </w:r>
            <w:r w:rsidRPr="007A5B8E">
              <w:t xml:space="preserve"> with technical experts lead consultations and gathers feedback; coordinates with ministries and stakeholders; documents inputs and recommendations</w:t>
            </w:r>
          </w:p>
        </w:tc>
      </w:tr>
      <w:tr w:rsidR="00A5694D" w:rsidRPr="001F7C17" w14:paraId="27002836" w14:textId="77777777" w:rsidTr="001E0D3D">
        <w:trPr>
          <w:trHeight w:val="283"/>
        </w:trPr>
        <w:tc>
          <w:tcPr>
            <w:tcW w:w="792" w:type="pct"/>
            <w:vAlign w:val="center"/>
          </w:tcPr>
          <w:p w14:paraId="1557BA8B" w14:textId="77777777" w:rsidR="00A5694D" w:rsidRPr="00A5694D" w:rsidRDefault="00A5694D" w:rsidP="00A5694D">
            <w:pPr>
              <w:rPr>
                <w:rFonts w:cstheme="minorHAnsi"/>
                <w:sz w:val="20"/>
                <w:szCs w:val="20"/>
              </w:rPr>
            </w:pPr>
            <w:r w:rsidRPr="00C30865">
              <w:rPr>
                <w:rFonts w:eastAsia="Times New Roman" w:cstheme="minorHAnsi"/>
                <w:sz w:val="20"/>
                <w:szCs w:val="20"/>
              </w:rPr>
              <w:t>Project Implementation (Ongoing)</w:t>
            </w:r>
          </w:p>
        </w:tc>
        <w:tc>
          <w:tcPr>
            <w:tcW w:w="751" w:type="pct"/>
            <w:vAlign w:val="center"/>
          </w:tcPr>
          <w:p w14:paraId="619C189F" w14:textId="7D7C0842" w:rsidR="00A5694D" w:rsidRPr="00A5694D" w:rsidRDefault="00A5694D" w:rsidP="00A5694D">
            <w:pPr>
              <w:rPr>
                <w:rFonts w:cstheme="minorHAnsi"/>
                <w:sz w:val="20"/>
                <w:szCs w:val="20"/>
              </w:rPr>
            </w:pPr>
            <w:r w:rsidRPr="00C30865">
              <w:rPr>
                <w:rFonts w:eastAsia="Times New Roman" w:cstheme="minorHAnsi"/>
                <w:sz w:val="20"/>
                <w:szCs w:val="20"/>
              </w:rPr>
              <w:t>202</w:t>
            </w:r>
            <w:r w:rsidR="00EC0036">
              <w:rPr>
                <w:rFonts w:eastAsia="Times New Roman" w:cstheme="minorHAnsi"/>
                <w:sz w:val="20"/>
                <w:szCs w:val="20"/>
              </w:rPr>
              <w:t>6</w:t>
            </w:r>
            <w:r w:rsidRPr="00C30865">
              <w:rPr>
                <w:rFonts w:eastAsia="Times New Roman" w:cstheme="minorHAnsi"/>
                <w:sz w:val="20"/>
                <w:szCs w:val="20"/>
              </w:rPr>
              <w:t>–203</w:t>
            </w:r>
            <w:r w:rsidR="00B92D7E">
              <w:rPr>
                <w:rFonts w:eastAsia="Times New Roman" w:cstheme="minorHAnsi"/>
                <w:sz w:val="20"/>
                <w:szCs w:val="20"/>
              </w:rPr>
              <w:t>2</w:t>
            </w:r>
          </w:p>
        </w:tc>
        <w:tc>
          <w:tcPr>
            <w:tcW w:w="837" w:type="pct"/>
            <w:vAlign w:val="center"/>
          </w:tcPr>
          <w:p w14:paraId="3C697975" w14:textId="77777777" w:rsidR="00A5694D" w:rsidRPr="00A5694D" w:rsidRDefault="00A5694D" w:rsidP="00A5694D">
            <w:pPr>
              <w:rPr>
                <w:rFonts w:cstheme="minorHAnsi"/>
                <w:sz w:val="20"/>
                <w:szCs w:val="20"/>
              </w:rPr>
            </w:pPr>
            <w:r w:rsidRPr="00C30865">
              <w:rPr>
                <w:rFonts w:eastAsia="Times New Roman" w:cstheme="minorHAnsi"/>
                <w:sz w:val="20"/>
                <w:szCs w:val="20"/>
              </w:rPr>
              <w:t xml:space="preserve">Updates on project activities, monitoring, grievance redress, social </w:t>
            </w:r>
            <w:r w:rsidRPr="00C30865">
              <w:rPr>
                <w:rFonts w:eastAsia="Times New Roman" w:cstheme="minorHAnsi"/>
                <w:sz w:val="20"/>
                <w:szCs w:val="20"/>
              </w:rPr>
              <w:lastRenderedPageBreak/>
              <w:t>&amp; environmental compliance</w:t>
            </w:r>
          </w:p>
        </w:tc>
        <w:tc>
          <w:tcPr>
            <w:tcW w:w="956" w:type="pct"/>
            <w:vAlign w:val="center"/>
          </w:tcPr>
          <w:p w14:paraId="35655459" w14:textId="77777777" w:rsidR="00A5694D" w:rsidRPr="00A5694D" w:rsidRDefault="00A5694D" w:rsidP="00A5694D">
            <w:pPr>
              <w:rPr>
                <w:rFonts w:cstheme="minorHAnsi"/>
                <w:sz w:val="20"/>
                <w:szCs w:val="20"/>
              </w:rPr>
            </w:pPr>
            <w:r w:rsidRPr="00C30865">
              <w:rPr>
                <w:rFonts w:eastAsia="Times New Roman" w:cstheme="minorHAnsi"/>
                <w:sz w:val="20"/>
                <w:szCs w:val="20"/>
              </w:rPr>
              <w:lastRenderedPageBreak/>
              <w:t xml:space="preserve">Quarterly meetings (construction phase), Biannual meetings (early </w:t>
            </w:r>
            <w:r w:rsidRPr="00C30865">
              <w:rPr>
                <w:rFonts w:eastAsia="Times New Roman" w:cstheme="minorHAnsi"/>
                <w:sz w:val="20"/>
                <w:szCs w:val="20"/>
              </w:rPr>
              <w:lastRenderedPageBreak/>
              <w:t>project stages), Site visits, Citizen engagement surveys</w:t>
            </w:r>
          </w:p>
        </w:tc>
        <w:tc>
          <w:tcPr>
            <w:tcW w:w="757" w:type="pct"/>
            <w:vAlign w:val="center"/>
          </w:tcPr>
          <w:p w14:paraId="0B61A1D1" w14:textId="77777777" w:rsidR="00A5694D" w:rsidRPr="00A5694D" w:rsidRDefault="00A5694D" w:rsidP="00A5694D">
            <w:pPr>
              <w:rPr>
                <w:rFonts w:cstheme="minorHAnsi"/>
                <w:b/>
                <w:bCs/>
                <w:sz w:val="20"/>
                <w:szCs w:val="20"/>
              </w:rPr>
            </w:pPr>
            <w:r w:rsidRPr="00C30865">
              <w:rPr>
                <w:rFonts w:eastAsia="Times New Roman" w:cstheme="minorHAnsi"/>
                <w:sz w:val="20"/>
                <w:szCs w:val="20"/>
              </w:rPr>
              <w:lastRenderedPageBreak/>
              <w:t xml:space="preserve">All stakeholders including local </w:t>
            </w:r>
            <w:r w:rsidRPr="00C30865">
              <w:rPr>
                <w:rFonts w:eastAsia="Times New Roman" w:cstheme="minorHAnsi"/>
                <w:sz w:val="20"/>
                <w:szCs w:val="20"/>
              </w:rPr>
              <w:lastRenderedPageBreak/>
              <w:t>communities, SMEs, government agencies</w:t>
            </w:r>
          </w:p>
        </w:tc>
        <w:tc>
          <w:tcPr>
            <w:tcW w:w="907" w:type="pct"/>
            <w:vAlign w:val="center"/>
          </w:tcPr>
          <w:p w14:paraId="3B898D57" w14:textId="77777777" w:rsidR="00A5694D" w:rsidRPr="00A5694D" w:rsidRDefault="00A5694D" w:rsidP="00A5694D">
            <w:pPr>
              <w:rPr>
                <w:rFonts w:cstheme="minorHAnsi"/>
                <w:sz w:val="20"/>
                <w:szCs w:val="20"/>
              </w:rPr>
            </w:pPr>
            <w:r w:rsidRPr="00C30865">
              <w:rPr>
                <w:rFonts w:eastAsia="Times New Roman" w:cstheme="minorHAnsi"/>
                <w:sz w:val="20"/>
                <w:szCs w:val="20"/>
              </w:rPr>
              <w:lastRenderedPageBreak/>
              <w:t xml:space="preserve">PIU coordinates consultations, monitors activities, collects </w:t>
            </w:r>
            <w:r w:rsidRPr="00C30865">
              <w:rPr>
                <w:rFonts w:eastAsia="Times New Roman" w:cstheme="minorHAnsi"/>
                <w:sz w:val="20"/>
                <w:szCs w:val="20"/>
              </w:rPr>
              <w:lastRenderedPageBreak/>
              <w:t>feedback, reports to PSC, ensures grievance redress and communication of project updates</w:t>
            </w:r>
          </w:p>
        </w:tc>
      </w:tr>
      <w:tr w:rsidR="00A5694D" w:rsidRPr="001F7C17" w14:paraId="1956BDB0" w14:textId="77777777" w:rsidTr="001E0D3D">
        <w:trPr>
          <w:trHeight w:val="283"/>
        </w:trPr>
        <w:tc>
          <w:tcPr>
            <w:tcW w:w="792" w:type="pct"/>
            <w:vAlign w:val="center"/>
          </w:tcPr>
          <w:p w14:paraId="4C135EC8" w14:textId="77777777" w:rsidR="00A5694D" w:rsidRPr="00A5694D" w:rsidRDefault="00A5694D" w:rsidP="00A5694D">
            <w:pPr>
              <w:rPr>
                <w:rFonts w:cstheme="minorHAnsi"/>
                <w:sz w:val="20"/>
                <w:szCs w:val="20"/>
              </w:rPr>
            </w:pPr>
            <w:r w:rsidRPr="00C30865">
              <w:rPr>
                <w:rFonts w:eastAsia="Times New Roman" w:cstheme="minorHAnsi"/>
                <w:sz w:val="20"/>
                <w:szCs w:val="20"/>
              </w:rPr>
              <w:lastRenderedPageBreak/>
              <w:t>Mid-term Review</w:t>
            </w:r>
          </w:p>
        </w:tc>
        <w:tc>
          <w:tcPr>
            <w:tcW w:w="751" w:type="pct"/>
            <w:vAlign w:val="center"/>
          </w:tcPr>
          <w:p w14:paraId="1E27FD38" w14:textId="77777777" w:rsidR="00A5694D" w:rsidRPr="00A5694D" w:rsidRDefault="00A5694D" w:rsidP="00A5694D">
            <w:pPr>
              <w:rPr>
                <w:rFonts w:cstheme="minorHAnsi"/>
                <w:sz w:val="20"/>
                <w:szCs w:val="20"/>
              </w:rPr>
            </w:pPr>
            <w:r w:rsidRPr="00C30865">
              <w:rPr>
                <w:rFonts w:eastAsia="Times New Roman" w:cstheme="minorHAnsi"/>
                <w:sz w:val="20"/>
                <w:szCs w:val="20"/>
              </w:rPr>
              <w:t>2028</w:t>
            </w:r>
          </w:p>
        </w:tc>
        <w:tc>
          <w:tcPr>
            <w:tcW w:w="837" w:type="pct"/>
            <w:vAlign w:val="center"/>
          </w:tcPr>
          <w:p w14:paraId="7F2A09A8" w14:textId="77777777" w:rsidR="00A5694D" w:rsidRPr="00A5694D" w:rsidRDefault="00A5694D" w:rsidP="00A5694D">
            <w:pPr>
              <w:rPr>
                <w:rFonts w:cstheme="minorHAnsi"/>
                <w:sz w:val="20"/>
                <w:szCs w:val="20"/>
              </w:rPr>
            </w:pPr>
            <w:r w:rsidRPr="00C30865">
              <w:rPr>
                <w:rFonts w:eastAsia="Times New Roman" w:cstheme="minorHAnsi"/>
                <w:sz w:val="20"/>
                <w:szCs w:val="20"/>
              </w:rPr>
              <w:t>Evaluation of PDO indicators, stakeholder feedback, course corrections</w:t>
            </w:r>
          </w:p>
        </w:tc>
        <w:tc>
          <w:tcPr>
            <w:tcW w:w="956" w:type="pct"/>
            <w:vAlign w:val="center"/>
          </w:tcPr>
          <w:p w14:paraId="0AC17AB4" w14:textId="77777777" w:rsidR="00A5694D" w:rsidRPr="00A5694D" w:rsidRDefault="00A5694D" w:rsidP="00A5694D">
            <w:pPr>
              <w:rPr>
                <w:rFonts w:cstheme="minorHAnsi"/>
                <w:sz w:val="20"/>
                <w:szCs w:val="20"/>
              </w:rPr>
            </w:pPr>
            <w:r w:rsidRPr="00C30865">
              <w:rPr>
                <w:rFonts w:eastAsia="Times New Roman" w:cstheme="minorHAnsi"/>
                <w:sz w:val="20"/>
                <w:szCs w:val="20"/>
              </w:rPr>
              <w:t>Workshops, Surveys, Focus Groups</w:t>
            </w:r>
          </w:p>
        </w:tc>
        <w:tc>
          <w:tcPr>
            <w:tcW w:w="757" w:type="pct"/>
            <w:vAlign w:val="center"/>
          </w:tcPr>
          <w:p w14:paraId="3B8D0ADB" w14:textId="77777777" w:rsidR="00A5694D" w:rsidRPr="00A5694D" w:rsidRDefault="00A5694D" w:rsidP="00A5694D">
            <w:pPr>
              <w:rPr>
                <w:rFonts w:cstheme="minorHAnsi"/>
                <w:b/>
                <w:bCs/>
                <w:sz w:val="20"/>
                <w:szCs w:val="20"/>
              </w:rPr>
            </w:pPr>
            <w:r w:rsidRPr="00C30865">
              <w:rPr>
                <w:rFonts w:eastAsia="Times New Roman" w:cstheme="minorHAnsi"/>
                <w:sz w:val="20"/>
                <w:szCs w:val="20"/>
              </w:rPr>
              <w:t>Government agencies, SMEs, local communities, NGOs</w:t>
            </w:r>
          </w:p>
        </w:tc>
        <w:tc>
          <w:tcPr>
            <w:tcW w:w="907" w:type="pct"/>
            <w:vAlign w:val="center"/>
          </w:tcPr>
          <w:p w14:paraId="2CE647A1" w14:textId="77777777" w:rsidR="00A5694D" w:rsidRPr="00A5694D" w:rsidRDefault="00A5694D" w:rsidP="00A5694D">
            <w:pPr>
              <w:rPr>
                <w:rFonts w:cstheme="minorHAnsi"/>
                <w:sz w:val="20"/>
                <w:szCs w:val="20"/>
              </w:rPr>
            </w:pPr>
            <w:r w:rsidRPr="00C30865">
              <w:rPr>
                <w:rFonts w:eastAsia="Times New Roman" w:cstheme="minorHAnsi"/>
                <w:sz w:val="20"/>
                <w:szCs w:val="20"/>
              </w:rPr>
              <w:t>PIU with external consultants analyzes results, integrates stakeholder feedback, recommends adjustments to project activities</w:t>
            </w:r>
          </w:p>
        </w:tc>
      </w:tr>
      <w:tr w:rsidR="00A5694D" w:rsidRPr="001F7C17" w14:paraId="6AB46323" w14:textId="77777777" w:rsidTr="001E0D3D">
        <w:trPr>
          <w:trHeight w:val="283"/>
        </w:trPr>
        <w:tc>
          <w:tcPr>
            <w:tcW w:w="792" w:type="pct"/>
            <w:vAlign w:val="center"/>
          </w:tcPr>
          <w:p w14:paraId="2FB7C661" w14:textId="77777777" w:rsidR="00A5694D" w:rsidRPr="00A5694D" w:rsidRDefault="00A5694D" w:rsidP="00A5694D">
            <w:pPr>
              <w:rPr>
                <w:rFonts w:cstheme="minorHAnsi"/>
                <w:sz w:val="20"/>
                <w:szCs w:val="20"/>
              </w:rPr>
            </w:pPr>
            <w:r w:rsidRPr="00C30865">
              <w:rPr>
                <w:rFonts w:eastAsia="Times New Roman" w:cstheme="minorHAnsi"/>
                <w:sz w:val="20"/>
                <w:szCs w:val="20"/>
              </w:rPr>
              <w:t>Project Closure</w:t>
            </w:r>
          </w:p>
        </w:tc>
        <w:tc>
          <w:tcPr>
            <w:tcW w:w="751" w:type="pct"/>
            <w:vAlign w:val="center"/>
          </w:tcPr>
          <w:p w14:paraId="38424EFB" w14:textId="1A55BBC6" w:rsidR="00A5694D" w:rsidRPr="00A5694D" w:rsidRDefault="00A5694D" w:rsidP="00A5694D">
            <w:pPr>
              <w:rPr>
                <w:rFonts w:cstheme="minorHAnsi"/>
                <w:sz w:val="20"/>
                <w:szCs w:val="20"/>
              </w:rPr>
            </w:pPr>
            <w:r w:rsidRPr="00C30865">
              <w:rPr>
                <w:rFonts w:eastAsia="Times New Roman" w:cstheme="minorHAnsi"/>
                <w:sz w:val="20"/>
                <w:szCs w:val="20"/>
              </w:rPr>
              <w:t>203</w:t>
            </w:r>
            <w:r w:rsidR="00B92D7E">
              <w:rPr>
                <w:rFonts w:eastAsia="Times New Roman" w:cstheme="minorHAnsi"/>
                <w:sz w:val="20"/>
                <w:szCs w:val="20"/>
              </w:rPr>
              <w:t>2</w:t>
            </w:r>
          </w:p>
        </w:tc>
        <w:tc>
          <w:tcPr>
            <w:tcW w:w="837" w:type="pct"/>
            <w:vAlign w:val="center"/>
          </w:tcPr>
          <w:p w14:paraId="62DCC18F" w14:textId="77777777" w:rsidR="00A5694D" w:rsidRPr="00A5694D" w:rsidRDefault="00A5694D" w:rsidP="00A5694D">
            <w:pPr>
              <w:rPr>
                <w:rFonts w:cstheme="minorHAnsi"/>
                <w:sz w:val="20"/>
                <w:szCs w:val="20"/>
              </w:rPr>
            </w:pPr>
            <w:proofErr w:type="gramStart"/>
            <w:r w:rsidRPr="00C30865">
              <w:rPr>
                <w:rFonts w:eastAsia="Times New Roman" w:cstheme="minorHAnsi"/>
                <w:sz w:val="20"/>
                <w:szCs w:val="20"/>
              </w:rPr>
              <w:t>Final results</w:t>
            </w:r>
            <w:proofErr w:type="gramEnd"/>
            <w:r w:rsidRPr="00C30865">
              <w:rPr>
                <w:rFonts w:eastAsia="Times New Roman" w:cstheme="minorHAnsi"/>
                <w:sz w:val="20"/>
                <w:szCs w:val="20"/>
              </w:rPr>
              <w:t>, lessons learned, sustainability measures</w:t>
            </w:r>
          </w:p>
        </w:tc>
        <w:tc>
          <w:tcPr>
            <w:tcW w:w="956" w:type="pct"/>
            <w:vAlign w:val="center"/>
          </w:tcPr>
          <w:p w14:paraId="49FA64A3" w14:textId="77777777" w:rsidR="00A5694D" w:rsidRPr="00A5694D" w:rsidRDefault="00A5694D" w:rsidP="00A5694D">
            <w:pPr>
              <w:rPr>
                <w:rFonts w:cstheme="minorHAnsi"/>
                <w:sz w:val="20"/>
                <w:szCs w:val="20"/>
              </w:rPr>
            </w:pPr>
            <w:r w:rsidRPr="00C30865">
              <w:rPr>
                <w:rFonts w:eastAsia="Times New Roman" w:cstheme="minorHAnsi"/>
                <w:sz w:val="20"/>
                <w:szCs w:val="20"/>
              </w:rPr>
              <w:t>Public meeting, Final report, Knowledge dissemination</w:t>
            </w:r>
          </w:p>
        </w:tc>
        <w:tc>
          <w:tcPr>
            <w:tcW w:w="757" w:type="pct"/>
            <w:vAlign w:val="center"/>
          </w:tcPr>
          <w:p w14:paraId="25F3AB51" w14:textId="77777777" w:rsidR="00A5694D" w:rsidRPr="00A5694D" w:rsidRDefault="00A5694D" w:rsidP="00A5694D">
            <w:pPr>
              <w:rPr>
                <w:rFonts w:cstheme="minorHAnsi"/>
                <w:b/>
                <w:bCs/>
                <w:sz w:val="20"/>
                <w:szCs w:val="20"/>
              </w:rPr>
            </w:pPr>
            <w:r w:rsidRPr="00C30865">
              <w:rPr>
                <w:rFonts w:eastAsia="Times New Roman" w:cstheme="minorHAnsi"/>
                <w:sz w:val="20"/>
                <w:szCs w:val="20"/>
              </w:rPr>
              <w:t>All stakeholders</w:t>
            </w:r>
          </w:p>
        </w:tc>
        <w:tc>
          <w:tcPr>
            <w:tcW w:w="907" w:type="pct"/>
            <w:vAlign w:val="center"/>
          </w:tcPr>
          <w:p w14:paraId="0FFFFDB3" w14:textId="77777777" w:rsidR="00A5694D" w:rsidRPr="00A5694D" w:rsidRDefault="00A5694D" w:rsidP="00A5694D">
            <w:pPr>
              <w:rPr>
                <w:rFonts w:cstheme="minorHAnsi"/>
                <w:sz w:val="20"/>
                <w:szCs w:val="20"/>
              </w:rPr>
            </w:pPr>
            <w:r w:rsidRPr="00C30865">
              <w:rPr>
                <w:rFonts w:eastAsia="Times New Roman" w:cstheme="minorHAnsi"/>
                <w:sz w:val="20"/>
                <w:szCs w:val="20"/>
              </w:rPr>
              <w:t>PIU documents outcomes, submits final reports, shares lessons learned with stakeholders, ensures knowledge transfer and sustainability planning</w:t>
            </w:r>
          </w:p>
        </w:tc>
      </w:tr>
    </w:tbl>
    <w:p w14:paraId="254C2EE0" w14:textId="77777777" w:rsidR="000B08CF" w:rsidRDefault="000B08CF">
      <w:pPr>
        <w:sectPr w:rsidR="000B08CF" w:rsidSect="007A1DAD">
          <w:pgSz w:w="15840" w:h="12240" w:orient="landscape"/>
          <w:pgMar w:top="1440" w:right="1440" w:bottom="1440" w:left="1440" w:header="720" w:footer="720" w:gutter="0"/>
          <w:cols w:space="720"/>
          <w:docGrid w:linePitch="360"/>
        </w:sectPr>
      </w:pPr>
    </w:p>
    <w:p w14:paraId="76AF1632" w14:textId="77777777" w:rsidR="00D13834" w:rsidRPr="007D0035" w:rsidRDefault="00D13834" w:rsidP="00434ED3">
      <w:pPr>
        <w:jc w:val="both"/>
        <w:rPr>
          <w:i/>
          <w:color w:val="385623" w:themeColor="accent6" w:themeShade="80"/>
          <w:sz w:val="28"/>
          <w:szCs w:val="28"/>
        </w:rPr>
      </w:pPr>
      <w:r w:rsidRPr="007D0035">
        <w:rPr>
          <w:b/>
          <w:i/>
          <w:color w:val="385623" w:themeColor="accent6" w:themeShade="80"/>
          <w:sz w:val="28"/>
          <w:szCs w:val="28"/>
        </w:rPr>
        <w:lastRenderedPageBreak/>
        <w:t>5.2. Proposed Strategy for Information Disclosure</w:t>
      </w:r>
      <w:r w:rsidRPr="007D0035">
        <w:rPr>
          <w:i/>
          <w:color w:val="385623" w:themeColor="accent6" w:themeShade="80"/>
          <w:sz w:val="28"/>
          <w:szCs w:val="28"/>
        </w:rPr>
        <w:t xml:space="preserve"> </w:t>
      </w:r>
    </w:p>
    <w:p w14:paraId="35F37FAA" w14:textId="77777777" w:rsidR="00D13834" w:rsidRDefault="00D13834" w:rsidP="00434ED3">
      <w:pPr>
        <w:jc w:val="both"/>
      </w:pPr>
      <w:r>
        <w:t xml:space="preserve">The objectives of the consultation with the stakeholders and information disclosure are: </w:t>
      </w:r>
    </w:p>
    <w:p w14:paraId="59756E34" w14:textId="77777777" w:rsidR="00D13834" w:rsidRDefault="00D13834" w:rsidP="00434ED3">
      <w:pPr>
        <w:jc w:val="both"/>
      </w:pPr>
      <w:r>
        <w:t xml:space="preserve">• Equal access to information is provided to all stakeholders; </w:t>
      </w:r>
    </w:p>
    <w:p w14:paraId="0911ABBE" w14:textId="77777777" w:rsidR="00D13834" w:rsidRDefault="00D13834" w:rsidP="00434ED3">
      <w:pPr>
        <w:jc w:val="both"/>
      </w:pPr>
      <w:r>
        <w:t xml:space="preserve">• Validate factors, assumptions and actions proposed to ensure that they are consistent with local conditions and practices; </w:t>
      </w:r>
    </w:p>
    <w:p w14:paraId="05F64C41" w14:textId="77777777" w:rsidR="00D13834" w:rsidRDefault="00D13834" w:rsidP="00434ED3">
      <w:pPr>
        <w:jc w:val="both"/>
      </w:pPr>
      <w:r>
        <w:t xml:space="preserve">• Learn about the roles and experiences of organizations in the field of social and environmental safeguards and collect information relating to the project area; and </w:t>
      </w:r>
    </w:p>
    <w:p w14:paraId="54D7FDE1" w14:textId="77777777" w:rsidR="00D13834" w:rsidRDefault="00D13834" w:rsidP="00434ED3">
      <w:pPr>
        <w:jc w:val="both"/>
      </w:pPr>
      <w:r>
        <w:t>• Promote the role and participation of these organizations in the project activities.</w:t>
      </w:r>
    </w:p>
    <w:p w14:paraId="7D337747" w14:textId="77777777" w:rsidR="00D13834" w:rsidRDefault="00D13834" w:rsidP="007D0035">
      <w:pPr>
        <w:ind w:firstLine="720"/>
        <w:jc w:val="both"/>
      </w:pPr>
      <w:r w:rsidRPr="00D13834">
        <w:rPr>
          <w:b/>
        </w:rPr>
        <w:t xml:space="preserve"> Multiple channels will be used to publish information linked to project activities. These include:</w:t>
      </w:r>
      <w:r>
        <w:t xml:space="preserve"> </w:t>
      </w:r>
    </w:p>
    <w:p w14:paraId="3A73D721" w14:textId="77777777" w:rsidR="00D13834" w:rsidRDefault="00D13834" w:rsidP="00D13834">
      <w:pPr>
        <w:jc w:val="both"/>
      </w:pPr>
      <w:r>
        <w:t xml:space="preserve">(i) disclosure of all relevant documents in the relevant sites and through the World Bank website. The documents will also be made available to local communities, in language to be understandable to them; </w:t>
      </w:r>
    </w:p>
    <w:p w14:paraId="0910DC0B" w14:textId="77777777" w:rsidR="00D13834" w:rsidRDefault="00D13834" w:rsidP="00D13834">
      <w:pPr>
        <w:jc w:val="both"/>
      </w:pPr>
      <w:r>
        <w:t xml:space="preserve">(ii) publication of posters and public notification in the targeted areas accessible to local communities, mass organizations and other </w:t>
      </w:r>
      <w:proofErr w:type="gramStart"/>
      <w:r>
        <w:t>stakeholders;</w:t>
      </w:r>
      <w:proofErr w:type="gramEnd"/>
    </w:p>
    <w:p w14:paraId="66D6374F" w14:textId="77777777" w:rsidR="00D13834" w:rsidRDefault="00D13834" w:rsidP="00D13834">
      <w:pPr>
        <w:jc w:val="both"/>
      </w:pPr>
      <w:r>
        <w:t xml:space="preserve">(iii) broadcasting notification through local medias; and </w:t>
      </w:r>
    </w:p>
    <w:p w14:paraId="4314BD12" w14:textId="77777777" w:rsidR="00D13834" w:rsidRDefault="00D13834" w:rsidP="00D13834">
      <w:pPr>
        <w:jc w:val="both"/>
      </w:pPr>
      <w:r>
        <w:t xml:space="preserve">(iv) stakeholder workshops. </w:t>
      </w:r>
    </w:p>
    <w:p w14:paraId="0DA6408C" w14:textId="77777777" w:rsidR="00B65C99" w:rsidRDefault="00D13834" w:rsidP="00D13834">
      <w:pPr>
        <w:jc w:val="both"/>
      </w:pPr>
      <w:r>
        <w:t xml:space="preserve">Printed copies of the </w:t>
      </w:r>
      <w:r w:rsidR="00D9129E" w:rsidRPr="00CA0551">
        <w:rPr>
          <w:rFonts w:eastAsia="Times New Roman" w:cs="Times New Roman"/>
          <w:sz w:val="20"/>
          <w:szCs w:val="20"/>
        </w:rPr>
        <w:t xml:space="preserve">PAD, ESMF, </w:t>
      </w:r>
      <w:proofErr w:type="spellStart"/>
      <w:r w:rsidR="00D9129E" w:rsidRPr="00CA0551">
        <w:rPr>
          <w:rFonts w:eastAsia="Times New Roman" w:cs="Times New Roman"/>
          <w:sz w:val="20"/>
          <w:szCs w:val="20"/>
        </w:rPr>
        <w:t>LMP</w:t>
      </w:r>
      <w:r w:rsidR="00D9129E">
        <w:rPr>
          <w:rFonts w:eastAsia="Times New Roman" w:cs="Times New Roman"/>
          <w:sz w:val="20"/>
          <w:szCs w:val="20"/>
        </w:rPr>
        <w:t>and</w:t>
      </w:r>
      <w:proofErr w:type="spellEnd"/>
      <w:r w:rsidR="00D9129E" w:rsidRPr="00CA0551">
        <w:rPr>
          <w:rFonts w:eastAsia="Times New Roman" w:cs="Times New Roman"/>
          <w:sz w:val="20"/>
          <w:szCs w:val="20"/>
        </w:rPr>
        <w:t xml:space="preserve"> SEP</w:t>
      </w:r>
      <w:r w:rsidR="00D9129E">
        <w:t xml:space="preserve"> </w:t>
      </w:r>
      <w:r>
        <w:t xml:space="preserve">and SEP will be made accessible for the public through different </w:t>
      </w:r>
      <w:r w:rsidR="00B65C99">
        <w:t xml:space="preserve">channels (project websites, public Government websites, other relevant public </w:t>
      </w:r>
      <w:r w:rsidR="007D0035">
        <w:t>channels</w:t>
      </w:r>
      <w:r w:rsidR="00B65C99">
        <w:t>)</w:t>
      </w:r>
      <w:r w:rsidR="007D0035">
        <w:t>.</w:t>
      </w:r>
    </w:p>
    <w:p w14:paraId="3E06E8A4" w14:textId="77777777" w:rsidR="00BE391F" w:rsidRPr="0056129E" w:rsidRDefault="00BE391F" w:rsidP="00D13834">
      <w:pPr>
        <w:jc w:val="both"/>
        <w:rPr>
          <w:color w:val="1F3864" w:themeColor="accent1" w:themeShade="80"/>
        </w:rPr>
      </w:pPr>
    </w:p>
    <w:p w14:paraId="2A17B4BF" w14:textId="77777777" w:rsidR="00BE391F" w:rsidRPr="0056129E" w:rsidRDefault="00BE391F" w:rsidP="00BE391F">
      <w:pPr>
        <w:rPr>
          <w:b/>
          <w:color w:val="1F3864" w:themeColor="accent1" w:themeShade="80"/>
          <w:sz w:val="20"/>
          <w:szCs w:val="20"/>
          <w:lang w:bidi="en-US"/>
        </w:rPr>
      </w:pPr>
      <w:r w:rsidRPr="0056129E">
        <w:rPr>
          <w:b/>
          <w:color w:val="1F3864" w:themeColor="accent1" w:themeShade="80"/>
          <w:sz w:val="20"/>
          <w:szCs w:val="20"/>
          <w:lang w:bidi="en-US"/>
        </w:rPr>
        <w:t>Table</w:t>
      </w:r>
      <w:r w:rsidR="0056129E" w:rsidRPr="0056129E">
        <w:rPr>
          <w:b/>
          <w:color w:val="1F3864" w:themeColor="accent1" w:themeShade="80"/>
          <w:sz w:val="20"/>
          <w:szCs w:val="20"/>
          <w:lang w:bidi="en-US"/>
        </w:rPr>
        <w:t xml:space="preserve"> 3</w:t>
      </w:r>
      <w:r w:rsidRPr="0056129E">
        <w:rPr>
          <w:b/>
          <w:color w:val="1F3864" w:themeColor="accent1" w:themeShade="80"/>
          <w:sz w:val="20"/>
          <w:szCs w:val="20"/>
          <w:lang w:bidi="en-US"/>
        </w:rPr>
        <w:t>: Disclosure of project information</w:t>
      </w:r>
    </w:p>
    <w:tbl>
      <w:tblPr>
        <w:tblStyle w:val="TableGrid"/>
        <w:tblW w:w="9715" w:type="dxa"/>
        <w:tblLayout w:type="fixed"/>
        <w:tblLook w:val="04A0" w:firstRow="1" w:lastRow="0" w:firstColumn="1" w:lastColumn="0" w:noHBand="0" w:noVBand="1"/>
      </w:tblPr>
      <w:tblGrid>
        <w:gridCol w:w="1345"/>
        <w:gridCol w:w="2430"/>
        <w:gridCol w:w="1350"/>
        <w:gridCol w:w="1440"/>
        <w:gridCol w:w="1440"/>
        <w:gridCol w:w="1710"/>
      </w:tblGrid>
      <w:tr w:rsidR="00A5694D" w14:paraId="571D5014" w14:textId="77777777" w:rsidTr="004A0BEB">
        <w:tc>
          <w:tcPr>
            <w:tcW w:w="1345" w:type="dxa"/>
            <w:shd w:val="clear" w:color="auto" w:fill="DEEAF6" w:themeFill="accent5" w:themeFillTint="33"/>
          </w:tcPr>
          <w:p w14:paraId="6A7DBCB4" w14:textId="77777777" w:rsidR="00BE391F" w:rsidRPr="00030731" w:rsidRDefault="00BE391F" w:rsidP="003A5434">
            <w:pPr>
              <w:rPr>
                <w:b/>
                <w:sz w:val="20"/>
                <w:szCs w:val="20"/>
                <w:lang w:bidi="en-US"/>
              </w:rPr>
            </w:pPr>
            <w:r w:rsidRPr="00030731">
              <w:rPr>
                <w:b/>
                <w:sz w:val="20"/>
                <w:szCs w:val="20"/>
                <w:lang w:bidi="en-US"/>
              </w:rPr>
              <w:t>Project Stage</w:t>
            </w:r>
          </w:p>
        </w:tc>
        <w:tc>
          <w:tcPr>
            <w:tcW w:w="2430" w:type="dxa"/>
            <w:shd w:val="clear" w:color="auto" w:fill="DEEAF6" w:themeFill="accent5" w:themeFillTint="33"/>
          </w:tcPr>
          <w:p w14:paraId="74BD43DE" w14:textId="77777777" w:rsidR="00BE391F" w:rsidRPr="00030731" w:rsidRDefault="00BE391F" w:rsidP="003A5434">
            <w:pPr>
              <w:rPr>
                <w:b/>
                <w:sz w:val="20"/>
                <w:szCs w:val="20"/>
                <w:lang w:bidi="en-US"/>
              </w:rPr>
            </w:pPr>
            <w:r w:rsidRPr="00030731">
              <w:rPr>
                <w:b/>
                <w:sz w:val="20"/>
                <w:szCs w:val="20"/>
                <w:lang w:bidi="en-US"/>
              </w:rPr>
              <w:t>Target Stakeholder</w:t>
            </w:r>
          </w:p>
        </w:tc>
        <w:tc>
          <w:tcPr>
            <w:tcW w:w="1350" w:type="dxa"/>
            <w:shd w:val="clear" w:color="auto" w:fill="DEEAF6" w:themeFill="accent5" w:themeFillTint="33"/>
          </w:tcPr>
          <w:p w14:paraId="1BE18CDE" w14:textId="77777777" w:rsidR="00BE391F" w:rsidRPr="00030731" w:rsidRDefault="00BE391F" w:rsidP="003A5434">
            <w:pPr>
              <w:rPr>
                <w:b/>
                <w:sz w:val="20"/>
                <w:szCs w:val="20"/>
                <w:lang w:bidi="en-US"/>
              </w:rPr>
            </w:pPr>
            <w:r w:rsidRPr="00030731">
              <w:rPr>
                <w:b/>
                <w:sz w:val="20"/>
                <w:szCs w:val="20"/>
                <w:lang w:bidi="en-US"/>
              </w:rPr>
              <w:t>List of information to be disclosed</w:t>
            </w:r>
          </w:p>
        </w:tc>
        <w:tc>
          <w:tcPr>
            <w:tcW w:w="1440" w:type="dxa"/>
            <w:shd w:val="clear" w:color="auto" w:fill="DEEAF6" w:themeFill="accent5" w:themeFillTint="33"/>
          </w:tcPr>
          <w:p w14:paraId="36E5E5CF" w14:textId="77777777" w:rsidR="00BE391F" w:rsidRPr="00030731" w:rsidRDefault="00BE391F" w:rsidP="003A5434">
            <w:pPr>
              <w:rPr>
                <w:b/>
                <w:sz w:val="20"/>
                <w:szCs w:val="20"/>
                <w:lang w:bidi="en-US"/>
              </w:rPr>
            </w:pPr>
            <w:r w:rsidRPr="00030731">
              <w:rPr>
                <w:b/>
                <w:sz w:val="20"/>
                <w:szCs w:val="20"/>
                <w:lang w:bidi="en-US"/>
              </w:rPr>
              <w:t>Methods proposed</w:t>
            </w:r>
          </w:p>
        </w:tc>
        <w:tc>
          <w:tcPr>
            <w:tcW w:w="1440" w:type="dxa"/>
            <w:shd w:val="clear" w:color="auto" w:fill="DEEAF6" w:themeFill="accent5" w:themeFillTint="33"/>
          </w:tcPr>
          <w:p w14:paraId="2CAE02C7" w14:textId="77777777" w:rsidR="00BE391F" w:rsidRPr="00030731" w:rsidRDefault="00BE391F" w:rsidP="003A5434">
            <w:pPr>
              <w:rPr>
                <w:b/>
                <w:sz w:val="20"/>
                <w:szCs w:val="20"/>
                <w:lang w:bidi="en-US"/>
              </w:rPr>
            </w:pPr>
            <w:r w:rsidRPr="00030731">
              <w:rPr>
                <w:b/>
                <w:sz w:val="20"/>
                <w:szCs w:val="20"/>
                <w:lang w:bidi="en-US"/>
              </w:rPr>
              <w:t>Timetable/ Location</w:t>
            </w:r>
          </w:p>
        </w:tc>
        <w:tc>
          <w:tcPr>
            <w:tcW w:w="1710" w:type="dxa"/>
            <w:shd w:val="clear" w:color="auto" w:fill="DEEAF6" w:themeFill="accent5" w:themeFillTint="33"/>
          </w:tcPr>
          <w:p w14:paraId="2AAD5832" w14:textId="77777777" w:rsidR="00BE391F" w:rsidRPr="00030731" w:rsidRDefault="00BE391F" w:rsidP="003A5434">
            <w:pPr>
              <w:rPr>
                <w:b/>
                <w:sz w:val="20"/>
                <w:szCs w:val="20"/>
                <w:lang w:bidi="en-US"/>
              </w:rPr>
            </w:pPr>
            <w:r w:rsidRPr="00030731">
              <w:rPr>
                <w:b/>
                <w:sz w:val="20"/>
                <w:szCs w:val="20"/>
                <w:lang w:bidi="en-US"/>
              </w:rPr>
              <w:t>Responsibilities</w:t>
            </w:r>
          </w:p>
        </w:tc>
      </w:tr>
      <w:tr w:rsidR="00A5694D" w14:paraId="7F97B98F" w14:textId="77777777" w:rsidTr="004A0BEB">
        <w:tc>
          <w:tcPr>
            <w:tcW w:w="1345" w:type="dxa"/>
            <w:vAlign w:val="center"/>
          </w:tcPr>
          <w:p w14:paraId="1A95E7E9" w14:textId="77777777" w:rsidR="00A5694D" w:rsidRPr="00A5694D" w:rsidRDefault="00A5694D" w:rsidP="00A5694D">
            <w:pPr>
              <w:rPr>
                <w:rFonts w:cstheme="minorHAnsi"/>
                <w:i/>
                <w:color w:val="FF0000"/>
                <w:sz w:val="20"/>
                <w:szCs w:val="20"/>
                <w:lang w:bidi="en-US"/>
              </w:rPr>
            </w:pPr>
            <w:r w:rsidRPr="00DD709F">
              <w:rPr>
                <w:rFonts w:eastAsia="Times New Roman" w:cstheme="minorHAnsi"/>
                <w:sz w:val="20"/>
                <w:szCs w:val="20"/>
              </w:rPr>
              <w:t>Pre-Appraisal</w:t>
            </w:r>
          </w:p>
        </w:tc>
        <w:tc>
          <w:tcPr>
            <w:tcW w:w="2430" w:type="dxa"/>
            <w:vAlign w:val="center"/>
          </w:tcPr>
          <w:p w14:paraId="03EE848E" w14:textId="77777777" w:rsidR="00A5694D" w:rsidRPr="00A5694D" w:rsidRDefault="00A5694D" w:rsidP="00A5694D">
            <w:pPr>
              <w:rPr>
                <w:rFonts w:cstheme="minorHAnsi"/>
                <w:i/>
                <w:color w:val="FF0000"/>
                <w:sz w:val="20"/>
                <w:szCs w:val="20"/>
                <w:lang w:bidi="en-US"/>
              </w:rPr>
            </w:pPr>
            <w:r w:rsidRPr="00DD709F">
              <w:rPr>
                <w:rFonts w:eastAsia="Times New Roman" w:cstheme="minorHAnsi"/>
                <w:sz w:val="20"/>
                <w:szCs w:val="20"/>
              </w:rPr>
              <w:t>Ministry of Agriculture, Forestry and Water Management (MAFWM), local communities, relevant institutions, WB</w:t>
            </w:r>
          </w:p>
        </w:tc>
        <w:tc>
          <w:tcPr>
            <w:tcW w:w="1350" w:type="dxa"/>
            <w:vAlign w:val="center"/>
          </w:tcPr>
          <w:p w14:paraId="705FE3D2" w14:textId="77777777" w:rsidR="00A5694D" w:rsidRPr="00A5694D" w:rsidRDefault="00A5694D" w:rsidP="00A5694D">
            <w:pPr>
              <w:rPr>
                <w:rFonts w:cstheme="minorHAnsi"/>
                <w:i/>
                <w:color w:val="FF0000"/>
                <w:sz w:val="20"/>
                <w:szCs w:val="20"/>
                <w:lang w:bidi="en-US"/>
              </w:rPr>
            </w:pPr>
            <w:r w:rsidRPr="00DD709F">
              <w:rPr>
                <w:rFonts w:eastAsia="Times New Roman" w:cstheme="minorHAnsi"/>
                <w:sz w:val="20"/>
                <w:szCs w:val="20"/>
              </w:rPr>
              <w:t>PAD, ESMF, LMP, SEP</w:t>
            </w:r>
          </w:p>
        </w:tc>
        <w:tc>
          <w:tcPr>
            <w:tcW w:w="1440" w:type="dxa"/>
            <w:vAlign w:val="center"/>
          </w:tcPr>
          <w:p w14:paraId="29B3DDE3" w14:textId="77777777" w:rsidR="00A5694D" w:rsidRPr="00A5694D" w:rsidRDefault="00A5694D" w:rsidP="00A5694D">
            <w:pPr>
              <w:rPr>
                <w:rFonts w:cstheme="minorHAnsi"/>
                <w:i/>
                <w:color w:val="FF0000"/>
                <w:sz w:val="20"/>
                <w:szCs w:val="20"/>
                <w:lang w:bidi="en-US"/>
              </w:rPr>
            </w:pPr>
            <w:r w:rsidRPr="00DD709F">
              <w:rPr>
                <w:rFonts w:eastAsia="Times New Roman" w:cstheme="minorHAnsi"/>
                <w:sz w:val="20"/>
                <w:szCs w:val="20"/>
              </w:rPr>
              <w:t>Website (MAFWM &amp; WB), public notice boards, stakeholder workshops</w:t>
            </w:r>
          </w:p>
        </w:tc>
        <w:tc>
          <w:tcPr>
            <w:tcW w:w="1440" w:type="dxa"/>
            <w:vAlign w:val="center"/>
          </w:tcPr>
          <w:p w14:paraId="745404D6" w14:textId="77777777" w:rsidR="00A5694D" w:rsidRPr="00A5694D" w:rsidRDefault="00A5694D" w:rsidP="00A5694D">
            <w:pPr>
              <w:rPr>
                <w:rFonts w:cstheme="minorHAnsi"/>
                <w:i/>
                <w:color w:val="FF0000"/>
                <w:sz w:val="20"/>
                <w:szCs w:val="20"/>
                <w:lang w:bidi="en-US"/>
              </w:rPr>
            </w:pPr>
            <w:r w:rsidRPr="00DD709F">
              <w:rPr>
                <w:rFonts w:eastAsia="Times New Roman" w:cstheme="minorHAnsi"/>
                <w:sz w:val="20"/>
                <w:szCs w:val="20"/>
              </w:rPr>
              <w:t>Q1 2026; MAFWM website, community centers</w:t>
            </w:r>
          </w:p>
        </w:tc>
        <w:tc>
          <w:tcPr>
            <w:tcW w:w="1710" w:type="dxa"/>
            <w:vAlign w:val="center"/>
          </w:tcPr>
          <w:p w14:paraId="564A687F" w14:textId="77777777" w:rsidR="00A5694D" w:rsidRPr="00A5694D" w:rsidRDefault="00A5694D" w:rsidP="00A5694D">
            <w:pPr>
              <w:rPr>
                <w:rFonts w:cstheme="minorHAnsi"/>
                <w:i/>
                <w:color w:val="FF0000"/>
                <w:sz w:val="20"/>
                <w:szCs w:val="20"/>
                <w:lang w:bidi="en-US"/>
              </w:rPr>
            </w:pPr>
            <w:r w:rsidRPr="00DD709F">
              <w:rPr>
                <w:rFonts w:eastAsia="Times New Roman" w:cstheme="minorHAnsi"/>
                <w:sz w:val="20"/>
                <w:szCs w:val="20"/>
              </w:rPr>
              <w:t>PIU / MAFWM / Component Leads / Communications Officer</w:t>
            </w:r>
          </w:p>
        </w:tc>
      </w:tr>
      <w:tr w:rsidR="00A5694D" w14:paraId="39FF221A" w14:textId="77777777" w:rsidTr="004A0BEB">
        <w:tc>
          <w:tcPr>
            <w:tcW w:w="1345" w:type="dxa"/>
            <w:vAlign w:val="center"/>
          </w:tcPr>
          <w:p w14:paraId="7AB69297"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Implementation</w:t>
            </w:r>
          </w:p>
        </w:tc>
        <w:tc>
          <w:tcPr>
            <w:tcW w:w="2430" w:type="dxa"/>
            <w:vAlign w:val="center"/>
          </w:tcPr>
          <w:p w14:paraId="49229D92"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MAFWM, PIU, local communities, project partners</w:t>
            </w:r>
          </w:p>
        </w:tc>
        <w:tc>
          <w:tcPr>
            <w:tcW w:w="1350" w:type="dxa"/>
            <w:vAlign w:val="center"/>
          </w:tcPr>
          <w:p w14:paraId="5003C779"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Updates on SFM interventions, training activities, project reports</w:t>
            </w:r>
          </w:p>
        </w:tc>
        <w:tc>
          <w:tcPr>
            <w:tcW w:w="1440" w:type="dxa"/>
            <w:vAlign w:val="center"/>
          </w:tcPr>
          <w:p w14:paraId="3C085A34"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Workshops, community meetings, emails, project website, printed updates at PIU office</w:t>
            </w:r>
          </w:p>
        </w:tc>
        <w:tc>
          <w:tcPr>
            <w:tcW w:w="1440" w:type="dxa"/>
            <w:vAlign w:val="center"/>
          </w:tcPr>
          <w:p w14:paraId="2779504A"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From Q2 2026 through 2031; ongoing updates per activity schedule</w:t>
            </w:r>
          </w:p>
        </w:tc>
        <w:tc>
          <w:tcPr>
            <w:tcW w:w="1710" w:type="dxa"/>
            <w:vAlign w:val="center"/>
          </w:tcPr>
          <w:p w14:paraId="7409E0B9"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PIU/Component Leads/ Communications Officer</w:t>
            </w:r>
          </w:p>
        </w:tc>
      </w:tr>
      <w:tr w:rsidR="00A5694D" w14:paraId="5863C541" w14:textId="77777777" w:rsidTr="004A0BEB">
        <w:tc>
          <w:tcPr>
            <w:tcW w:w="1345" w:type="dxa"/>
            <w:vAlign w:val="center"/>
          </w:tcPr>
          <w:p w14:paraId="0BCC13E5"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Implementation</w:t>
            </w:r>
          </w:p>
        </w:tc>
        <w:tc>
          <w:tcPr>
            <w:tcW w:w="2430" w:type="dxa"/>
            <w:vAlign w:val="center"/>
          </w:tcPr>
          <w:p w14:paraId="2F23E081"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MAFWM, PIU, local communities, WB, relevant institutions</w:t>
            </w:r>
          </w:p>
        </w:tc>
        <w:tc>
          <w:tcPr>
            <w:tcW w:w="1350" w:type="dxa"/>
            <w:vAlign w:val="center"/>
          </w:tcPr>
          <w:p w14:paraId="0E688411"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 xml:space="preserve">Progress reports, monitoring results, audit </w:t>
            </w:r>
            <w:r w:rsidRPr="00DD709F">
              <w:rPr>
                <w:rFonts w:eastAsia="Times New Roman" w:cstheme="minorHAnsi"/>
                <w:sz w:val="20"/>
                <w:szCs w:val="20"/>
              </w:rPr>
              <w:lastRenderedPageBreak/>
              <w:t>reports, GRM updates</w:t>
            </w:r>
          </w:p>
        </w:tc>
        <w:tc>
          <w:tcPr>
            <w:tcW w:w="1440" w:type="dxa"/>
            <w:vAlign w:val="center"/>
          </w:tcPr>
          <w:p w14:paraId="5A9F336D"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lastRenderedPageBreak/>
              <w:t xml:space="preserve">Website, stakeholder workshops, printed </w:t>
            </w:r>
            <w:r w:rsidRPr="00DD709F">
              <w:rPr>
                <w:rFonts w:eastAsia="Times New Roman" w:cstheme="minorHAnsi"/>
                <w:sz w:val="20"/>
                <w:szCs w:val="20"/>
              </w:rPr>
              <w:lastRenderedPageBreak/>
              <w:t>reports at PIU office, email updates</w:t>
            </w:r>
          </w:p>
        </w:tc>
        <w:tc>
          <w:tcPr>
            <w:tcW w:w="1440" w:type="dxa"/>
            <w:vAlign w:val="center"/>
          </w:tcPr>
          <w:p w14:paraId="2884BFBB"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lastRenderedPageBreak/>
              <w:t xml:space="preserve">Annually and as required; PIU office and </w:t>
            </w:r>
            <w:r w:rsidRPr="00DD709F">
              <w:rPr>
                <w:rFonts w:eastAsia="Times New Roman" w:cstheme="minorHAnsi"/>
                <w:sz w:val="20"/>
                <w:szCs w:val="20"/>
              </w:rPr>
              <w:lastRenderedPageBreak/>
              <w:t>MAFWM website</w:t>
            </w:r>
          </w:p>
        </w:tc>
        <w:tc>
          <w:tcPr>
            <w:tcW w:w="1710" w:type="dxa"/>
            <w:vAlign w:val="center"/>
          </w:tcPr>
          <w:p w14:paraId="07BC2854"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lastRenderedPageBreak/>
              <w:t>PIU Monitoring &amp; Evaluation Officer</w:t>
            </w:r>
          </w:p>
        </w:tc>
      </w:tr>
      <w:tr w:rsidR="00A5694D" w14:paraId="3C84F451" w14:textId="77777777" w:rsidTr="004A0BEB">
        <w:tc>
          <w:tcPr>
            <w:tcW w:w="1345" w:type="dxa"/>
            <w:vAlign w:val="center"/>
          </w:tcPr>
          <w:p w14:paraId="069324EF"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Implementation</w:t>
            </w:r>
          </w:p>
        </w:tc>
        <w:tc>
          <w:tcPr>
            <w:tcW w:w="2430" w:type="dxa"/>
            <w:vAlign w:val="center"/>
          </w:tcPr>
          <w:p w14:paraId="55FCA1E4"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MAFWM, PIU, SOE, local authorities, project stakeholders</w:t>
            </w:r>
          </w:p>
        </w:tc>
        <w:tc>
          <w:tcPr>
            <w:tcW w:w="1350" w:type="dxa"/>
            <w:vAlign w:val="center"/>
          </w:tcPr>
          <w:p w14:paraId="57DB8317"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Policy briefs, legal frameworks, governance updates</w:t>
            </w:r>
          </w:p>
        </w:tc>
        <w:tc>
          <w:tcPr>
            <w:tcW w:w="1440" w:type="dxa"/>
            <w:vAlign w:val="center"/>
          </w:tcPr>
          <w:p w14:paraId="1B40EC57"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Website, workshops, public consultation sessions</w:t>
            </w:r>
          </w:p>
        </w:tc>
        <w:tc>
          <w:tcPr>
            <w:tcW w:w="1440" w:type="dxa"/>
            <w:vAlign w:val="center"/>
          </w:tcPr>
          <w:p w14:paraId="24B7770F"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As policies are developed and approved; PIU office and MAFWM website</w:t>
            </w:r>
          </w:p>
        </w:tc>
        <w:tc>
          <w:tcPr>
            <w:tcW w:w="1710" w:type="dxa"/>
            <w:vAlign w:val="center"/>
          </w:tcPr>
          <w:p w14:paraId="2D5F4FCB" w14:textId="77777777" w:rsidR="00A5694D" w:rsidRPr="00A5694D" w:rsidRDefault="00A5694D" w:rsidP="00A5694D">
            <w:pPr>
              <w:rPr>
                <w:rFonts w:cstheme="minorHAnsi"/>
                <w:sz w:val="20"/>
                <w:szCs w:val="20"/>
                <w:lang w:bidi="en-US"/>
              </w:rPr>
            </w:pPr>
            <w:r w:rsidRPr="00DD709F">
              <w:rPr>
                <w:rFonts w:eastAsia="Times New Roman" w:cstheme="minorHAnsi"/>
                <w:sz w:val="20"/>
                <w:szCs w:val="20"/>
              </w:rPr>
              <w:t>PIU/Component 1 Lead</w:t>
            </w:r>
          </w:p>
        </w:tc>
      </w:tr>
    </w:tbl>
    <w:p w14:paraId="539D8B89" w14:textId="77777777" w:rsidR="00BE391F" w:rsidRDefault="00BE391F" w:rsidP="00D13834">
      <w:pPr>
        <w:jc w:val="both"/>
      </w:pPr>
    </w:p>
    <w:p w14:paraId="5DFEE4E1" w14:textId="77777777" w:rsidR="007D0035" w:rsidRDefault="007D0035" w:rsidP="00D13834">
      <w:pPr>
        <w:jc w:val="both"/>
      </w:pPr>
    </w:p>
    <w:p w14:paraId="169F6AFA" w14:textId="77777777" w:rsidR="00B65C99" w:rsidRPr="007D0035" w:rsidRDefault="00D13834" w:rsidP="00D13834">
      <w:pPr>
        <w:jc w:val="both"/>
        <w:rPr>
          <w:b/>
          <w:i/>
          <w:color w:val="385623" w:themeColor="accent6" w:themeShade="80"/>
          <w:sz w:val="28"/>
          <w:szCs w:val="28"/>
        </w:rPr>
      </w:pPr>
      <w:r w:rsidRPr="007D0035">
        <w:rPr>
          <w:b/>
          <w:i/>
          <w:color w:val="385623" w:themeColor="accent6" w:themeShade="80"/>
          <w:sz w:val="28"/>
          <w:szCs w:val="28"/>
        </w:rPr>
        <w:t xml:space="preserve">5.3. Proposed Strategy for Consultation </w:t>
      </w:r>
    </w:p>
    <w:p w14:paraId="7CD7A71F" w14:textId="77777777" w:rsidR="00B65C99" w:rsidRDefault="00D13834" w:rsidP="00D13834">
      <w:pPr>
        <w:jc w:val="both"/>
      </w:pPr>
      <w:r>
        <w:t xml:space="preserve">The project implementing agencies will mostly employ interviews, focus group discussions, open meetings, and workshops as a means of carrying out consultations. This will be done right in the affected wards/communes to enable easy participation of vulnerable and disadvantaged groups of people. The strategy will also be different depending on the Project stage as presented below. Project preparation stage (before project appraisal) </w:t>
      </w:r>
    </w:p>
    <w:p w14:paraId="78335A34" w14:textId="77777777" w:rsidR="00B65C99" w:rsidRDefault="00D13834" w:rsidP="00D13834">
      <w:pPr>
        <w:jc w:val="both"/>
      </w:pPr>
      <w:r>
        <w:t>While the details of some proposed investments are not specifically identified at this stage, the consultation will focus on a broader range of stakeholders to understand their general interests and concerns on the project and its potential positive and negative impacts to inform the project’s environmental and social frameworks. This is also the stage where potential vulnerable/ disadvantaged groups relevant to the project will be identified.</w:t>
      </w:r>
    </w:p>
    <w:p w14:paraId="6518662A" w14:textId="77777777" w:rsidR="00B65C99" w:rsidRDefault="00D13834" w:rsidP="007D0035">
      <w:pPr>
        <w:ind w:firstLine="720"/>
        <w:jc w:val="both"/>
      </w:pPr>
      <w:r w:rsidRPr="00B65C99">
        <w:rPr>
          <w:b/>
        </w:rPr>
        <w:t>Project Pre-construction and construction stage</w:t>
      </w:r>
      <w:r>
        <w:t xml:space="preserve"> </w:t>
      </w:r>
    </w:p>
    <w:p w14:paraId="74143B09" w14:textId="77777777" w:rsidR="00B65C99" w:rsidRDefault="00D13834" w:rsidP="00D13834">
      <w:pPr>
        <w:jc w:val="both"/>
      </w:pPr>
      <w:r>
        <w:t xml:space="preserve">At this stage, the details of proposed investments will be determined and specific </w:t>
      </w:r>
      <w:r w:rsidR="00882FBB">
        <w:t>project affected</w:t>
      </w:r>
      <w:r>
        <w:t xml:space="preserve"> parties (PAPs) identified. The consultation will focus on PAPs to address their concerns through the implementation of subproject-specific environmental and social plans. The project will ensure that the GRM will remain effective during the civil works to promptly address any concerns/grievances from the PAPs. The PMU will pay particular attention to vulnerable groups to ensure inclusion and non-discrimination of such groups.</w:t>
      </w:r>
    </w:p>
    <w:p w14:paraId="4729CA0C" w14:textId="77777777" w:rsidR="00B65C99" w:rsidRDefault="00D13834" w:rsidP="007D0035">
      <w:pPr>
        <w:ind w:firstLine="720"/>
        <w:jc w:val="both"/>
      </w:pPr>
      <w:r w:rsidRPr="00B65C99">
        <w:rPr>
          <w:b/>
        </w:rPr>
        <w:t>Post construction/maintenance stage</w:t>
      </w:r>
      <w:r>
        <w:t xml:space="preserve"> </w:t>
      </w:r>
    </w:p>
    <w:p w14:paraId="2938F8EA" w14:textId="77777777" w:rsidR="00B65C99" w:rsidRDefault="00D13834" w:rsidP="00D13834">
      <w:pPr>
        <w:jc w:val="both"/>
      </w:pPr>
      <w:r>
        <w:t xml:space="preserve"> At this stage, the consultation will focus on the feedback from PAPs on the performance of environmental and social mitigations conducted during the construction stage. The consultation on employment opportunities for operation and maintenance works (O&amp;M) will be also conducted. Areas for improvement and lessons learned should be identified for the following subprojects. Dissemination and reporting back to general stakeholders on the outcome of the monitoring and evaluation of the project will be also arranged. </w:t>
      </w:r>
    </w:p>
    <w:p w14:paraId="09B1F896" w14:textId="77777777" w:rsidR="005A1DCC" w:rsidRDefault="00D13834" w:rsidP="00D13834">
      <w:pPr>
        <w:jc w:val="both"/>
      </w:pPr>
      <w:r>
        <w:t>The SEP will be reviewed and updated during project implementation as necessary on adaptive stakeholder engagement arrangements, particularly the approach, methods and forms of engagement proposed, and assess the associated potential risks of virus transmission in conducting various engagement activities</w:t>
      </w:r>
      <w:r w:rsidR="00B65C99">
        <w:t>.</w:t>
      </w:r>
    </w:p>
    <w:p w14:paraId="0B9A423A" w14:textId="77777777" w:rsidR="00B65C99" w:rsidRDefault="00B65C99" w:rsidP="00D13834">
      <w:pPr>
        <w:jc w:val="both"/>
      </w:pPr>
    </w:p>
    <w:p w14:paraId="37EB533C" w14:textId="77777777" w:rsidR="00B65C99" w:rsidRDefault="00B65C99" w:rsidP="00D13834">
      <w:pPr>
        <w:jc w:val="both"/>
        <w:rPr>
          <w:i/>
          <w:color w:val="385623" w:themeColor="accent6" w:themeShade="80"/>
          <w:sz w:val="28"/>
          <w:szCs w:val="28"/>
        </w:rPr>
      </w:pPr>
      <w:r w:rsidRPr="007D0035">
        <w:rPr>
          <w:b/>
          <w:i/>
          <w:color w:val="385623" w:themeColor="accent6" w:themeShade="80"/>
          <w:sz w:val="28"/>
          <w:szCs w:val="28"/>
        </w:rPr>
        <w:lastRenderedPageBreak/>
        <w:t>5.4.</w:t>
      </w:r>
      <w:r w:rsidR="00DE196B" w:rsidRPr="007D0035">
        <w:rPr>
          <w:b/>
          <w:i/>
          <w:color w:val="385623" w:themeColor="accent6" w:themeShade="80"/>
          <w:sz w:val="28"/>
          <w:szCs w:val="28"/>
        </w:rPr>
        <w:t xml:space="preserve"> </w:t>
      </w:r>
      <w:r w:rsidRPr="007D0035">
        <w:rPr>
          <w:b/>
          <w:i/>
          <w:color w:val="385623" w:themeColor="accent6" w:themeShade="80"/>
          <w:sz w:val="28"/>
          <w:szCs w:val="28"/>
        </w:rPr>
        <w:t>Stakeholder Engagement Methods to be Used in the Next Stages Public/community meetings</w:t>
      </w:r>
      <w:r w:rsidRPr="007D0035">
        <w:rPr>
          <w:i/>
          <w:color w:val="385623" w:themeColor="accent6" w:themeShade="80"/>
          <w:sz w:val="28"/>
          <w:szCs w:val="28"/>
        </w:rPr>
        <w:t xml:space="preserve"> </w:t>
      </w:r>
    </w:p>
    <w:p w14:paraId="59E4E60F" w14:textId="77777777" w:rsidR="001956C3" w:rsidRPr="007D0035" w:rsidRDefault="001956C3" w:rsidP="00D13834">
      <w:pPr>
        <w:jc w:val="both"/>
        <w:rPr>
          <w:i/>
          <w:color w:val="385623" w:themeColor="accent6" w:themeShade="80"/>
          <w:sz w:val="28"/>
          <w:szCs w:val="28"/>
        </w:rPr>
      </w:pPr>
    </w:p>
    <w:p w14:paraId="3D5AAF4E" w14:textId="77777777" w:rsidR="001956C3" w:rsidRPr="001956C3" w:rsidRDefault="001956C3" w:rsidP="001956C3">
      <w:pPr>
        <w:pStyle w:val="NormalWeb"/>
        <w:spacing w:before="0" w:beforeAutospacing="0"/>
        <w:ind w:right="-144"/>
        <w:jc w:val="both"/>
        <w:rPr>
          <w:rFonts w:asciiTheme="minorHAnsi" w:hAnsiTheme="minorHAnsi" w:cstheme="minorHAnsi"/>
          <w:b/>
          <w:bCs/>
          <w:color w:val="1F4E79" w:themeColor="accent5" w:themeShade="80"/>
          <w:lang w:val="en-US"/>
        </w:rPr>
      </w:pPr>
      <w:r w:rsidRPr="001956C3">
        <w:rPr>
          <w:rFonts w:asciiTheme="minorHAnsi" w:hAnsiTheme="minorHAnsi" w:cstheme="minorHAnsi"/>
          <w:b/>
          <w:bCs/>
          <w:lang w:val="en-US"/>
        </w:rPr>
        <w:t xml:space="preserve">Public/Community Meetings - </w:t>
      </w:r>
      <w:r w:rsidRPr="001956C3">
        <w:rPr>
          <w:rFonts w:asciiTheme="minorHAnsi" w:hAnsiTheme="minorHAnsi" w:cstheme="minorHAnsi"/>
          <w:lang w:val="en-US"/>
        </w:rPr>
        <w:t>The PMU will organize meetings in each project ward/commune with local leaders, project-affected parties (PAPs), vulnerable groups, and other interested parties. Meetings will be open-house events where the PMU presents project objectives, planned activities, the Stakeholder Engagement Plan (SEP), and the Grievance Redress Mechanism (GRM). Participants will be invited to provide comments, ask questions, and raise concerns.</w:t>
      </w:r>
    </w:p>
    <w:p w14:paraId="5B0425B7" w14:textId="77777777" w:rsidR="001956C3" w:rsidRPr="001956C3" w:rsidRDefault="001956C3" w:rsidP="001956C3">
      <w:pPr>
        <w:spacing w:before="100" w:beforeAutospacing="1" w:after="100" w:afterAutospacing="1" w:line="240" w:lineRule="auto"/>
        <w:ind w:right="-144"/>
        <w:jc w:val="both"/>
        <w:rPr>
          <w:rFonts w:eastAsia="Times New Roman" w:cstheme="minorHAnsi"/>
          <w:sz w:val="24"/>
          <w:szCs w:val="24"/>
        </w:rPr>
      </w:pPr>
      <w:r w:rsidRPr="001956C3">
        <w:rPr>
          <w:rFonts w:eastAsia="Times New Roman" w:cstheme="minorHAnsi"/>
          <w:sz w:val="24"/>
          <w:szCs w:val="24"/>
        </w:rPr>
        <w:t>Consultations will include targeted discussions with men, women, vulnerable households, forest-dependent communities, private forest owners, and wood-processing operators to understand their specific needs and expectations regarding the project. Feedback from these meetings will be documented, and follow-up measures will be taken to address concerns. Meetings will be organized quarterly in each targeted ward/commune.</w:t>
      </w:r>
    </w:p>
    <w:p w14:paraId="4927CA47" w14:textId="77777777" w:rsidR="001956C3" w:rsidRPr="001956C3" w:rsidRDefault="001956C3" w:rsidP="001956C3">
      <w:pPr>
        <w:spacing w:before="480" w:after="100" w:afterAutospacing="1" w:line="240" w:lineRule="auto"/>
        <w:jc w:val="both"/>
        <w:rPr>
          <w:rFonts w:eastAsia="Times New Roman" w:cstheme="minorHAnsi"/>
          <w:b/>
          <w:bCs/>
          <w:sz w:val="24"/>
          <w:szCs w:val="24"/>
        </w:rPr>
      </w:pPr>
      <w:r w:rsidRPr="001956C3">
        <w:rPr>
          <w:rFonts w:eastAsia="Times New Roman" w:cstheme="minorHAnsi"/>
          <w:b/>
          <w:bCs/>
          <w:sz w:val="24"/>
          <w:szCs w:val="24"/>
        </w:rPr>
        <w:t xml:space="preserve">Communication Materials - </w:t>
      </w:r>
      <w:r w:rsidRPr="001956C3">
        <w:rPr>
          <w:rFonts w:eastAsia="Times New Roman" w:cstheme="minorHAnsi"/>
          <w:sz w:val="24"/>
          <w:szCs w:val="24"/>
        </w:rPr>
        <w:t>Written information will be disclosed to stakeholders via leaflets, posters, and other visual materials. The PMU will maintain a project website, updated at least quarterly, with key project updates, reports, and guidance on the GRM. Communication materials will also provide clear information about rights, responsibilities, and processes for project-affected parties and other stakeholders.</w:t>
      </w:r>
    </w:p>
    <w:p w14:paraId="1687D5BF" w14:textId="77777777" w:rsidR="001956C3" w:rsidRPr="001956C3" w:rsidRDefault="001956C3" w:rsidP="001956C3">
      <w:pPr>
        <w:spacing w:after="0" w:line="240" w:lineRule="auto"/>
        <w:jc w:val="both"/>
        <w:rPr>
          <w:rFonts w:eastAsia="Times New Roman" w:cstheme="minorHAnsi"/>
          <w:b/>
          <w:bCs/>
          <w:sz w:val="24"/>
          <w:szCs w:val="24"/>
        </w:rPr>
      </w:pPr>
      <w:r w:rsidRPr="001956C3">
        <w:rPr>
          <w:rFonts w:eastAsia="Times New Roman" w:cstheme="minorHAnsi"/>
          <w:b/>
          <w:bCs/>
          <w:sz w:val="24"/>
          <w:szCs w:val="24"/>
        </w:rPr>
        <w:t xml:space="preserve">Training and Workshops - </w:t>
      </w:r>
      <w:r w:rsidRPr="001956C3">
        <w:rPr>
          <w:rFonts w:eastAsia="Times New Roman" w:cstheme="minorHAnsi"/>
          <w:sz w:val="24"/>
          <w:szCs w:val="24"/>
        </w:rPr>
        <w:t>The PMU, in coordination with relevant government agencies and selected NGOs, will organize trainings and workshops covering social issues such as: inclusion/exclusion, labor rights, gender-based violence risks, SEP implementation procedures, and sustainable forest management practices. These sessions aim to strengthen capacity for effective stakeholder engagement and compliance with the World Bank Environmental and Social Standards (ESS).</w:t>
      </w:r>
    </w:p>
    <w:p w14:paraId="741FAC97" w14:textId="77777777" w:rsidR="001956C3" w:rsidRPr="001956C3" w:rsidRDefault="001956C3" w:rsidP="001956C3">
      <w:pPr>
        <w:spacing w:before="100" w:beforeAutospacing="1" w:after="100" w:afterAutospacing="1" w:line="240" w:lineRule="auto"/>
        <w:jc w:val="both"/>
        <w:rPr>
          <w:rFonts w:eastAsia="Times New Roman" w:cstheme="minorHAnsi"/>
          <w:b/>
          <w:bCs/>
          <w:sz w:val="24"/>
          <w:szCs w:val="24"/>
        </w:rPr>
      </w:pPr>
      <w:r w:rsidRPr="001956C3">
        <w:rPr>
          <w:rFonts w:eastAsia="Times New Roman" w:cstheme="minorHAnsi"/>
          <w:b/>
          <w:bCs/>
          <w:sz w:val="24"/>
          <w:szCs w:val="24"/>
        </w:rPr>
        <w:t xml:space="preserve">Grievance Redress Mechanism (GRM) - </w:t>
      </w:r>
      <w:r w:rsidRPr="001956C3">
        <w:rPr>
          <w:rFonts w:eastAsia="Times New Roman" w:cstheme="minorHAnsi"/>
          <w:sz w:val="24"/>
          <w:szCs w:val="24"/>
        </w:rPr>
        <w:t>In compliance with ESS10, a project-specific GRM will be maintained to handle complaints and concerns. This mechanism will be integrated into existing local grievance systems where possible. Dedicated communication materials, including brochures and posters, will inform stakeholders about how to submit grievances, including anonymously, and how the grievances will be processed.</w:t>
      </w:r>
    </w:p>
    <w:p w14:paraId="7E2D2380" w14:textId="77777777" w:rsidR="001956C3" w:rsidRPr="001956C3" w:rsidRDefault="001956C3" w:rsidP="001956C3">
      <w:pPr>
        <w:spacing w:before="100" w:beforeAutospacing="1" w:after="100" w:afterAutospacing="1" w:line="240" w:lineRule="auto"/>
        <w:jc w:val="both"/>
        <w:rPr>
          <w:rFonts w:eastAsia="Times New Roman" w:cstheme="minorHAnsi"/>
          <w:sz w:val="24"/>
          <w:szCs w:val="24"/>
        </w:rPr>
      </w:pPr>
      <w:r w:rsidRPr="001956C3">
        <w:rPr>
          <w:rFonts w:eastAsia="Times New Roman" w:cstheme="minorHAnsi"/>
          <w:sz w:val="24"/>
          <w:szCs w:val="24"/>
        </w:rPr>
        <w:t>The PMU, together with administrative authorities, will maintain a grievance register to record, track, and ensure timely resolution of complaints. Grievances will be addressed at the administrative level as the first instance, with PMU oversight. All information on the GRM process, deadlines, and channels will be available via community meetings, printed materials, and the project website.</w:t>
      </w:r>
    </w:p>
    <w:p w14:paraId="24B7CF13" w14:textId="77777777" w:rsidR="00DE196B" w:rsidRDefault="00DE196B" w:rsidP="001956C3">
      <w:pPr>
        <w:jc w:val="both"/>
      </w:pPr>
    </w:p>
    <w:p w14:paraId="3A8FE332" w14:textId="77777777" w:rsidR="00B55D06" w:rsidRPr="00B55D06" w:rsidRDefault="00B55D06" w:rsidP="00B55D06">
      <w:pPr>
        <w:spacing w:after="0" w:line="240" w:lineRule="auto"/>
        <w:jc w:val="both"/>
        <w:rPr>
          <w:sz w:val="24"/>
          <w:szCs w:val="24"/>
          <w:lang w:val="en-AU"/>
        </w:rPr>
      </w:pPr>
    </w:p>
    <w:p w14:paraId="3D0BC018" w14:textId="77777777" w:rsidR="0056129E" w:rsidRDefault="0056129E" w:rsidP="00B55D06">
      <w:pPr>
        <w:spacing w:after="0" w:line="240" w:lineRule="auto"/>
        <w:jc w:val="both"/>
        <w:rPr>
          <w:b/>
          <w:sz w:val="20"/>
          <w:szCs w:val="20"/>
          <w:lang w:val="en-AU"/>
        </w:rPr>
      </w:pPr>
    </w:p>
    <w:p w14:paraId="06D524C6" w14:textId="77777777" w:rsidR="0056129E" w:rsidRDefault="0056129E" w:rsidP="00B55D06">
      <w:pPr>
        <w:spacing w:after="0" w:line="240" w:lineRule="auto"/>
        <w:jc w:val="both"/>
        <w:rPr>
          <w:b/>
          <w:sz w:val="20"/>
          <w:szCs w:val="20"/>
          <w:lang w:val="en-AU"/>
        </w:rPr>
      </w:pPr>
    </w:p>
    <w:p w14:paraId="39F0816B" w14:textId="77777777" w:rsidR="00B55D06" w:rsidRDefault="00B55D06" w:rsidP="00B55D06">
      <w:pPr>
        <w:spacing w:after="0" w:line="240" w:lineRule="auto"/>
        <w:jc w:val="both"/>
        <w:rPr>
          <w:b/>
          <w:color w:val="1F3864" w:themeColor="accent1" w:themeShade="80"/>
          <w:sz w:val="20"/>
          <w:szCs w:val="20"/>
          <w:lang w:val="en-AU"/>
        </w:rPr>
      </w:pPr>
      <w:r w:rsidRPr="0056129E">
        <w:rPr>
          <w:b/>
          <w:color w:val="1F3864" w:themeColor="accent1" w:themeShade="80"/>
          <w:sz w:val="20"/>
          <w:szCs w:val="20"/>
          <w:lang w:val="en-AU"/>
        </w:rPr>
        <w:lastRenderedPageBreak/>
        <w:t>Table</w:t>
      </w:r>
      <w:r w:rsidR="0053204F">
        <w:rPr>
          <w:b/>
          <w:color w:val="1F3864" w:themeColor="accent1" w:themeShade="80"/>
          <w:sz w:val="20"/>
          <w:szCs w:val="20"/>
          <w:lang w:val="en-AU"/>
        </w:rPr>
        <w:t xml:space="preserve"> </w:t>
      </w:r>
      <w:r w:rsidR="0056129E" w:rsidRPr="0056129E">
        <w:rPr>
          <w:b/>
          <w:color w:val="1F3864" w:themeColor="accent1" w:themeShade="80"/>
          <w:sz w:val="20"/>
          <w:szCs w:val="20"/>
          <w:lang w:val="en-AU"/>
        </w:rPr>
        <w:t>4</w:t>
      </w:r>
      <w:r w:rsidRPr="0056129E">
        <w:rPr>
          <w:b/>
          <w:color w:val="1F3864" w:themeColor="accent1" w:themeShade="80"/>
          <w:sz w:val="20"/>
          <w:szCs w:val="20"/>
          <w:lang w:val="en-AU"/>
        </w:rPr>
        <w:t>: Project Consultations</w:t>
      </w:r>
    </w:p>
    <w:p w14:paraId="5AA1B645" w14:textId="77777777" w:rsidR="0056129E" w:rsidRPr="0056129E" w:rsidRDefault="0056129E" w:rsidP="00B55D06">
      <w:pPr>
        <w:spacing w:after="0" w:line="240" w:lineRule="auto"/>
        <w:jc w:val="both"/>
        <w:rPr>
          <w:b/>
          <w:color w:val="1F3864" w:themeColor="accent1" w:themeShade="80"/>
          <w:sz w:val="20"/>
          <w:szCs w:val="20"/>
          <w:lang w:val="en-AU"/>
        </w:rPr>
      </w:pPr>
    </w:p>
    <w:tbl>
      <w:tblPr>
        <w:tblStyle w:val="1"/>
        <w:tblW w:w="9715" w:type="dxa"/>
        <w:tblLook w:val="04A0" w:firstRow="1" w:lastRow="0" w:firstColumn="1" w:lastColumn="0" w:noHBand="0" w:noVBand="1"/>
      </w:tblPr>
      <w:tblGrid>
        <w:gridCol w:w="1615"/>
        <w:gridCol w:w="1364"/>
        <w:gridCol w:w="1821"/>
        <w:gridCol w:w="1663"/>
        <w:gridCol w:w="1527"/>
        <w:gridCol w:w="1725"/>
      </w:tblGrid>
      <w:tr w:rsidR="001956C3" w:rsidRPr="00B55D06" w14:paraId="4C59A667" w14:textId="77777777" w:rsidTr="00882FBB">
        <w:tc>
          <w:tcPr>
            <w:tcW w:w="1615" w:type="dxa"/>
            <w:shd w:val="clear" w:color="auto" w:fill="DEEAF6" w:themeFill="accent5" w:themeFillTint="33"/>
          </w:tcPr>
          <w:p w14:paraId="08DA4B16" w14:textId="77777777" w:rsidR="00B55D06" w:rsidRPr="00B55D06" w:rsidRDefault="00B55D06" w:rsidP="001956C3">
            <w:pPr>
              <w:rPr>
                <w:b/>
                <w:sz w:val="20"/>
                <w:szCs w:val="20"/>
              </w:rPr>
            </w:pPr>
            <w:r w:rsidRPr="00B55D06">
              <w:rPr>
                <w:b/>
                <w:sz w:val="20"/>
                <w:szCs w:val="20"/>
              </w:rPr>
              <w:t>Project stage</w:t>
            </w:r>
          </w:p>
        </w:tc>
        <w:tc>
          <w:tcPr>
            <w:tcW w:w="1364" w:type="dxa"/>
            <w:shd w:val="clear" w:color="auto" w:fill="DEEAF6" w:themeFill="accent5" w:themeFillTint="33"/>
          </w:tcPr>
          <w:p w14:paraId="397F528D" w14:textId="77777777" w:rsidR="00B55D06" w:rsidRPr="00B55D06" w:rsidRDefault="00B55D06" w:rsidP="001956C3">
            <w:pPr>
              <w:rPr>
                <w:b/>
                <w:sz w:val="20"/>
                <w:szCs w:val="20"/>
              </w:rPr>
            </w:pPr>
            <w:r w:rsidRPr="00B55D06">
              <w:rPr>
                <w:b/>
                <w:sz w:val="20"/>
                <w:szCs w:val="20"/>
              </w:rPr>
              <w:t>Target stakeholder</w:t>
            </w:r>
          </w:p>
        </w:tc>
        <w:tc>
          <w:tcPr>
            <w:tcW w:w="1821" w:type="dxa"/>
            <w:shd w:val="clear" w:color="auto" w:fill="DEEAF6" w:themeFill="accent5" w:themeFillTint="33"/>
          </w:tcPr>
          <w:p w14:paraId="648EB09B" w14:textId="77777777" w:rsidR="001956C3" w:rsidRDefault="00B55D06" w:rsidP="001956C3">
            <w:pPr>
              <w:rPr>
                <w:b/>
                <w:sz w:val="20"/>
                <w:szCs w:val="20"/>
              </w:rPr>
            </w:pPr>
            <w:r w:rsidRPr="00B55D06">
              <w:rPr>
                <w:b/>
                <w:sz w:val="20"/>
                <w:szCs w:val="20"/>
              </w:rPr>
              <w:t xml:space="preserve">Topic </w:t>
            </w:r>
          </w:p>
          <w:p w14:paraId="511A0BCA" w14:textId="77777777" w:rsidR="00B55D06" w:rsidRPr="00B55D06" w:rsidRDefault="00B55D06" w:rsidP="001956C3">
            <w:pPr>
              <w:rPr>
                <w:b/>
                <w:sz w:val="20"/>
                <w:szCs w:val="20"/>
              </w:rPr>
            </w:pPr>
            <w:r w:rsidRPr="00B55D06">
              <w:rPr>
                <w:b/>
                <w:sz w:val="20"/>
                <w:szCs w:val="20"/>
              </w:rPr>
              <w:t>of consultations</w:t>
            </w:r>
          </w:p>
        </w:tc>
        <w:tc>
          <w:tcPr>
            <w:tcW w:w="1663" w:type="dxa"/>
            <w:shd w:val="clear" w:color="auto" w:fill="DEEAF6" w:themeFill="accent5" w:themeFillTint="33"/>
          </w:tcPr>
          <w:p w14:paraId="6F432A48" w14:textId="77777777" w:rsidR="00B55D06" w:rsidRPr="00B55D06" w:rsidRDefault="00B55D06" w:rsidP="001956C3">
            <w:pPr>
              <w:rPr>
                <w:b/>
                <w:sz w:val="20"/>
                <w:szCs w:val="20"/>
              </w:rPr>
            </w:pPr>
            <w:r w:rsidRPr="00B55D06">
              <w:rPr>
                <w:b/>
                <w:sz w:val="20"/>
                <w:szCs w:val="20"/>
              </w:rPr>
              <w:t>Method used</w:t>
            </w:r>
          </w:p>
        </w:tc>
        <w:tc>
          <w:tcPr>
            <w:tcW w:w="1527" w:type="dxa"/>
            <w:shd w:val="clear" w:color="auto" w:fill="DEEAF6" w:themeFill="accent5" w:themeFillTint="33"/>
          </w:tcPr>
          <w:p w14:paraId="7EBA0D8E" w14:textId="77777777" w:rsidR="001956C3" w:rsidRDefault="00B55D06" w:rsidP="001956C3">
            <w:pPr>
              <w:rPr>
                <w:b/>
                <w:sz w:val="20"/>
                <w:szCs w:val="20"/>
              </w:rPr>
            </w:pPr>
            <w:r w:rsidRPr="00B55D06">
              <w:rPr>
                <w:b/>
                <w:sz w:val="20"/>
                <w:szCs w:val="20"/>
              </w:rPr>
              <w:t xml:space="preserve">Timing </w:t>
            </w:r>
          </w:p>
          <w:p w14:paraId="42A6F519" w14:textId="77777777" w:rsidR="00B55D06" w:rsidRPr="00B55D06" w:rsidRDefault="00B55D06" w:rsidP="001956C3">
            <w:pPr>
              <w:rPr>
                <w:b/>
                <w:sz w:val="20"/>
                <w:szCs w:val="20"/>
              </w:rPr>
            </w:pPr>
            <w:r w:rsidRPr="00B55D06">
              <w:rPr>
                <w:b/>
                <w:sz w:val="20"/>
                <w:szCs w:val="20"/>
              </w:rPr>
              <w:t>and Location</w:t>
            </w:r>
          </w:p>
        </w:tc>
        <w:tc>
          <w:tcPr>
            <w:tcW w:w="1725" w:type="dxa"/>
            <w:shd w:val="clear" w:color="auto" w:fill="DEEAF6" w:themeFill="accent5" w:themeFillTint="33"/>
          </w:tcPr>
          <w:p w14:paraId="1A15AB4F" w14:textId="77777777" w:rsidR="00B55D06" w:rsidRPr="00B55D06" w:rsidRDefault="00B55D06" w:rsidP="001956C3">
            <w:pPr>
              <w:rPr>
                <w:b/>
                <w:sz w:val="20"/>
                <w:szCs w:val="20"/>
              </w:rPr>
            </w:pPr>
            <w:r w:rsidRPr="00B55D06">
              <w:rPr>
                <w:b/>
                <w:sz w:val="20"/>
                <w:szCs w:val="20"/>
              </w:rPr>
              <w:t>Responsibility</w:t>
            </w:r>
          </w:p>
        </w:tc>
      </w:tr>
      <w:tr w:rsidR="005E1032" w:rsidRPr="00B55D06" w14:paraId="1748C6BA" w14:textId="77777777" w:rsidTr="00882FBB">
        <w:tc>
          <w:tcPr>
            <w:tcW w:w="1615" w:type="dxa"/>
            <w:vAlign w:val="center"/>
          </w:tcPr>
          <w:p w14:paraId="265199CE" w14:textId="77777777" w:rsidR="005E1032" w:rsidRPr="005E1032" w:rsidRDefault="005E1032" w:rsidP="005E1032">
            <w:pPr>
              <w:rPr>
                <w:rFonts w:cstheme="minorHAnsi"/>
                <w:sz w:val="20"/>
                <w:szCs w:val="20"/>
              </w:rPr>
            </w:pPr>
            <w:r w:rsidRPr="00DD709F">
              <w:rPr>
                <w:rFonts w:eastAsia="Times New Roman" w:cstheme="minorHAnsi"/>
                <w:sz w:val="20"/>
                <w:szCs w:val="20"/>
              </w:rPr>
              <w:t>Project Preparation / Pre-Appraisal</w:t>
            </w:r>
          </w:p>
        </w:tc>
        <w:tc>
          <w:tcPr>
            <w:tcW w:w="1364" w:type="dxa"/>
            <w:vAlign w:val="center"/>
          </w:tcPr>
          <w:p w14:paraId="23864C41" w14:textId="77777777" w:rsidR="005E1032" w:rsidRPr="005E1032" w:rsidRDefault="005E1032" w:rsidP="005E1032">
            <w:pPr>
              <w:rPr>
                <w:rFonts w:cstheme="minorHAnsi"/>
                <w:sz w:val="20"/>
                <w:szCs w:val="20"/>
              </w:rPr>
            </w:pPr>
            <w:r w:rsidRPr="00DD709F">
              <w:rPr>
                <w:rFonts w:eastAsia="Times New Roman" w:cstheme="minorHAnsi"/>
                <w:sz w:val="20"/>
                <w:szCs w:val="20"/>
              </w:rPr>
              <w:t>Local communities, PAPs, commune leaders, vulnerable households</w:t>
            </w:r>
          </w:p>
        </w:tc>
        <w:tc>
          <w:tcPr>
            <w:tcW w:w="1821" w:type="dxa"/>
            <w:vAlign w:val="center"/>
          </w:tcPr>
          <w:p w14:paraId="722819F9" w14:textId="77777777" w:rsidR="005E1032" w:rsidRPr="005E1032" w:rsidRDefault="005E1032" w:rsidP="005E1032">
            <w:pPr>
              <w:rPr>
                <w:rFonts w:cstheme="minorHAnsi"/>
                <w:sz w:val="20"/>
                <w:szCs w:val="20"/>
              </w:rPr>
            </w:pPr>
            <w:r w:rsidRPr="00DD709F">
              <w:rPr>
                <w:rFonts w:eastAsia="Times New Roman" w:cstheme="minorHAnsi"/>
                <w:sz w:val="20"/>
                <w:szCs w:val="20"/>
              </w:rPr>
              <w:t>Project objectives, SEP/ESMF disclosure, GRM, anticipated benefits</w:t>
            </w:r>
          </w:p>
        </w:tc>
        <w:tc>
          <w:tcPr>
            <w:tcW w:w="1663" w:type="dxa"/>
            <w:vAlign w:val="center"/>
          </w:tcPr>
          <w:p w14:paraId="077966C9" w14:textId="77777777" w:rsidR="005E1032" w:rsidRPr="005E1032" w:rsidRDefault="005E1032" w:rsidP="005E1032">
            <w:pPr>
              <w:rPr>
                <w:rFonts w:cstheme="minorHAnsi"/>
                <w:sz w:val="20"/>
                <w:szCs w:val="20"/>
              </w:rPr>
            </w:pPr>
            <w:r w:rsidRPr="00DD709F">
              <w:rPr>
                <w:rFonts w:eastAsia="Times New Roman" w:cstheme="minorHAnsi"/>
                <w:sz w:val="20"/>
                <w:szCs w:val="20"/>
              </w:rPr>
              <w:t>Community meetings, focus group discussions (men, women, vulnerable groups), one-on-one consultations</w:t>
            </w:r>
          </w:p>
        </w:tc>
        <w:tc>
          <w:tcPr>
            <w:tcW w:w="1527" w:type="dxa"/>
            <w:vAlign w:val="center"/>
          </w:tcPr>
          <w:p w14:paraId="5768F446" w14:textId="77777777" w:rsidR="005E1032" w:rsidRPr="005E1032" w:rsidRDefault="005E1032" w:rsidP="005E1032">
            <w:pPr>
              <w:rPr>
                <w:rFonts w:cstheme="minorHAnsi"/>
                <w:sz w:val="20"/>
                <w:szCs w:val="20"/>
              </w:rPr>
            </w:pPr>
            <w:r w:rsidRPr="00DD709F">
              <w:rPr>
                <w:rFonts w:eastAsia="Times New Roman" w:cstheme="minorHAnsi"/>
                <w:sz w:val="20"/>
                <w:szCs w:val="20"/>
              </w:rPr>
              <w:t>Prior to project start (2026), in each targeted ward/commune</w:t>
            </w:r>
          </w:p>
        </w:tc>
        <w:tc>
          <w:tcPr>
            <w:tcW w:w="1725" w:type="dxa"/>
            <w:vAlign w:val="center"/>
          </w:tcPr>
          <w:p w14:paraId="707017AA" w14:textId="77777777" w:rsidR="005E1032" w:rsidRPr="005E1032" w:rsidRDefault="005E1032" w:rsidP="005E1032">
            <w:pPr>
              <w:rPr>
                <w:rFonts w:cstheme="minorHAnsi"/>
                <w:sz w:val="20"/>
                <w:szCs w:val="20"/>
              </w:rPr>
            </w:pPr>
            <w:r w:rsidRPr="00DD709F">
              <w:rPr>
                <w:rFonts w:eastAsia="Times New Roman" w:cstheme="minorHAnsi"/>
                <w:sz w:val="20"/>
                <w:szCs w:val="20"/>
              </w:rPr>
              <w:t>PMU, E&amp;S Officer, local authorities</w:t>
            </w:r>
          </w:p>
        </w:tc>
      </w:tr>
      <w:tr w:rsidR="005E1032" w:rsidRPr="00B55D06" w14:paraId="6313F859" w14:textId="77777777" w:rsidTr="00882FBB">
        <w:tc>
          <w:tcPr>
            <w:tcW w:w="1615" w:type="dxa"/>
            <w:vAlign w:val="center"/>
          </w:tcPr>
          <w:p w14:paraId="5DFC8BAF" w14:textId="77777777" w:rsidR="005E1032" w:rsidRPr="005E1032" w:rsidRDefault="005E1032" w:rsidP="005E1032">
            <w:pPr>
              <w:rPr>
                <w:rFonts w:cstheme="minorHAnsi"/>
                <w:sz w:val="20"/>
                <w:szCs w:val="20"/>
              </w:rPr>
            </w:pPr>
            <w:r w:rsidRPr="00DD709F">
              <w:rPr>
                <w:rFonts w:eastAsia="Times New Roman" w:cstheme="minorHAnsi"/>
                <w:sz w:val="20"/>
                <w:szCs w:val="20"/>
              </w:rPr>
              <w:t>Early Project Implementation</w:t>
            </w:r>
          </w:p>
        </w:tc>
        <w:tc>
          <w:tcPr>
            <w:tcW w:w="1364" w:type="dxa"/>
            <w:vAlign w:val="center"/>
          </w:tcPr>
          <w:p w14:paraId="3C87A8AB" w14:textId="77777777" w:rsidR="005E1032" w:rsidRPr="005E1032" w:rsidRDefault="005E1032" w:rsidP="005E1032">
            <w:pPr>
              <w:rPr>
                <w:rFonts w:cstheme="minorHAnsi"/>
                <w:sz w:val="20"/>
                <w:szCs w:val="20"/>
              </w:rPr>
            </w:pPr>
            <w:r w:rsidRPr="00DD709F">
              <w:rPr>
                <w:rFonts w:eastAsia="Times New Roman" w:cstheme="minorHAnsi"/>
                <w:sz w:val="20"/>
                <w:szCs w:val="20"/>
              </w:rPr>
              <w:t>Local communities, PAPs, women and vulnerable groups</w:t>
            </w:r>
          </w:p>
        </w:tc>
        <w:tc>
          <w:tcPr>
            <w:tcW w:w="1821" w:type="dxa"/>
            <w:vAlign w:val="center"/>
          </w:tcPr>
          <w:p w14:paraId="3B5E77C5" w14:textId="77777777" w:rsidR="005E1032" w:rsidRPr="005E1032" w:rsidRDefault="005E1032" w:rsidP="005E1032">
            <w:pPr>
              <w:rPr>
                <w:rFonts w:cstheme="minorHAnsi"/>
                <w:sz w:val="20"/>
                <w:szCs w:val="20"/>
              </w:rPr>
            </w:pPr>
            <w:r w:rsidRPr="00DD709F">
              <w:rPr>
                <w:rFonts w:eastAsia="Times New Roman" w:cstheme="minorHAnsi"/>
                <w:sz w:val="20"/>
                <w:szCs w:val="20"/>
              </w:rPr>
              <w:t>Updates on project activities, validation of assumptions, awareness of safeguards</w:t>
            </w:r>
          </w:p>
        </w:tc>
        <w:tc>
          <w:tcPr>
            <w:tcW w:w="1663" w:type="dxa"/>
            <w:vAlign w:val="center"/>
          </w:tcPr>
          <w:p w14:paraId="32259DA1" w14:textId="77777777" w:rsidR="005E1032" w:rsidRPr="005E1032" w:rsidRDefault="005E1032" w:rsidP="005E1032">
            <w:pPr>
              <w:rPr>
                <w:rFonts w:cstheme="minorHAnsi"/>
                <w:sz w:val="20"/>
                <w:szCs w:val="20"/>
              </w:rPr>
            </w:pPr>
            <w:r w:rsidRPr="00DD709F">
              <w:rPr>
                <w:rFonts w:eastAsia="Times New Roman" w:cstheme="minorHAnsi"/>
                <w:sz w:val="20"/>
                <w:szCs w:val="20"/>
              </w:rPr>
              <w:t>Community meetings, workshops, leaflets, posters, radio announcements, website updates</w:t>
            </w:r>
          </w:p>
        </w:tc>
        <w:tc>
          <w:tcPr>
            <w:tcW w:w="1527" w:type="dxa"/>
            <w:vAlign w:val="center"/>
          </w:tcPr>
          <w:p w14:paraId="681CF3E4" w14:textId="77777777" w:rsidR="005E1032" w:rsidRPr="005E1032" w:rsidRDefault="005E1032" w:rsidP="005E1032">
            <w:pPr>
              <w:rPr>
                <w:rFonts w:cstheme="minorHAnsi"/>
                <w:sz w:val="20"/>
                <w:szCs w:val="20"/>
              </w:rPr>
            </w:pPr>
            <w:r w:rsidRPr="00DD709F">
              <w:rPr>
                <w:rFonts w:eastAsia="Times New Roman" w:cstheme="minorHAnsi"/>
                <w:sz w:val="20"/>
                <w:szCs w:val="20"/>
              </w:rPr>
              <w:t>Quarterly in targeted areas</w:t>
            </w:r>
          </w:p>
        </w:tc>
        <w:tc>
          <w:tcPr>
            <w:tcW w:w="1725" w:type="dxa"/>
            <w:vAlign w:val="center"/>
          </w:tcPr>
          <w:p w14:paraId="39C559D4" w14:textId="77777777" w:rsidR="005E1032" w:rsidRPr="005E1032" w:rsidRDefault="005E1032" w:rsidP="005E1032">
            <w:pPr>
              <w:rPr>
                <w:rFonts w:cstheme="minorHAnsi"/>
                <w:sz w:val="20"/>
                <w:szCs w:val="20"/>
              </w:rPr>
            </w:pPr>
            <w:r w:rsidRPr="00DD709F">
              <w:rPr>
                <w:rFonts w:eastAsia="Times New Roman" w:cstheme="minorHAnsi"/>
                <w:sz w:val="20"/>
                <w:szCs w:val="20"/>
              </w:rPr>
              <w:t>PMU, E&amp;S Officer, local authorities</w:t>
            </w:r>
          </w:p>
        </w:tc>
      </w:tr>
      <w:tr w:rsidR="005E1032" w:rsidRPr="00B55D06" w14:paraId="3B004AC2" w14:textId="77777777" w:rsidTr="00882FBB">
        <w:tc>
          <w:tcPr>
            <w:tcW w:w="1615" w:type="dxa"/>
            <w:vAlign w:val="center"/>
          </w:tcPr>
          <w:p w14:paraId="102B6279" w14:textId="77777777" w:rsidR="005E1032" w:rsidRPr="005E1032" w:rsidRDefault="005E1032" w:rsidP="005E1032">
            <w:pPr>
              <w:rPr>
                <w:rFonts w:cstheme="minorHAnsi"/>
                <w:sz w:val="20"/>
                <w:szCs w:val="20"/>
              </w:rPr>
            </w:pPr>
            <w:r w:rsidRPr="00DD709F">
              <w:rPr>
                <w:rFonts w:eastAsia="Times New Roman" w:cstheme="minorHAnsi"/>
                <w:sz w:val="20"/>
                <w:szCs w:val="20"/>
              </w:rPr>
              <w:t>Technical Assistance / Training</w:t>
            </w:r>
          </w:p>
        </w:tc>
        <w:tc>
          <w:tcPr>
            <w:tcW w:w="1364" w:type="dxa"/>
            <w:vAlign w:val="center"/>
          </w:tcPr>
          <w:p w14:paraId="6B6D8443" w14:textId="77777777" w:rsidR="005E1032" w:rsidRPr="005E1032" w:rsidRDefault="005E1032" w:rsidP="005E1032">
            <w:pPr>
              <w:rPr>
                <w:rFonts w:cstheme="minorHAnsi"/>
                <w:sz w:val="20"/>
                <w:szCs w:val="20"/>
              </w:rPr>
            </w:pPr>
            <w:r w:rsidRPr="00DD709F">
              <w:rPr>
                <w:rFonts w:eastAsia="Times New Roman" w:cstheme="minorHAnsi"/>
                <w:sz w:val="20"/>
                <w:szCs w:val="20"/>
              </w:rPr>
              <w:t>PMU staff, Ministry of Agriculture, Forestry and Water Management staff, NGOs</w:t>
            </w:r>
          </w:p>
        </w:tc>
        <w:tc>
          <w:tcPr>
            <w:tcW w:w="1821" w:type="dxa"/>
            <w:vAlign w:val="center"/>
          </w:tcPr>
          <w:p w14:paraId="6377E30B" w14:textId="77777777" w:rsidR="005E1032" w:rsidRPr="005E1032" w:rsidRDefault="005E1032" w:rsidP="005E1032">
            <w:pPr>
              <w:rPr>
                <w:rFonts w:cstheme="minorHAnsi"/>
                <w:sz w:val="20"/>
                <w:szCs w:val="20"/>
              </w:rPr>
            </w:pPr>
            <w:r w:rsidRPr="00DD709F">
              <w:rPr>
                <w:rFonts w:eastAsia="Times New Roman" w:cstheme="minorHAnsi"/>
                <w:sz w:val="20"/>
                <w:szCs w:val="20"/>
              </w:rPr>
              <w:t>SEP procedures, inclusion/exclusion, labour issues, gender-based violence risks, SFM practices</w:t>
            </w:r>
          </w:p>
        </w:tc>
        <w:tc>
          <w:tcPr>
            <w:tcW w:w="1663" w:type="dxa"/>
            <w:vAlign w:val="center"/>
          </w:tcPr>
          <w:p w14:paraId="094DFBA2" w14:textId="77777777" w:rsidR="005E1032" w:rsidRPr="005E1032" w:rsidRDefault="005E1032" w:rsidP="005E1032">
            <w:pPr>
              <w:rPr>
                <w:rFonts w:cstheme="minorHAnsi"/>
                <w:sz w:val="20"/>
                <w:szCs w:val="20"/>
              </w:rPr>
            </w:pPr>
            <w:r w:rsidRPr="00DD709F">
              <w:rPr>
                <w:rFonts w:eastAsia="Times New Roman" w:cstheme="minorHAnsi"/>
                <w:sz w:val="20"/>
                <w:szCs w:val="20"/>
              </w:rPr>
              <w:t>Workshops, training sessions</w:t>
            </w:r>
          </w:p>
        </w:tc>
        <w:tc>
          <w:tcPr>
            <w:tcW w:w="1527" w:type="dxa"/>
            <w:vAlign w:val="center"/>
          </w:tcPr>
          <w:p w14:paraId="0FBB3924" w14:textId="66114EB4" w:rsidR="005E1032" w:rsidRPr="005E1032" w:rsidRDefault="005E1032" w:rsidP="005E1032">
            <w:pPr>
              <w:rPr>
                <w:rFonts w:cstheme="minorHAnsi"/>
                <w:sz w:val="20"/>
                <w:szCs w:val="20"/>
              </w:rPr>
            </w:pPr>
            <w:r w:rsidRPr="00DD709F">
              <w:rPr>
                <w:rFonts w:eastAsia="Times New Roman" w:cstheme="minorHAnsi"/>
                <w:sz w:val="20"/>
                <w:szCs w:val="20"/>
              </w:rPr>
              <w:t>According to project schedule (2026–203</w:t>
            </w:r>
            <w:r w:rsidR="00B92D7E">
              <w:rPr>
                <w:rFonts w:eastAsia="Times New Roman" w:cstheme="minorHAnsi"/>
                <w:sz w:val="20"/>
                <w:szCs w:val="20"/>
              </w:rPr>
              <w:t>2</w:t>
            </w:r>
            <w:r w:rsidRPr="00DD709F">
              <w:rPr>
                <w:rFonts w:eastAsia="Times New Roman" w:cstheme="minorHAnsi"/>
                <w:sz w:val="20"/>
                <w:szCs w:val="20"/>
              </w:rPr>
              <w:t>)</w:t>
            </w:r>
          </w:p>
        </w:tc>
        <w:tc>
          <w:tcPr>
            <w:tcW w:w="1725" w:type="dxa"/>
            <w:vAlign w:val="center"/>
          </w:tcPr>
          <w:p w14:paraId="1C8BD1E7" w14:textId="77777777" w:rsidR="005E1032" w:rsidRPr="005E1032" w:rsidRDefault="005E1032" w:rsidP="005E1032">
            <w:pPr>
              <w:rPr>
                <w:rFonts w:cstheme="minorHAnsi"/>
                <w:sz w:val="20"/>
                <w:szCs w:val="20"/>
              </w:rPr>
            </w:pPr>
            <w:r w:rsidRPr="00DD709F">
              <w:rPr>
                <w:rFonts w:eastAsia="Times New Roman" w:cstheme="minorHAnsi"/>
                <w:sz w:val="20"/>
                <w:szCs w:val="20"/>
              </w:rPr>
              <w:t>PMU, Consultants</w:t>
            </w:r>
          </w:p>
        </w:tc>
      </w:tr>
      <w:tr w:rsidR="005E1032" w:rsidRPr="00B55D06" w14:paraId="7663A518" w14:textId="77777777" w:rsidTr="00882FBB">
        <w:tc>
          <w:tcPr>
            <w:tcW w:w="1615" w:type="dxa"/>
            <w:vAlign w:val="center"/>
          </w:tcPr>
          <w:p w14:paraId="1540C507" w14:textId="77777777" w:rsidR="005E1032" w:rsidRPr="005E1032" w:rsidRDefault="005E1032" w:rsidP="005E1032">
            <w:pPr>
              <w:rPr>
                <w:rFonts w:cstheme="minorHAnsi"/>
                <w:sz w:val="20"/>
                <w:szCs w:val="20"/>
              </w:rPr>
            </w:pPr>
            <w:r w:rsidRPr="00DD709F">
              <w:rPr>
                <w:rFonts w:eastAsia="Times New Roman" w:cstheme="minorHAnsi"/>
                <w:sz w:val="20"/>
                <w:szCs w:val="20"/>
              </w:rPr>
              <w:t>GRM Awareness &amp; Reporting</w:t>
            </w:r>
          </w:p>
        </w:tc>
        <w:tc>
          <w:tcPr>
            <w:tcW w:w="1364" w:type="dxa"/>
            <w:vAlign w:val="center"/>
          </w:tcPr>
          <w:p w14:paraId="70D35B22" w14:textId="77777777" w:rsidR="005E1032" w:rsidRPr="005E1032" w:rsidRDefault="005E1032" w:rsidP="005E1032">
            <w:pPr>
              <w:rPr>
                <w:rFonts w:cstheme="minorHAnsi"/>
                <w:sz w:val="20"/>
                <w:szCs w:val="20"/>
              </w:rPr>
            </w:pPr>
            <w:r w:rsidRPr="00DD709F">
              <w:rPr>
                <w:rFonts w:eastAsia="Times New Roman" w:cstheme="minorHAnsi"/>
                <w:sz w:val="20"/>
                <w:szCs w:val="20"/>
              </w:rPr>
              <w:t>Local communities, PAPs, other stakeholders</w:t>
            </w:r>
          </w:p>
        </w:tc>
        <w:tc>
          <w:tcPr>
            <w:tcW w:w="1821" w:type="dxa"/>
            <w:vAlign w:val="center"/>
          </w:tcPr>
          <w:p w14:paraId="775C0D07" w14:textId="77777777" w:rsidR="005E1032" w:rsidRPr="005E1032" w:rsidRDefault="005E1032" w:rsidP="005E1032">
            <w:pPr>
              <w:rPr>
                <w:rFonts w:cstheme="minorHAnsi"/>
                <w:sz w:val="20"/>
                <w:szCs w:val="20"/>
              </w:rPr>
            </w:pPr>
            <w:r w:rsidRPr="00DD709F">
              <w:rPr>
                <w:rFonts w:eastAsia="Times New Roman" w:cstheme="minorHAnsi"/>
                <w:sz w:val="20"/>
                <w:szCs w:val="20"/>
              </w:rPr>
              <w:t>Submission of grievances, channels, deadlines, anonymous complaints</w:t>
            </w:r>
          </w:p>
        </w:tc>
        <w:tc>
          <w:tcPr>
            <w:tcW w:w="1663" w:type="dxa"/>
            <w:vAlign w:val="center"/>
          </w:tcPr>
          <w:p w14:paraId="216CB21E" w14:textId="77777777" w:rsidR="005E1032" w:rsidRPr="005E1032" w:rsidRDefault="005E1032" w:rsidP="005E1032">
            <w:pPr>
              <w:rPr>
                <w:rFonts w:cstheme="minorHAnsi"/>
                <w:sz w:val="20"/>
                <w:szCs w:val="20"/>
              </w:rPr>
            </w:pPr>
            <w:r w:rsidRPr="00DD709F">
              <w:rPr>
                <w:rFonts w:eastAsia="Times New Roman" w:cstheme="minorHAnsi"/>
                <w:sz w:val="20"/>
                <w:szCs w:val="20"/>
              </w:rPr>
              <w:t>GRM brochures, posters, leaflets, website updates, community meetings</w:t>
            </w:r>
          </w:p>
        </w:tc>
        <w:tc>
          <w:tcPr>
            <w:tcW w:w="1527" w:type="dxa"/>
            <w:vAlign w:val="center"/>
          </w:tcPr>
          <w:p w14:paraId="61F9E404" w14:textId="77777777" w:rsidR="005E1032" w:rsidRPr="005E1032" w:rsidRDefault="005E1032" w:rsidP="005E1032">
            <w:pPr>
              <w:rPr>
                <w:rFonts w:cstheme="minorHAnsi"/>
                <w:sz w:val="20"/>
                <w:szCs w:val="20"/>
              </w:rPr>
            </w:pPr>
            <w:r w:rsidRPr="00DD709F">
              <w:rPr>
                <w:rFonts w:eastAsia="Times New Roman" w:cstheme="minorHAnsi"/>
                <w:sz w:val="20"/>
                <w:szCs w:val="20"/>
              </w:rPr>
              <w:t>Continuous throughout project</w:t>
            </w:r>
          </w:p>
        </w:tc>
        <w:tc>
          <w:tcPr>
            <w:tcW w:w="1725" w:type="dxa"/>
            <w:vAlign w:val="center"/>
          </w:tcPr>
          <w:p w14:paraId="4AAD535B" w14:textId="77777777" w:rsidR="005E1032" w:rsidRPr="005E1032" w:rsidRDefault="005E1032" w:rsidP="005E1032">
            <w:pPr>
              <w:rPr>
                <w:rFonts w:cstheme="minorHAnsi"/>
                <w:sz w:val="20"/>
                <w:szCs w:val="20"/>
              </w:rPr>
            </w:pPr>
            <w:r w:rsidRPr="00DD709F">
              <w:rPr>
                <w:rFonts w:eastAsia="Times New Roman" w:cstheme="minorHAnsi"/>
                <w:sz w:val="20"/>
                <w:szCs w:val="20"/>
              </w:rPr>
              <w:t>PMU, Administrative authorities, E&amp;S Officer</w:t>
            </w:r>
          </w:p>
        </w:tc>
      </w:tr>
    </w:tbl>
    <w:p w14:paraId="67C17E28" w14:textId="77777777" w:rsidR="00B55D06" w:rsidRPr="00B55D06" w:rsidRDefault="00B55D06" w:rsidP="00B55D06">
      <w:pPr>
        <w:spacing w:after="0" w:line="240" w:lineRule="auto"/>
        <w:jc w:val="both"/>
        <w:rPr>
          <w:sz w:val="24"/>
          <w:szCs w:val="24"/>
          <w:lang w:val="en-AU"/>
        </w:rPr>
      </w:pPr>
    </w:p>
    <w:p w14:paraId="0511A8DD" w14:textId="77777777" w:rsidR="007D0035" w:rsidRPr="00B55D06" w:rsidRDefault="007D0035" w:rsidP="00D13834">
      <w:pPr>
        <w:jc w:val="both"/>
        <w:rPr>
          <w:lang w:val="en-AU"/>
        </w:rPr>
      </w:pPr>
    </w:p>
    <w:p w14:paraId="1187E215" w14:textId="77777777" w:rsidR="007D0035" w:rsidRPr="007D0035" w:rsidRDefault="00B65C99" w:rsidP="00D13834">
      <w:pPr>
        <w:jc w:val="both"/>
        <w:rPr>
          <w:b/>
          <w:i/>
          <w:sz w:val="28"/>
          <w:szCs w:val="28"/>
        </w:rPr>
      </w:pPr>
      <w:r w:rsidRPr="007D0035">
        <w:rPr>
          <w:b/>
          <w:sz w:val="28"/>
          <w:szCs w:val="28"/>
        </w:rPr>
        <w:t xml:space="preserve"> </w:t>
      </w:r>
      <w:r w:rsidRPr="007D0035">
        <w:rPr>
          <w:b/>
          <w:i/>
          <w:color w:val="385623" w:themeColor="accent6" w:themeShade="80"/>
          <w:sz w:val="28"/>
          <w:szCs w:val="28"/>
        </w:rPr>
        <w:t xml:space="preserve">5.5. Proposed Strategy to Incorporate the Views of Vulnerable Groups </w:t>
      </w:r>
    </w:p>
    <w:p w14:paraId="24F8F129" w14:textId="77777777" w:rsidR="00B65C99" w:rsidRDefault="00B65C99" w:rsidP="00D13834">
      <w:pPr>
        <w:jc w:val="both"/>
      </w:pPr>
      <w:r>
        <w:t xml:space="preserve"> In the Project, vulnerable or disadvantaged groups may include but not limit to the followings: (i) Elderly and/or social policy households (invalids, paralysis heroic mothers); (ii) Poor/near-poor families; (iii) People with disabilities and their careers and; (iv) Women, in particular women-headed households or single mothers with children under adolescent/dependent age. Vulnerable or disadvantaged individuals or groups may have limited participation and/or understanding of project information or participation in the consultation process. Vulnerable groups in the project-affected communities will be further identified and consulted through the specialized facilities, if appropriate. The consultation method for vulnerable groups should be applied in separate small groups, with the gender segregation such as male groups of poor households, female groups of poor households, groups of women, etc. Vulnerable groups should not be consulted together with other groups like the better-off households. The vulnerable groups are afraid to share and lack confidence and sometimes they are inferior to themselves when giving their opinions. It is noted that consultation of these target groups should be flexible in the field to suit the feature of each group, which maybe group consultation or individual consultation. Where to conduct consultation, perhaps at the households, the village leaders’ houses/village women's union/cultural houses. The consultation is conducted in where people feel the most comfortable and convenient for them. Importantly, it creates an open and friendly environment when consulting with these groups.</w:t>
      </w:r>
    </w:p>
    <w:p w14:paraId="7D4867D7" w14:textId="77777777" w:rsidR="00DE196B" w:rsidRDefault="00DE196B" w:rsidP="00D13834">
      <w:pPr>
        <w:jc w:val="both"/>
        <w:rPr>
          <w:b/>
        </w:rPr>
      </w:pPr>
    </w:p>
    <w:p w14:paraId="5DC49AEA" w14:textId="77777777" w:rsidR="007D0035" w:rsidRDefault="007D0035" w:rsidP="00D13834">
      <w:pPr>
        <w:jc w:val="both"/>
        <w:rPr>
          <w:b/>
        </w:rPr>
      </w:pPr>
    </w:p>
    <w:p w14:paraId="5A77EDEE" w14:textId="77777777" w:rsidR="007D0035" w:rsidRDefault="007D0035" w:rsidP="00D13834">
      <w:pPr>
        <w:jc w:val="both"/>
        <w:rPr>
          <w:b/>
        </w:rPr>
      </w:pPr>
    </w:p>
    <w:p w14:paraId="45EFA504" w14:textId="77777777" w:rsidR="007D0035" w:rsidRPr="00DE196B" w:rsidRDefault="007D0035" w:rsidP="00D13834">
      <w:pPr>
        <w:jc w:val="both"/>
        <w:rPr>
          <w:b/>
        </w:rPr>
      </w:pPr>
    </w:p>
    <w:p w14:paraId="159A7754" w14:textId="77777777" w:rsidR="00DE196B" w:rsidRPr="007D0035" w:rsidRDefault="00DE196B" w:rsidP="00D13834">
      <w:pPr>
        <w:jc w:val="both"/>
        <w:rPr>
          <w:b/>
          <w:i/>
          <w:color w:val="385623" w:themeColor="accent6" w:themeShade="80"/>
          <w:sz w:val="28"/>
          <w:szCs w:val="28"/>
        </w:rPr>
      </w:pPr>
      <w:r w:rsidRPr="007D0035">
        <w:rPr>
          <w:b/>
          <w:i/>
          <w:color w:val="385623" w:themeColor="accent6" w:themeShade="80"/>
          <w:sz w:val="28"/>
          <w:szCs w:val="28"/>
        </w:rPr>
        <w:t>5.</w:t>
      </w:r>
      <w:r w:rsidR="00AA533F">
        <w:rPr>
          <w:b/>
          <w:i/>
          <w:color w:val="385623" w:themeColor="accent6" w:themeShade="80"/>
          <w:sz w:val="28"/>
          <w:szCs w:val="28"/>
        </w:rPr>
        <w:t>7</w:t>
      </w:r>
      <w:r w:rsidRPr="007D0035">
        <w:rPr>
          <w:b/>
          <w:i/>
          <w:color w:val="385623" w:themeColor="accent6" w:themeShade="80"/>
          <w:sz w:val="28"/>
          <w:szCs w:val="28"/>
        </w:rPr>
        <w:t>. Project Timelines</w:t>
      </w:r>
    </w:p>
    <w:p w14:paraId="61E08211" w14:textId="77777777" w:rsidR="00DE196B" w:rsidRPr="003C09C2" w:rsidRDefault="00DE196B" w:rsidP="00D13834">
      <w:pPr>
        <w:jc w:val="both"/>
        <w:rPr>
          <w:b/>
        </w:rPr>
      </w:pPr>
      <w:r w:rsidRPr="003C09C2">
        <w:rPr>
          <w:b/>
        </w:rPr>
        <w:t>The time to implement SEP activities is estimated according to the table below:</w:t>
      </w:r>
    </w:p>
    <w:p w14:paraId="7CEABAFC" w14:textId="77777777" w:rsidR="00DE196B" w:rsidRPr="0053204F" w:rsidRDefault="0053204F" w:rsidP="00D13834">
      <w:pPr>
        <w:jc w:val="both"/>
        <w:rPr>
          <w:b/>
          <w:color w:val="1F3864" w:themeColor="accent1" w:themeShade="80"/>
        </w:rPr>
      </w:pPr>
      <w:r w:rsidRPr="0053204F">
        <w:rPr>
          <w:b/>
          <w:color w:val="1F3864" w:themeColor="accent1" w:themeShade="80"/>
        </w:rPr>
        <w:t>Table 5: Project timeline</w:t>
      </w:r>
    </w:p>
    <w:tbl>
      <w:tblPr>
        <w:tblStyle w:val="GridTable4"/>
        <w:tblW w:w="0" w:type="auto"/>
        <w:tblLook w:val="04A0" w:firstRow="1" w:lastRow="0" w:firstColumn="1" w:lastColumn="0" w:noHBand="0" w:noVBand="1"/>
      </w:tblPr>
      <w:tblGrid>
        <w:gridCol w:w="1812"/>
        <w:gridCol w:w="1789"/>
        <w:gridCol w:w="1790"/>
        <w:gridCol w:w="1849"/>
        <w:gridCol w:w="1770"/>
      </w:tblGrid>
      <w:tr w:rsidR="00DE196B" w14:paraId="7543CEFA" w14:textId="77777777" w:rsidTr="00DE1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4145C91" w14:textId="77777777" w:rsidR="00DE196B" w:rsidRDefault="00DE196B" w:rsidP="00D13834">
            <w:pPr>
              <w:jc w:val="both"/>
              <w:rPr>
                <w:b w:val="0"/>
              </w:rPr>
            </w:pPr>
            <w:r>
              <w:rPr>
                <w:b w:val="0"/>
              </w:rPr>
              <w:t>Project preparation</w:t>
            </w:r>
          </w:p>
        </w:tc>
        <w:tc>
          <w:tcPr>
            <w:tcW w:w="1870" w:type="dxa"/>
          </w:tcPr>
          <w:p w14:paraId="2C300CCE" w14:textId="77777777" w:rsidR="00DE196B" w:rsidRDefault="00DE196B" w:rsidP="00D13834">
            <w:pPr>
              <w:jc w:val="both"/>
              <w:cnfStyle w:val="100000000000" w:firstRow="1" w:lastRow="0" w:firstColumn="0" w:lastColumn="0" w:oddVBand="0" w:evenVBand="0" w:oddHBand="0" w:evenHBand="0" w:firstRowFirstColumn="0" w:firstRowLastColumn="0" w:lastRowFirstColumn="0" w:lastRowLastColumn="0"/>
              <w:rPr>
                <w:b w:val="0"/>
              </w:rPr>
            </w:pPr>
            <w:r>
              <w:rPr>
                <w:b w:val="0"/>
              </w:rPr>
              <w:t>Bank Appraisal</w:t>
            </w:r>
          </w:p>
        </w:tc>
        <w:tc>
          <w:tcPr>
            <w:tcW w:w="1870" w:type="dxa"/>
          </w:tcPr>
          <w:p w14:paraId="4A68046A" w14:textId="77777777" w:rsidR="00DE196B" w:rsidRDefault="00DE196B" w:rsidP="00D13834">
            <w:pPr>
              <w:jc w:val="both"/>
              <w:cnfStyle w:val="100000000000" w:firstRow="1" w:lastRow="0" w:firstColumn="0" w:lastColumn="0" w:oddVBand="0" w:evenVBand="0" w:oddHBand="0" w:evenHBand="0" w:firstRowFirstColumn="0" w:firstRowLastColumn="0" w:lastRowFirstColumn="0" w:lastRowLastColumn="0"/>
              <w:rPr>
                <w:b w:val="0"/>
              </w:rPr>
            </w:pPr>
            <w:r>
              <w:rPr>
                <w:b w:val="0"/>
              </w:rPr>
              <w:t>Bank Decisions</w:t>
            </w:r>
          </w:p>
        </w:tc>
        <w:tc>
          <w:tcPr>
            <w:tcW w:w="1870" w:type="dxa"/>
          </w:tcPr>
          <w:p w14:paraId="137E3E96" w14:textId="77777777" w:rsidR="00DE196B" w:rsidRDefault="00DE196B" w:rsidP="00D13834">
            <w:pPr>
              <w:jc w:val="both"/>
              <w:cnfStyle w:val="100000000000" w:firstRow="1" w:lastRow="0" w:firstColumn="0" w:lastColumn="0" w:oddVBand="0" w:evenVBand="0" w:oddHBand="0" w:evenHBand="0" w:firstRowFirstColumn="0" w:firstRowLastColumn="0" w:lastRowFirstColumn="0" w:lastRowLastColumn="0"/>
              <w:rPr>
                <w:b w:val="0"/>
              </w:rPr>
            </w:pPr>
            <w:r>
              <w:rPr>
                <w:b w:val="0"/>
              </w:rPr>
              <w:t>Project Implementation</w:t>
            </w:r>
          </w:p>
        </w:tc>
        <w:tc>
          <w:tcPr>
            <w:tcW w:w="1870" w:type="dxa"/>
          </w:tcPr>
          <w:p w14:paraId="6D33BF6E" w14:textId="77777777" w:rsidR="00DE196B" w:rsidRDefault="00DE196B" w:rsidP="00D13834">
            <w:pPr>
              <w:jc w:val="both"/>
              <w:cnfStyle w:val="100000000000" w:firstRow="1" w:lastRow="0" w:firstColumn="0" w:lastColumn="0" w:oddVBand="0" w:evenVBand="0" w:oddHBand="0" w:evenHBand="0" w:firstRowFirstColumn="0" w:firstRowLastColumn="0" w:lastRowFirstColumn="0" w:lastRowLastColumn="0"/>
              <w:rPr>
                <w:b w:val="0"/>
              </w:rPr>
            </w:pPr>
            <w:r>
              <w:rPr>
                <w:b w:val="0"/>
              </w:rPr>
              <w:t>Project Phase Out</w:t>
            </w:r>
          </w:p>
        </w:tc>
      </w:tr>
      <w:tr w:rsidR="00DE196B" w14:paraId="231CEC43" w14:textId="77777777" w:rsidTr="00DE1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5683BF0" w14:textId="77777777" w:rsidR="00DE196B" w:rsidRDefault="009C6671" w:rsidP="00D13834">
            <w:pPr>
              <w:jc w:val="both"/>
              <w:rPr>
                <w:b w:val="0"/>
              </w:rPr>
            </w:pPr>
            <w:r>
              <w:rPr>
                <w:b w:val="0"/>
              </w:rPr>
              <w:t>Q1-Q4 2025</w:t>
            </w:r>
          </w:p>
        </w:tc>
        <w:tc>
          <w:tcPr>
            <w:tcW w:w="1870" w:type="dxa"/>
          </w:tcPr>
          <w:p w14:paraId="4AD04E6A" w14:textId="77777777" w:rsidR="00DE196B" w:rsidRPr="009C6671" w:rsidRDefault="009C6671" w:rsidP="00D13834">
            <w:pPr>
              <w:jc w:val="both"/>
              <w:cnfStyle w:val="000000100000" w:firstRow="0" w:lastRow="0" w:firstColumn="0" w:lastColumn="0" w:oddVBand="0" w:evenVBand="0" w:oddHBand="1" w:evenHBand="0" w:firstRowFirstColumn="0" w:firstRowLastColumn="0" w:lastRowFirstColumn="0" w:lastRowLastColumn="0"/>
            </w:pPr>
            <w:r w:rsidRPr="009C6671">
              <w:rPr>
                <w:color w:val="FF0000"/>
              </w:rPr>
              <w:t>Q1 2025</w:t>
            </w:r>
          </w:p>
        </w:tc>
        <w:tc>
          <w:tcPr>
            <w:tcW w:w="1870" w:type="dxa"/>
          </w:tcPr>
          <w:p w14:paraId="345D0563" w14:textId="77777777" w:rsidR="00DE196B" w:rsidRPr="009C6671" w:rsidRDefault="009C6671" w:rsidP="00D13834">
            <w:pPr>
              <w:jc w:val="both"/>
              <w:cnfStyle w:val="000000100000" w:firstRow="0" w:lastRow="0" w:firstColumn="0" w:lastColumn="0" w:oddVBand="0" w:evenVBand="0" w:oddHBand="1" w:evenHBand="0" w:firstRowFirstColumn="0" w:firstRowLastColumn="0" w:lastRowFirstColumn="0" w:lastRowLastColumn="0"/>
            </w:pPr>
            <w:r w:rsidRPr="009C6671">
              <w:rPr>
                <w:color w:val="FF0000"/>
              </w:rPr>
              <w:t>Q2 2025</w:t>
            </w:r>
          </w:p>
        </w:tc>
        <w:tc>
          <w:tcPr>
            <w:tcW w:w="1870" w:type="dxa"/>
          </w:tcPr>
          <w:p w14:paraId="6FA46860" w14:textId="41053CF0" w:rsidR="00DE196B" w:rsidRPr="009C6671" w:rsidRDefault="009C6671" w:rsidP="00D13834">
            <w:pPr>
              <w:jc w:val="both"/>
              <w:cnfStyle w:val="000000100000" w:firstRow="0" w:lastRow="0" w:firstColumn="0" w:lastColumn="0" w:oddVBand="0" w:evenVBand="0" w:oddHBand="1" w:evenHBand="0" w:firstRowFirstColumn="0" w:firstRowLastColumn="0" w:lastRowFirstColumn="0" w:lastRowLastColumn="0"/>
            </w:pPr>
            <w:r w:rsidRPr="009C6671">
              <w:t>2026-203</w:t>
            </w:r>
            <w:r w:rsidR="00B92D7E">
              <w:t>2</w:t>
            </w:r>
          </w:p>
        </w:tc>
        <w:tc>
          <w:tcPr>
            <w:tcW w:w="1870" w:type="dxa"/>
          </w:tcPr>
          <w:p w14:paraId="11451AAC" w14:textId="00FF8C19" w:rsidR="00DE196B" w:rsidRPr="009C6671" w:rsidRDefault="009C6671" w:rsidP="00D13834">
            <w:pPr>
              <w:jc w:val="both"/>
              <w:cnfStyle w:val="000000100000" w:firstRow="0" w:lastRow="0" w:firstColumn="0" w:lastColumn="0" w:oddVBand="0" w:evenVBand="0" w:oddHBand="1" w:evenHBand="0" w:firstRowFirstColumn="0" w:firstRowLastColumn="0" w:lastRowFirstColumn="0" w:lastRowLastColumn="0"/>
            </w:pPr>
            <w:r w:rsidRPr="009C6671">
              <w:t>203</w:t>
            </w:r>
            <w:r w:rsidR="00B92D7E">
              <w:t>2</w:t>
            </w:r>
          </w:p>
        </w:tc>
      </w:tr>
    </w:tbl>
    <w:p w14:paraId="27A08D86" w14:textId="77777777" w:rsidR="00307463" w:rsidRPr="00307463" w:rsidRDefault="00307463" w:rsidP="00307463">
      <w:pPr>
        <w:spacing w:before="100" w:beforeAutospacing="1" w:after="100" w:afterAutospacing="1" w:line="240" w:lineRule="auto"/>
        <w:rPr>
          <w:b/>
        </w:rPr>
      </w:pPr>
      <w:r w:rsidRPr="00307463">
        <w:rPr>
          <w:b/>
        </w:rPr>
        <w:br/>
      </w:r>
      <w:r w:rsidRPr="00307463">
        <w:t xml:space="preserve">● </w:t>
      </w:r>
      <w:r w:rsidRPr="00307463">
        <w:rPr>
          <w:b/>
        </w:rPr>
        <w:t>The ESMF, SEP</w:t>
      </w:r>
      <w:r>
        <w:rPr>
          <w:b/>
        </w:rPr>
        <w:t xml:space="preserve"> and</w:t>
      </w:r>
      <w:r w:rsidRPr="00307463">
        <w:rPr>
          <w:b/>
        </w:rPr>
        <w:t xml:space="preserve"> LMP</w:t>
      </w:r>
      <w:r>
        <w:rPr>
          <w:b/>
        </w:rPr>
        <w:t>,</w:t>
      </w:r>
      <w:r w:rsidRPr="00307463">
        <w:t xml:space="preserve"> will be disclosed prior to project appraisal.</w:t>
      </w:r>
      <w:r w:rsidRPr="00307463">
        <w:br/>
        <w:t xml:space="preserve">● </w:t>
      </w:r>
      <w:r w:rsidRPr="00307463">
        <w:rPr>
          <w:b/>
        </w:rPr>
        <w:t>The ESIA and ESMPs</w:t>
      </w:r>
      <w:r w:rsidRPr="00307463">
        <w:t xml:space="preserve"> for each subproject will be disclosed before the commencement of the respective project activities.</w:t>
      </w:r>
      <w:r w:rsidRPr="00307463">
        <w:br/>
        <w:t xml:space="preserve">● </w:t>
      </w:r>
      <w:r w:rsidRPr="00307463">
        <w:rPr>
          <w:b/>
        </w:rPr>
        <w:t>GRM channels</w:t>
      </w:r>
      <w:r w:rsidRPr="00307463">
        <w:t xml:space="preserve"> and contact information will be disclosed before consultations and any project activities begin.</w:t>
      </w:r>
    </w:p>
    <w:p w14:paraId="2F094838" w14:textId="77777777" w:rsidR="00307463" w:rsidRPr="00307463" w:rsidRDefault="00307463" w:rsidP="00307463">
      <w:pPr>
        <w:spacing w:before="100" w:beforeAutospacing="1" w:after="100" w:afterAutospacing="1" w:line="240" w:lineRule="auto"/>
        <w:jc w:val="both"/>
      </w:pPr>
      <w:r w:rsidRPr="00307463">
        <w:t>Stakeholder engagement will also vary depending on the project phase, ensuring continuous, adaptive communication and feedback throughout:</w:t>
      </w:r>
    </w:p>
    <w:p w14:paraId="12244A03" w14:textId="77777777" w:rsidR="00307463" w:rsidRPr="00307463" w:rsidRDefault="00307463" w:rsidP="00307463">
      <w:pPr>
        <w:numPr>
          <w:ilvl w:val="0"/>
          <w:numId w:val="36"/>
        </w:numPr>
        <w:spacing w:before="100" w:beforeAutospacing="1" w:after="100" w:afterAutospacing="1" w:line="240" w:lineRule="auto"/>
        <w:jc w:val="both"/>
      </w:pPr>
      <w:r w:rsidRPr="00307463">
        <w:t>Project Preparation Phase – Identification of stakeholders, early consultations to inform about project plans and risks, and initial disclosure of safeguard instruments (ESMF, SEP, ESCP, LMP).</w:t>
      </w:r>
    </w:p>
    <w:p w14:paraId="15381B60" w14:textId="77777777" w:rsidR="00307463" w:rsidRPr="00307463" w:rsidRDefault="00307463" w:rsidP="00307463">
      <w:pPr>
        <w:numPr>
          <w:ilvl w:val="0"/>
          <w:numId w:val="36"/>
        </w:numPr>
        <w:spacing w:before="100" w:beforeAutospacing="1" w:after="100" w:afterAutospacing="1" w:line="240" w:lineRule="auto"/>
        <w:jc w:val="both"/>
      </w:pPr>
      <w:r w:rsidRPr="00307463">
        <w:t>Implementation Phase – Ongoing engagement of affected persons and other stakeholders through consultations on planned interventions for each project activity, updates on implemented activities, training opportunities, and operational planning.</w:t>
      </w:r>
    </w:p>
    <w:p w14:paraId="247EF3E4" w14:textId="77777777" w:rsidR="00307463" w:rsidRPr="00307463" w:rsidRDefault="00307463" w:rsidP="00307463">
      <w:pPr>
        <w:numPr>
          <w:ilvl w:val="0"/>
          <w:numId w:val="36"/>
        </w:numPr>
        <w:spacing w:before="100" w:beforeAutospacing="1" w:after="100" w:afterAutospacing="1" w:line="240" w:lineRule="auto"/>
        <w:jc w:val="both"/>
      </w:pPr>
      <w:r w:rsidRPr="00307463">
        <w:t>Monitoring and Evaluation Phase – Regular sharing of project results, progress on environmental and social commitments, feedback from citizens and businesses, and end-of-phase evaluation.</w:t>
      </w:r>
    </w:p>
    <w:p w14:paraId="355F2647" w14:textId="77777777" w:rsidR="00307463" w:rsidRPr="00307463" w:rsidRDefault="00307463" w:rsidP="00307463">
      <w:pPr>
        <w:numPr>
          <w:ilvl w:val="0"/>
          <w:numId w:val="36"/>
        </w:numPr>
        <w:spacing w:before="100" w:beforeAutospacing="1" w:after="100" w:afterAutospacing="1" w:line="240" w:lineRule="auto"/>
        <w:jc w:val="both"/>
      </w:pPr>
      <w:r w:rsidRPr="00307463">
        <w:t>Project Closure Phase – Communication of final achievements, sustainability plans, and formal consultations to collect lessons learned and assess stakeholder satisfaction.</w:t>
      </w:r>
    </w:p>
    <w:p w14:paraId="1E4C5154" w14:textId="77777777" w:rsidR="00DE196B" w:rsidRPr="007D0035" w:rsidRDefault="00DE196B" w:rsidP="00D13834">
      <w:pPr>
        <w:jc w:val="both"/>
        <w:rPr>
          <w:b/>
          <w:i/>
          <w:color w:val="385623" w:themeColor="accent6" w:themeShade="80"/>
          <w:sz w:val="28"/>
          <w:szCs w:val="28"/>
        </w:rPr>
      </w:pPr>
      <w:r w:rsidRPr="007D0035">
        <w:rPr>
          <w:b/>
          <w:i/>
          <w:color w:val="385623" w:themeColor="accent6" w:themeShade="80"/>
          <w:sz w:val="28"/>
          <w:szCs w:val="28"/>
        </w:rPr>
        <w:t>5.</w:t>
      </w:r>
      <w:r w:rsidR="00AA533F">
        <w:rPr>
          <w:b/>
          <w:i/>
          <w:color w:val="385623" w:themeColor="accent6" w:themeShade="80"/>
          <w:sz w:val="28"/>
          <w:szCs w:val="28"/>
        </w:rPr>
        <w:t>8</w:t>
      </w:r>
      <w:r w:rsidRPr="007D0035">
        <w:rPr>
          <w:b/>
          <w:i/>
          <w:color w:val="385623" w:themeColor="accent6" w:themeShade="80"/>
          <w:sz w:val="28"/>
          <w:szCs w:val="28"/>
        </w:rPr>
        <w:t>. Information Disclosure</w:t>
      </w:r>
    </w:p>
    <w:p w14:paraId="70D8CDB1" w14:textId="77777777" w:rsidR="00DE196B" w:rsidRDefault="00DE196B" w:rsidP="00D13834">
      <w:pPr>
        <w:jc w:val="both"/>
      </w:pPr>
      <w:r w:rsidRPr="00DE196B">
        <w:t>It will be established the separate Webpage on which will be used to disclose project documents in Montenegrin and English</w:t>
      </w:r>
      <w:r>
        <w:t>.</w:t>
      </w:r>
    </w:p>
    <w:p w14:paraId="4857F8C2" w14:textId="77777777" w:rsidR="007D0035" w:rsidRDefault="007D0035" w:rsidP="00D13834">
      <w:pPr>
        <w:jc w:val="both"/>
      </w:pPr>
    </w:p>
    <w:p w14:paraId="71EF153F" w14:textId="77777777" w:rsidR="00DE196B" w:rsidRPr="007D0035" w:rsidRDefault="00DE196B" w:rsidP="00D13834">
      <w:pPr>
        <w:jc w:val="both"/>
        <w:rPr>
          <w:i/>
          <w:color w:val="385623" w:themeColor="accent6" w:themeShade="80"/>
          <w:sz w:val="28"/>
          <w:szCs w:val="28"/>
        </w:rPr>
      </w:pPr>
      <w:r w:rsidRPr="007D0035">
        <w:rPr>
          <w:b/>
          <w:i/>
          <w:color w:val="385623" w:themeColor="accent6" w:themeShade="80"/>
          <w:sz w:val="28"/>
          <w:szCs w:val="28"/>
        </w:rPr>
        <w:t>5.</w:t>
      </w:r>
      <w:r w:rsidR="00AA533F">
        <w:rPr>
          <w:b/>
          <w:i/>
          <w:color w:val="385623" w:themeColor="accent6" w:themeShade="80"/>
          <w:sz w:val="28"/>
          <w:szCs w:val="28"/>
        </w:rPr>
        <w:t>9</w:t>
      </w:r>
      <w:r w:rsidRPr="007D0035">
        <w:rPr>
          <w:b/>
          <w:i/>
          <w:color w:val="385623" w:themeColor="accent6" w:themeShade="80"/>
          <w:sz w:val="28"/>
          <w:szCs w:val="28"/>
        </w:rPr>
        <w:t>. Review of Comments</w:t>
      </w:r>
      <w:r w:rsidRPr="007D0035">
        <w:rPr>
          <w:i/>
          <w:color w:val="385623" w:themeColor="accent6" w:themeShade="80"/>
          <w:sz w:val="28"/>
          <w:szCs w:val="28"/>
        </w:rPr>
        <w:t xml:space="preserve"> </w:t>
      </w:r>
    </w:p>
    <w:p w14:paraId="7C0F0BDE" w14:textId="77777777" w:rsidR="00A27721" w:rsidRDefault="00A27721" w:rsidP="00D13834">
      <w:pPr>
        <w:jc w:val="both"/>
      </w:pPr>
      <w:r>
        <w:t>T</w:t>
      </w:r>
      <w:r w:rsidR="00DE196B">
        <w:t>he comments from the stakeholder engagement process will be gathered (written and oral comments) and reviewed by the P</w:t>
      </w:r>
      <w:r>
        <w:t>I</w:t>
      </w:r>
      <w:r w:rsidR="00DE196B">
        <w:t>U team whose information and contact details will be shared during the first consultation meetings. The minutes of consultations will be supplemented with any written comments received within the deadline after the consultations.</w:t>
      </w:r>
    </w:p>
    <w:p w14:paraId="684738C2" w14:textId="77777777" w:rsidR="00A27721" w:rsidRDefault="00DE196B" w:rsidP="00D13834">
      <w:pPr>
        <w:jc w:val="both"/>
      </w:pPr>
      <w:r>
        <w:lastRenderedPageBreak/>
        <w:t xml:space="preserve">The comments will be entered into a format with official responses to each issue raised. This response, matrix will be shared with the participants by email and put on the </w:t>
      </w:r>
      <w:r w:rsidR="00A27721">
        <w:t>Ministry</w:t>
      </w:r>
      <w:r>
        <w:t xml:space="preserve"> website. The minutes and response matrix will be available in English and </w:t>
      </w:r>
      <w:r w:rsidR="00A27721">
        <w:t>Montenegrin</w:t>
      </w:r>
      <w:r>
        <w:t xml:space="preserve">. </w:t>
      </w:r>
    </w:p>
    <w:p w14:paraId="0F596716" w14:textId="77777777" w:rsidR="00DE196B" w:rsidRDefault="00DE196B" w:rsidP="00D13834">
      <w:pPr>
        <w:jc w:val="both"/>
      </w:pPr>
      <w:r>
        <w:t>The SEP will remain in the public domain for the entire period of project development and will be updated as needed as the project progresses through its various phases. This will help to ensure timely identification of new stakeholders and interested parties and their involvement in the process of collaboration with the project. The methods of engagement will also be reviewed periodically to assess their effectiveness and relevance to the project’s evolving environment, and will be modified as necessary to ensure continued effectiveness</w:t>
      </w:r>
      <w:r w:rsidR="00A27721">
        <w:t>.</w:t>
      </w:r>
    </w:p>
    <w:p w14:paraId="73D46D16" w14:textId="77777777" w:rsidR="007D0035" w:rsidRDefault="007D0035" w:rsidP="00D13834">
      <w:pPr>
        <w:jc w:val="both"/>
      </w:pPr>
    </w:p>
    <w:p w14:paraId="3769EABD" w14:textId="77777777" w:rsidR="00A27721" w:rsidRPr="007D0035" w:rsidRDefault="00A27721" w:rsidP="00D13834">
      <w:pPr>
        <w:jc w:val="both"/>
        <w:rPr>
          <w:b/>
          <w:color w:val="385623" w:themeColor="accent6" w:themeShade="80"/>
          <w:sz w:val="32"/>
          <w:szCs w:val="32"/>
          <w:lang w:val="hr-BA"/>
        </w:rPr>
      </w:pPr>
      <w:r w:rsidRPr="007D0035">
        <w:rPr>
          <w:b/>
          <w:color w:val="385623" w:themeColor="accent6" w:themeShade="80"/>
          <w:sz w:val="32"/>
          <w:szCs w:val="32"/>
          <w:lang w:val="hr-BA"/>
        </w:rPr>
        <w:t xml:space="preserve">VI. RESOURCES AND RESPONSIBILITIES FOR IMPLEMENTING STAKEHOLDER ENGAGEMENT ACTIVITIES </w:t>
      </w:r>
    </w:p>
    <w:p w14:paraId="755F3756" w14:textId="77777777" w:rsidR="004F3F40" w:rsidRPr="007D0035" w:rsidRDefault="004F3F40" w:rsidP="00D13834">
      <w:pPr>
        <w:jc w:val="both"/>
        <w:rPr>
          <w:b/>
          <w:color w:val="385623" w:themeColor="accent6" w:themeShade="80"/>
          <w:sz w:val="36"/>
          <w:szCs w:val="36"/>
          <w:lang w:val="hr-BA"/>
        </w:rPr>
      </w:pPr>
    </w:p>
    <w:p w14:paraId="60DAE6E9" w14:textId="77777777" w:rsidR="00A27721" w:rsidRPr="007D0035" w:rsidRDefault="00A27721" w:rsidP="00D13834">
      <w:pPr>
        <w:jc w:val="both"/>
        <w:rPr>
          <w:i/>
          <w:color w:val="385623" w:themeColor="accent6" w:themeShade="80"/>
          <w:sz w:val="28"/>
          <w:szCs w:val="28"/>
        </w:rPr>
      </w:pPr>
      <w:r w:rsidRPr="007D0035">
        <w:rPr>
          <w:b/>
          <w:i/>
          <w:color w:val="385623" w:themeColor="accent6" w:themeShade="80"/>
          <w:sz w:val="28"/>
          <w:szCs w:val="28"/>
        </w:rPr>
        <w:t>6.1. Resources</w:t>
      </w:r>
      <w:r w:rsidRPr="007D0035">
        <w:rPr>
          <w:i/>
          <w:color w:val="385623" w:themeColor="accent6" w:themeShade="80"/>
          <w:sz w:val="28"/>
          <w:szCs w:val="28"/>
        </w:rPr>
        <w:t xml:space="preserve"> </w:t>
      </w:r>
    </w:p>
    <w:p w14:paraId="48D95E79" w14:textId="77777777" w:rsidR="00A27721" w:rsidRDefault="00A27721" w:rsidP="00D13834">
      <w:pPr>
        <w:jc w:val="both"/>
      </w:pPr>
      <w:r>
        <w:t xml:space="preserve">The Ministry of Agriculture, Forestry and Water Management is the implementing body, and directly manages the project implementation. The Environmental and Social Specialists within the PMU have overall responsibility on preparation and implementation of the relevant E&amp;S instruments, including the SEP, and ensuring continuous community outreach and consultation, monitoring and evaluating program implementation and impacts, developing and managing the grievance redress mechanism (GRM) and reporting results to various stakeholders. Other specialists and officers in the PMU will support the Environmental and Social Specialists in stakeholder engagement activities. </w:t>
      </w:r>
    </w:p>
    <w:p w14:paraId="560A1C07" w14:textId="77777777" w:rsidR="00A27721" w:rsidRDefault="00A27721" w:rsidP="00D13834">
      <w:pPr>
        <w:jc w:val="both"/>
      </w:pPr>
      <w:r>
        <w:t xml:space="preserve">The PMU shall be responsible for the implementation of the Stakeholder Engagement Activities. Its main tasks are: </w:t>
      </w:r>
    </w:p>
    <w:p w14:paraId="5CE20ABD" w14:textId="77777777" w:rsidR="00A27721" w:rsidRDefault="00A27721" w:rsidP="00D13834">
      <w:pPr>
        <w:jc w:val="both"/>
      </w:pPr>
      <w:r>
        <w:t xml:space="preserve">(1) Preparation of the SEP to submit to the PPC for review and STAKEHOLDER ENGAGEMENT PLAN (SEP) and </w:t>
      </w:r>
    </w:p>
    <w:p w14:paraId="66C2D876" w14:textId="77777777" w:rsidR="00A27721" w:rsidRDefault="00A27721" w:rsidP="00D13834">
      <w:pPr>
        <w:jc w:val="both"/>
      </w:pPr>
      <w:r>
        <w:t xml:space="preserve">(2) Preparation of quarterly reports on social and environmental activities to the World Bank. </w:t>
      </w:r>
    </w:p>
    <w:p w14:paraId="5BF724F8" w14:textId="77777777" w:rsidR="00A27721" w:rsidRDefault="00A27721" w:rsidP="00D13834">
      <w:pPr>
        <w:jc w:val="both"/>
      </w:pPr>
      <w:r>
        <w:t xml:space="preserve">Regarding GRM implementation, the PMU will be assisted by CLFDC and the State Inspectorates. A focal person will be appointed within the PMU to coordinate with relevant agencies for any issues regarding the GRM. The </w:t>
      </w:r>
    </w:p>
    <w:p w14:paraId="335232D5" w14:textId="77777777" w:rsidR="00A27721" w:rsidRDefault="00A27721" w:rsidP="007D0035">
      <w:pPr>
        <w:ind w:firstLine="720"/>
        <w:jc w:val="both"/>
        <w:rPr>
          <w:b/>
        </w:rPr>
      </w:pPr>
      <w:r w:rsidRPr="00A27721">
        <w:rPr>
          <w:b/>
        </w:rPr>
        <w:t>The contact information if people have comments or questions about the project or the consultation process</w:t>
      </w:r>
      <w:r>
        <w:rPr>
          <w:b/>
        </w:rPr>
        <w:t>:</w:t>
      </w:r>
    </w:p>
    <w:p w14:paraId="7374EF11" w14:textId="77777777" w:rsidR="00A27721" w:rsidRDefault="00A27721" w:rsidP="00D13834">
      <w:pPr>
        <w:jc w:val="both"/>
      </w:pPr>
      <w:r>
        <w:t>Budgetary resources for stakeholder engagement. Adequate budget for stakeholder engagement will be allocated from the overall project cost, which will include cost for organizing meetings, workshops and training, hiring of staff, field visits to project locations, translation and printing of relevant materials and operating GRM. The cost for environmental and social mitigation measures at construction sites will be integrated into the construction costs and will be borne by the contractors.</w:t>
      </w:r>
    </w:p>
    <w:p w14:paraId="68044946" w14:textId="77777777" w:rsidR="00A27721" w:rsidRDefault="00A27721" w:rsidP="00D13834">
      <w:pPr>
        <w:jc w:val="both"/>
        <w:rPr>
          <w:b/>
        </w:rPr>
      </w:pPr>
    </w:p>
    <w:p w14:paraId="077BE411" w14:textId="77777777" w:rsidR="00A27721" w:rsidRPr="007D0035" w:rsidRDefault="00A27721" w:rsidP="00D13834">
      <w:pPr>
        <w:jc w:val="both"/>
        <w:rPr>
          <w:i/>
          <w:color w:val="385623" w:themeColor="accent6" w:themeShade="80"/>
          <w:sz w:val="28"/>
          <w:szCs w:val="28"/>
        </w:rPr>
      </w:pPr>
      <w:r w:rsidRPr="007D0035">
        <w:rPr>
          <w:b/>
          <w:i/>
          <w:color w:val="385623" w:themeColor="accent6" w:themeShade="80"/>
          <w:sz w:val="28"/>
          <w:szCs w:val="28"/>
        </w:rPr>
        <w:t>6.2. Management Functions and Responsibilities</w:t>
      </w:r>
      <w:r w:rsidRPr="007D0035">
        <w:rPr>
          <w:i/>
          <w:color w:val="385623" w:themeColor="accent6" w:themeShade="80"/>
          <w:sz w:val="28"/>
          <w:szCs w:val="28"/>
        </w:rPr>
        <w:t xml:space="preserve"> </w:t>
      </w:r>
    </w:p>
    <w:p w14:paraId="36E9074A" w14:textId="77777777" w:rsidR="00A27721" w:rsidRDefault="00A27721" w:rsidP="00D13834">
      <w:pPr>
        <w:jc w:val="both"/>
      </w:pPr>
      <w:r>
        <w:lastRenderedPageBreak/>
        <w:t xml:space="preserve">The project implementation arrangements are as follows: </w:t>
      </w:r>
    </w:p>
    <w:p w14:paraId="24C974AE" w14:textId="77777777" w:rsidR="00A27721" w:rsidRDefault="00A27721" w:rsidP="00A27721">
      <w:pPr>
        <w:pStyle w:val="ListParagraph"/>
        <w:numPr>
          <w:ilvl w:val="0"/>
          <w:numId w:val="8"/>
        </w:numPr>
        <w:jc w:val="both"/>
      </w:pPr>
      <w:r>
        <w:t>At community level, SEP activities will mostly be done by PMU E&amp;S team with support of the relevant departments.</w:t>
      </w:r>
    </w:p>
    <w:p w14:paraId="5F8E0609" w14:textId="77777777" w:rsidR="00A27721" w:rsidRDefault="00A27721" w:rsidP="00A27721">
      <w:pPr>
        <w:pStyle w:val="ListParagraph"/>
        <w:numPr>
          <w:ilvl w:val="0"/>
          <w:numId w:val="8"/>
        </w:numPr>
        <w:jc w:val="both"/>
      </w:pPr>
      <w:r>
        <w:t xml:space="preserve">At national level, the implementation of the SEP will be coordinated by MAFW in collaboration with members of the project preparation team. </w:t>
      </w:r>
    </w:p>
    <w:p w14:paraId="668A6467" w14:textId="77777777" w:rsidR="00A27721" w:rsidRPr="00A27721" w:rsidRDefault="00A27721" w:rsidP="00D13834">
      <w:pPr>
        <w:jc w:val="both"/>
        <w:rPr>
          <w:b/>
        </w:rPr>
      </w:pPr>
      <w:r>
        <w:t>The overall management responsibility for carrying out stakeholder engagement activities is Director of the PMU.</w:t>
      </w:r>
    </w:p>
    <w:p w14:paraId="663ABB27" w14:textId="77777777" w:rsidR="009479B5" w:rsidRPr="0053204F" w:rsidRDefault="009479B5" w:rsidP="009479B5">
      <w:pPr>
        <w:spacing w:after="0" w:line="240" w:lineRule="auto"/>
        <w:jc w:val="both"/>
        <w:rPr>
          <w:rFonts w:cs="Arial"/>
          <w:b/>
          <w:color w:val="1F3864" w:themeColor="accent1" w:themeShade="80"/>
          <w:sz w:val="20"/>
          <w:szCs w:val="20"/>
          <w:lang w:val="en-AU"/>
        </w:rPr>
      </w:pPr>
      <w:r w:rsidRPr="0053204F">
        <w:rPr>
          <w:rFonts w:cs="Arial"/>
          <w:b/>
          <w:color w:val="1F3864" w:themeColor="accent1" w:themeShade="80"/>
          <w:sz w:val="20"/>
          <w:szCs w:val="20"/>
          <w:lang w:val="en-AU"/>
        </w:rPr>
        <w:t>Table</w:t>
      </w:r>
      <w:r w:rsidR="0053204F" w:rsidRPr="0053204F">
        <w:rPr>
          <w:rFonts w:cs="Arial"/>
          <w:b/>
          <w:color w:val="1F3864" w:themeColor="accent1" w:themeShade="80"/>
          <w:sz w:val="20"/>
          <w:szCs w:val="20"/>
          <w:lang w:val="en-AU"/>
        </w:rPr>
        <w:t xml:space="preserve"> 6</w:t>
      </w:r>
      <w:r w:rsidRPr="0053204F">
        <w:rPr>
          <w:rFonts w:cs="Arial"/>
          <w:b/>
          <w:color w:val="1F3864" w:themeColor="accent1" w:themeShade="80"/>
          <w:sz w:val="20"/>
          <w:szCs w:val="20"/>
          <w:lang w:val="en-AU"/>
        </w:rPr>
        <w:t>: Responsible Staff for SEP Implementation</w:t>
      </w:r>
    </w:p>
    <w:tbl>
      <w:tblPr>
        <w:tblStyle w:val="TableGrid0"/>
        <w:tblW w:w="9360" w:type="dxa"/>
        <w:tblLayout w:type="fixed"/>
        <w:tblLook w:val="04A0" w:firstRow="1" w:lastRow="0" w:firstColumn="1" w:lastColumn="0" w:noHBand="0" w:noVBand="1"/>
      </w:tblPr>
      <w:tblGrid>
        <w:gridCol w:w="1725"/>
        <w:gridCol w:w="1605"/>
        <w:gridCol w:w="6030"/>
      </w:tblGrid>
      <w:tr w:rsidR="009479B5" w:rsidRPr="009479B5" w14:paraId="7984DECA" w14:textId="77777777" w:rsidTr="003A5434">
        <w:trPr>
          <w:trHeight w:val="128"/>
          <w:tblHeader/>
        </w:trPr>
        <w:tc>
          <w:tcPr>
            <w:tcW w:w="3330" w:type="dxa"/>
            <w:gridSpan w:val="2"/>
            <w:shd w:val="clear" w:color="auto" w:fill="DEEAF6" w:themeFill="accent5" w:themeFillTint="33"/>
            <w:vAlign w:val="center"/>
            <w:hideMark/>
          </w:tcPr>
          <w:p w14:paraId="762AAB0B" w14:textId="77777777" w:rsidR="009479B5" w:rsidRPr="009479B5" w:rsidRDefault="009479B5" w:rsidP="009479B5">
            <w:pPr>
              <w:spacing w:before="240"/>
              <w:jc w:val="center"/>
              <w:rPr>
                <w:rFonts w:cstheme="minorHAnsi"/>
                <w:b/>
                <w:bCs/>
                <w:color w:val="000000" w:themeColor="text1"/>
                <w:sz w:val="20"/>
              </w:rPr>
            </w:pPr>
            <w:r w:rsidRPr="009479B5">
              <w:rPr>
                <w:rFonts w:cstheme="minorHAnsi"/>
                <w:b/>
                <w:bCs/>
                <w:color w:val="000000" w:themeColor="text1"/>
                <w:sz w:val="20"/>
              </w:rPr>
              <w:t>Staff</w:t>
            </w:r>
          </w:p>
        </w:tc>
        <w:tc>
          <w:tcPr>
            <w:tcW w:w="6030" w:type="dxa"/>
            <w:shd w:val="clear" w:color="auto" w:fill="DEEAF6" w:themeFill="accent5" w:themeFillTint="33"/>
            <w:vAlign w:val="center"/>
          </w:tcPr>
          <w:p w14:paraId="5DF0CA11" w14:textId="77777777" w:rsidR="009479B5" w:rsidRPr="009479B5" w:rsidRDefault="009479B5" w:rsidP="009479B5">
            <w:pPr>
              <w:spacing w:before="240"/>
              <w:jc w:val="center"/>
              <w:rPr>
                <w:rFonts w:cstheme="minorHAnsi"/>
                <w:b/>
                <w:bCs/>
                <w:color w:val="000000" w:themeColor="text1"/>
                <w:sz w:val="20"/>
              </w:rPr>
            </w:pPr>
            <w:r w:rsidRPr="009479B5">
              <w:rPr>
                <w:rFonts w:cstheme="minorHAnsi"/>
                <w:b/>
                <w:bCs/>
                <w:color w:val="000000" w:themeColor="text1"/>
                <w:sz w:val="20"/>
              </w:rPr>
              <w:t>Responsibility</w:t>
            </w:r>
          </w:p>
        </w:tc>
      </w:tr>
      <w:tr w:rsidR="005B7D42" w:rsidRPr="009479B5" w14:paraId="2B98878A" w14:textId="77777777" w:rsidTr="003A5434">
        <w:tc>
          <w:tcPr>
            <w:tcW w:w="1725" w:type="dxa"/>
            <w:vMerge w:val="restart"/>
            <w:hideMark/>
          </w:tcPr>
          <w:p w14:paraId="7963EBCF" w14:textId="77777777" w:rsidR="005B7D42" w:rsidRPr="009479B5" w:rsidRDefault="005B7D42" w:rsidP="009479B5">
            <w:pPr>
              <w:spacing w:before="240"/>
              <w:rPr>
                <w:rFonts w:eastAsia="Times New Roman" w:cstheme="minorHAnsi"/>
                <w:color w:val="000000" w:themeColor="text1"/>
                <w:sz w:val="20"/>
              </w:rPr>
            </w:pPr>
            <w:r w:rsidRPr="005B7D42">
              <w:rPr>
                <w:rFonts w:eastAsia="Times New Roman" w:cstheme="minorHAnsi"/>
                <w:color w:val="000000" w:themeColor="text1"/>
                <w:sz w:val="20"/>
              </w:rPr>
              <w:t>Ministry of Agriculture, Forestry and Water Management (MAFWM)</w:t>
            </w:r>
          </w:p>
        </w:tc>
        <w:tc>
          <w:tcPr>
            <w:tcW w:w="1605" w:type="dxa"/>
          </w:tcPr>
          <w:p w14:paraId="095A4AEE" w14:textId="77777777" w:rsidR="005B7D42" w:rsidRPr="009479B5" w:rsidRDefault="005B7D42" w:rsidP="009479B5">
            <w:pPr>
              <w:rPr>
                <w:rFonts w:eastAsia="Times New Roman" w:cstheme="minorHAnsi"/>
                <w:color w:val="000000" w:themeColor="text1"/>
                <w:sz w:val="20"/>
              </w:rPr>
            </w:pPr>
            <w:r w:rsidRPr="009479B5">
              <w:rPr>
                <w:rFonts w:eastAsia="Times New Roman" w:cstheme="minorHAnsi"/>
                <w:color w:val="000000" w:themeColor="text1"/>
                <w:sz w:val="20"/>
              </w:rPr>
              <w:t>Project Director</w:t>
            </w:r>
          </w:p>
        </w:tc>
        <w:tc>
          <w:tcPr>
            <w:tcW w:w="6030" w:type="dxa"/>
          </w:tcPr>
          <w:p w14:paraId="67F94122"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Reviews and approves quarterly reports on grievance redress and stakeholder engagement.</w:t>
            </w:r>
          </w:p>
          <w:p w14:paraId="6044A9CA"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Ensures overall compliance of SEP implementation with World Bank requirements.</w:t>
            </w:r>
          </w:p>
          <w:p w14:paraId="45328E90"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Keeps the World Bank informed on the implementation status and any major issues related to stakeholder engagement.</w:t>
            </w:r>
          </w:p>
          <w:p w14:paraId="3F93FE88" w14:textId="77777777" w:rsidR="005B7D42" w:rsidRPr="009479B5"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Provides strategic direction and facilitates coordination among all relevant government agencies and PIU.</w:t>
            </w:r>
          </w:p>
        </w:tc>
      </w:tr>
      <w:tr w:rsidR="005B7D42" w:rsidRPr="009479B5" w14:paraId="3B093E37" w14:textId="77777777" w:rsidTr="003A5434">
        <w:tc>
          <w:tcPr>
            <w:tcW w:w="1725" w:type="dxa"/>
            <w:vMerge/>
          </w:tcPr>
          <w:p w14:paraId="159494B3" w14:textId="77777777" w:rsidR="005B7D42" w:rsidRPr="009479B5" w:rsidRDefault="005B7D42" w:rsidP="009479B5">
            <w:pPr>
              <w:rPr>
                <w:rFonts w:eastAsia="Times New Roman" w:cstheme="minorHAnsi"/>
                <w:color w:val="000000" w:themeColor="text1"/>
                <w:sz w:val="20"/>
              </w:rPr>
            </w:pPr>
          </w:p>
        </w:tc>
        <w:tc>
          <w:tcPr>
            <w:tcW w:w="1605" w:type="dxa"/>
          </w:tcPr>
          <w:p w14:paraId="00194929" w14:textId="77777777" w:rsidR="005B7D42" w:rsidRPr="009479B5" w:rsidRDefault="005B7D42" w:rsidP="009479B5">
            <w:pPr>
              <w:rPr>
                <w:rFonts w:eastAsia="Times New Roman" w:cstheme="minorHAnsi"/>
                <w:color w:val="000000" w:themeColor="text1"/>
                <w:sz w:val="20"/>
              </w:rPr>
            </w:pPr>
            <w:r w:rsidRPr="009479B5">
              <w:rPr>
                <w:rFonts w:eastAsia="Times New Roman" w:cstheme="minorHAnsi"/>
                <w:color w:val="000000" w:themeColor="text1"/>
                <w:sz w:val="20"/>
              </w:rPr>
              <w:t xml:space="preserve">Project Manager </w:t>
            </w:r>
          </w:p>
        </w:tc>
        <w:tc>
          <w:tcPr>
            <w:tcW w:w="6030" w:type="dxa"/>
          </w:tcPr>
          <w:p w14:paraId="65184ADC"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Oversees the implementation of the Stakeholder Engagement Plan (SEP) and the functioning of the Grievance Redress Mechanism (GRM).</w:t>
            </w:r>
          </w:p>
          <w:p w14:paraId="6FFCD720"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Coordinates stakeholder engagement activities across all components.</w:t>
            </w:r>
          </w:p>
          <w:p w14:paraId="51D5E21B"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Submits quarterly progress reports to the Project Director and the World Bank.</w:t>
            </w:r>
          </w:p>
          <w:p w14:paraId="15500CD7" w14:textId="77777777" w:rsidR="005B7D42" w:rsidRPr="005B7D42" w:rsidRDefault="005B7D42" w:rsidP="005B7D42">
            <w:pPr>
              <w:rPr>
                <w:rFonts w:eastAsia="Times New Roman" w:cstheme="minorHAnsi"/>
                <w:color w:val="000000" w:themeColor="text1"/>
                <w:sz w:val="20"/>
              </w:rPr>
            </w:pPr>
            <w:r w:rsidRPr="005B7D42">
              <w:rPr>
                <w:rFonts w:eastAsia="Times New Roman" w:cstheme="minorHAnsi"/>
                <w:color w:val="000000" w:themeColor="text1"/>
                <w:sz w:val="20"/>
              </w:rPr>
              <w:t>• Ensures that engagement activities are inclusive and gender-responsive.</w:t>
            </w:r>
          </w:p>
        </w:tc>
      </w:tr>
      <w:tr w:rsidR="005B7D42" w:rsidRPr="009479B5" w14:paraId="4E1394C0" w14:textId="77777777" w:rsidTr="003A5434">
        <w:tc>
          <w:tcPr>
            <w:tcW w:w="1725" w:type="dxa"/>
            <w:vMerge/>
          </w:tcPr>
          <w:p w14:paraId="6CA4A0F7" w14:textId="77777777" w:rsidR="005B7D42" w:rsidRPr="009479B5" w:rsidRDefault="005B7D42" w:rsidP="009479B5">
            <w:pPr>
              <w:rPr>
                <w:rFonts w:eastAsia="Times New Roman" w:cstheme="minorHAnsi"/>
                <w:color w:val="000000" w:themeColor="text1"/>
                <w:sz w:val="20"/>
              </w:rPr>
            </w:pPr>
          </w:p>
        </w:tc>
        <w:tc>
          <w:tcPr>
            <w:tcW w:w="1605" w:type="dxa"/>
          </w:tcPr>
          <w:p w14:paraId="02C00D89" w14:textId="77777777" w:rsidR="005B7D42" w:rsidRPr="009479B5" w:rsidDel="00537B63" w:rsidRDefault="005B7D42" w:rsidP="009479B5">
            <w:pPr>
              <w:rPr>
                <w:rFonts w:eastAsia="Times New Roman" w:cstheme="minorHAnsi"/>
                <w:color w:val="000000" w:themeColor="text1"/>
                <w:sz w:val="20"/>
              </w:rPr>
            </w:pPr>
            <w:r w:rsidRPr="009479B5">
              <w:rPr>
                <w:rFonts w:eastAsia="Times New Roman" w:cstheme="minorHAnsi"/>
                <w:color w:val="000000" w:themeColor="text1"/>
                <w:sz w:val="20"/>
              </w:rPr>
              <w:t>Environment</w:t>
            </w:r>
            <w:r w:rsidR="00CF2892">
              <w:rPr>
                <w:rFonts w:eastAsia="Times New Roman" w:cstheme="minorHAnsi"/>
                <w:color w:val="000000" w:themeColor="text1"/>
                <w:sz w:val="20"/>
              </w:rPr>
              <w:t xml:space="preserve">al </w:t>
            </w:r>
            <w:r w:rsidR="00CF2892" w:rsidRPr="00CF2892">
              <w:rPr>
                <w:rFonts w:eastAsia="Times New Roman" w:cstheme="minorHAnsi"/>
                <w:color w:val="000000" w:themeColor="text1"/>
                <w:sz w:val="20"/>
              </w:rPr>
              <w:t>Officer</w:t>
            </w:r>
          </w:p>
        </w:tc>
        <w:tc>
          <w:tcPr>
            <w:tcW w:w="6030" w:type="dxa"/>
          </w:tcPr>
          <w:p w14:paraId="1CD3E02B" w14:textId="77777777" w:rsidR="005B7D42" w:rsidRPr="005B7D42" w:rsidRDefault="005B7D42" w:rsidP="005B7D42">
            <w:pPr>
              <w:rPr>
                <w:rFonts w:eastAsia="Times New Roman"/>
                <w:sz w:val="20"/>
              </w:rPr>
            </w:pPr>
            <w:r w:rsidRPr="005B7D42">
              <w:rPr>
                <w:rFonts w:eastAsia="Times New Roman"/>
                <w:sz w:val="20"/>
              </w:rPr>
              <w:t>• Oversees implementation of environmental safeguards and ensures consistency with the Environmental and Social Management Framework (ESMF).</w:t>
            </w:r>
          </w:p>
          <w:p w14:paraId="074B8939" w14:textId="77777777" w:rsidR="005B7D42" w:rsidRPr="005B7D42" w:rsidRDefault="005B7D42" w:rsidP="005B7D42">
            <w:pPr>
              <w:rPr>
                <w:rFonts w:eastAsia="Times New Roman"/>
                <w:sz w:val="20"/>
              </w:rPr>
            </w:pPr>
            <w:r w:rsidRPr="005B7D42">
              <w:rPr>
                <w:rFonts w:eastAsia="Times New Roman"/>
                <w:sz w:val="20"/>
              </w:rPr>
              <w:t>• Coordinates environmental monitoring and reporting.</w:t>
            </w:r>
          </w:p>
          <w:p w14:paraId="77DC11A4" w14:textId="77777777" w:rsidR="005B7D42" w:rsidRDefault="005B7D42" w:rsidP="00CF2892">
            <w:pPr>
              <w:rPr>
                <w:rFonts w:eastAsia="Times New Roman"/>
                <w:sz w:val="20"/>
              </w:rPr>
            </w:pPr>
            <w:r w:rsidRPr="005B7D42">
              <w:rPr>
                <w:rFonts w:eastAsia="Times New Roman"/>
                <w:sz w:val="20"/>
              </w:rPr>
              <w:t>• Provides technical input on environmental compliance during consultations and capacity-building activities.</w:t>
            </w:r>
          </w:p>
          <w:p w14:paraId="509DBAC9" w14:textId="77777777" w:rsidR="005B7D42" w:rsidRPr="005B7D42" w:rsidRDefault="005B7D42" w:rsidP="00CF2892">
            <w:pPr>
              <w:rPr>
                <w:rFonts w:eastAsia="Times New Roman"/>
                <w:sz w:val="20"/>
              </w:rPr>
            </w:pPr>
            <w:r w:rsidRPr="005B7D42">
              <w:rPr>
                <w:rFonts w:eastAsia="Times New Roman"/>
                <w:sz w:val="20"/>
              </w:rPr>
              <w:t>• Supports PIU and other agencies in implementing environmental mitigation measures.</w:t>
            </w:r>
          </w:p>
        </w:tc>
      </w:tr>
      <w:tr w:rsidR="005B7D42" w:rsidRPr="009479B5" w14:paraId="27799F4E" w14:textId="77777777" w:rsidTr="003A5434">
        <w:tc>
          <w:tcPr>
            <w:tcW w:w="1725" w:type="dxa"/>
            <w:vMerge/>
          </w:tcPr>
          <w:p w14:paraId="603E5A85" w14:textId="77777777" w:rsidR="005B7D42" w:rsidRPr="009479B5" w:rsidRDefault="005B7D42" w:rsidP="009479B5">
            <w:pPr>
              <w:rPr>
                <w:rFonts w:eastAsia="Times New Roman" w:cstheme="minorHAnsi"/>
                <w:color w:val="000000" w:themeColor="text1"/>
                <w:sz w:val="20"/>
              </w:rPr>
            </w:pPr>
          </w:p>
        </w:tc>
        <w:tc>
          <w:tcPr>
            <w:tcW w:w="1605" w:type="dxa"/>
          </w:tcPr>
          <w:p w14:paraId="5323992D" w14:textId="77777777" w:rsidR="005B7D42" w:rsidRPr="009479B5" w:rsidRDefault="00CF2892" w:rsidP="009479B5">
            <w:pPr>
              <w:rPr>
                <w:rFonts w:eastAsia="Times New Roman" w:cstheme="minorHAnsi"/>
                <w:color w:val="000000" w:themeColor="text1"/>
                <w:sz w:val="20"/>
              </w:rPr>
            </w:pPr>
            <w:r w:rsidRPr="00CF2892">
              <w:rPr>
                <w:rFonts w:eastAsia="Times New Roman" w:cstheme="minorHAnsi"/>
                <w:color w:val="000000" w:themeColor="text1"/>
                <w:sz w:val="20"/>
              </w:rPr>
              <w:t>Social Officer</w:t>
            </w:r>
          </w:p>
        </w:tc>
        <w:tc>
          <w:tcPr>
            <w:tcW w:w="6030" w:type="dxa"/>
          </w:tcPr>
          <w:p w14:paraId="17B82CAA" w14:textId="77777777" w:rsidR="00CF2892" w:rsidRPr="00CF2892" w:rsidRDefault="00CF2892" w:rsidP="00CF2892">
            <w:pPr>
              <w:rPr>
                <w:rFonts w:eastAsia="Times New Roman"/>
                <w:sz w:val="20"/>
              </w:rPr>
            </w:pPr>
            <w:r w:rsidRPr="00CF2892">
              <w:rPr>
                <w:rFonts w:eastAsia="Times New Roman"/>
                <w:sz w:val="20"/>
              </w:rPr>
              <w:t>• Leads implementation of social safeguard measures and supports community engagement activities described in the SEP.</w:t>
            </w:r>
          </w:p>
          <w:p w14:paraId="0F963D05" w14:textId="77777777" w:rsidR="00CF2892" w:rsidRPr="00CF2892" w:rsidRDefault="00CF2892" w:rsidP="00CF2892">
            <w:pPr>
              <w:rPr>
                <w:rFonts w:eastAsia="Times New Roman"/>
                <w:sz w:val="20"/>
              </w:rPr>
            </w:pPr>
            <w:r w:rsidRPr="00CF2892">
              <w:rPr>
                <w:rFonts w:eastAsia="Times New Roman"/>
                <w:sz w:val="20"/>
              </w:rPr>
              <w:t>• Ensures inclusion of vulnerable and marginalized groups in consultation processes.</w:t>
            </w:r>
          </w:p>
          <w:p w14:paraId="11AF9254" w14:textId="77777777" w:rsidR="00CF2892" w:rsidRPr="00CF2892" w:rsidRDefault="00CF2892" w:rsidP="00CF2892">
            <w:pPr>
              <w:rPr>
                <w:rFonts w:eastAsia="Times New Roman"/>
                <w:sz w:val="20"/>
              </w:rPr>
            </w:pPr>
            <w:r w:rsidRPr="00CF2892">
              <w:rPr>
                <w:rFonts w:eastAsia="Times New Roman"/>
                <w:sz w:val="20"/>
              </w:rPr>
              <w:t>• Coordinates social risk management activities, including GBV/SEA/SH risk mitigation and awareness campaigns.</w:t>
            </w:r>
          </w:p>
          <w:p w14:paraId="178D6C1F" w14:textId="77777777" w:rsidR="005B7D42" w:rsidRPr="009479B5" w:rsidRDefault="00CF2892" w:rsidP="00CF2892">
            <w:pPr>
              <w:rPr>
                <w:rFonts w:eastAsia="Times New Roman"/>
                <w:sz w:val="20"/>
              </w:rPr>
            </w:pPr>
            <w:r w:rsidRPr="00CF2892">
              <w:rPr>
                <w:rFonts w:eastAsia="Times New Roman"/>
                <w:sz w:val="20"/>
              </w:rPr>
              <w:t>• Works with GRM Focal Point to ensure social grievances are properly addressed.</w:t>
            </w:r>
          </w:p>
        </w:tc>
      </w:tr>
      <w:tr w:rsidR="005B7D42" w:rsidRPr="009479B5" w14:paraId="724DB5F6" w14:textId="77777777" w:rsidTr="003A5434">
        <w:tc>
          <w:tcPr>
            <w:tcW w:w="1725" w:type="dxa"/>
            <w:vMerge/>
          </w:tcPr>
          <w:p w14:paraId="7FE13618" w14:textId="77777777" w:rsidR="005B7D42" w:rsidRPr="009479B5" w:rsidRDefault="005B7D42" w:rsidP="009479B5">
            <w:pPr>
              <w:rPr>
                <w:rFonts w:eastAsia="Times New Roman" w:cstheme="minorHAnsi"/>
                <w:color w:val="000000" w:themeColor="text1"/>
                <w:sz w:val="20"/>
              </w:rPr>
            </w:pPr>
          </w:p>
        </w:tc>
        <w:tc>
          <w:tcPr>
            <w:tcW w:w="1605" w:type="dxa"/>
          </w:tcPr>
          <w:p w14:paraId="7DE530D9" w14:textId="77777777" w:rsidR="005B7D42" w:rsidRPr="009479B5" w:rsidRDefault="000077F2" w:rsidP="009479B5">
            <w:pPr>
              <w:rPr>
                <w:rFonts w:eastAsia="Times New Roman" w:cstheme="minorHAnsi"/>
                <w:color w:val="000000" w:themeColor="text1"/>
                <w:sz w:val="20"/>
              </w:rPr>
            </w:pPr>
            <w:r w:rsidRPr="003C09C2">
              <w:rPr>
                <w:rFonts w:eastAsia="Times New Roman" w:cstheme="minorHAnsi"/>
                <w:color w:val="000000" w:themeColor="text1"/>
                <w:sz w:val="20"/>
              </w:rPr>
              <w:t>GRM Focal Point</w:t>
            </w:r>
          </w:p>
        </w:tc>
        <w:tc>
          <w:tcPr>
            <w:tcW w:w="6030" w:type="dxa"/>
          </w:tcPr>
          <w:p w14:paraId="5C8FF808" w14:textId="77777777" w:rsidR="003C09C2" w:rsidRPr="003C09C2" w:rsidRDefault="003C09C2" w:rsidP="003C09C2">
            <w:pPr>
              <w:rPr>
                <w:rFonts w:eastAsia="Times New Roman"/>
                <w:sz w:val="20"/>
              </w:rPr>
            </w:pPr>
            <w:r w:rsidRPr="003C09C2">
              <w:rPr>
                <w:rFonts w:eastAsia="Times New Roman"/>
                <w:sz w:val="20"/>
              </w:rPr>
              <w:t>• Manages the project’s Grievance Redress Mechanism (GRM) and ensures accessibility to all stakeholders.</w:t>
            </w:r>
          </w:p>
          <w:p w14:paraId="1A2B26D9" w14:textId="77777777" w:rsidR="003C09C2" w:rsidRPr="003C09C2" w:rsidRDefault="003C09C2" w:rsidP="003C09C2">
            <w:pPr>
              <w:rPr>
                <w:rFonts w:eastAsia="Times New Roman"/>
                <w:sz w:val="20"/>
              </w:rPr>
            </w:pPr>
            <w:r w:rsidRPr="003C09C2">
              <w:rPr>
                <w:rFonts w:eastAsia="Times New Roman"/>
                <w:sz w:val="20"/>
              </w:rPr>
              <w:t>• Receives, logs, and tracks grievances in the GRM database; monitors resolution timelines.</w:t>
            </w:r>
          </w:p>
          <w:p w14:paraId="047E0171" w14:textId="77777777" w:rsidR="003C09C2" w:rsidRPr="003C09C2" w:rsidRDefault="003C09C2" w:rsidP="003C09C2">
            <w:pPr>
              <w:rPr>
                <w:rFonts w:eastAsia="Times New Roman"/>
                <w:sz w:val="20"/>
              </w:rPr>
            </w:pPr>
            <w:r w:rsidRPr="003C09C2">
              <w:rPr>
                <w:rFonts w:eastAsia="Times New Roman"/>
                <w:sz w:val="20"/>
              </w:rPr>
              <w:t>• Coordinates with PIU, contractors, and local authorities to ensure timely grievance resolution.</w:t>
            </w:r>
          </w:p>
          <w:p w14:paraId="7109FEC6" w14:textId="77777777" w:rsidR="003C09C2" w:rsidRPr="003C09C2" w:rsidRDefault="003C09C2" w:rsidP="003C09C2">
            <w:pPr>
              <w:rPr>
                <w:rFonts w:eastAsia="Times New Roman"/>
                <w:sz w:val="20"/>
              </w:rPr>
            </w:pPr>
            <w:r w:rsidRPr="003C09C2">
              <w:rPr>
                <w:rFonts w:eastAsia="Times New Roman"/>
                <w:sz w:val="20"/>
              </w:rPr>
              <w:t>• Prepares periodic reports on grievance trends and outcomes.</w:t>
            </w:r>
          </w:p>
          <w:p w14:paraId="277FF103" w14:textId="77777777" w:rsidR="005B7D42" w:rsidRPr="009479B5" w:rsidRDefault="003C09C2" w:rsidP="003C09C2">
            <w:pPr>
              <w:rPr>
                <w:rFonts w:eastAsia="Times New Roman"/>
                <w:sz w:val="20"/>
              </w:rPr>
            </w:pPr>
            <w:r w:rsidRPr="003C09C2">
              <w:rPr>
                <w:rFonts w:eastAsia="Times New Roman"/>
                <w:sz w:val="20"/>
              </w:rPr>
              <w:t>• Promotes awareness of the GRM through brochures, posters, and public announcements.</w:t>
            </w:r>
          </w:p>
        </w:tc>
      </w:tr>
      <w:tr w:rsidR="003C09C2" w:rsidRPr="009479B5" w14:paraId="61E694A8" w14:textId="77777777" w:rsidTr="003A5434">
        <w:tc>
          <w:tcPr>
            <w:tcW w:w="1725" w:type="dxa"/>
            <w:vMerge w:val="restart"/>
          </w:tcPr>
          <w:p w14:paraId="2A4A8F36" w14:textId="77777777" w:rsidR="003C09C2" w:rsidRPr="009479B5" w:rsidRDefault="003C09C2" w:rsidP="009479B5">
            <w:pPr>
              <w:rPr>
                <w:rFonts w:eastAsia="Times New Roman" w:cstheme="minorHAnsi"/>
                <w:color w:val="000000" w:themeColor="text1"/>
                <w:sz w:val="20"/>
              </w:rPr>
            </w:pPr>
            <w:r w:rsidRPr="009479B5">
              <w:rPr>
                <w:rFonts w:eastAsia="Times New Roman" w:cstheme="minorHAnsi"/>
                <w:color w:val="000000" w:themeColor="text1"/>
                <w:sz w:val="20"/>
              </w:rPr>
              <w:lastRenderedPageBreak/>
              <w:t xml:space="preserve">Contractor </w:t>
            </w:r>
          </w:p>
        </w:tc>
        <w:tc>
          <w:tcPr>
            <w:tcW w:w="1605" w:type="dxa"/>
          </w:tcPr>
          <w:p w14:paraId="0964D360" w14:textId="77777777" w:rsidR="003C09C2" w:rsidRPr="009479B5" w:rsidRDefault="003C09C2" w:rsidP="009479B5">
            <w:pPr>
              <w:rPr>
                <w:rFonts w:eastAsia="Times New Roman" w:cstheme="minorHAnsi"/>
                <w:color w:val="000000" w:themeColor="text1"/>
                <w:sz w:val="20"/>
              </w:rPr>
            </w:pPr>
            <w:r w:rsidRPr="009479B5">
              <w:rPr>
                <w:rFonts w:eastAsia="Times New Roman" w:cstheme="minorHAnsi"/>
                <w:color w:val="000000" w:themeColor="text1"/>
                <w:sz w:val="20"/>
              </w:rPr>
              <w:t>Chief Engineer</w:t>
            </w:r>
            <w:r w:rsidRPr="003C09C2">
              <w:rPr>
                <w:rFonts w:eastAsia="Times New Roman" w:cstheme="minorHAnsi"/>
                <w:color w:val="000000" w:themeColor="text1"/>
                <w:sz w:val="20"/>
              </w:rPr>
              <w:t>/ Community Liaison Officer</w:t>
            </w:r>
          </w:p>
        </w:tc>
        <w:tc>
          <w:tcPr>
            <w:tcW w:w="6030" w:type="dxa"/>
          </w:tcPr>
          <w:p w14:paraId="7C0DCBA9"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Conducts consultations with local stakeholders regarding project timelines, potential impacts, and mitigation measures.</w:t>
            </w:r>
          </w:p>
          <w:p w14:paraId="384AFEAB"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Provides information about job opportunities and ensures inclusion of women and vulnerable groups.</w:t>
            </w:r>
          </w:p>
          <w:p w14:paraId="3018ABBB"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Conducts Code of Conduct trainings for workers, including on appropriate behavior, prevention of GBV, SEA, SH, and VAC.</w:t>
            </w:r>
          </w:p>
          <w:p w14:paraId="3D80F4F5"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Organizes awareness and safety trainings related to project implementation.</w:t>
            </w:r>
          </w:p>
          <w:p w14:paraId="1742348C"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Supports the PIU in resolving grievances promptly in line with the GRM procedures described in the SEP.</w:t>
            </w:r>
          </w:p>
        </w:tc>
      </w:tr>
      <w:tr w:rsidR="003C09C2" w:rsidRPr="009479B5" w14:paraId="6D757CDB" w14:textId="77777777" w:rsidTr="003A5434">
        <w:tc>
          <w:tcPr>
            <w:tcW w:w="1725" w:type="dxa"/>
            <w:vMerge/>
          </w:tcPr>
          <w:p w14:paraId="65E1DAE7" w14:textId="77777777" w:rsidR="003C09C2" w:rsidRPr="009479B5" w:rsidRDefault="003C09C2" w:rsidP="009479B5">
            <w:pPr>
              <w:rPr>
                <w:rFonts w:eastAsia="Times New Roman" w:cstheme="minorHAnsi"/>
                <w:color w:val="000000" w:themeColor="text1"/>
                <w:sz w:val="20"/>
              </w:rPr>
            </w:pPr>
          </w:p>
        </w:tc>
        <w:tc>
          <w:tcPr>
            <w:tcW w:w="1605" w:type="dxa"/>
          </w:tcPr>
          <w:p w14:paraId="2497C303" w14:textId="77777777" w:rsidR="003C09C2" w:rsidRPr="009479B5" w:rsidRDefault="003C09C2" w:rsidP="009479B5">
            <w:pPr>
              <w:rPr>
                <w:rFonts w:eastAsia="Times New Roman" w:cstheme="minorHAnsi"/>
                <w:color w:val="000000" w:themeColor="text1"/>
                <w:sz w:val="20"/>
              </w:rPr>
            </w:pPr>
            <w:r w:rsidRPr="003C09C2">
              <w:rPr>
                <w:rFonts w:eastAsia="Times New Roman" w:cstheme="minorHAnsi"/>
                <w:color w:val="000000" w:themeColor="text1"/>
                <w:sz w:val="20"/>
              </w:rPr>
              <w:t>Consultants / Technical Assistance Providers</w:t>
            </w:r>
          </w:p>
        </w:tc>
        <w:tc>
          <w:tcPr>
            <w:tcW w:w="6030" w:type="dxa"/>
          </w:tcPr>
          <w:p w14:paraId="6D20FD90"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xml:space="preserve"> • Support the PIU in the implementation and monitoring of SEP activities.</w:t>
            </w:r>
          </w:p>
          <w:p w14:paraId="25AC7559"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Facilitate consultations, capacity building, and training activities.</w:t>
            </w:r>
          </w:p>
          <w:p w14:paraId="641EB0DF" w14:textId="77777777" w:rsidR="003C09C2" w:rsidRPr="003C09C2"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Provide technical input on communication and reporting related to stakeholder engagement.</w:t>
            </w:r>
          </w:p>
          <w:p w14:paraId="0874372D" w14:textId="77777777" w:rsidR="003C09C2" w:rsidRPr="009479B5" w:rsidRDefault="003C09C2" w:rsidP="003C09C2">
            <w:pPr>
              <w:rPr>
                <w:rFonts w:eastAsia="Times New Roman" w:cstheme="minorHAnsi"/>
                <w:color w:val="000000" w:themeColor="text1"/>
                <w:sz w:val="20"/>
              </w:rPr>
            </w:pPr>
            <w:r w:rsidRPr="003C09C2">
              <w:rPr>
                <w:rFonts w:eastAsia="Times New Roman" w:cstheme="minorHAnsi"/>
                <w:color w:val="000000" w:themeColor="text1"/>
                <w:sz w:val="20"/>
              </w:rPr>
              <w:t>• Assist in documenting and analyzing stakeholder feedback for adaptive project management.</w:t>
            </w:r>
          </w:p>
        </w:tc>
      </w:tr>
    </w:tbl>
    <w:p w14:paraId="4F43D0A6" w14:textId="77777777" w:rsidR="009479B5" w:rsidRPr="009479B5" w:rsidRDefault="009479B5" w:rsidP="009479B5">
      <w:pPr>
        <w:spacing w:after="0" w:line="240" w:lineRule="auto"/>
        <w:jc w:val="both"/>
        <w:rPr>
          <w:rFonts w:cs="Arial"/>
          <w:color w:val="000000" w:themeColor="text1"/>
          <w:sz w:val="24"/>
          <w:szCs w:val="24"/>
          <w:lang w:val="en-AU"/>
        </w:rPr>
      </w:pPr>
    </w:p>
    <w:p w14:paraId="77A84A24" w14:textId="77777777" w:rsidR="009479B5" w:rsidRPr="003C09C2" w:rsidRDefault="009479B5" w:rsidP="009479B5">
      <w:pPr>
        <w:spacing w:after="0" w:line="240" w:lineRule="auto"/>
        <w:jc w:val="both"/>
        <w:rPr>
          <w:rFonts w:cstheme="minorHAnsi"/>
          <w:b/>
          <w:sz w:val="24"/>
          <w:szCs w:val="24"/>
          <w:lang w:val="en-GB"/>
        </w:rPr>
      </w:pPr>
      <w:r w:rsidRPr="003C09C2">
        <w:rPr>
          <w:rFonts w:cstheme="minorHAnsi"/>
          <w:b/>
          <w:sz w:val="24"/>
          <w:szCs w:val="24"/>
          <w:lang w:val="en-GB"/>
        </w:rPr>
        <w:t>Contact details for the project:</w:t>
      </w:r>
    </w:p>
    <w:p w14:paraId="0E313F1E" w14:textId="77777777" w:rsidR="003C09C2" w:rsidRDefault="003C09C2" w:rsidP="009479B5">
      <w:pPr>
        <w:spacing w:after="0" w:line="240" w:lineRule="auto"/>
        <w:jc w:val="both"/>
        <w:rPr>
          <w:rFonts w:cstheme="minorHAnsi"/>
          <w:i/>
          <w:sz w:val="24"/>
          <w:szCs w:val="24"/>
          <w:lang w:val="en-GB"/>
        </w:rPr>
      </w:pPr>
    </w:p>
    <w:p w14:paraId="124F1514" w14:textId="77777777" w:rsidR="009479B5" w:rsidRPr="003C09C2" w:rsidRDefault="009479B5" w:rsidP="009479B5">
      <w:pPr>
        <w:spacing w:after="0" w:line="240" w:lineRule="auto"/>
        <w:jc w:val="both"/>
        <w:rPr>
          <w:rFonts w:cstheme="minorHAnsi"/>
          <w:i/>
          <w:sz w:val="24"/>
          <w:szCs w:val="24"/>
          <w:lang w:val="en-GB"/>
        </w:rPr>
      </w:pPr>
      <w:r w:rsidRPr="003C09C2">
        <w:rPr>
          <w:rFonts w:cstheme="minorHAnsi"/>
          <w:i/>
          <w:sz w:val="24"/>
          <w:szCs w:val="24"/>
          <w:lang w:val="en-GB"/>
        </w:rPr>
        <w:t>Name:</w:t>
      </w:r>
      <w:r w:rsidR="003C09C2" w:rsidRPr="003C09C2">
        <w:rPr>
          <w:rFonts w:cstheme="minorHAnsi"/>
          <w:i/>
          <w:sz w:val="24"/>
          <w:szCs w:val="24"/>
          <w:lang w:val="en-GB"/>
        </w:rPr>
        <w:t xml:space="preserve"> Ranko Kankaraš</w:t>
      </w:r>
    </w:p>
    <w:p w14:paraId="7EE85610" w14:textId="77777777" w:rsidR="009479B5" w:rsidRPr="003C09C2" w:rsidRDefault="009479B5" w:rsidP="009479B5">
      <w:pPr>
        <w:spacing w:after="0" w:line="240" w:lineRule="auto"/>
        <w:jc w:val="both"/>
        <w:rPr>
          <w:rFonts w:cstheme="minorHAnsi"/>
          <w:i/>
          <w:sz w:val="24"/>
          <w:szCs w:val="24"/>
          <w:lang w:val="en-GB"/>
        </w:rPr>
      </w:pPr>
      <w:r w:rsidRPr="003C09C2">
        <w:rPr>
          <w:rFonts w:cstheme="minorHAnsi"/>
          <w:i/>
          <w:sz w:val="24"/>
          <w:szCs w:val="24"/>
          <w:lang w:val="en-GB"/>
        </w:rPr>
        <w:t xml:space="preserve">Position: </w:t>
      </w:r>
      <w:r w:rsidR="003C09C2" w:rsidRPr="003C09C2">
        <w:rPr>
          <w:rFonts w:cstheme="minorHAnsi"/>
          <w:i/>
          <w:sz w:val="24"/>
          <w:szCs w:val="24"/>
          <w:lang w:val="en-GB"/>
        </w:rPr>
        <w:t>Head of Unit for Forestry, MAFWM</w:t>
      </w:r>
    </w:p>
    <w:p w14:paraId="323A8DB0" w14:textId="77777777" w:rsidR="009479B5" w:rsidRPr="003C09C2" w:rsidRDefault="009479B5" w:rsidP="009479B5">
      <w:pPr>
        <w:spacing w:after="0" w:line="240" w:lineRule="auto"/>
        <w:jc w:val="both"/>
        <w:rPr>
          <w:rFonts w:cstheme="minorHAnsi"/>
          <w:i/>
          <w:sz w:val="24"/>
          <w:szCs w:val="24"/>
          <w:lang w:val="en-GB"/>
        </w:rPr>
      </w:pPr>
      <w:r w:rsidRPr="003C09C2">
        <w:rPr>
          <w:rFonts w:cstheme="minorHAnsi"/>
          <w:i/>
          <w:sz w:val="24"/>
          <w:szCs w:val="24"/>
          <w:lang w:val="en-GB"/>
        </w:rPr>
        <w:t>Address:</w:t>
      </w:r>
      <w:r w:rsidR="003C09C2">
        <w:rPr>
          <w:rFonts w:cstheme="minorHAnsi"/>
          <w:i/>
          <w:sz w:val="24"/>
          <w:szCs w:val="24"/>
          <w:lang w:val="en-GB"/>
        </w:rPr>
        <w:t xml:space="preserve"> </w:t>
      </w:r>
      <w:proofErr w:type="spellStart"/>
      <w:r w:rsidR="003C09C2">
        <w:rPr>
          <w:rFonts w:cstheme="minorHAnsi"/>
          <w:i/>
          <w:sz w:val="24"/>
          <w:szCs w:val="24"/>
          <w:lang w:val="en-GB"/>
        </w:rPr>
        <w:t>Rimski</w:t>
      </w:r>
      <w:proofErr w:type="spellEnd"/>
      <w:r w:rsidR="003C09C2">
        <w:rPr>
          <w:rFonts w:cstheme="minorHAnsi"/>
          <w:i/>
          <w:sz w:val="24"/>
          <w:szCs w:val="24"/>
          <w:lang w:val="en-GB"/>
        </w:rPr>
        <w:t xml:space="preserve"> </w:t>
      </w:r>
      <w:proofErr w:type="spellStart"/>
      <w:r w:rsidR="003C09C2">
        <w:rPr>
          <w:rFonts w:cstheme="minorHAnsi"/>
          <w:i/>
          <w:sz w:val="24"/>
          <w:szCs w:val="24"/>
          <w:lang w:val="en-GB"/>
        </w:rPr>
        <w:t>trg</w:t>
      </w:r>
      <w:proofErr w:type="spellEnd"/>
      <w:r w:rsidR="003C09C2">
        <w:rPr>
          <w:rFonts w:cstheme="minorHAnsi"/>
          <w:i/>
          <w:sz w:val="24"/>
          <w:szCs w:val="24"/>
          <w:lang w:val="en-GB"/>
        </w:rPr>
        <w:t xml:space="preserve"> 46, Podgorica, Monetnegro</w:t>
      </w:r>
    </w:p>
    <w:p w14:paraId="0B5A65BE" w14:textId="77777777" w:rsidR="009479B5" w:rsidRPr="003C09C2" w:rsidRDefault="009479B5" w:rsidP="009479B5">
      <w:pPr>
        <w:spacing w:after="0" w:line="240" w:lineRule="auto"/>
        <w:jc w:val="both"/>
        <w:rPr>
          <w:rFonts w:cstheme="minorHAnsi"/>
          <w:i/>
          <w:sz w:val="24"/>
          <w:szCs w:val="24"/>
        </w:rPr>
      </w:pPr>
      <w:r w:rsidRPr="003C09C2">
        <w:rPr>
          <w:rFonts w:cstheme="minorHAnsi"/>
          <w:i/>
          <w:sz w:val="24"/>
          <w:szCs w:val="24"/>
          <w:lang w:val="en-GB"/>
        </w:rPr>
        <w:t>Email:</w:t>
      </w:r>
      <w:r w:rsidR="003C09C2">
        <w:rPr>
          <w:rFonts w:cstheme="minorHAnsi"/>
          <w:i/>
          <w:sz w:val="24"/>
          <w:szCs w:val="24"/>
          <w:lang w:val="en-GB"/>
        </w:rPr>
        <w:t xml:space="preserve"> </w:t>
      </w:r>
      <w:proofErr w:type="spellStart"/>
      <w:r w:rsidR="003C09C2">
        <w:rPr>
          <w:rFonts w:cstheme="minorHAnsi"/>
          <w:i/>
          <w:sz w:val="24"/>
          <w:szCs w:val="24"/>
          <w:lang w:val="en-GB"/>
        </w:rPr>
        <w:t>ranko.kankaras</w:t>
      </w:r>
      <w:proofErr w:type="spellEnd"/>
      <w:r w:rsidR="003C09C2">
        <w:rPr>
          <w:rFonts w:cstheme="minorHAnsi"/>
          <w:i/>
          <w:sz w:val="24"/>
          <w:szCs w:val="24"/>
        </w:rPr>
        <w:t>@mpsv.gov.me</w:t>
      </w:r>
    </w:p>
    <w:p w14:paraId="25FDE478" w14:textId="77777777" w:rsidR="00DE196B" w:rsidRDefault="00DE196B" w:rsidP="00D13834">
      <w:pPr>
        <w:jc w:val="both"/>
      </w:pPr>
    </w:p>
    <w:p w14:paraId="18329D26" w14:textId="77777777" w:rsidR="009479B5" w:rsidRPr="00DE196B" w:rsidRDefault="009479B5" w:rsidP="00D13834">
      <w:pPr>
        <w:jc w:val="both"/>
      </w:pPr>
    </w:p>
    <w:p w14:paraId="68C36E34" w14:textId="77777777" w:rsidR="00B65C99" w:rsidRDefault="00A27721" w:rsidP="00D13834">
      <w:pPr>
        <w:jc w:val="both"/>
        <w:rPr>
          <w:b/>
          <w:i/>
          <w:color w:val="385623" w:themeColor="accent6" w:themeShade="80"/>
          <w:sz w:val="28"/>
          <w:szCs w:val="28"/>
        </w:rPr>
      </w:pPr>
      <w:r w:rsidRPr="007D0035">
        <w:rPr>
          <w:b/>
          <w:i/>
          <w:color w:val="385623" w:themeColor="accent6" w:themeShade="80"/>
          <w:sz w:val="28"/>
          <w:szCs w:val="28"/>
        </w:rPr>
        <w:t>6.3. Budget for the SEP Preparation and Implementation</w:t>
      </w:r>
    </w:p>
    <w:p w14:paraId="2C67B1F5" w14:textId="77777777" w:rsidR="00D9129E" w:rsidRPr="007D0035" w:rsidRDefault="00D9129E" w:rsidP="00D13834">
      <w:pPr>
        <w:jc w:val="both"/>
        <w:rPr>
          <w:b/>
          <w:i/>
          <w:color w:val="385623" w:themeColor="accent6" w:themeShade="80"/>
          <w:sz w:val="28"/>
          <w:szCs w:val="28"/>
        </w:rPr>
      </w:pPr>
      <w:r>
        <w:t>The following table presents the estimated costs for implementing the Stakeholder Engagement Plan over the 5-year duration of the project. The budget covers staffing, training and workshops, document preparation and translation, travel, communication materials, venue hire, food for workshops, and includes a 10% contingency for unforeseen expenses. These estimates are based on standard costs for similar projects and will be updated with actual figures once finalized by the Project Implementation Unit (PIU).</w:t>
      </w:r>
    </w:p>
    <w:p w14:paraId="2122E184" w14:textId="77777777" w:rsidR="00E83D0D" w:rsidRPr="0053204F" w:rsidRDefault="00E83D0D" w:rsidP="00E83D0D">
      <w:pPr>
        <w:jc w:val="both"/>
        <w:rPr>
          <w:b/>
          <w:color w:val="1F3864" w:themeColor="accent1" w:themeShade="80"/>
          <w:sz w:val="20"/>
          <w:szCs w:val="20"/>
        </w:rPr>
      </w:pPr>
      <w:r w:rsidRPr="0053204F">
        <w:rPr>
          <w:b/>
          <w:color w:val="1F3864" w:themeColor="accent1" w:themeShade="80"/>
          <w:sz w:val="20"/>
          <w:szCs w:val="20"/>
        </w:rPr>
        <w:t>Table</w:t>
      </w:r>
      <w:r w:rsidR="0053204F" w:rsidRPr="0053204F">
        <w:rPr>
          <w:b/>
          <w:color w:val="1F3864" w:themeColor="accent1" w:themeShade="80"/>
          <w:sz w:val="20"/>
          <w:szCs w:val="20"/>
        </w:rPr>
        <w:t xml:space="preserve"> 7</w:t>
      </w:r>
      <w:r w:rsidRPr="0053204F">
        <w:rPr>
          <w:b/>
          <w:color w:val="1F3864" w:themeColor="accent1" w:themeShade="80"/>
          <w:sz w:val="20"/>
          <w:szCs w:val="20"/>
        </w:rPr>
        <w:t>: Estimated Project Budget</w:t>
      </w:r>
    </w:p>
    <w:tbl>
      <w:tblPr>
        <w:tblStyle w:val="TableGrid"/>
        <w:tblW w:w="0" w:type="auto"/>
        <w:tblLook w:val="04A0" w:firstRow="1" w:lastRow="0" w:firstColumn="1" w:lastColumn="0" w:noHBand="0" w:noVBand="1"/>
      </w:tblPr>
      <w:tblGrid>
        <w:gridCol w:w="1802"/>
        <w:gridCol w:w="1802"/>
        <w:gridCol w:w="1802"/>
        <w:gridCol w:w="1802"/>
        <w:gridCol w:w="1802"/>
      </w:tblGrid>
      <w:tr w:rsidR="00E83D0D" w:rsidRPr="00E714C1" w14:paraId="1AF163CD" w14:textId="77777777" w:rsidTr="003A5434">
        <w:tc>
          <w:tcPr>
            <w:tcW w:w="1802" w:type="dxa"/>
            <w:shd w:val="clear" w:color="auto" w:fill="DEEAF6" w:themeFill="accent5" w:themeFillTint="33"/>
          </w:tcPr>
          <w:p w14:paraId="523252CE" w14:textId="77777777" w:rsidR="00E83D0D" w:rsidRPr="00E714C1" w:rsidRDefault="00E83D0D" w:rsidP="003A5434">
            <w:pPr>
              <w:jc w:val="both"/>
              <w:rPr>
                <w:rFonts w:cstheme="minorHAnsi"/>
                <w:b/>
                <w:bCs/>
                <w:noProof/>
                <w:sz w:val="20"/>
                <w:szCs w:val="20"/>
              </w:rPr>
            </w:pPr>
            <w:r w:rsidRPr="00E714C1">
              <w:rPr>
                <w:rFonts w:cstheme="minorHAnsi"/>
                <w:b/>
                <w:bCs/>
                <w:noProof/>
                <w:sz w:val="20"/>
                <w:szCs w:val="20"/>
              </w:rPr>
              <w:t>Stakeholder Engagement Activity</w:t>
            </w:r>
          </w:p>
        </w:tc>
        <w:tc>
          <w:tcPr>
            <w:tcW w:w="1802" w:type="dxa"/>
            <w:shd w:val="clear" w:color="auto" w:fill="DEEAF6" w:themeFill="accent5" w:themeFillTint="33"/>
          </w:tcPr>
          <w:p w14:paraId="6F9F781C" w14:textId="77777777" w:rsidR="00E83D0D" w:rsidRPr="00E714C1" w:rsidRDefault="00E83D0D" w:rsidP="003A5434">
            <w:pPr>
              <w:jc w:val="both"/>
              <w:rPr>
                <w:rFonts w:cstheme="minorHAnsi"/>
                <w:b/>
                <w:bCs/>
                <w:noProof/>
                <w:sz w:val="20"/>
                <w:szCs w:val="20"/>
              </w:rPr>
            </w:pPr>
            <w:r w:rsidRPr="00E714C1">
              <w:rPr>
                <w:rFonts w:cstheme="minorHAnsi"/>
                <w:b/>
                <w:bCs/>
                <w:noProof/>
                <w:sz w:val="20"/>
                <w:szCs w:val="20"/>
              </w:rPr>
              <w:t>Quantity</w:t>
            </w:r>
          </w:p>
        </w:tc>
        <w:tc>
          <w:tcPr>
            <w:tcW w:w="1802" w:type="dxa"/>
            <w:shd w:val="clear" w:color="auto" w:fill="DEEAF6" w:themeFill="accent5" w:themeFillTint="33"/>
          </w:tcPr>
          <w:p w14:paraId="53CFAAC1" w14:textId="77777777" w:rsidR="00E83D0D" w:rsidRPr="00E714C1" w:rsidRDefault="00E83D0D" w:rsidP="003A5434">
            <w:pPr>
              <w:jc w:val="both"/>
              <w:rPr>
                <w:rFonts w:cstheme="minorHAnsi"/>
                <w:b/>
                <w:bCs/>
                <w:noProof/>
                <w:sz w:val="20"/>
                <w:szCs w:val="20"/>
              </w:rPr>
            </w:pPr>
            <w:r w:rsidRPr="00E714C1">
              <w:rPr>
                <w:rFonts w:cstheme="minorHAnsi"/>
                <w:b/>
                <w:bCs/>
                <w:noProof/>
                <w:sz w:val="20"/>
                <w:szCs w:val="20"/>
              </w:rPr>
              <w:t>Unit Cost (VDN per year)</w:t>
            </w:r>
          </w:p>
        </w:tc>
        <w:tc>
          <w:tcPr>
            <w:tcW w:w="1802" w:type="dxa"/>
            <w:shd w:val="clear" w:color="auto" w:fill="DEEAF6" w:themeFill="accent5" w:themeFillTint="33"/>
          </w:tcPr>
          <w:p w14:paraId="60D68D32" w14:textId="77777777" w:rsidR="00E83D0D" w:rsidRPr="00E714C1" w:rsidRDefault="00E83D0D" w:rsidP="003A5434">
            <w:pPr>
              <w:jc w:val="both"/>
              <w:rPr>
                <w:rFonts w:cstheme="minorHAnsi"/>
                <w:b/>
                <w:bCs/>
                <w:noProof/>
                <w:sz w:val="20"/>
                <w:szCs w:val="20"/>
              </w:rPr>
            </w:pPr>
            <w:r w:rsidRPr="00E714C1">
              <w:rPr>
                <w:rFonts w:cstheme="minorHAnsi"/>
                <w:b/>
                <w:bCs/>
                <w:noProof/>
                <w:sz w:val="20"/>
                <w:szCs w:val="20"/>
              </w:rPr>
              <w:t>Number of years</w:t>
            </w:r>
          </w:p>
        </w:tc>
        <w:tc>
          <w:tcPr>
            <w:tcW w:w="1802" w:type="dxa"/>
            <w:shd w:val="clear" w:color="auto" w:fill="DEEAF6" w:themeFill="accent5" w:themeFillTint="33"/>
          </w:tcPr>
          <w:p w14:paraId="21F3A443" w14:textId="77777777" w:rsidR="00E83D0D" w:rsidRPr="00E714C1" w:rsidRDefault="00E83D0D" w:rsidP="003A5434">
            <w:pPr>
              <w:jc w:val="both"/>
              <w:rPr>
                <w:rFonts w:cstheme="minorHAnsi"/>
                <w:b/>
                <w:bCs/>
                <w:noProof/>
                <w:sz w:val="20"/>
                <w:szCs w:val="20"/>
              </w:rPr>
            </w:pPr>
            <w:r w:rsidRPr="00E714C1">
              <w:rPr>
                <w:rFonts w:cstheme="minorHAnsi"/>
                <w:b/>
                <w:bCs/>
                <w:noProof/>
                <w:sz w:val="20"/>
                <w:szCs w:val="20"/>
              </w:rPr>
              <w:t>Total Cost (VDN)</w:t>
            </w:r>
          </w:p>
        </w:tc>
      </w:tr>
      <w:tr w:rsidR="00D9129E" w:rsidRPr="0057012B" w14:paraId="50E6FABA" w14:textId="77777777" w:rsidTr="001E0D3D">
        <w:tc>
          <w:tcPr>
            <w:tcW w:w="1802" w:type="dxa"/>
            <w:vAlign w:val="center"/>
          </w:tcPr>
          <w:p w14:paraId="398E718F"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SEP Staff (part-time Communication &amp; E&amp;S Officers)</w:t>
            </w:r>
          </w:p>
        </w:tc>
        <w:tc>
          <w:tcPr>
            <w:tcW w:w="1802" w:type="dxa"/>
            <w:vAlign w:val="center"/>
          </w:tcPr>
          <w:p w14:paraId="28A75CBB"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2 FTE</w:t>
            </w:r>
          </w:p>
        </w:tc>
        <w:tc>
          <w:tcPr>
            <w:tcW w:w="1802" w:type="dxa"/>
            <w:vAlign w:val="center"/>
          </w:tcPr>
          <w:p w14:paraId="379D4D59"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15,000</w:t>
            </w:r>
          </w:p>
        </w:tc>
        <w:tc>
          <w:tcPr>
            <w:tcW w:w="1802" w:type="dxa"/>
            <w:vAlign w:val="center"/>
          </w:tcPr>
          <w:p w14:paraId="28AD19E3"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5</w:t>
            </w:r>
          </w:p>
        </w:tc>
        <w:tc>
          <w:tcPr>
            <w:tcW w:w="1802" w:type="dxa"/>
            <w:vAlign w:val="center"/>
          </w:tcPr>
          <w:p w14:paraId="13C6E90B"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150,000</w:t>
            </w:r>
          </w:p>
        </w:tc>
      </w:tr>
      <w:tr w:rsidR="00D9129E" w:rsidRPr="0057012B" w14:paraId="57F3AA57" w14:textId="77777777" w:rsidTr="001E0D3D">
        <w:tc>
          <w:tcPr>
            <w:tcW w:w="1802" w:type="dxa"/>
            <w:vAlign w:val="center"/>
          </w:tcPr>
          <w:p w14:paraId="482D8018"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Training / Workshops for Stakeholders</w:t>
            </w:r>
          </w:p>
        </w:tc>
        <w:tc>
          <w:tcPr>
            <w:tcW w:w="1802" w:type="dxa"/>
            <w:vAlign w:val="center"/>
          </w:tcPr>
          <w:p w14:paraId="14980059"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10 events/year</w:t>
            </w:r>
          </w:p>
        </w:tc>
        <w:tc>
          <w:tcPr>
            <w:tcW w:w="1802" w:type="dxa"/>
            <w:vAlign w:val="center"/>
          </w:tcPr>
          <w:p w14:paraId="265211D4"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2,000</w:t>
            </w:r>
          </w:p>
        </w:tc>
        <w:tc>
          <w:tcPr>
            <w:tcW w:w="1802" w:type="dxa"/>
            <w:vAlign w:val="center"/>
          </w:tcPr>
          <w:p w14:paraId="3582AE09"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5</w:t>
            </w:r>
          </w:p>
        </w:tc>
        <w:tc>
          <w:tcPr>
            <w:tcW w:w="1802" w:type="dxa"/>
            <w:vAlign w:val="center"/>
          </w:tcPr>
          <w:p w14:paraId="715B55B3" w14:textId="77777777" w:rsidR="00D9129E" w:rsidRPr="00D9129E" w:rsidRDefault="00D9129E" w:rsidP="00D9129E">
            <w:pPr>
              <w:rPr>
                <w:rFonts w:cstheme="minorHAnsi"/>
                <w:bCs/>
                <w:i/>
                <w:noProof/>
                <w:color w:val="FF0000"/>
                <w:sz w:val="20"/>
                <w:szCs w:val="20"/>
              </w:rPr>
            </w:pPr>
            <w:r w:rsidRPr="00CA0551">
              <w:rPr>
                <w:rFonts w:eastAsia="Times New Roman" w:cstheme="minorHAnsi"/>
                <w:sz w:val="20"/>
                <w:szCs w:val="20"/>
              </w:rPr>
              <w:t>100,000</w:t>
            </w:r>
          </w:p>
        </w:tc>
      </w:tr>
      <w:tr w:rsidR="00D9129E" w:rsidRPr="00E714C1" w14:paraId="3D69C087" w14:textId="77777777" w:rsidTr="001E0D3D">
        <w:tc>
          <w:tcPr>
            <w:tcW w:w="1802" w:type="dxa"/>
            <w:vAlign w:val="center"/>
          </w:tcPr>
          <w:p w14:paraId="39DA9E41"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Printing of documents (PAD, ESMF, LMP, SEP, reports)</w:t>
            </w:r>
          </w:p>
        </w:tc>
        <w:tc>
          <w:tcPr>
            <w:tcW w:w="1802" w:type="dxa"/>
            <w:vAlign w:val="center"/>
          </w:tcPr>
          <w:p w14:paraId="12F5E481"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200 copies/event</w:t>
            </w:r>
          </w:p>
        </w:tc>
        <w:tc>
          <w:tcPr>
            <w:tcW w:w="1802" w:type="dxa"/>
            <w:vAlign w:val="center"/>
          </w:tcPr>
          <w:p w14:paraId="7E4BE7E0"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10</w:t>
            </w:r>
          </w:p>
        </w:tc>
        <w:tc>
          <w:tcPr>
            <w:tcW w:w="1802" w:type="dxa"/>
            <w:vAlign w:val="center"/>
          </w:tcPr>
          <w:p w14:paraId="410B735D"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w:t>
            </w:r>
          </w:p>
        </w:tc>
        <w:tc>
          <w:tcPr>
            <w:tcW w:w="1802" w:type="dxa"/>
            <w:vAlign w:val="center"/>
          </w:tcPr>
          <w:p w14:paraId="6F557B58"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10,000</w:t>
            </w:r>
          </w:p>
        </w:tc>
      </w:tr>
      <w:tr w:rsidR="00D9129E" w:rsidRPr="00E714C1" w14:paraId="1EFF1A2F" w14:textId="77777777" w:rsidTr="001E0D3D">
        <w:tc>
          <w:tcPr>
            <w:tcW w:w="1802" w:type="dxa"/>
            <w:vAlign w:val="center"/>
          </w:tcPr>
          <w:p w14:paraId="1D0BC1B4"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lastRenderedPageBreak/>
              <w:t>Translation of key project documents</w:t>
            </w:r>
          </w:p>
        </w:tc>
        <w:tc>
          <w:tcPr>
            <w:tcW w:w="1802" w:type="dxa"/>
            <w:vAlign w:val="center"/>
          </w:tcPr>
          <w:p w14:paraId="6712D4E1"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Lump sum</w:t>
            </w:r>
          </w:p>
        </w:tc>
        <w:tc>
          <w:tcPr>
            <w:tcW w:w="1802" w:type="dxa"/>
            <w:vAlign w:val="center"/>
          </w:tcPr>
          <w:p w14:paraId="587DA84F"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5,000</w:t>
            </w:r>
          </w:p>
        </w:tc>
        <w:tc>
          <w:tcPr>
            <w:tcW w:w="1802" w:type="dxa"/>
            <w:vAlign w:val="center"/>
          </w:tcPr>
          <w:p w14:paraId="67AEC01B"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w:t>
            </w:r>
          </w:p>
        </w:tc>
        <w:tc>
          <w:tcPr>
            <w:tcW w:w="1802" w:type="dxa"/>
            <w:vAlign w:val="center"/>
          </w:tcPr>
          <w:p w14:paraId="360CAABE"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25,000</w:t>
            </w:r>
          </w:p>
        </w:tc>
      </w:tr>
      <w:tr w:rsidR="00D9129E" w:rsidRPr="00E714C1" w14:paraId="778856AF" w14:textId="77777777" w:rsidTr="001E0D3D">
        <w:tc>
          <w:tcPr>
            <w:tcW w:w="1802" w:type="dxa"/>
            <w:vAlign w:val="center"/>
          </w:tcPr>
          <w:p w14:paraId="3B9C4AC7"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Travel for PIU staff and consultants to communities</w:t>
            </w:r>
          </w:p>
        </w:tc>
        <w:tc>
          <w:tcPr>
            <w:tcW w:w="1802" w:type="dxa"/>
            <w:vAlign w:val="center"/>
          </w:tcPr>
          <w:p w14:paraId="75ED75A1"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20 trips/year</w:t>
            </w:r>
          </w:p>
        </w:tc>
        <w:tc>
          <w:tcPr>
            <w:tcW w:w="1802" w:type="dxa"/>
            <w:vAlign w:val="center"/>
          </w:tcPr>
          <w:p w14:paraId="31C68A50"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1,000</w:t>
            </w:r>
          </w:p>
        </w:tc>
        <w:tc>
          <w:tcPr>
            <w:tcW w:w="1802" w:type="dxa"/>
            <w:vAlign w:val="center"/>
          </w:tcPr>
          <w:p w14:paraId="28B4FD66"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w:t>
            </w:r>
          </w:p>
        </w:tc>
        <w:tc>
          <w:tcPr>
            <w:tcW w:w="1802" w:type="dxa"/>
            <w:vAlign w:val="center"/>
          </w:tcPr>
          <w:p w14:paraId="4269FFD5"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100,000</w:t>
            </w:r>
          </w:p>
        </w:tc>
      </w:tr>
      <w:tr w:rsidR="00D9129E" w:rsidRPr="00E714C1" w14:paraId="4D7FE581" w14:textId="77777777" w:rsidTr="001E0D3D">
        <w:tc>
          <w:tcPr>
            <w:tcW w:w="1802" w:type="dxa"/>
            <w:vAlign w:val="center"/>
          </w:tcPr>
          <w:p w14:paraId="44725C47"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Communication materials (posters, banners, flyers, radio spots)</w:t>
            </w:r>
          </w:p>
        </w:tc>
        <w:tc>
          <w:tcPr>
            <w:tcW w:w="1802" w:type="dxa"/>
            <w:vAlign w:val="center"/>
          </w:tcPr>
          <w:p w14:paraId="724AEE6D"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Lump sum</w:t>
            </w:r>
          </w:p>
        </w:tc>
        <w:tc>
          <w:tcPr>
            <w:tcW w:w="1802" w:type="dxa"/>
            <w:vAlign w:val="center"/>
          </w:tcPr>
          <w:p w14:paraId="3FA9B53F"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5,000</w:t>
            </w:r>
          </w:p>
        </w:tc>
        <w:tc>
          <w:tcPr>
            <w:tcW w:w="1802" w:type="dxa"/>
            <w:vAlign w:val="center"/>
          </w:tcPr>
          <w:p w14:paraId="6C9B1038"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w:t>
            </w:r>
          </w:p>
        </w:tc>
        <w:tc>
          <w:tcPr>
            <w:tcW w:w="1802" w:type="dxa"/>
            <w:vAlign w:val="center"/>
          </w:tcPr>
          <w:p w14:paraId="13CA287C"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25,000</w:t>
            </w:r>
          </w:p>
        </w:tc>
      </w:tr>
      <w:tr w:rsidR="00D9129E" w:rsidRPr="00E714C1" w14:paraId="530E5086" w14:textId="77777777" w:rsidTr="001E0D3D">
        <w:tc>
          <w:tcPr>
            <w:tcW w:w="1802" w:type="dxa"/>
            <w:vAlign w:val="center"/>
          </w:tcPr>
          <w:p w14:paraId="3E945224"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Hiring meeting rooms / venues</w:t>
            </w:r>
          </w:p>
        </w:tc>
        <w:tc>
          <w:tcPr>
            <w:tcW w:w="1802" w:type="dxa"/>
            <w:vAlign w:val="center"/>
          </w:tcPr>
          <w:p w14:paraId="5B200578"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10 events/year</w:t>
            </w:r>
          </w:p>
        </w:tc>
        <w:tc>
          <w:tcPr>
            <w:tcW w:w="1802" w:type="dxa"/>
            <w:vAlign w:val="center"/>
          </w:tcPr>
          <w:p w14:paraId="767EB6FD"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500</w:t>
            </w:r>
          </w:p>
        </w:tc>
        <w:tc>
          <w:tcPr>
            <w:tcW w:w="1802" w:type="dxa"/>
            <w:vAlign w:val="center"/>
          </w:tcPr>
          <w:p w14:paraId="763F0569"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w:t>
            </w:r>
          </w:p>
        </w:tc>
        <w:tc>
          <w:tcPr>
            <w:tcW w:w="1802" w:type="dxa"/>
            <w:vAlign w:val="center"/>
          </w:tcPr>
          <w:p w14:paraId="6ABF96EF"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25,000</w:t>
            </w:r>
          </w:p>
        </w:tc>
      </w:tr>
      <w:tr w:rsidR="00D9129E" w:rsidRPr="00E714C1" w14:paraId="28B07305" w14:textId="77777777" w:rsidTr="001E0D3D">
        <w:tc>
          <w:tcPr>
            <w:tcW w:w="1802" w:type="dxa"/>
            <w:vAlign w:val="center"/>
          </w:tcPr>
          <w:p w14:paraId="67340EA0"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Food / Refreshments for workshops</w:t>
            </w:r>
          </w:p>
        </w:tc>
        <w:tc>
          <w:tcPr>
            <w:tcW w:w="1802" w:type="dxa"/>
            <w:vAlign w:val="center"/>
          </w:tcPr>
          <w:p w14:paraId="53220A2F"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10 events/year</w:t>
            </w:r>
          </w:p>
        </w:tc>
        <w:tc>
          <w:tcPr>
            <w:tcW w:w="1802" w:type="dxa"/>
            <w:vAlign w:val="center"/>
          </w:tcPr>
          <w:p w14:paraId="5BED82CA"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300</w:t>
            </w:r>
          </w:p>
        </w:tc>
        <w:tc>
          <w:tcPr>
            <w:tcW w:w="1802" w:type="dxa"/>
            <w:vAlign w:val="center"/>
          </w:tcPr>
          <w:p w14:paraId="41BF77CB"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5</w:t>
            </w:r>
          </w:p>
        </w:tc>
        <w:tc>
          <w:tcPr>
            <w:tcW w:w="1802" w:type="dxa"/>
            <w:vAlign w:val="center"/>
          </w:tcPr>
          <w:p w14:paraId="69637C9D"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15,000</w:t>
            </w:r>
          </w:p>
        </w:tc>
      </w:tr>
      <w:tr w:rsidR="00D9129E" w:rsidRPr="00E714C1" w14:paraId="57160AB7" w14:textId="77777777" w:rsidTr="001E0D3D">
        <w:tc>
          <w:tcPr>
            <w:tcW w:w="1802" w:type="dxa"/>
            <w:vAlign w:val="center"/>
          </w:tcPr>
          <w:p w14:paraId="14395472"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Contingency (10%)</w:t>
            </w:r>
          </w:p>
        </w:tc>
        <w:tc>
          <w:tcPr>
            <w:tcW w:w="1802" w:type="dxa"/>
            <w:vAlign w:val="center"/>
          </w:tcPr>
          <w:p w14:paraId="766953C8"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w:t>
            </w:r>
          </w:p>
        </w:tc>
        <w:tc>
          <w:tcPr>
            <w:tcW w:w="1802" w:type="dxa"/>
            <w:vAlign w:val="center"/>
          </w:tcPr>
          <w:p w14:paraId="41C00C9A"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w:t>
            </w:r>
          </w:p>
        </w:tc>
        <w:tc>
          <w:tcPr>
            <w:tcW w:w="1802" w:type="dxa"/>
            <w:vAlign w:val="center"/>
          </w:tcPr>
          <w:p w14:paraId="7FB04DFA"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w:t>
            </w:r>
          </w:p>
        </w:tc>
        <w:tc>
          <w:tcPr>
            <w:tcW w:w="1802" w:type="dxa"/>
            <w:vAlign w:val="center"/>
          </w:tcPr>
          <w:p w14:paraId="29AC6E73"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45,000</w:t>
            </w:r>
          </w:p>
        </w:tc>
      </w:tr>
      <w:tr w:rsidR="00D9129E" w:rsidRPr="00E714C1" w14:paraId="428788D2" w14:textId="77777777" w:rsidTr="001E0D3D">
        <w:tc>
          <w:tcPr>
            <w:tcW w:w="1802" w:type="dxa"/>
            <w:vAlign w:val="center"/>
          </w:tcPr>
          <w:p w14:paraId="03A5FFA0" w14:textId="77777777" w:rsidR="00D9129E" w:rsidRPr="00D9129E" w:rsidRDefault="00D9129E" w:rsidP="00D9129E">
            <w:pPr>
              <w:jc w:val="both"/>
              <w:rPr>
                <w:rFonts w:cstheme="minorHAnsi"/>
                <w:bCs/>
                <w:noProof/>
                <w:sz w:val="20"/>
                <w:szCs w:val="20"/>
              </w:rPr>
            </w:pPr>
            <w:r w:rsidRPr="00CA0551">
              <w:rPr>
                <w:rFonts w:eastAsia="Times New Roman" w:cstheme="minorHAnsi"/>
                <w:b/>
                <w:bCs/>
                <w:sz w:val="20"/>
                <w:szCs w:val="20"/>
              </w:rPr>
              <w:t>Total SEP Budget</w:t>
            </w:r>
          </w:p>
        </w:tc>
        <w:tc>
          <w:tcPr>
            <w:tcW w:w="1802" w:type="dxa"/>
            <w:vAlign w:val="center"/>
          </w:tcPr>
          <w:p w14:paraId="124C5B3E"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w:t>
            </w:r>
          </w:p>
        </w:tc>
        <w:tc>
          <w:tcPr>
            <w:tcW w:w="1802" w:type="dxa"/>
            <w:vAlign w:val="center"/>
          </w:tcPr>
          <w:p w14:paraId="16552341"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w:t>
            </w:r>
          </w:p>
        </w:tc>
        <w:tc>
          <w:tcPr>
            <w:tcW w:w="1802" w:type="dxa"/>
            <w:vAlign w:val="center"/>
          </w:tcPr>
          <w:p w14:paraId="5B364443" w14:textId="77777777" w:rsidR="00D9129E" w:rsidRPr="00D9129E" w:rsidRDefault="00D9129E" w:rsidP="00D9129E">
            <w:pPr>
              <w:jc w:val="both"/>
              <w:rPr>
                <w:rFonts w:cstheme="minorHAnsi"/>
                <w:bCs/>
                <w:noProof/>
                <w:sz w:val="20"/>
                <w:szCs w:val="20"/>
              </w:rPr>
            </w:pPr>
            <w:r w:rsidRPr="00CA0551">
              <w:rPr>
                <w:rFonts w:eastAsia="Times New Roman" w:cstheme="minorHAnsi"/>
                <w:sz w:val="20"/>
                <w:szCs w:val="20"/>
              </w:rPr>
              <w:t>–</w:t>
            </w:r>
          </w:p>
        </w:tc>
        <w:tc>
          <w:tcPr>
            <w:tcW w:w="1802" w:type="dxa"/>
            <w:vAlign w:val="center"/>
          </w:tcPr>
          <w:p w14:paraId="4BE59B66" w14:textId="77777777" w:rsidR="00D9129E" w:rsidRPr="00D9129E" w:rsidRDefault="00D9129E" w:rsidP="00D9129E">
            <w:pPr>
              <w:jc w:val="both"/>
              <w:rPr>
                <w:rFonts w:cstheme="minorHAnsi"/>
                <w:bCs/>
                <w:noProof/>
                <w:sz w:val="20"/>
                <w:szCs w:val="20"/>
              </w:rPr>
            </w:pPr>
            <w:r w:rsidRPr="00CA0551">
              <w:rPr>
                <w:rFonts w:eastAsia="Times New Roman" w:cstheme="minorHAnsi"/>
                <w:b/>
                <w:bCs/>
                <w:sz w:val="20"/>
                <w:szCs w:val="20"/>
              </w:rPr>
              <w:t>495,000</w:t>
            </w:r>
          </w:p>
        </w:tc>
      </w:tr>
    </w:tbl>
    <w:p w14:paraId="6498C84A" w14:textId="77777777" w:rsidR="00E83D0D" w:rsidRPr="006C4557" w:rsidRDefault="00E83D0D" w:rsidP="00E83D0D">
      <w:pPr>
        <w:jc w:val="both"/>
        <w:rPr>
          <w:rFonts w:cstheme="minorHAnsi"/>
          <w:bCs/>
          <w:noProof/>
        </w:rPr>
      </w:pPr>
    </w:p>
    <w:p w14:paraId="54489D37" w14:textId="77777777" w:rsidR="00A27721" w:rsidRDefault="00A27721" w:rsidP="00D13834">
      <w:pPr>
        <w:jc w:val="both"/>
        <w:rPr>
          <w:b/>
        </w:rPr>
      </w:pPr>
    </w:p>
    <w:p w14:paraId="00C43B20" w14:textId="77777777" w:rsidR="00A27721" w:rsidRPr="007D0035" w:rsidRDefault="00A27721" w:rsidP="00D13834">
      <w:pPr>
        <w:jc w:val="both"/>
        <w:rPr>
          <w:b/>
          <w:color w:val="385623" w:themeColor="accent6" w:themeShade="80"/>
          <w:sz w:val="32"/>
          <w:szCs w:val="32"/>
          <w:lang w:val="hr-BA"/>
        </w:rPr>
      </w:pPr>
      <w:r w:rsidRPr="007D0035">
        <w:rPr>
          <w:b/>
          <w:color w:val="385623" w:themeColor="accent6" w:themeShade="80"/>
          <w:sz w:val="32"/>
          <w:szCs w:val="32"/>
          <w:lang w:val="hr-BA"/>
        </w:rPr>
        <w:t>VII. GRIEVANCE REDRESS MECHANISM (GRM)</w:t>
      </w:r>
    </w:p>
    <w:p w14:paraId="031CDC92" w14:textId="77777777" w:rsidR="001F64E3" w:rsidRDefault="001F64E3" w:rsidP="001F64E3">
      <w:pPr>
        <w:jc w:val="both"/>
      </w:pPr>
      <w:r>
        <w:t xml:space="preserve">The grievance mechanism seeks to resolve concerns promptly, using an understandable process that is culturally appropriate and readily accessible at no cost. </w:t>
      </w:r>
      <w:r w:rsidRPr="00526705">
        <w:t xml:space="preserve">Grievances can be submitted if someone believes the </w:t>
      </w:r>
      <w:r>
        <w:t>p</w:t>
      </w:r>
      <w:r w:rsidRPr="00526705">
        <w:t xml:space="preserve">roject is having a detrimental impact on the community, the environment, or on their quality of life. </w:t>
      </w:r>
      <w:r>
        <w:t>Stakeholders</w:t>
      </w:r>
      <w:r w:rsidRPr="00526705">
        <w:t xml:space="preserve"> may also submit comments and suggesti</w:t>
      </w:r>
      <w:r>
        <w:t>ons. </w:t>
      </w:r>
    </w:p>
    <w:p w14:paraId="05468B62" w14:textId="77777777" w:rsidR="001F64E3" w:rsidRDefault="001F64E3" w:rsidP="001F64E3">
      <w:pPr>
        <w:jc w:val="both"/>
      </w:pPr>
    </w:p>
    <w:p w14:paraId="7E5DF25E" w14:textId="77777777" w:rsidR="001F64E3" w:rsidRPr="002C6773" w:rsidRDefault="001F64E3" w:rsidP="001F64E3">
      <w:pPr>
        <w:jc w:val="both"/>
      </w:pPr>
      <w:r w:rsidRPr="001A4CFC">
        <w:t xml:space="preserve">The </w:t>
      </w:r>
      <w:r w:rsidR="0038279A" w:rsidRPr="0038279A">
        <w:t xml:space="preserve">GRM focal point at the PMU </w:t>
      </w:r>
      <w:r w:rsidR="00214331">
        <w:t xml:space="preserve">(likely one of the members of the PMU E&amp;S team) </w:t>
      </w:r>
      <w:r w:rsidRPr="001A4CFC">
        <w:t xml:space="preserve">will be responsible for </w:t>
      </w:r>
      <w:r>
        <w:t>overseeing that grievances are received and resolved</w:t>
      </w:r>
      <w:r w:rsidRPr="001A4CFC">
        <w:t xml:space="preserve"> in a fair, objective, and constructive manner all concerns or complaints raised by </w:t>
      </w:r>
      <w:r>
        <w:t>project stakeholders.</w:t>
      </w:r>
      <w:r w:rsidRPr="001A4CFC">
        <w:t xml:space="preserve"> </w:t>
      </w:r>
      <w:r w:rsidRPr="002C6773">
        <w:t>The key principles of the grievance mechanism are to ensure that:</w:t>
      </w:r>
    </w:p>
    <w:p w14:paraId="752807D0" w14:textId="77777777" w:rsidR="001F64E3" w:rsidRPr="00196668" w:rsidRDefault="001F64E3" w:rsidP="001F64E3">
      <w:pPr>
        <w:pStyle w:val="ListParagraph"/>
        <w:numPr>
          <w:ilvl w:val="0"/>
          <w:numId w:val="20"/>
        </w:numPr>
        <w:spacing w:after="0" w:line="240" w:lineRule="auto"/>
        <w:jc w:val="both"/>
        <w:rPr>
          <w:color w:val="000000" w:themeColor="text1"/>
        </w:rPr>
      </w:pPr>
      <w:r w:rsidRPr="00196668">
        <w:rPr>
          <w:color w:val="000000" w:themeColor="text1"/>
        </w:rPr>
        <w:t>The basic rights and interests of affected people</w:t>
      </w:r>
      <w:r w:rsidR="000B355F">
        <w:rPr>
          <w:color w:val="000000" w:themeColor="text1"/>
        </w:rPr>
        <w:t xml:space="preserve"> </w:t>
      </w:r>
      <w:r w:rsidRPr="00196668">
        <w:rPr>
          <w:color w:val="000000" w:themeColor="text1"/>
        </w:rPr>
        <w:t>are protected</w:t>
      </w:r>
      <w:r>
        <w:rPr>
          <w:color w:val="000000" w:themeColor="text1"/>
        </w:rPr>
        <w:t>;</w:t>
      </w:r>
    </w:p>
    <w:p w14:paraId="1BC0ADA0" w14:textId="77777777" w:rsidR="001F64E3" w:rsidRPr="00196668" w:rsidRDefault="001F64E3" w:rsidP="001F64E3">
      <w:pPr>
        <w:pStyle w:val="ListParagraph"/>
        <w:numPr>
          <w:ilvl w:val="0"/>
          <w:numId w:val="20"/>
        </w:numPr>
        <w:spacing w:after="0" w:line="240" w:lineRule="auto"/>
        <w:jc w:val="both"/>
        <w:rPr>
          <w:color w:val="000000" w:themeColor="text1"/>
        </w:rPr>
      </w:pPr>
      <w:r w:rsidRPr="00196668">
        <w:rPr>
          <w:color w:val="000000" w:themeColor="text1"/>
        </w:rPr>
        <w:t>The concerns of affected people, arising from the project implementation process are adequately addressed</w:t>
      </w:r>
      <w:r>
        <w:rPr>
          <w:color w:val="000000" w:themeColor="text1"/>
        </w:rPr>
        <w:t>;</w:t>
      </w:r>
    </w:p>
    <w:p w14:paraId="49D19EBA" w14:textId="77777777" w:rsidR="001F64E3" w:rsidRPr="00196668" w:rsidRDefault="001F64E3" w:rsidP="001F64E3">
      <w:pPr>
        <w:pStyle w:val="ListParagraph"/>
        <w:numPr>
          <w:ilvl w:val="0"/>
          <w:numId w:val="20"/>
        </w:numPr>
        <w:spacing w:after="0" w:line="240" w:lineRule="auto"/>
        <w:jc w:val="both"/>
        <w:rPr>
          <w:color w:val="000000" w:themeColor="text1"/>
        </w:rPr>
      </w:pPr>
      <w:r w:rsidRPr="00196668">
        <w:rPr>
          <w:color w:val="000000" w:themeColor="text1"/>
        </w:rPr>
        <w:t>Affected people</w:t>
      </w:r>
      <w:r w:rsidR="000B355F">
        <w:rPr>
          <w:color w:val="000000" w:themeColor="text1"/>
        </w:rPr>
        <w:t xml:space="preserve"> </w:t>
      </w:r>
      <w:r w:rsidRPr="00196668">
        <w:rPr>
          <w:color w:val="000000" w:themeColor="text1"/>
        </w:rPr>
        <w:t>are aware of their rights to access grievance procedures free of charge for the above purposes.</w:t>
      </w:r>
    </w:p>
    <w:p w14:paraId="09C329FA" w14:textId="77777777" w:rsidR="001F64E3" w:rsidRDefault="001F64E3" w:rsidP="001F64E3">
      <w:pPr>
        <w:jc w:val="both"/>
      </w:pPr>
    </w:p>
    <w:p w14:paraId="1F2E1E95" w14:textId="77777777" w:rsidR="001F64E3" w:rsidRDefault="001F64E3" w:rsidP="001F64E3">
      <w:pPr>
        <w:jc w:val="both"/>
        <w:rPr>
          <w:rFonts w:cstheme="minorHAnsi"/>
          <w:lang w:val="en-GB"/>
        </w:rPr>
      </w:pPr>
      <w:r w:rsidRPr="002C6773">
        <w:t xml:space="preserve">Based on the SEP, wherever possible, the project team shall seek to resolve complaints as soon as possible, and thus avoid </w:t>
      </w:r>
      <w:r>
        <w:t xml:space="preserve">the </w:t>
      </w:r>
      <w:r w:rsidRPr="002C6773">
        <w:t>escalation of issues.</w:t>
      </w:r>
      <w:r>
        <w:t xml:space="preserve"> </w:t>
      </w:r>
      <w:r w:rsidRPr="00CB1081">
        <w:rPr>
          <w:rFonts w:cstheme="minorHAnsi"/>
          <w:lang w:val="en-GB"/>
        </w:rPr>
        <w:t xml:space="preserve">The GRM shall not impede access to the country’s judicial or administrative remedies. </w:t>
      </w:r>
      <w:r>
        <w:rPr>
          <w:rFonts w:cstheme="minorHAnsi"/>
          <w:lang w:val="en-GB"/>
        </w:rPr>
        <w:t>Stakeholders</w:t>
      </w:r>
      <w:r w:rsidRPr="00CB1081">
        <w:rPr>
          <w:rFonts w:cstheme="minorHAnsi"/>
          <w:lang w:val="en-GB"/>
        </w:rPr>
        <w:t xml:space="preserve"> can approach a court of law at any time and independent of the project level grievance redress process. Along with the World Bank requirements </w:t>
      </w:r>
      <w:r>
        <w:rPr>
          <w:rFonts w:cstheme="minorHAnsi"/>
          <w:lang w:val="en-GB"/>
        </w:rPr>
        <w:t>based on ESS10</w:t>
      </w:r>
      <w:r w:rsidRPr="00CB1081">
        <w:rPr>
          <w:rFonts w:cstheme="minorHAnsi"/>
          <w:lang w:val="en-GB"/>
        </w:rPr>
        <w:t xml:space="preserve">, </w:t>
      </w:r>
      <w:r>
        <w:rPr>
          <w:rFonts w:cstheme="minorHAnsi"/>
          <w:lang w:val="en-GB"/>
        </w:rPr>
        <w:t xml:space="preserve">the GRM will be in line with </w:t>
      </w:r>
      <w:r w:rsidRPr="00CB1081">
        <w:rPr>
          <w:rFonts w:cstheme="minorHAnsi"/>
          <w:lang w:val="en-GB"/>
        </w:rPr>
        <w:t xml:space="preserve">the </w:t>
      </w:r>
      <w:r w:rsidR="00B1283F">
        <w:rPr>
          <w:rFonts w:cstheme="minorHAnsi"/>
          <w:lang w:val="en-GB"/>
        </w:rPr>
        <w:t>Montenegro legislation on grievance management</w:t>
      </w:r>
      <w:r w:rsidRPr="00CB1081">
        <w:rPr>
          <w:rFonts w:cstheme="minorHAnsi"/>
          <w:lang w:val="en-GB"/>
        </w:rPr>
        <w:t xml:space="preserve">. </w:t>
      </w:r>
    </w:p>
    <w:p w14:paraId="47580DE6" w14:textId="77777777" w:rsidR="001F64E3" w:rsidRDefault="001F64E3" w:rsidP="001F64E3">
      <w:pPr>
        <w:jc w:val="both"/>
        <w:rPr>
          <w:rFonts w:cstheme="minorHAnsi"/>
          <w:lang w:val="en-GB"/>
        </w:rPr>
      </w:pPr>
      <w:r>
        <w:rPr>
          <w:rFonts w:cstheme="minorHAnsi"/>
          <w:lang w:val="en-GB"/>
        </w:rPr>
        <w:t>The</w:t>
      </w:r>
      <w:r w:rsidRPr="00CB1081">
        <w:rPr>
          <w:rFonts w:cstheme="minorHAnsi"/>
          <w:lang w:val="en-GB"/>
        </w:rPr>
        <w:t xml:space="preserve"> </w:t>
      </w:r>
      <w:r w:rsidR="00B1283F">
        <w:t xml:space="preserve">Ministry of Agriculture, Forestry and Water Management </w:t>
      </w:r>
      <w:r w:rsidRPr="00B1283F">
        <w:t xml:space="preserve">shall establish the GRM. The </w:t>
      </w:r>
      <w:r w:rsidR="00B1283F" w:rsidRPr="00B1283F">
        <w:t>project’s PMU</w:t>
      </w:r>
      <w:r w:rsidRPr="00B1283F">
        <w:t xml:space="preserve"> shall appoint</w:t>
      </w:r>
      <w:r w:rsidRPr="00CB1081">
        <w:rPr>
          <w:rFonts w:cstheme="minorHAnsi"/>
          <w:lang w:val="en-GB"/>
        </w:rPr>
        <w:t xml:space="preserve"> a GRM focal point to collaborate with local authorities</w:t>
      </w:r>
      <w:r w:rsidR="00B1283F">
        <w:rPr>
          <w:rFonts w:cstheme="minorHAnsi"/>
          <w:lang w:val="en-GB"/>
        </w:rPr>
        <w:t xml:space="preserve"> or other relevant parties</w:t>
      </w:r>
      <w:r w:rsidRPr="00CB1081">
        <w:rPr>
          <w:rFonts w:cstheme="minorHAnsi"/>
          <w:lang w:val="en-GB"/>
        </w:rPr>
        <w:t xml:space="preserve"> in handling </w:t>
      </w:r>
      <w:r>
        <w:rPr>
          <w:rFonts w:cstheme="minorHAnsi"/>
          <w:lang w:val="en-GB"/>
        </w:rPr>
        <w:t>project-related</w:t>
      </w:r>
      <w:r w:rsidRPr="00CB1081">
        <w:rPr>
          <w:rFonts w:cstheme="minorHAnsi"/>
          <w:lang w:val="en-GB"/>
        </w:rPr>
        <w:t xml:space="preserve"> grievances. The design of the GRM shall take into consideration the views of affected </w:t>
      </w:r>
      <w:r>
        <w:rPr>
          <w:rFonts w:cstheme="minorHAnsi"/>
          <w:lang w:val="en-GB"/>
        </w:rPr>
        <w:t>stakeholders and what is considered an accessible mechanism</w:t>
      </w:r>
      <w:r w:rsidRPr="00CB1081">
        <w:rPr>
          <w:rFonts w:cstheme="minorHAnsi"/>
          <w:lang w:val="en-GB"/>
        </w:rPr>
        <w:t xml:space="preserve">. The </w:t>
      </w:r>
      <w:r w:rsidR="00B1283F">
        <w:t>Ministry of Agriculture, Forestry and Water Management</w:t>
      </w:r>
      <w:r w:rsidRPr="00CB1081">
        <w:rPr>
          <w:rFonts w:cstheme="minorHAnsi"/>
          <w:lang w:val="en-GB"/>
        </w:rPr>
        <w:t xml:space="preserve"> shall be required to disclose and explain to </w:t>
      </w:r>
      <w:r>
        <w:rPr>
          <w:rFonts w:cstheme="minorHAnsi"/>
          <w:lang w:val="en-GB"/>
        </w:rPr>
        <w:t>all</w:t>
      </w:r>
      <w:r w:rsidRPr="00CB1081">
        <w:rPr>
          <w:rFonts w:cstheme="minorHAnsi"/>
          <w:lang w:val="en-GB"/>
        </w:rPr>
        <w:t xml:space="preserve"> stakeholders</w:t>
      </w:r>
      <w:r>
        <w:rPr>
          <w:rFonts w:cstheme="minorHAnsi"/>
          <w:lang w:val="en-GB"/>
        </w:rPr>
        <w:t xml:space="preserve">, in particular affected stakeholders and vulnerable and disadvantages ones, </w:t>
      </w:r>
      <w:r w:rsidRPr="00CB1081">
        <w:rPr>
          <w:rFonts w:cstheme="minorHAnsi"/>
          <w:lang w:val="en-GB"/>
        </w:rPr>
        <w:t xml:space="preserve">the procedure for complaints </w:t>
      </w:r>
      <w:r w:rsidRPr="00CB1081">
        <w:rPr>
          <w:rFonts w:cstheme="minorHAnsi"/>
          <w:lang w:val="en-GB"/>
        </w:rPr>
        <w:lastRenderedPageBreak/>
        <w:t>filing as early as possible and on a regular basis throughout the project cycle. The grievance mechanism shall be available at no cost, and it is important that it be easily accessible, with special attention paid to accessibility for disadvantaged and vulnerable individuals or groups.</w:t>
      </w:r>
    </w:p>
    <w:p w14:paraId="181A0D3E" w14:textId="77777777" w:rsidR="001F64E3" w:rsidRDefault="001F64E3" w:rsidP="001F64E3">
      <w:pPr>
        <w:jc w:val="both"/>
        <w:rPr>
          <w:rFonts w:cstheme="minorHAnsi"/>
          <w:lang w:val="en-GB"/>
        </w:rPr>
      </w:pPr>
      <w:r w:rsidRPr="00CB1081">
        <w:rPr>
          <w:rFonts w:cstheme="minorHAnsi"/>
          <w:lang w:val="en-GB"/>
        </w:rPr>
        <w:t xml:space="preserve">The </w:t>
      </w:r>
      <w:r w:rsidR="00B1283F">
        <w:t xml:space="preserve">Ministry of Agriculture, Forestry and Water Management </w:t>
      </w:r>
      <w:r w:rsidRPr="00CB1081">
        <w:rPr>
          <w:rFonts w:cstheme="minorHAnsi"/>
          <w:lang w:val="en-GB"/>
        </w:rPr>
        <w:t>will ensure that grievance</w:t>
      </w:r>
      <w:r>
        <w:rPr>
          <w:rFonts w:cstheme="minorHAnsi"/>
          <w:lang w:val="en-GB"/>
        </w:rPr>
        <w:t xml:space="preserve">s are </w:t>
      </w:r>
      <w:r w:rsidRPr="00CB1081">
        <w:rPr>
          <w:rFonts w:cstheme="minorHAnsi"/>
          <w:lang w:val="en-GB"/>
        </w:rPr>
        <w:t>registered</w:t>
      </w:r>
      <w:r>
        <w:rPr>
          <w:rFonts w:cstheme="minorHAnsi"/>
          <w:lang w:val="en-GB"/>
        </w:rPr>
        <w:t xml:space="preserve">, </w:t>
      </w:r>
      <w:r w:rsidRPr="00CB1081">
        <w:rPr>
          <w:rFonts w:cstheme="minorHAnsi"/>
          <w:lang w:val="en-GB"/>
        </w:rPr>
        <w:t>tracked, and resol</w:t>
      </w:r>
      <w:r>
        <w:rPr>
          <w:rFonts w:cstheme="minorHAnsi"/>
          <w:lang w:val="en-GB"/>
        </w:rPr>
        <w:t>ved in line with stipulated timeframes</w:t>
      </w:r>
      <w:r w:rsidRPr="00CB1081">
        <w:rPr>
          <w:rFonts w:cstheme="minorHAnsi"/>
          <w:lang w:val="en-GB"/>
        </w:rPr>
        <w:t xml:space="preserve">. </w:t>
      </w:r>
    </w:p>
    <w:p w14:paraId="3A7AD173" w14:textId="77777777" w:rsidR="001F64E3" w:rsidRDefault="001F64E3" w:rsidP="001F64E3">
      <w:pPr>
        <w:jc w:val="both"/>
        <w:rPr>
          <w:rFonts w:cstheme="minorHAnsi"/>
          <w:lang w:val="en-GB"/>
        </w:rPr>
      </w:pPr>
      <w:r w:rsidRPr="00CB1081">
        <w:rPr>
          <w:rFonts w:cstheme="minorHAnsi"/>
          <w:lang w:val="en-GB"/>
        </w:rPr>
        <w:t xml:space="preserve">The </w:t>
      </w:r>
      <w:r w:rsidR="00B1283F" w:rsidRPr="0038279A">
        <w:t xml:space="preserve">GRM focal point </w:t>
      </w:r>
      <w:r w:rsidRPr="00CB1081">
        <w:rPr>
          <w:rFonts w:cstheme="minorHAnsi"/>
          <w:lang w:val="en-GB"/>
        </w:rPr>
        <w:t>will</w:t>
      </w:r>
      <w:r>
        <w:rPr>
          <w:rFonts w:cstheme="minorHAnsi"/>
          <w:lang w:val="en-GB"/>
        </w:rPr>
        <w:t xml:space="preserve"> be responsible for:</w:t>
      </w:r>
    </w:p>
    <w:p w14:paraId="14C1FF06" w14:textId="77777777" w:rsidR="001F64E3" w:rsidRPr="001A4CFC" w:rsidRDefault="001F64E3" w:rsidP="001F64E3">
      <w:pPr>
        <w:pStyle w:val="ListParagraph"/>
        <w:numPr>
          <w:ilvl w:val="0"/>
          <w:numId w:val="21"/>
        </w:numPr>
        <w:spacing w:after="0" w:line="240" w:lineRule="auto"/>
      </w:pPr>
      <w:r w:rsidRPr="001A4CFC">
        <w:t>Developing a</w:t>
      </w:r>
      <w:r>
        <w:t>n</w:t>
      </w:r>
      <w:r w:rsidRPr="001A4CFC">
        <w:t>d publicizing the grievance management procedures</w:t>
      </w:r>
      <w:r>
        <w:t>;</w:t>
      </w:r>
      <w:r w:rsidRPr="001A4CFC">
        <w:t xml:space="preserve"> </w:t>
      </w:r>
    </w:p>
    <w:p w14:paraId="71613F46" w14:textId="77777777" w:rsidR="001F64E3" w:rsidRPr="001A4CFC" w:rsidRDefault="001F64E3" w:rsidP="001F64E3">
      <w:pPr>
        <w:pStyle w:val="ListParagraph"/>
        <w:numPr>
          <w:ilvl w:val="0"/>
          <w:numId w:val="21"/>
        </w:numPr>
        <w:spacing w:after="0" w:line="240" w:lineRule="auto"/>
      </w:pPr>
      <w:r>
        <w:t>As applicable, r</w:t>
      </w:r>
      <w:r w:rsidRPr="001A4CFC">
        <w:t xml:space="preserve">eceiving, reviewing and keeping track of </w:t>
      </w:r>
      <w:proofErr w:type="gramStart"/>
      <w:r w:rsidRPr="001A4CFC">
        <w:t>grievances</w:t>
      </w:r>
      <w:r>
        <w:t>;</w:t>
      </w:r>
      <w:proofErr w:type="gramEnd"/>
      <w:r w:rsidRPr="001A4CFC">
        <w:t xml:space="preserve"> </w:t>
      </w:r>
    </w:p>
    <w:p w14:paraId="3AC5662D" w14:textId="77777777" w:rsidR="001F64E3" w:rsidRDefault="001F64E3" w:rsidP="001F64E3">
      <w:pPr>
        <w:pStyle w:val="ListParagraph"/>
        <w:numPr>
          <w:ilvl w:val="0"/>
          <w:numId w:val="21"/>
        </w:numPr>
        <w:spacing w:after="0" w:line="240" w:lineRule="auto"/>
      </w:pPr>
      <w:r>
        <w:t>Ensuring grievances are settled within agreed time periods.</w:t>
      </w:r>
    </w:p>
    <w:p w14:paraId="41EDAF07" w14:textId="77777777" w:rsidR="001F64E3" w:rsidRDefault="001F64E3" w:rsidP="001F64E3">
      <w:pPr>
        <w:jc w:val="both"/>
      </w:pPr>
    </w:p>
    <w:p w14:paraId="566081D9" w14:textId="77777777" w:rsidR="001F64E3" w:rsidRDefault="001F64E3" w:rsidP="001F64E3">
      <w:pPr>
        <w:jc w:val="both"/>
      </w:pPr>
      <w:r>
        <w:t>Stakeholders will be consulted about the GRM during the stakeholder engagement process to ensure its accessibility and adequacy. A separate GRM is available for project workers, and detailed in the project’s Labor Management Procedures (LMP)</w:t>
      </w:r>
      <w:r w:rsidRPr="00023967">
        <w:rPr>
          <w:color w:val="000000" w:themeColor="text1"/>
        </w:rPr>
        <w:t>.</w:t>
      </w:r>
      <w:r>
        <w:t xml:space="preserve"> All information about grievance procedures, grievance forms and responses will be available in </w:t>
      </w:r>
      <w:r w:rsidR="00B1283F">
        <w:t>local language</w:t>
      </w:r>
      <w:r>
        <w:t xml:space="preserve"> and English. </w:t>
      </w:r>
    </w:p>
    <w:p w14:paraId="4F6247A9" w14:textId="77777777" w:rsidR="001F64E3" w:rsidRDefault="001F64E3" w:rsidP="001F64E3">
      <w:pPr>
        <w:jc w:val="both"/>
      </w:pPr>
    </w:p>
    <w:p w14:paraId="0863F278" w14:textId="77777777" w:rsidR="001F64E3" w:rsidRDefault="001F64E3" w:rsidP="0038279A">
      <w:pPr>
        <w:pStyle w:val="Heading2"/>
        <w:numPr>
          <w:ilvl w:val="1"/>
          <w:numId w:val="29"/>
        </w:numPr>
      </w:pPr>
      <w:r>
        <w:t>Grievance Procedures</w:t>
      </w:r>
    </w:p>
    <w:p w14:paraId="7D59916C" w14:textId="77777777" w:rsidR="00D526BB" w:rsidRDefault="00D526BB" w:rsidP="00CC7B14">
      <w:pPr>
        <w:jc w:val="both"/>
      </w:pPr>
      <w:r>
        <w:t>Each World Bank project in Montenegro is required to establish a GRM with the following components:</w:t>
      </w:r>
    </w:p>
    <w:p w14:paraId="702CE666" w14:textId="77777777" w:rsidR="00D526BB" w:rsidRPr="00CC7B14" w:rsidRDefault="00D526BB" w:rsidP="00CC7B14">
      <w:pPr>
        <w:jc w:val="both"/>
        <w:rPr>
          <w:u w:val="single"/>
        </w:rPr>
      </w:pPr>
      <w:r w:rsidRPr="00CC7B14">
        <w:rPr>
          <w:u w:val="single"/>
        </w:rPr>
        <w:t xml:space="preserve">a) Clear point of contact for grievances (local GRM </w:t>
      </w:r>
      <w:r w:rsidR="00CC7B14">
        <w:rPr>
          <w:u w:val="single"/>
        </w:rPr>
        <w:t>focal point</w:t>
      </w:r>
      <w:r w:rsidRPr="00CC7B14">
        <w:rPr>
          <w:u w:val="single"/>
        </w:rPr>
        <w:t>):</w:t>
      </w:r>
    </w:p>
    <w:p w14:paraId="058FD52A" w14:textId="77777777" w:rsidR="00D526BB" w:rsidRDefault="00D526BB" w:rsidP="00CC7B14">
      <w:pPr>
        <w:jc w:val="both"/>
      </w:pPr>
      <w:r>
        <w:t>Often an email address, telephone number, or local office.</w:t>
      </w:r>
    </w:p>
    <w:p w14:paraId="79F15457" w14:textId="77777777" w:rsidR="00D526BB" w:rsidRDefault="00D526BB" w:rsidP="00CC7B14">
      <w:pPr>
        <w:jc w:val="both"/>
      </w:pPr>
      <w:r>
        <w:t>Must be accessible to all affected stakeholders.</w:t>
      </w:r>
    </w:p>
    <w:p w14:paraId="3A3D94A0" w14:textId="77777777" w:rsidR="00D526BB" w:rsidRPr="000F2907" w:rsidRDefault="00D526BB" w:rsidP="00CC7B14">
      <w:pPr>
        <w:jc w:val="both"/>
        <w:rPr>
          <w:u w:val="single"/>
        </w:rPr>
      </w:pPr>
      <w:r w:rsidRPr="000F2907">
        <w:rPr>
          <w:u w:val="single"/>
        </w:rPr>
        <w:t>b) Filing a grievance:</w:t>
      </w:r>
    </w:p>
    <w:p w14:paraId="677BA440" w14:textId="77777777" w:rsidR="00D526BB" w:rsidRDefault="00D526BB" w:rsidP="00CC7B14">
      <w:pPr>
        <w:jc w:val="both"/>
      </w:pPr>
      <w:r>
        <w:t>Grievances can be submitted verbally, in writing, or electronically.</w:t>
      </w:r>
    </w:p>
    <w:p w14:paraId="0D591B32" w14:textId="77777777" w:rsidR="00D526BB" w:rsidRDefault="00D526BB" w:rsidP="00CC7B14">
      <w:pPr>
        <w:jc w:val="both"/>
      </w:pPr>
      <w:r>
        <w:t>Anonymous submissions are allowed but may be limited in processing.</w:t>
      </w:r>
    </w:p>
    <w:p w14:paraId="2E750EE1" w14:textId="77777777" w:rsidR="00D526BB" w:rsidRPr="000F2907" w:rsidRDefault="00D526BB" w:rsidP="00CC7B14">
      <w:pPr>
        <w:jc w:val="both"/>
        <w:rPr>
          <w:u w:val="single"/>
        </w:rPr>
      </w:pPr>
      <w:r w:rsidRPr="000F2907">
        <w:rPr>
          <w:u w:val="single"/>
        </w:rPr>
        <w:t>c) Registration and logging:</w:t>
      </w:r>
    </w:p>
    <w:p w14:paraId="5BC88CAD" w14:textId="77777777" w:rsidR="00D526BB" w:rsidRDefault="00D526BB" w:rsidP="00CC7B14">
      <w:pPr>
        <w:jc w:val="both"/>
      </w:pPr>
      <w:r>
        <w:t>Every complaint is recorded in a grievance log, including the date, description, and status.</w:t>
      </w:r>
    </w:p>
    <w:p w14:paraId="37C9B8DE" w14:textId="77777777" w:rsidR="00D526BB" w:rsidRPr="000F2907" w:rsidRDefault="00D526BB" w:rsidP="00CC7B14">
      <w:pPr>
        <w:jc w:val="both"/>
        <w:rPr>
          <w:u w:val="single"/>
        </w:rPr>
      </w:pPr>
      <w:r w:rsidRPr="000F2907">
        <w:rPr>
          <w:u w:val="single"/>
        </w:rPr>
        <w:t>d) Review and response:</w:t>
      </w:r>
    </w:p>
    <w:p w14:paraId="50C5E554" w14:textId="77777777" w:rsidR="00D526BB" w:rsidRDefault="00D526BB" w:rsidP="00CC7B14">
      <w:pPr>
        <w:jc w:val="both"/>
      </w:pPr>
      <w:r>
        <w:t>Standard response time is typically 10–30 days.</w:t>
      </w:r>
    </w:p>
    <w:p w14:paraId="52FBA8B2" w14:textId="77777777" w:rsidR="00D526BB" w:rsidRDefault="00D526BB" w:rsidP="00CC7B14">
      <w:pPr>
        <w:jc w:val="both"/>
      </w:pPr>
      <w:r>
        <w:t>The GRM team or project implementation unit investigates and proposes solutions.</w:t>
      </w:r>
    </w:p>
    <w:p w14:paraId="1B83A50F" w14:textId="77777777" w:rsidR="00D526BB" w:rsidRPr="00CC7B14" w:rsidRDefault="00D526BB" w:rsidP="00CC7B14">
      <w:pPr>
        <w:jc w:val="both"/>
        <w:rPr>
          <w:u w:val="single"/>
        </w:rPr>
      </w:pPr>
      <w:r w:rsidRPr="00CC7B14">
        <w:rPr>
          <w:u w:val="single"/>
        </w:rPr>
        <w:t>e) Escalation and appeal:</w:t>
      </w:r>
    </w:p>
    <w:p w14:paraId="245FF59C" w14:textId="77777777" w:rsidR="00D526BB" w:rsidRDefault="00D526BB" w:rsidP="00CC7B14">
      <w:pPr>
        <w:jc w:val="both"/>
      </w:pPr>
      <w:r>
        <w:t>If the complainant is dissatisfied, they may escalate the issue to a higher-level institution (e.g., ministry</w:t>
      </w:r>
      <w:r w:rsidR="00CC7B14">
        <w:t>, court</w:t>
      </w:r>
      <w:r>
        <w:t>).</w:t>
      </w:r>
    </w:p>
    <w:p w14:paraId="105E2E40" w14:textId="77777777" w:rsidR="001F64E3" w:rsidRDefault="001F64E3" w:rsidP="001F64E3">
      <w:pPr>
        <w:jc w:val="both"/>
        <w:rPr>
          <w:rFonts w:eastAsia="MS Mincho" w:cstheme="minorHAnsi"/>
        </w:rPr>
      </w:pPr>
    </w:p>
    <w:p w14:paraId="08211928" w14:textId="77777777" w:rsidR="001F64E3" w:rsidRPr="000F2907" w:rsidRDefault="000F2907" w:rsidP="000F2907">
      <w:pPr>
        <w:jc w:val="both"/>
        <w:rPr>
          <w:b/>
          <w:color w:val="385623" w:themeColor="accent6" w:themeShade="80"/>
          <w:sz w:val="32"/>
          <w:szCs w:val="32"/>
          <w:lang w:val="hr-BA"/>
        </w:rPr>
      </w:pPr>
      <w:r>
        <w:rPr>
          <w:b/>
          <w:color w:val="385623" w:themeColor="accent6" w:themeShade="80"/>
          <w:sz w:val="32"/>
          <w:szCs w:val="32"/>
          <w:lang w:val="hr-BA"/>
        </w:rPr>
        <w:t xml:space="preserve">VIII. </w:t>
      </w:r>
      <w:r w:rsidR="001F64E3" w:rsidRPr="000F2907">
        <w:rPr>
          <w:b/>
          <w:color w:val="385623" w:themeColor="accent6" w:themeShade="80"/>
          <w:sz w:val="32"/>
          <w:szCs w:val="32"/>
          <w:lang w:val="hr-BA"/>
        </w:rPr>
        <w:t>MONITORING AND REPORTING</w:t>
      </w:r>
    </w:p>
    <w:p w14:paraId="78CEC714" w14:textId="77777777" w:rsidR="0017059B" w:rsidRDefault="0017059B" w:rsidP="0017059B">
      <w:pPr>
        <w:jc w:val="both"/>
        <w:rPr>
          <w:rFonts w:cstheme="minorHAnsi"/>
          <w:color w:val="000000"/>
          <w:lang w:val="hr-BA"/>
        </w:rPr>
      </w:pPr>
    </w:p>
    <w:p w14:paraId="2FB84945" w14:textId="77777777" w:rsidR="0017059B" w:rsidRDefault="0017059B" w:rsidP="0017059B">
      <w:pPr>
        <w:jc w:val="both"/>
        <w:rPr>
          <w:rFonts w:cstheme="minorHAnsi"/>
          <w:color w:val="000000"/>
          <w:lang w:val="en-GB"/>
        </w:rPr>
      </w:pPr>
      <w:r w:rsidRPr="007222BE">
        <w:rPr>
          <w:rFonts w:cstheme="minorHAnsi"/>
          <w:color w:val="000000"/>
          <w:lang w:val="en-GB"/>
        </w:rPr>
        <w:t>Th</w:t>
      </w:r>
      <w:r>
        <w:rPr>
          <w:rFonts w:cstheme="minorHAnsi"/>
          <w:color w:val="000000"/>
          <w:lang w:val="en-GB"/>
        </w:rPr>
        <w:t>e</w:t>
      </w:r>
      <w:r w:rsidRPr="007222BE">
        <w:rPr>
          <w:rFonts w:cstheme="minorHAnsi"/>
          <w:color w:val="000000"/>
          <w:lang w:val="en-GB"/>
        </w:rPr>
        <w:t xml:space="preserve"> SEP will be periodically revised and updated as necessary </w:t>
      </w:r>
      <w:proofErr w:type="gramStart"/>
      <w:r w:rsidRPr="007222BE">
        <w:rPr>
          <w:rFonts w:cstheme="minorHAnsi"/>
          <w:color w:val="000000"/>
          <w:lang w:val="en-GB"/>
        </w:rPr>
        <w:t>in the course of</w:t>
      </w:r>
      <w:proofErr w:type="gramEnd"/>
      <w:r w:rsidRPr="007222BE">
        <w:rPr>
          <w:rFonts w:cstheme="minorHAnsi"/>
          <w:color w:val="000000"/>
          <w:lang w:val="en-GB"/>
        </w:rPr>
        <w:t xml:space="preserve"> </w:t>
      </w:r>
      <w:r>
        <w:rPr>
          <w:rFonts w:cstheme="minorHAnsi"/>
          <w:color w:val="000000"/>
          <w:lang w:val="en-GB"/>
        </w:rPr>
        <w:t xml:space="preserve">the project </w:t>
      </w:r>
      <w:proofErr w:type="gramStart"/>
      <w:r w:rsidRPr="007222BE">
        <w:rPr>
          <w:rFonts w:cstheme="minorHAnsi"/>
          <w:color w:val="000000"/>
          <w:lang w:val="en-GB"/>
        </w:rPr>
        <w:t>in order to</w:t>
      </w:r>
      <w:proofErr w:type="gramEnd"/>
      <w:r w:rsidRPr="007222BE">
        <w:rPr>
          <w:rFonts w:cstheme="minorHAnsi"/>
          <w:color w:val="000000"/>
          <w:lang w:val="en-GB"/>
        </w:rPr>
        <w:t xml:space="preserve"> ensure that the information presented is consistent</w:t>
      </w:r>
      <w:r>
        <w:rPr>
          <w:rFonts w:cstheme="minorHAnsi"/>
          <w:color w:val="000000"/>
          <w:lang w:val="en-GB"/>
        </w:rPr>
        <w:t>, up to date</w:t>
      </w:r>
      <w:r w:rsidRPr="007222BE">
        <w:rPr>
          <w:rFonts w:cstheme="minorHAnsi"/>
          <w:color w:val="000000"/>
          <w:lang w:val="en-GB"/>
        </w:rPr>
        <w:t xml:space="preserve">, and that the identified methods of engagement remain appropriate and effective in relation to the project context and specific phases of </w:t>
      </w:r>
      <w:r>
        <w:rPr>
          <w:rFonts w:cstheme="minorHAnsi"/>
          <w:color w:val="000000"/>
          <w:lang w:val="en-GB"/>
        </w:rPr>
        <w:t>project</w:t>
      </w:r>
      <w:r w:rsidRPr="007222BE">
        <w:rPr>
          <w:rFonts w:cstheme="minorHAnsi"/>
          <w:color w:val="000000"/>
          <w:lang w:val="en-GB"/>
        </w:rPr>
        <w:t xml:space="preserve"> development. Any major changes to project related activities and its schedule will be duly reflected in the SEP. </w:t>
      </w:r>
    </w:p>
    <w:p w14:paraId="4BDFB169" w14:textId="77777777" w:rsidR="0017059B" w:rsidRPr="00C97F57" w:rsidRDefault="0017059B" w:rsidP="0017059B">
      <w:pPr>
        <w:jc w:val="both"/>
        <w:rPr>
          <w:rFonts w:cstheme="minorHAnsi"/>
          <w:color w:val="000000"/>
          <w:lang w:val="en-GB"/>
        </w:rPr>
      </w:pPr>
      <w:r w:rsidRPr="00C97F57">
        <w:rPr>
          <w:rFonts w:cstheme="minorHAnsi"/>
          <w:color w:val="000000"/>
          <w:lang w:val="en-GB"/>
        </w:rPr>
        <w:t>The objective of Internal Monitoring relating to the SEP is to oversee its implementation to ensure targeted consultations and disclosure activities are taking place. Internal Monitoring will be led by the G</w:t>
      </w:r>
      <w:r>
        <w:rPr>
          <w:rFonts w:cstheme="minorHAnsi"/>
          <w:color w:val="000000"/>
          <w:lang w:val="en-GB"/>
        </w:rPr>
        <w:t>RM</w:t>
      </w:r>
      <w:r w:rsidRPr="0017059B">
        <w:rPr>
          <w:rFonts w:cstheme="minorHAnsi"/>
          <w:color w:val="000000"/>
          <w:lang w:val="en-GB"/>
        </w:rPr>
        <w:t xml:space="preserve"> Focal Point</w:t>
      </w:r>
      <w:r w:rsidRPr="00C97F57">
        <w:rPr>
          <w:rFonts w:cstheme="minorHAnsi"/>
          <w:color w:val="000000"/>
          <w:lang w:val="en-GB"/>
        </w:rPr>
        <w:t xml:space="preserve">, under the overall guidance of the PMU Director. Internal Monitoring will consist of </w:t>
      </w:r>
      <w:r w:rsidRPr="0017059B">
        <w:rPr>
          <w:rFonts w:cstheme="minorHAnsi"/>
          <w:color w:val="000000"/>
          <w:lang w:val="en-GB"/>
        </w:rPr>
        <w:t>quarterl</w:t>
      </w:r>
      <w:r>
        <w:rPr>
          <w:rFonts w:cstheme="minorHAnsi"/>
          <w:color w:val="000000"/>
          <w:lang w:val="en-GB"/>
        </w:rPr>
        <w:t>y</w:t>
      </w:r>
      <w:r w:rsidRPr="00C97F57">
        <w:rPr>
          <w:rFonts w:cstheme="minorHAnsi"/>
          <w:color w:val="000000"/>
          <w:lang w:val="en-GB"/>
        </w:rPr>
        <w:t xml:space="preserve"> reports during the implementation of the project, part of overall project monitoring. </w:t>
      </w:r>
    </w:p>
    <w:p w14:paraId="5FA5DEB6" w14:textId="77777777" w:rsidR="00BD6108" w:rsidRDefault="00BD6108" w:rsidP="00BD6108">
      <w:pPr>
        <w:jc w:val="both"/>
      </w:pPr>
      <w:r>
        <w:t>Monitoring SEP implementation should focus on:</w:t>
      </w:r>
    </w:p>
    <w:p w14:paraId="795DD696" w14:textId="77777777" w:rsidR="00BD6108" w:rsidRPr="00C94132" w:rsidRDefault="00BD6108" w:rsidP="00BD6108">
      <w:pPr>
        <w:pStyle w:val="ListParagraph"/>
        <w:numPr>
          <w:ilvl w:val="0"/>
          <w:numId w:val="25"/>
        </w:numPr>
        <w:spacing w:after="0" w:line="240" w:lineRule="auto"/>
        <w:jc w:val="both"/>
      </w:pPr>
      <w:r w:rsidRPr="009F542C">
        <w:rPr>
          <w:rFonts w:cs="Arial"/>
        </w:rPr>
        <w:t>Level of understanding of the project</w:t>
      </w:r>
      <w:r>
        <w:rPr>
          <w:rFonts w:cs="Arial"/>
        </w:rPr>
        <w:t>;</w:t>
      </w:r>
    </w:p>
    <w:p w14:paraId="1FFE3CF8" w14:textId="77777777" w:rsidR="00BD6108" w:rsidRPr="00A0253E" w:rsidRDefault="00BD6108" w:rsidP="00BD6108">
      <w:pPr>
        <w:pStyle w:val="ListParagraph"/>
        <w:numPr>
          <w:ilvl w:val="0"/>
          <w:numId w:val="25"/>
        </w:numPr>
        <w:spacing w:after="0" w:line="240" w:lineRule="auto"/>
        <w:jc w:val="both"/>
      </w:pPr>
      <w:r w:rsidRPr="009F542C">
        <w:rPr>
          <w:rFonts w:cs="Arial"/>
        </w:rPr>
        <w:t>Community feedback incorporated into project design and planning;</w:t>
      </w:r>
    </w:p>
    <w:p w14:paraId="7775AEF6" w14:textId="77777777" w:rsidR="00BD6108" w:rsidRPr="00C94132" w:rsidRDefault="00BD6108" w:rsidP="00BD6108">
      <w:pPr>
        <w:pStyle w:val="ListParagraph"/>
        <w:numPr>
          <w:ilvl w:val="0"/>
          <w:numId w:val="25"/>
        </w:numPr>
        <w:spacing w:after="0" w:line="240" w:lineRule="auto"/>
        <w:jc w:val="both"/>
      </w:pPr>
      <w:r>
        <w:t>Knowledge by stakeholders of project documents, including the GRM and impact/mitigation plans;</w:t>
      </w:r>
    </w:p>
    <w:p w14:paraId="78C60E65" w14:textId="77777777" w:rsidR="00BD6108" w:rsidRPr="00BC4071" w:rsidRDefault="00BD6108" w:rsidP="00BD6108">
      <w:pPr>
        <w:pStyle w:val="ListParagraph"/>
        <w:numPr>
          <w:ilvl w:val="0"/>
          <w:numId w:val="25"/>
        </w:numPr>
        <w:spacing w:after="0" w:line="240" w:lineRule="auto"/>
        <w:jc w:val="both"/>
      </w:pPr>
      <w:r>
        <w:rPr>
          <w:rFonts w:cs="Arial"/>
        </w:rPr>
        <w:t>Implementation of disclosure and consultation activities as per the SEP;</w:t>
      </w:r>
    </w:p>
    <w:p w14:paraId="612342C8" w14:textId="77777777" w:rsidR="00BD6108" w:rsidRPr="00A4344B" w:rsidRDefault="00BD6108" w:rsidP="00BD6108">
      <w:pPr>
        <w:pStyle w:val="ListParagraph"/>
        <w:numPr>
          <w:ilvl w:val="0"/>
          <w:numId w:val="25"/>
        </w:numPr>
        <w:spacing w:after="0" w:line="240" w:lineRule="auto"/>
        <w:jc w:val="both"/>
      </w:pPr>
      <w:r w:rsidRPr="009F542C">
        <w:rPr>
          <w:rFonts w:cs="Arial"/>
        </w:rPr>
        <w:t>Main grievances and efficacy of GRM;</w:t>
      </w:r>
    </w:p>
    <w:p w14:paraId="20C5E9DF" w14:textId="77777777" w:rsidR="00BD6108" w:rsidRPr="00A0253E" w:rsidRDefault="00BD6108" w:rsidP="00BD6108">
      <w:pPr>
        <w:pStyle w:val="ListParagraph"/>
        <w:numPr>
          <w:ilvl w:val="0"/>
          <w:numId w:val="25"/>
        </w:numPr>
        <w:spacing w:after="0" w:line="240" w:lineRule="auto"/>
        <w:jc w:val="both"/>
      </w:pPr>
      <w:r w:rsidRPr="009F542C">
        <w:rPr>
          <w:rFonts w:cs="Arial"/>
        </w:rPr>
        <w:t>Overall community satisfaction;</w:t>
      </w:r>
    </w:p>
    <w:p w14:paraId="63A9C31C" w14:textId="77777777" w:rsidR="00BD6108" w:rsidRPr="00A0253E" w:rsidRDefault="00BD6108" w:rsidP="00BD6108">
      <w:pPr>
        <w:pStyle w:val="ListParagraph"/>
        <w:numPr>
          <w:ilvl w:val="0"/>
          <w:numId w:val="25"/>
        </w:numPr>
        <w:spacing w:after="0" w:line="240" w:lineRule="auto"/>
        <w:jc w:val="both"/>
      </w:pPr>
      <w:r w:rsidRPr="00A0253E">
        <w:rPr>
          <w:rFonts w:cs="Arial"/>
        </w:rPr>
        <w:t>Minutes of consultation meetings;</w:t>
      </w:r>
    </w:p>
    <w:p w14:paraId="02AF04BC" w14:textId="77777777" w:rsidR="00BD6108" w:rsidRPr="00A0253E" w:rsidRDefault="00BD6108" w:rsidP="00BD6108">
      <w:pPr>
        <w:pStyle w:val="ListParagraph"/>
        <w:numPr>
          <w:ilvl w:val="0"/>
          <w:numId w:val="25"/>
        </w:numPr>
        <w:spacing w:after="0" w:line="240" w:lineRule="auto"/>
        <w:jc w:val="both"/>
      </w:pPr>
      <w:r w:rsidRPr="00A0253E">
        <w:rPr>
          <w:rFonts w:cs="Arial"/>
        </w:rPr>
        <w:t>Number of staff working on Stakeholder Engagement, and</w:t>
      </w:r>
    </w:p>
    <w:p w14:paraId="0F554191" w14:textId="77777777" w:rsidR="00BD6108" w:rsidRPr="00586DED" w:rsidRDefault="00BD6108" w:rsidP="00BD6108">
      <w:pPr>
        <w:pStyle w:val="ListParagraph"/>
        <w:numPr>
          <w:ilvl w:val="0"/>
          <w:numId w:val="25"/>
        </w:numPr>
        <w:spacing w:after="0" w:line="240" w:lineRule="auto"/>
        <w:jc w:val="both"/>
      </w:pPr>
      <w:r w:rsidRPr="00A0253E">
        <w:rPr>
          <w:rFonts w:cs="Arial"/>
        </w:rPr>
        <w:t xml:space="preserve">Plans for the next month and long-term plans. </w:t>
      </w:r>
    </w:p>
    <w:p w14:paraId="54C12407" w14:textId="77777777" w:rsidR="00BD6108" w:rsidRDefault="00BD6108" w:rsidP="00BD6108"/>
    <w:p w14:paraId="109014E9" w14:textId="77777777" w:rsidR="001F64E3" w:rsidRPr="00BD6108" w:rsidRDefault="001F64E3" w:rsidP="001F64E3">
      <w:pPr>
        <w:rPr>
          <w:color w:val="FF0000"/>
        </w:rPr>
        <w:sectPr w:rsidR="001F64E3" w:rsidRPr="00BD6108" w:rsidSect="001F64E3">
          <w:pgSz w:w="11900" w:h="16840"/>
          <w:pgMar w:top="1440" w:right="1440" w:bottom="1440" w:left="1440" w:header="708" w:footer="708" w:gutter="0"/>
          <w:cols w:space="708"/>
          <w:docGrid w:linePitch="360"/>
        </w:sectPr>
      </w:pPr>
    </w:p>
    <w:p w14:paraId="027EE57F" w14:textId="77777777" w:rsidR="001F64E3" w:rsidRPr="00320696" w:rsidRDefault="001F64E3" w:rsidP="001F64E3">
      <w:pPr>
        <w:pStyle w:val="Heading1"/>
        <w:numPr>
          <w:ilvl w:val="0"/>
          <w:numId w:val="0"/>
        </w:numPr>
        <w:ind w:left="432" w:hanging="432"/>
      </w:pPr>
      <w:r>
        <w:lastRenderedPageBreak/>
        <w:t>ANNEX 1: TEMPLATE TO RECORD GRIEVANCES/ GRIEVANCE LOG</w:t>
      </w:r>
    </w:p>
    <w:p w14:paraId="5936EB1D" w14:textId="77777777" w:rsidR="001F64E3" w:rsidRDefault="001F64E3" w:rsidP="001F64E3">
      <w:pPr>
        <w:rPr>
          <w:color w:val="FF0000"/>
        </w:rPr>
      </w:pPr>
    </w:p>
    <w:tbl>
      <w:tblPr>
        <w:tblStyle w:val="TableGrid"/>
        <w:tblW w:w="15349"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25"/>
        <w:gridCol w:w="969"/>
        <w:gridCol w:w="709"/>
        <w:gridCol w:w="992"/>
        <w:gridCol w:w="1276"/>
        <w:gridCol w:w="2105"/>
        <w:gridCol w:w="1348"/>
        <w:gridCol w:w="1259"/>
        <w:gridCol w:w="1017"/>
        <w:gridCol w:w="1160"/>
        <w:gridCol w:w="1169"/>
        <w:gridCol w:w="720"/>
        <w:gridCol w:w="900"/>
      </w:tblGrid>
      <w:tr w:rsidR="001F64E3" w:rsidRPr="00393C65" w14:paraId="790DF163" w14:textId="77777777" w:rsidTr="003A5434">
        <w:trPr>
          <w:trHeight w:val="3405"/>
        </w:trPr>
        <w:tc>
          <w:tcPr>
            <w:tcW w:w="1725" w:type="dxa"/>
          </w:tcPr>
          <w:p w14:paraId="2AE6974C" w14:textId="77777777" w:rsidR="001F64E3" w:rsidRPr="003869A3" w:rsidRDefault="001F64E3" w:rsidP="003A5434">
            <w:pPr>
              <w:spacing w:before="40" w:after="40"/>
              <w:contextualSpacing/>
              <w:jc w:val="center"/>
              <w:rPr>
                <w:sz w:val="18"/>
                <w:szCs w:val="18"/>
                <w:lang w:eastAsia="x-none"/>
              </w:rPr>
            </w:pPr>
            <w:r w:rsidRPr="003869A3">
              <w:rPr>
                <w:sz w:val="18"/>
                <w:szCs w:val="18"/>
                <w:lang w:eastAsia="x-none"/>
              </w:rPr>
              <w:t>Name</w:t>
            </w:r>
            <w:r>
              <w:rPr>
                <w:sz w:val="18"/>
                <w:szCs w:val="18"/>
                <w:lang w:eastAsia="x-none"/>
              </w:rPr>
              <w:t xml:space="preserve"> of Complainant (or anonymous)</w:t>
            </w:r>
          </w:p>
        </w:tc>
        <w:tc>
          <w:tcPr>
            <w:tcW w:w="969" w:type="dxa"/>
          </w:tcPr>
          <w:p w14:paraId="6B470E55" w14:textId="77777777" w:rsidR="001F64E3" w:rsidRPr="003869A3" w:rsidRDefault="001F64E3" w:rsidP="003A5434">
            <w:pPr>
              <w:spacing w:before="40" w:after="40"/>
              <w:contextualSpacing/>
              <w:jc w:val="center"/>
              <w:rPr>
                <w:sz w:val="18"/>
                <w:szCs w:val="18"/>
                <w:lang w:eastAsia="x-none"/>
              </w:rPr>
            </w:pPr>
            <w:r>
              <w:rPr>
                <w:sz w:val="18"/>
                <w:szCs w:val="18"/>
                <w:lang w:eastAsia="x-none"/>
              </w:rPr>
              <w:t>Sex (M/F/ Other)</w:t>
            </w:r>
          </w:p>
        </w:tc>
        <w:tc>
          <w:tcPr>
            <w:tcW w:w="709" w:type="dxa"/>
          </w:tcPr>
          <w:p w14:paraId="1FFDB6E9" w14:textId="77777777" w:rsidR="001F64E3" w:rsidRPr="003869A3" w:rsidRDefault="001F64E3" w:rsidP="003A5434">
            <w:pPr>
              <w:spacing w:before="40" w:after="40"/>
              <w:contextualSpacing/>
              <w:jc w:val="center"/>
              <w:rPr>
                <w:sz w:val="18"/>
                <w:szCs w:val="18"/>
                <w:lang w:eastAsia="x-none"/>
              </w:rPr>
            </w:pPr>
            <w:r>
              <w:rPr>
                <w:sz w:val="18"/>
                <w:szCs w:val="18"/>
                <w:lang w:eastAsia="x-none"/>
              </w:rPr>
              <w:t>Age</w:t>
            </w:r>
          </w:p>
        </w:tc>
        <w:tc>
          <w:tcPr>
            <w:tcW w:w="992" w:type="dxa"/>
          </w:tcPr>
          <w:p w14:paraId="635ECF00" w14:textId="77777777" w:rsidR="001F64E3" w:rsidRPr="003869A3" w:rsidRDefault="001F64E3" w:rsidP="003A5434">
            <w:pPr>
              <w:spacing w:before="40" w:after="40"/>
              <w:contextualSpacing/>
              <w:jc w:val="center"/>
              <w:rPr>
                <w:sz w:val="18"/>
                <w:szCs w:val="18"/>
                <w:lang w:eastAsia="x-none"/>
              </w:rPr>
            </w:pPr>
            <w:r w:rsidRPr="003869A3">
              <w:rPr>
                <w:sz w:val="18"/>
                <w:szCs w:val="18"/>
                <w:lang w:eastAsia="x-none"/>
              </w:rPr>
              <w:t>Contact</w:t>
            </w:r>
            <w:r>
              <w:rPr>
                <w:sz w:val="18"/>
                <w:szCs w:val="18"/>
                <w:lang w:eastAsia="x-none"/>
              </w:rPr>
              <w:t xml:space="preserve"> info</w:t>
            </w:r>
          </w:p>
        </w:tc>
        <w:tc>
          <w:tcPr>
            <w:tcW w:w="1276" w:type="dxa"/>
          </w:tcPr>
          <w:p w14:paraId="47382258" w14:textId="77777777" w:rsidR="001F64E3" w:rsidRDefault="001F64E3" w:rsidP="003A5434">
            <w:pPr>
              <w:spacing w:before="40" w:after="40"/>
              <w:contextualSpacing/>
              <w:jc w:val="center"/>
              <w:rPr>
                <w:sz w:val="18"/>
                <w:szCs w:val="18"/>
                <w:lang w:eastAsia="x-none"/>
              </w:rPr>
            </w:pPr>
            <w:r w:rsidRPr="003869A3">
              <w:rPr>
                <w:sz w:val="18"/>
                <w:szCs w:val="18"/>
                <w:lang w:eastAsia="x-none"/>
              </w:rPr>
              <w:t>Date Received</w:t>
            </w:r>
          </w:p>
          <w:p w14:paraId="4F8A60A9" w14:textId="77777777" w:rsidR="001F64E3" w:rsidRDefault="001F64E3" w:rsidP="003A5434">
            <w:pPr>
              <w:spacing w:before="40" w:after="40"/>
              <w:contextualSpacing/>
              <w:jc w:val="center"/>
              <w:rPr>
                <w:sz w:val="18"/>
                <w:szCs w:val="18"/>
                <w:lang w:eastAsia="x-none"/>
              </w:rPr>
            </w:pPr>
          </w:p>
          <w:p w14:paraId="0AAB134E" w14:textId="77777777" w:rsidR="001F64E3" w:rsidRPr="003869A3" w:rsidRDefault="001F64E3" w:rsidP="003A5434">
            <w:pPr>
              <w:spacing w:before="40" w:after="40"/>
              <w:contextualSpacing/>
              <w:jc w:val="center"/>
              <w:rPr>
                <w:sz w:val="18"/>
                <w:szCs w:val="18"/>
                <w:lang w:eastAsia="x-none"/>
              </w:rPr>
            </w:pPr>
            <w:r>
              <w:rPr>
                <w:sz w:val="18"/>
                <w:szCs w:val="18"/>
                <w:lang w:eastAsia="x-none"/>
              </w:rPr>
              <w:t>(include different stages/ steps in the Grievance System if relevant, i.e. date of complaint at first stage, date at second stage, etc.)</w:t>
            </w:r>
          </w:p>
        </w:tc>
        <w:tc>
          <w:tcPr>
            <w:tcW w:w="2105" w:type="dxa"/>
          </w:tcPr>
          <w:p w14:paraId="60105DFE" w14:textId="77777777" w:rsidR="001F64E3" w:rsidRDefault="001F64E3" w:rsidP="003A5434">
            <w:pPr>
              <w:spacing w:before="40" w:after="40"/>
              <w:contextualSpacing/>
              <w:jc w:val="center"/>
              <w:rPr>
                <w:sz w:val="18"/>
                <w:szCs w:val="18"/>
                <w:lang w:eastAsia="x-none"/>
              </w:rPr>
            </w:pPr>
            <w:r>
              <w:rPr>
                <w:sz w:val="18"/>
                <w:szCs w:val="18"/>
                <w:lang w:eastAsia="x-none"/>
              </w:rPr>
              <w:t>N</w:t>
            </w:r>
            <w:r w:rsidRPr="003869A3">
              <w:rPr>
                <w:sz w:val="18"/>
                <w:szCs w:val="18"/>
                <w:lang w:eastAsia="x-none"/>
              </w:rPr>
              <w:t>ature of the grievance</w:t>
            </w:r>
          </w:p>
          <w:p w14:paraId="6EF2BE20" w14:textId="77777777" w:rsidR="001F64E3" w:rsidRDefault="001F64E3" w:rsidP="003A5434">
            <w:pPr>
              <w:spacing w:before="40" w:after="40"/>
              <w:contextualSpacing/>
              <w:jc w:val="center"/>
              <w:rPr>
                <w:sz w:val="18"/>
                <w:szCs w:val="18"/>
                <w:lang w:eastAsia="x-none"/>
              </w:rPr>
            </w:pPr>
            <w:r w:rsidRPr="003869A3">
              <w:rPr>
                <w:sz w:val="18"/>
                <w:szCs w:val="18"/>
                <w:lang w:eastAsia="x-none"/>
              </w:rPr>
              <w:t>(environ</w:t>
            </w:r>
            <w:r>
              <w:rPr>
                <w:sz w:val="18"/>
                <w:szCs w:val="18"/>
                <w:lang w:eastAsia="x-none"/>
              </w:rPr>
              <w:t xml:space="preserve">mental, land acquisition, </w:t>
            </w:r>
            <w:r w:rsidRPr="003869A3">
              <w:rPr>
                <w:sz w:val="18"/>
                <w:szCs w:val="18"/>
                <w:lang w:eastAsia="x-none"/>
              </w:rPr>
              <w:t>social</w:t>
            </w:r>
            <w:r>
              <w:rPr>
                <w:sz w:val="18"/>
                <w:szCs w:val="18"/>
                <w:lang w:eastAsia="x-none"/>
              </w:rPr>
              <w:t xml:space="preserve">, </w:t>
            </w:r>
            <w:r w:rsidRPr="003869A3">
              <w:rPr>
                <w:sz w:val="18"/>
                <w:szCs w:val="18"/>
                <w:lang w:eastAsia="x-none"/>
              </w:rPr>
              <w:t>health, etc</w:t>
            </w:r>
            <w:r>
              <w:rPr>
                <w:sz w:val="18"/>
                <w:szCs w:val="18"/>
                <w:lang w:eastAsia="x-none"/>
              </w:rPr>
              <w:t>.</w:t>
            </w:r>
            <w:r w:rsidRPr="003869A3">
              <w:rPr>
                <w:sz w:val="18"/>
                <w:szCs w:val="18"/>
                <w:lang w:eastAsia="x-none"/>
              </w:rPr>
              <w:t>)</w:t>
            </w:r>
          </w:p>
          <w:p w14:paraId="7174BE32" w14:textId="77777777" w:rsidR="001F64E3" w:rsidRDefault="001F64E3" w:rsidP="003A5434">
            <w:pPr>
              <w:spacing w:before="40" w:after="40"/>
              <w:contextualSpacing/>
              <w:jc w:val="center"/>
              <w:rPr>
                <w:sz w:val="18"/>
                <w:szCs w:val="18"/>
                <w:lang w:eastAsia="x-none"/>
              </w:rPr>
            </w:pPr>
          </w:p>
          <w:p w14:paraId="26B165A6" w14:textId="77777777" w:rsidR="001F64E3" w:rsidRPr="003869A3" w:rsidRDefault="001F64E3" w:rsidP="003A5434">
            <w:pPr>
              <w:spacing w:before="40" w:after="40"/>
              <w:contextualSpacing/>
              <w:jc w:val="center"/>
              <w:rPr>
                <w:sz w:val="18"/>
                <w:szCs w:val="18"/>
                <w:lang w:eastAsia="x-none"/>
              </w:rPr>
            </w:pPr>
            <w:r>
              <w:rPr>
                <w:sz w:val="18"/>
                <w:szCs w:val="18"/>
                <w:lang w:eastAsia="x-none"/>
              </w:rPr>
              <w:t>Describe the complaint</w:t>
            </w:r>
          </w:p>
        </w:tc>
        <w:tc>
          <w:tcPr>
            <w:tcW w:w="1348" w:type="dxa"/>
          </w:tcPr>
          <w:p w14:paraId="7E9550EA" w14:textId="77777777" w:rsidR="001F64E3" w:rsidRDefault="001F64E3" w:rsidP="003A5434">
            <w:pPr>
              <w:spacing w:before="40" w:after="40"/>
              <w:contextualSpacing/>
              <w:jc w:val="center"/>
              <w:rPr>
                <w:sz w:val="18"/>
                <w:szCs w:val="18"/>
                <w:lang w:eastAsia="x-none"/>
              </w:rPr>
            </w:pPr>
            <w:r>
              <w:rPr>
                <w:sz w:val="18"/>
                <w:szCs w:val="18"/>
                <w:lang w:eastAsia="x-none"/>
              </w:rPr>
              <w:t>To whom was grievance submitted</w:t>
            </w:r>
          </w:p>
          <w:p w14:paraId="414E2961" w14:textId="77777777" w:rsidR="001F64E3" w:rsidRDefault="001F64E3" w:rsidP="003A5434">
            <w:pPr>
              <w:spacing w:before="40" w:after="40"/>
              <w:contextualSpacing/>
              <w:jc w:val="center"/>
              <w:rPr>
                <w:sz w:val="18"/>
                <w:szCs w:val="18"/>
                <w:lang w:eastAsia="x-none"/>
              </w:rPr>
            </w:pPr>
          </w:p>
          <w:p w14:paraId="6E963831" w14:textId="77777777" w:rsidR="001F64E3" w:rsidRPr="003869A3" w:rsidRDefault="001F64E3" w:rsidP="003A5434">
            <w:pPr>
              <w:spacing w:before="40" w:after="40"/>
              <w:contextualSpacing/>
              <w:jc w:val="center"/>
              <w:rPr>
                <w:sz w:val="18"/>
                <w:szCs w:val="18"/>
                <w:lang w:eastAsia="x-none"/>
              </w:rPr>
            </w:pPr>
            <w:r>
              <w:rPr>
                <w:sz w:val="18"/>
                <w:szCs w:val="18"/>
                <w:lang w:eastAsia="x-none"/>
              </w:rPr>
              <w:t>(include different stages/steps in the Grievance System if relevant)</w:t>
            </w:r>
          </w:p>
        </w:tc>
        <w:tc>
          <w:tcPr>
            <w:tcW w:w="1259" w:type="dxa"/>
          </w:tcPr>
          <w:p w14:paraId="13F6945C" w14:textId="77777777" w:rsidR="001F64E3" w:rsidRDefault="001F64E3" w:rsidP="003A5434">
            <w:pPr>
              <w:spacing w:before="40" w:after="40"/>
              <w:contextualSpacing/>
              <w:jc w:val="center"/>
              <w:rPr>
                <w:sz w:val="18"/>
                <w:szCs w:val="18"/>
                <w:lang w:eastAsia="x-none"/>
              </w:rPr>
            </w:pPr>
            <w:r>
              <w:rPr>
                <w:sz w:val="18"/>
                <w:szCs w:val="18"/>
                <w:lang w:eastAsia="x-none"/>
              </w:rPr>
              <w:t>Description of the problem</w:t>
            </w:r>
          </w:p>
        </w:tc>
        <w:tc>
          <w:tcPr>
            <w:tcW w:w="1017" w:type="dxa"/>
          </w:tcPr>
          <w:p w14:paraId="75A637E7" w14:textId="77777777" w:rsidR="001F64E3" w:rsidRDefault="001F64E3" w:rsidP="003A5434">
            <w:pPr>
              <w:spacing w:before="40" w:after="40"/>
              <w:contextualSpacing/>
              <w:jc w:val="center"/>
              <w:rPr>
                <w:sz w:val="18"/>
                <w:szCs w:val="18"/>
                <w:lang w:eastAsia="x-none"/>
              </w:rPr>
            </w:pPr>
            <w:r>
              <w:rPr>
                <w:sz w:val="18"/>
                <w:szCs w:val="18"/>
                <w:lang w:eastAsia="x-none"/>
              </w:rPr>
              <w:t>Actions to be done to resolve grievance</w:t>
            </w:r>
          </w:p>
          <w:p w14:paraId="04BB98C0" w14:textId="77777777" w:rsidR="001F64E3" w:rsidRDefault="001F64E3" w:rsidP="003A5434">
            <w:pPr>
              <w:spacing w:before="40" w:after="40"/>
              <w:contextualSpacing/>
              <w:jc w:val="center"/>
              <w:rPr>
                <w:sz w:val="18"/>
                <w:szCs w:val="18"/>
                <w:lang w:eastAsia="x-none"/>
              </w:rPr>
            </w:pPr>
          </w:p>
          <w:p w14:paraId="2BDFACBB" w14:textId="77777777" w:rsidR="001F64E3" w:rsidRPr="003869A3" w:rsidRDefault="001F64E3" w:rsidP="003A5434">
            <w:pPr>
              <w:spacing w:before="40" w:after="40"/>
              <w:contextualSpacing/>
              <w:jc w:val="center"/>
              <w:rPr>
                <w:sz w:val="18"/>
                <w:szCs w:val="18"/>
                <w:lang w:eastAsia="x-none"/>
              </w:rPr>
            </w:pPr>
            <w:r>
              <w:rPr>
                <w:sz w:val="18"/>
                <w:szCs w:val="18"/>
                <w:lang w:eastAsia="x-none"/>
              </w:rPr>
              <w:t>(include different stages/steps in the Grievance System if relevant)</w:t>
            </w:r>
          </w:p>
        </w:tc>
        <w:tc>
          <w:tcPr>
            <w:tcW w:w="1160" w:type="dxa"/>
          </w:tcPr>
          <w:p w14:paraId="3EF25781" w14:textId="77777777" w:rsidR="001F64E3" w:rsidRDefault="001F64E3" w:rsidP="003A5434">
            <w:pPr>
              <w:spacing w:before="40" w:after="40"/>
              <w:contextualSpacing/>
              <w:jc w:val="center"/>
              <w:rPr>
                <w:sz w:val="18"/>
                <w:szCs w:val="18"/>
                <w:lang w:eastAsia="x-none"/>
              </w:rPr>
            </w:pPr>
            <w:r>
              <w:rPr>
                <w:sz w:val="18"/>
                <w:szCs w:val="18"/>
                <w:lang w:eastAsia="x-none"/>
              </w:rPr>
              <w:t>Responsible department</w:t>
            </w:r>
          </w:p>
        </w:tc>
        <w:tc>
          <w:tcPr>
            <w:tcW w:w="1169" w:type="dxa"/>
          </w:tcPr>
          <w:p w14:paraId="7213B3F8" w14:textId="77777777" w:rsidR="001F64E3" w:rsidRDefault="001F64E3" w:rsidP="003A5434">
            <w:pPr>
              <w:spacing w:before="40" w:after="40"/>
              <w:contextualSpacing/>
              <w:jc w:val="center"/>
              <w:rPr>
                <w:sz w:val="18"/>
                <w:szCs w:val="18"/>
                <w:lang w:eastAsia="x-none"/>
              </w:rPr>
            </w:pPr>
            <w:r>
              <w:rPr>
                <w:sz w:val="18"/>
                <w:szCs w:val="18"/>
                <w:lang w:eastAsia="x-none"/>
              </w:rPr>
              <w:t>Responsible person</w:t>
            </w:r>
          </w:p>
        </w:tc>
        <w:tc>
          <w:tcPr>
            <w:tcW w:w="720" w:type="dxa"/>
          </w:tcPr>
          <w:p w14:paraId="78EC3590" w14:textId="77777777" w:rsidR="001F64E3" w:rsidRDefault="001F64E3" w:rsidP="003A5434">
            <w:pPr>
              <w:spacing w:before="40" w:after="40"/>
              <w:contextualSpacing/>
              <w:jc w:val="center"/>
              <w:rPr>
                <w:sz w:val="18"/>
                <w:szCs w:val="18"/>
                <w:lang w:eastAsia="x-none"/>
              </w:rPr>
            </w:pPr>
            <w:r>
              <w:rPr>
                <w:sz w:val="18"/>
                <w:szCs w:val="18"/>
                <w:lang w:eastAsia="x-none"/>
              </w:rPr>
              <w:t>Due Date</w:t>
            </w:r>
          </w:p>
        </w:tc>
        <w:tc>
          <w:tcPr>
            <w:tcW w:w="900" w:type="dxa"/>
          </w:tcPr>
          <w:p w14:paraId="18CFDAEA" w14:textId="77777777" w:rsidR="001F64E3" w:rsidRPr="003869A3" w:rsidRDefault="001F64E3" w:rsidP="003A5434">
            <w:pPr>
              <w:spacing w:before="40" w:after="40"/>
              <w:contextualSpacing/>
              <w:jc w:val="center"/>
              <w:rPr>
                <w:sz w:val="18"/>
                <w:szCs w:val="18"/>
                <w:lang w:eastAsia="x-none"/>
              </w:rPr>
            </w:pPr>
            <w:r>
              <w:rPr>
                <w:sz w:val="18"/>
                <w:szCs w:val="18"/>
                <w:lang w:eastAsia="x-none"/>
              </w:rPr>
              <w:t>Current Status (open/ closed)</w:t>
            </w:r>
          </w:p>
        </w:tc>
      </w:tr>
      <w:tr w:rsidR="001F64E3" w:rsidRPr="00393C65" w14:paraId="7EF8906C" w14:textId="77777777" w:rsidTr="003A5434">
        <w:trPr>
          <w:trHeight w:val="553"/>
        </w:trPr>
        <w:tc>
          <w:tcPr>
            <w:tcW w:w="1725" w:type="dxa"/>
          </w:tcPr>
          <w:p w14:paraId="26F24D84" w14:textId="77777777" w:rsidR="001F64E3" w:rsidRPr="000A50D8" w:rsidRDefault="001F64E3" w:rsidP="003A5434">
            <w:pPr>
              <w:spacing w:before="40" w:after="40"/>
              <w:contextualSpacing/>
              <w:rPr>
                <w:i/>
                <w:sz w:val="18"/>
                <w:szCs w:val="18"/>
                <w:lang w:eastAsia="x-none"/>
              </w:rPr>
            </w:pPr>
          </w:p>
        </w:tc>
        <w:tc>
          <w:tcPr>
            <w:tcW w:w="969" w:type="dxa"/>
          </w:tcPr>
          <w:p w14:paraId="38947FD2" w14:textId="77777777" w:rsidR="001F64E3" w:rsidRPr="000A50D8" w:rsidRDefault="001F64E3" w:rsidP="003A5434">
            <w:pPr>
              <w:spacing w:before="40" w:after="40"/>
              <w:contextualSpacing/>
              <w:rPr>
                <w:i/>
                <w:sz w:val="18"/>
                <w:szCs w:val="18"/>
                <w:lang w:eastAsia="x-none"/>
              </w:rPr>
            </w:pPr>
          </w:p>
        </w:tc>
        <w:tc>
          <w:tcPr>
            <w:tcW w:w="709" w:type="dxa"/>
          </w:tcPr>
          <w:p w14:paraId="33F85DFA" w14:textId="77777777" w:rsidR="001F64E3" w:rsidRPr="000A50D8" w:rsidRDefault="001F64E3" w:rsidP="003A5434">
            <w:pPr>
              <w:spacing w:before="40" w:after="40"/>
              <w:contextualSpacing/>
              <w:rPr>
                <w:i/>
                <w:sz w:val="18"/>
                <w:szCs w:val="18"/>
                <w:lang w:eastAsia="x-none"/>
              </w:rPr>
            </w:pPr>
          </w:p>
        </w:tc>
        <w:tc>
          <w:tcPr>
            <w:tcW w:w="992" w:type="dxa"/>
          </w:tcPr>
          <w:p w14:paraId="5A3A0C9F" w14:textId="77777777" w:rsidR="001F64E3" w:rsidRPr="000A50D8" w:rsidRDefault="001F64E3" w:rsidP="003A5434">
            <w:pPr>
              <w:spacing w:before="40" w:after="40"/>
              <w:contextualSpacing/>
              <w:rPr>
                <w:i/>
                <w:sz w:val="18"/>
                <w:szCs w:val="18"/>
                <w:lang w:eastAsia="x-none"/>
              </w:rPr>
            </w:pPr>
          </w:p>
        </w:tc>
        <w:tc>
          <w:tcPr>
            <w:tcW w:w="1276" w:type="dxa"/>
          </w:tcPr>
          <w:p w14:paraId="00031093" w14:textId="77777777" w:rsidR="001F64E3" w:rsidRPr="000A50D8" w:rsidRDefault="001F64E3" w:rsidP="003A5434">
            <w:pPr>
              <w:spacing w:before="40" w:after="40"/>
              <w:contextualSpacing/>
              <w:rPr>
                <w:i/>
                <w:sz w:val="18"/>
                <w:szCs w:val="18"/>
                <w:lang w:eastAsia="x-none"/>
              </w:rPr>
            </w:pPr>
          </w:p>
        </w:tc>
        <w:tc>
          <w:tcPr>
            <w:tcW w:w="2105" w:type="dxa"/>
          </w:tcPr>
          <w:p w14:paraId="109F7E98" w14:textId="77777777" w:rsidR="001F64E3" w:rsidRPr="000A50D8" w:rsidRDefault="001F64E3" w:rsidP="003A5434">
            <w:pPr>
              <w:spacing w:before="40" w:after="40"/>
              <w:contextualSpacing/>
              <w:rPr>
                <w:i/>
                <w:sz w:val="18"/>
                <w:szCs w:val="18"/>
                <w:lang w:eastAsia="x-none"/>
              </w:rPr>
            </w:pPr>
          </w:p>
        </w:tc>
        <w:tc>
          <w:tcPr>
            <w:tcW w:w="1348" w:type="dxa"/>
          </w:tcPr>
          <w:p w14:paraId="51C8409F" w14:textId="77777777" w:rsidR="001F64E3" w:rsidRPr="000A50D8" w:rsidRDefault="001F64E3" w:rsidP="003A5434">
            <w:pPr>
              <w:spacing w:before="40" w:after="40"/>
              <w:contextualSpacing/>
              <w:rPr>
                <w:i/>
                <w:sz w:val="18"/>
                <w:szCs w:val="18"/>
                <w:lang w:eastAsia="x-none"/>
              </w:rPr>
            </w:pPr>
          </w:p>
        </w:tc>
        <w:tc>
          <w:tcPr>
            <w:tcW w:w="1259" w:type="dxa"/>
          </w:tcPr>
          <w:p w14:paraId="0A63EC4B" w14:textId="77777777" w:rsidR="001F64E3" w:rsidRPr="000A50D8" w:rsidRDefault="001F64E3" w:rsidP="003A5434">
            <w:pPr>
              <w:spacing w:before="40" w:after="40"/>
              <w:contextualSpacing/>
              <w:rPr>
                <w:i/>
                <w:sz w:val="18"/>
                <w:szCs w:val="18"/>
                <w:lang w:eastAsia="x-none"/>
              </w:rPr>
            </w:pPr>
          </w:p>
        </w:tc>
        <w:tc>
          <w:tcPr>
            <w:tcW w:w="1017" w:type="dxa"/>
          </w:tcPr>
          <w:p w14:paraId="366CB0D8" w14:textId="77777777" w:rsidR="001F64E3" w:rsidRPr="000A50D8" w:rsidRDefault="001F64E3" w:rsidP="003A5434">
            <w:pPr>
              <w:spacing w:before="40" w:after="40"/>
              <w:contextualSpacing/>
              <w:rPr>
                <w:i/>
                <w:sz w:val="18"/>
                <w:szCs w:val="18"/>
                <w:lang w:eastAsia="x-none"/>
              </w:rPr>
            </w:pPr>
          </w:p>
        </w:tc>
        <w:tc>
          <w:tcPr>
            <w:tcW w:w="1160" w:type="dxa"/>
          </w:tcPr>
          <w:p w14:paraId="02C91FC5" w14:textId="77777777" w:rsidR="001F64E3" w:rsidRPr="000A50D8" w:rsidRDefault="001F64E3" w:rsidP="003A5434">
            <w:pPr>
              <w:spacing w:before="40" w:after="40"/>
              <w:contextualSpacing/>
              <w:rPr>
                <w:i/>
                <w:sz w:val="18"/>
                <w:szCs w:val="18"/>
                <w:lang w:eastAsia="x-none"/>
              </w:rPr>
            </w:pPr>
          </w:p>
        </w:tc>
        <w:tc>
          <w:tcPr>
            <w:tcW w:w="1169" w:type="dxa"/>
          </w:tcPr>
          <w:p w14:paraId="78D47F1C" w14:textId="77777777" w:rsidR="001F64E3" w:rsidRPr="000A50D8" w:rsidRDefault="001F64E3" w:rsidP="003A5434">
            <w:pPr>
              <w:spacing w:before="40" w:after="40"/>
              <w:contextualSpacing/>
              <w:rPr>
                <w:i/>
                <w:sz w:val="18"/>
                <w:szCs w:val="18"/>
                <w:lang w:eastAsia="x-none"/>
              </w:rPr>
            </w:pPr>
          </w:p>
        </w:tc>
        <w:tc>
          <w:tcPr>
            <w:tcW w:w="720" w:type="dxa"/>
          </w:tcPr>
          <w:p w14:paraId="0B1D5E5F" w14:textId="77777777" w:rsidR="001F64E3" w:rsidRPr="000A50D8" w:rsidRDefault="001F64E3" w:rsidP="003A5434">
            <w:pPr>
              <w:spacing w:before="40" w:after="40"/>
              <w:contextualSpacing/>
              <w:rPr>
                <w:i/>
                <w:sz w:val="18"/>
                <w:szCs w:val="18"/>
                <w:lang w:eastAsia="x-none"/>
              </w:rPr>
            </w:pPr>
          </w:p>
        </w:tc>
        <w:tc>
          <w:tcPr>
            <w:tcW w:w="900" w:type="dxa"/>
          </w:tcPr>
          <w:p w14:paraId="00BA1D09" w14:textId="77777777" w:rsidR="001F64E3" w:rsidRPr="000A50D8" w:rsidRDefault="001F64E3" w:rsidP="003A5434">
            <w:pPr>
              <w:spacing w:before="40" w:after="40"/>
              <w:contextualSpacing/>
              <w:rPr>
                <w:i/>
                <w:sz w:val="18"/>
                <w:szCs w:val="18"/>
                <w:lang w:eastAsia="x-none"/>
              </w:rPr>
            </w:pPr>
          </w:p>
        </w:tc>
      </w:tr>
      <w:tr w:rsidR="001F64E3" w:rsidRPr="00393C65" w14:paraId="00E2C5B0" w14:textId="77777777" w:rsidTr="003A5434">
        <w:trPr>
          <w:trHeight w:val="553"/>
        </w:trPr>
        <w:tc>
          <w:tcPr>
            <w:tcW w:w="1725" w:type="dxa"/>
          </w:tcPr>
          <w:p w14:paraId="20C97B3E" w14:textId="77777777" w:rsidR="001F64E3" w:rsidRPr="003869A3" w:rsidRDefault="001F64E3" w:rsidP="003A5434">
            <w:pPr>
              <w:spacing w:before="40" w:after="40"/>
              <w:contextualSpacing/>
              <w:rPr>
                <w:sz w:val="18"/>
                <w:szCs w:val="18"/>
                <w:lang w:eastAsia="x-none"/>
              </w:rPr>
            </w:pPr>
          </w:p>
        </w:tc>
        <w:tc>
          <w:tcPr>
            <w:tcW w:w="969" w:type="dxa"/>
          </w:tcPr>
          <w:p w14:paraId="6C89D037" w14:textId="77777777" w:rsidR="001F64E3" w:rsidRPr="003869A3" w:rsidRDefault="001F64E3" w:rsidP="003A5434">
            <w:pPr>
              <w:spacing w:before="40" w:after="40"/>
              <w:contextualSpacing/>
              <w:rPr>
                <w:sz w:val="18"/>
                <w:szCs w:val="18"/>
                <w:lang w:eastAsia="x-none"/>
              </w:rPr>
            </w:pPr>
          </w:p>
        </w:tc>
        <w:tc>
          <w:tcPr>
            <w:tcW w:w="709" w:type="dxa"/>
          </w:tcPr>
          <w:p w14:paraId="7E05ADE3" w14:textId="77777777" w:rsidR="001F64E3" w:rsidRPr="003869A3" w:rsidRDefault="001F64E3" w:rsidP="003A5434">
            <w:pPr>
              <w:spacing w:before="40" w:after="40"/>
              <w:contextualSpacing/>
              <w:rPr>
                <w:sz w:val="18"/>
                <w:szCs w:val="18"/>
                <w:lang w:eastAsia="x-none"/>
              </w:rPr>
            </w:pPr>
          </w:p>
        </w:tc>
        <w:tc>
          <w:tcPr>
            <w:tcW w:w="992" w:type="dxa"/>
          </w:tcPr>
          <w:p w14:paraId="3AECCA7C" w14:textId="77777777" w:rsidR="001F64E3" w:rsidRPr="003869A3" w:rsidRDefault="001F64E3" w:rsidP="003A5434">
            <w:pPr>
              <w:spacing w:before="40" w:after="40"/>
              <w:contextualSpacing/>
              <w:rPr>
                <w:sz w:val="18"/>
                <w:szCs w:val="18"/>
                <w:lang w:eastAsia="x-none"/>
              </w:rPr>
            </w:pPr>
          </w:p>
        </w:tc>
        <w:tc>
          <w:tcPr>
            <w:tcW w:w="1276" w:type="dxa"/>
          </w:tcPr>
          <w:p w14:paraId="2920DBFA" w14:textId="77777777" w:rsidR="001F64E3" w:rsidRPr="003869A3" w:rsidRDefault="001F64E3" w:rsidP="003A5434">
            <w:pPr>
              <w:spacing w:before="40" w:after="40"/>
              <w:contextualSpacing/>
              <w:rPr>
                <w:sz w:val="18"/>
                <w:szCs w:val="18"/>
                <w:lang w:eastAsia="x-none"/>
              </w:rPr>
            </w:pPr>
          </w:p>
        </w:tc>
        <w:tc>
          <w:tcPr>
            <w:tcW w:w="2105" w:type="dxa"/>
          </w:tcPr>
          <w:p w14:paraId="6CA3D2FE" w14:textId="77777777" w:rsidR="001F64E3" w:rsidRPr="003869A3" w:rsidRDefault="001F64E3" w:rsidP="003A5434">
            <w:pPr>
              <w:spacing w:before="40" w:after="40"/>
              <w:contextualSpacing/>
              <w:rPr>
                <w:sz w:val="18"/>
                <w:szCs w:val="18"/>
                <w:lang w:eastAsia="x-none"/>
              </w:rPr>
            </w:pPr>
          </w:p>
        </w:tc>
        <w:tc>
          <w:tcPr>
            <w:tcW w:w="1348" w:type="dxa"/>
          </w:tcPr>
          <w:p w14:paraId="63E25DEC" w14:textId="77777777" w:rsidR="001F64E3" w:rsidRPr="003869A3" w:rsidRDefault="001F64E3" w:rsidP="003A5434">
            <w:pPr>
              <w:spacing w:before="40" w:after="40"/>
              <w:contextualSpacing/>
              <w:rPr>
                <w:sz w:val="18"/>
                <w:szCs w:val="18"/>
                <w:lang w:eastAsia="x-none"/>
              </w:rPr>
            </w:pPr>
          </w:p>
        </w:tc>
        <w:tc>
          <w:tcPr>
            <w:tcW w:w="1259" w:type="dxa"/>
          </w:tcPr>
          <w:p w14:paraId="7E3A061D" w14:textId="77777777" w:rsidR="001F64E3" w:rsidRPr="003869A3" w:rsidRDefault="001F64E3" w:rsidP="003A5434">
            <w:pPr>
              <w:spacing w:before="40" w:after="40"/>
              <w:contextualSpacing/>
              <w:rPr>
                <w:sz w:val="18"/>
                <w:szCs w:val="18"/>
                <w:lang w:eastAsia="x-none"/>
              </w:rPr>
            </w:pPr>
          </w:p>
        </w:tc>
        <w:tc>
          <w:tcPr>
            <w:tcW w:w="1017" w:type="dxa"/>
          </w:tcPr>
          <w:p w14:paraId="13098F82" w14:textId="77777777" w:rsidR="001F64E3" w:rsidRPr="003869A3" w:rsidRDefault="001F64E3" w:rsidP="003A5434">
            <w:pPr>
              <w:spacing w:before="40" w:after="40"/>
              <w:contextualSpacing/>
              <w:rPr>
                <w:sz w:val="18"/>
                <w:szCs w:val="18"/>
                <w:lang w:eastAsia="x-none"/>
              </w:rPr>
            </w:pPr>
          </w:p>
        </w:tc>
        <w:tc>
          <w:tcPr>
            <w:tcW w:w="1160" w:type="dxa"/>
          </w:tcPr>
          <w:p w14:paraId="70D32333" w14:textId="77777777" w:rsidR="001F64E3" w:rsidRPr="003869A3" w:rsidRDefault="001F64E3" w:rsidP="003A5434">
            <w:pPr>
              <w:spacing w:before="40" w:after="40"/>
              <w:contextualSpacing/>
              <w:rPr>
                <w:sz w:val="18"/>
                <w:szCs w:val="18"/>
                <w:lang w:eastAsia="x-none"/>
              </w:rPr>
            </w:pPr>
          </w:p>
        </w:tc>
        <w:tc>
          <w:tcPr>
            <w:tcW w:w="1169" w:type="dxa"/>
          </w:tcPr>
          <w:p w14:paraId="6EFA4579" w14:textId="77777777" w:rsidR="001F64E3" w:rsidRPr="003869A3" w:rsidRDefault="001F64E3" w:rsidP="003A5434">
            <w:pPr>
              <w:spacing w:before="40" w:after="40"/>
              <w:contextualSpacing/>
              <w:rPr>
                <w:sz w:val="18"/>
                <w:szCs w:val="18"/>
                <w:lang w:eastAsia="x-none"/>
              </w:rPr>
            </w:pPr>
          </w:p>
        </w:tc>
        <w:tc>
          <w:tcPr>
            <w:tcW w:w="720" w:type="dxa"/>
          </w:tcPr>
          <w:p w14:paraId="12482D2B" w14:textId="77777777" w:rsidR="001F64E3" w:rsidRPr="003869A3" w:rsidRDefault="001F64E3" w:rsidP="003A5434">
            <w:pPr>
              <w:spacing w:before="40" w:after="40"/>
              <w:contextualSpacing/>
              <w:rPr>
                <w:sz w:val="18"/>
                <w:szCs w:val="18"/>
                <w:lang w:eastAsia="x-none"/>
              </w:rPr>
            </w:pPr>
          </w:p>
        </w:tc>
        <w:tc>
          <w:tcPr>
            <w:tcW w:w="900" w:type="dxa"/>
          </w:tcPr>
          <w:p w14:paraId="75F987FC" w14:textId="77777777" w:rsidR="001F64E3" w:rsidRPr="003869A3" w:rsidRDefault="001F64E3" w:rsidP="003A5434">
            <w:pPr>
              <w:spacing w:before="40" w:after="40"/>
              <w:contextualSpacing/>
              <w:rPr>
                <w:sz w:val="18"/>
                <w:szCs w:val="18"/>
                <w:lang w:eastAsia="x-none"/>
              </w:rPr>
            </w:pPr>
          </w:p>
        </w:tc>
      </w:tr>
      <w:tr w:rsidR="001F64E3" w:rsidRPr="00393C65" w14:paraId="53A75D4D" w14:textId="77777777" w:rsidTr="003A5434">
        <w:trPr>
          <w:trHeight w:val="580"/>
        </w:trPr>
        <w:tc>
          <w:tcPr>
            <w:tcW w:w="1725" w:type="dxa"/>
          </w:tcPr>
          <w:p w14:paraId="16C69D39" w14:textId="77777777" w:rsidR="001F64E3" w:rsidRPr="003869A3" w:rsidRDefault="001F64E3" w:rsidP="003A5434">
            <w:pPr>
              <w:spacing w:before="40" w:after="40"/>
              <w:contextualSpacing/>
              <w:rPr>
                <w:sz w:val="18"/>
                <w:szCs w:val="18"/>
                <w:lang w:eastAsia="x-none"/>
              </w:rPr>
            </w:pPr>
          </w:p>
        </w:tc>
        <w:tc>
          <w:tcPr>
            <w:tcW w:w="969" w:type="dxa"/>
          </w:tcPr>
          <w:p w14:paraId="5C8A5498" w14:textId="77777777" w:rsidR="001F64E3" w:rsidRPr="003869A3" w:rsidRDefault="001F64E3" w:rsidP="003A5434">
            <w:pPr>
              <w:spacing w:before="40" w:after="40"/>
              <w:contextualSpacing/>
              <w:rPr>
                <w:sz w:val="18"/>
                <w:szCs w:val="18"/>
                <w:lang w:eastAsia="x-none"/>
              </w:rPr>
            </w:pPr>
          </w:p>
        </w:tc>
        <w:tc>
          <w:tcPr>
            <w:tcW w:w="709" w:type="dxa"/>
          </w:tcPr>
          <w:p w14:paraId="41DC3C19" w14:textId="77777777" w:rsidR="001F64E3" w:rsidRPr="003869A3" w:rsidRDefault="001F64E3" w:rsidP="003A5434">
            <w:pPr>
              <w:spacing w:before="40" w:after="40"/>
              <w:contextualSpacing/>
              <w:rPr>
                <w:sz w:val="18"/>
                <w:szCs w:val="18"/>
                <w:lang w:eastAsia="x-none"/>
              </w:rPr>
            </w:pPr>
          </w:p>
        </w:tc>
        <w:tc>
          <w:tcPr>
            <w:tcW w:w="992" w:type="dxa"/>
          </w:tcPr>
          <w:p w14:paraId="38FA6A64" w14:textId="77777777" w:rsidR="001F64E3" w:rsidRPr="003869A3" w:rsidRDefault="001F64E3" w:rsidP="003A5434">
            <w:pPr>
              <w:spacing w:before="40" w:after="40"/>
              <w:contextualSpacing/>
              <w:rPr>
                <w:sz w:val="18"/>
                <w:szCs w:val="18"/>
                <w:lang w:eastAsia="x-none"/>
              </w:rPr>
            </w:pPr>
          </w:p>
        </w:tc>
        <w:tc>
          <w:tcPr>
            <w:tcW w:w="1276" w:type="dxa"/>
          </w:tcPr>
          <w:p w14:paraId="79D059F6" w14:textId="77777777" w:rsidR="001F64E3" w:rsidRPr="003869A3" w:rsidRDefault="001F64E3" w:rsidP="003A5434">
            <w:pPr>
              <w:spacing w:before="40" w:after="40"/>
              <w:contextualSpacing/>
              <w:rPr>
                <w:sz w:val="18"/>
                <w:szCs w:val="18"/>
                <w:lang w:eastAsia="x-none"/>
              </w:rPr>
            </w:pPr>
          </w:p>
        </w:tc>
        <w:tc>
          <w:tcPr>
            <w:tcW w:w="2105" w:type="dxa"/>
          </w:tcPr>
          <w:p w14:paraId="49183830" w14:textId="77777777" w:rsidR="001F64E3" w:rsidRPr="003869A3" w:rsidRDefault="001F64E3" w:rsidP="003A5434">
            <w:pPr>
              <w:spacing w:before="40" w:after="40"/>
              <w:contextualSpacing/>
              <w:rPr>
                <w:sz w:val="18"/>
                <w:szCs w:val="18"/>
                <w:lang w:eastAsia="x-none"/>
              </w:rPr>
            </w:pPr>
          </w:p>
        </w:tc>
        <w:tc>
          <w:tcPr>
            <w:tcW w:w="1348" w:type="dxa"/>
          </w:tcPr>
          <w:p w14:paraId="41307329" w14:textId="77777777" w:rsidR="001F64E3" w:rsidRPr="003869A3" w:rsidRDefault="001F64E3" w:rsidP="003A5434">
            <w:pPr>
              <w:spacing w:before="40" w:after="40"/>
              <w:contextualSpacing/>
              <w:rPr>
                <w:sz w:val="18"/>
                <w:szCs w:val="18"/>
                <w:lang w:eastAsia="x-none"/>
              </w:rPr>
            </w:pPr>
          </w:p>
        </w:tc>
        <w:tc>
          <w:tcPr>
            <w:tcW w:w="1259" w:type="dxa"/>
          </w:tcPr>
          <w:p w14:paraId="7ABED10B" w14:textId="77777777" w:rsidR="001F64E3" w:rsidRPr="003869A3" w:rsidRDefault="001F64E3" w:rsidP="003A5434">
            <w:pPr>
              <w:spacing w:before="40" w:after="40"/>
              <w:contextualSpacing/>
              <w:rPr>
                <w:sz w:val="18"/>
                <w:szCs w:val="18"/>
                <w:lang w:eastAsia="x-none"/>
              </w:rPr>
            </w:pPr>
          </w:p>
        </w:tc>
        <w:tc>
          <w:tcPr>
            <w:tcW w:w="1017" w:type="dxa"/>
          </w:tcPr>
          <w:p w14:paraId="05669B72" w14:textId="77777777" w:rsidR="001F64E3" w:rsidRPr="003869A3" w:rsidRDefault="001F64E3" w:rsidP="003A5434">
            <w:pPr>
              <w:spacing w:before="40" w:after="40"/>
              <w:contextualSpacing/>
              <w:rPr>
                <w:sz w:val="18"/>
                <w:szCs w:val="18"/>
                <w:lang w:eastAsia="x-none"/>
              </w:rPr>
            </w:pPr>
          </w:p>
        </w:tc>
        <w:tc>
          <w:tcPr>
            <w:tcW w:w="1160" w:type="dxa"/>
          </w:tcPr>
          <w:p w14:paraId="4C660F0C" w14:textId="77777777" w:rsidR="001F64E3" w:rsidRPr="003869A3" w:rsidRDefault="001F64E3" w:rsidP="003A5434">
            <w:pPr>
              <w:spacing w:before="40" w:after="40"/>
              <w:contextualSpacing/>
              <w:rPr>
                <w:sz w:val="18"/>
                <w:szCs w:val="18"/>
                <w:lang w:eastAsia="x-none"/>
              </w:rPr>
            </w:pPr>
          </w:p>
        </w:tc>
        <w:tc>
          <w:tcPr>
            <w:tcW w:w="1169" w:type="dxa"/>
          </w:tcPr>
          <w:p w14:paraId="025C26C4" w14:textId="77777777" w:rsidR="001F64E3" w:rsidRPr="003869A3" w:rsidRDefault="001F64E3" w:rsidP="003A5434">
            <w:pPr>
              <w:spacing w:before="40" w:after="40"/>
              <w:contextualSpacing/>
              <w:rPr>
                <w:sz w:val="18"/>
                <w:szCs w:val="18"/>
                <w:lang w:eastAsia="x-none"/>
              </w:rPr>
            </w:pPr>
          </w:p>
        </w:tc>
        <w:tc>
          <w:tcPr>
            <w:tcW w:w="720" w:type="dxa"/>
          </w:tcPr>
          <w:p w14:paraId="2447D3CB" w14:textId="77777777" w:rsidR="001F64E3" w:rsidRPr="003869A3" w:rsidRDefault="001F64E3" w:rsidP="003A5434">
            <w:pPr>
              <w:spacing w:before="40" w:after="40"/>
              <w:contextualSpacing/>
              <w:rPr>
                <w:sz w:val="18"/>
                <w:szCs w:val="18"/>
                <w:lang w:eastAsia="x-none"/>
              </w:rPr>
            </w:pPr>
          </w:p>
        </w:tc>
        <w:tc>
          <w:tcPr>
            <w:tcW w:w="900" w:type="dxa"/>
          </w:tcPr>
          <w:p w14:paraId="7294DB20" w14:textId="77777777" w:rsidR="001F64E3" w:rsidRPr="003869A3" w:rsidRDefault="001F64E3" w:rsidP="003A5434">
            <w:pPr>
              <w:spacing w:before="40" w:after="40"/>
              <w:contextualSpacing/>
              <w:rPr>
                <w:sz w:val="18"/>
                <w:szCs w:val="18"/>
                <w:lang w:eastAsia="x-none"/>
              </w:rPr>
            </w:pPr>
          </w:p>
        </w:tc>
      </w:tr>
      <w:tr w:rsidR="001F64E3" w:rsidRPr="00393C65" w14:paraId="53D859D1" w14:textId="77777777" w:rsidTr="003A5434">
        <w:trPr>
          <w:trHeight w:val="553"/>
        </w:trPr>
        <w:tc>
          <w:tcPr>
            <w:tcW w:w="1725" w:type="dxa"/>
          </w:tcPr>
          <w:p w14:paraId="56B3246B" w14:textId="77777777" w:rsidR="001F64E3" w:rsidRPr="003869A3" w:rsidRDefault="001F64E3" w:rsidP="003A5434">
            <w:pPr>
              <w:spacing w:before="40" w:after="40"/>
              <w:contextualSpacing/>
              <w:rPr>
                <w:sz w:val="18"/>
                <w:szCs w:val="18"/>
                <w:lang w:eastAsia="x-none"/>
              </w:rPr>
            </w:pPr>
          </w:p>
        </w:tc>
        <w:tc>
          <w:tcPr>
            <w:tcW w:w="969" w:type="dxa"/>
          </w:tcPr>
          <w:p w14:paraId="318907B8" w14:textId="77777777" w:rsidR="001F64E3" w:rsidRPr="003869A3" w:rsidRDefault="001F64E3" w:rsidP="003A5434">
            <w:pPr>
              <w:spacing w:before="40" w:after="40"/>
              <w:contextualSpacing/>
              <w:rPr>
                <w:sz w:val="18"/>
                <w:szCs w:val="18"/>
                <w:lang w:eastAsia="x-none"/>
              </w:rPr>
            </w:pPr>
          </w:p>
        </w:tc>
        <w:tc>
          <w:tcPr>
            <w:tcW w:w="709" w:type="dxa"/>
          </w:tcPr>
          <w:p w14:paraId="70F9F86E" w14:textId="77777777" w:rsidR="001F64E3" w:rsidRPr="003869A3" w:rsidRDefault="001F64E3" w:rsidP="003A5434">
            <w:pPr>
              <w:spacing w:before="40" w:after="40"/>
              <w:contextualSpacing/>
              <w:rPr>
                <w:sz w:val="18"/>
                <w:szCs w:val="18"/>
                <w:lang w:eastAsia="x-none"/>
              </w:rPr>
            </w:pPr>
          </w:p>
        </w:tc>
        <w:tc>
          <w:tcPr>
            <w:tcW w:w="992" w:type="dxa"/>
          </w:tcPr>
          <w:p w14:paraId="40BC84F4" w14:textId="77777777" w:rsidR="001F64E3" w:rsidRPr="003869A3" w:rsidRDefault="001F64E3" w:rsidP="003A5434">
            <w:pPr>
              <w:spacing w:before="40" w:after="40"/>
              <w:contextualSpacing/>
              <w:rPr>
                <w:sz w:val="18"/>
                <w:szCs w:val="18"/>
                <w:lang w:eastAsia="x-none"/>
              </w:rPr>
            </w:pPr>
          </w:p>
        </w:tc>
        <w:tc>
          <w:tcPr>
            <w:tcW w:w="1276" w:type="dxa"/>
          </w:tcPr>
          <w:p w14:paraId="1B455B2F" w14:textId="77777777" w:rsidR="001F64E3" w:rsidRPr="003869A3" w:rsidRDefault="001F64E3" w:rsidP="003A5434">
            <w:pPr>
              <w:spacing w:before="40" w:after="40"/>
              <w:contextualSpacing/>
              <w:rPr>
                <w:sz w:val="18"/>
                <w:szCs w:val="18"/>
                <w:lang w:eastAsia="x-none"/>
              </w:rPr>
            </w:pPr>
          </w:p>
        </w:tc>
        <w:tc>
          <w:tcPr>
            <w:tcW w:w="2105" w:type="dxa"/>
          </w:tcPr>
          <w:p w14:paraId="4EC7EC0C" w14:textId="77777777" w:rsidR="001F64E3" w:rsidRPr="003869A3" w:rsidRDefault="001F64E3" w:rsidP="003A5434">
            <w:pPr>
              <w:spacing w:before="40" w:after="40"/>
              <w:contextualSpacing/>
              <w:rPr>
                <w:sz w:val="18"/>
                <w:szCs w:val="18"/>
                <w:lang w:eastAsia="x-none"/>
              </w:rPr>
            </w:pPr>
          </w:p>
        </w:tc>
        <w:tc>
          <w:tcPr>
            <w:tcW w:w="1348" w:type="dxa"/>
          </w:tcPr>
          <w:p w14:paraId="66B75742" w14:textId="77777777" w:rsidR="001F64E3" w:rsidRPr="003869A3" w:rsidRDefault="001F64E3" w:rsidP="003A5434">
            <w:pPr>
              <w:spacing w:before="40" w:after="40"/>
              <w:contextualSpacing/>
              <w:rPr>
                <w:sz w:val="18"/>
                <w:szCs w:val="18"/>
                <w:lang w:eastAsia="x-none"/>
              </w:rPr>
            </w:pPr>
          </w:p>
        </w:tc>
        <w:tc>
          <w:tcPr>
            <w:tcW w:w="1259" w:type="dxa"/>
          </w:tcPr>
          <w:p w14:paraId="229B6315" w14:textId="77777777" w:rsidR="001F64E3" w:rsidRPr="003869A3" w:rsidRDefault="001F64E3" w:rsidP="003A5434">
            <w:pPr>
              <w:spacing w:before="40" w:after="40"/>
              <w:contextualSpacing/>
              <w:rPr>
                <w:sz w:val="18"/>
                <w:szCs w:val="18"/>
                <w:lang w:eastAsia="x-none"/>
              </w:rPr>
            </w:pPr>
          </w:p>
        </w:tc>
        <w:tc>
          <w:tcPr>
            <w:tcW w:w="1017" w:type="dxa"/>
          </w:tcPr>
          <w:p w14:paraId="3E34E9E1" w14:textId="77777777" w:rsidR="001F64E3" w:rsidRPr="003869A3" w:rsidRDefault="001F64E3" w:rsidP="003A5434">
            <w:pPr>
              <w:spacing w:before="40" w:after="40"/>
              <w:contextualSpacing/>
              <w:rPr>
                <w:sz w:val="18"/>
                <w:szCs w:val="18"/>
                <w:lang w:eastAsia="x-none"/>
              </w:rPr>
            </w:pPr>
          </w:p>
        </w:tc>
        <w:tc>
          <w:tcPr>
            <w:tcW w:w="1160" w:type="dxa"/>
          </w:tcPr>
          <w:p w14:paraId="0EFD40FF" w14:textId="77777777" w:rsidR="001F64E3" w:rsidRPr="003869A3" w:rsidRDefault="001F64E3" w:rsidP="003A5434">
            <w:pPr>
              <w:spacing w:before="40" w:after="40"/>
              <w:contextualSpacing/>
              <w:rPr>
                <w:sz w:val="18"/>
                <w:szCs w:val="18"/>
                <w:lang w:eastAsia="x-none"/>
              </w:rPr>
            </w:pPr>
          </w:p>
        </w:tc>
        <w:tc>
          <w:tcPr>
            <w:tcW w:w="1169" w:type="dxa"/>
          </w:tcPr>
          <w:p w14:paraId="24B32B77" w14:textId="77777777" w:rsidR="001F64E3" w:rsidRPr="003869A3" w:rsidRDefault="001F64E3" w:rsidP="003A5434">
            <w:pPr>
              <w:spacing w:before="40" w:after="40"/>
              <w:contextualSpacing/>
              <w:rPr>
                <w:sz w:val="18"/>
                <w:szCs w:val="18"/>
                <w:lang w:eastAsia="x-none"/>
              </w:rPr>
            </w:pPr>
          </w:p>
        </w:tc>
        <w:tc>
          <w:tcPr>
            <w:tcW w:w="720" w:type="dxa"/>
          </w:tcPr>
          <w:p w14:paraId="089729E2" w14:textId="77777777" w:rsidR="001F64E3" w:rsidRPr="003869A3" w:rsidRDefault="001F64E3" w:rsidP="003A5434">
            <w:pPr>
              <w:spacing w:before="40" w:after="40"/>
              <w:contextualSpacing/>
              <w:rPr>
                <w:sz w:val="18"/>
                <w:szCs w:val="18"/>
                <w:lang w:eastAsia="x-none"/>
              </w:rPr>
            </w:pPr>
          </w:p>
        </w:tc>
        <w:tc>
          <w:tcPr>
            <w:tcW w:w="900" w:type="dxa"/>
          </w:tcPr>
          <w:p w14:paraId="2A2E78AD" w14:textId="77777777" w:rsidR="001F64E3" w:rsidRPr="003869A3" w:rsidRDefault="001F64E3" w:rsidP="003A5434">
            <w:pPr>
              <w:spacing w:before="40" w:after="40"/>
              <w:contextualSpacing/>
              <w:rPr>
                <w:sz w:val="18"/>
                <w:szCs w:val="18"/>
                <w:lang w:eastAsia="x-none"/>
              </w:rPr>
            </w:pPr>
          </w:p>
        </w:tc>
      </w:tr>
      <w:tr w:rsidR="001F64E3" w:rsidRPr="00393C65" w14:paraId="0F86A8EF" w14:textId="77777777" w:rsidTr="003A5434">
        <w:trPr>
          <w:trHeight w:val="553"/>
        </w:trPr>
        <w:tc>
          <w:tcPr>
            <w:tcW w:w="1725" w:type="dxa"/>
          </w:tcPr>
          <w:p w14:paraId="2DFA8004" w14:textId="77777777" w:rsidR="001F64E3" w:rsidRPr="003869A3" w:rsidRDefault="001F64E3" w:rsidP="003A5434">
            <w:pPr>
              <w:spacing w:before="40" w:after="40"/>
              <w:contextualSpacing/>
              <w:rPr>
                <w:sz w:val="18"/>
                <w:szCs w:val="18"/>
                <w:lang w:eastAsia="x-none"/>
              </w:rPr>
            </w:pPr>
          </w:p>
        </w:tc>
        <w:tc>
          <w:tcPr>
            <w:tcW w:w="969" w:type="dxa"/>
          </w:tcPr>
          <w:p w14:paraId="7E0DF22A" w14:textId="77777777" w:rsidR="001F64E3" w:rsidRPr="003869A3" w:rsidRDefault="001F64E3" w:rsidP="003A5434">
            <w:pPr>
              <w:spacing w:before="40" w:after="40"/>
              <w:contextualSpacing/>
              <w:rPr>
                <w:sz w:val="18"/>
                <w:szCs w:val="18"/>
                <w:lang w:eastAsia="x-none"/>
              </w:rPr>
            </w:pPr>
          </w:p>
        </w:tc>
        <w:tc>
          <w:tcPr>
            <w:tcW w:w="709" w:type="dxa"/>
          </w:tcPr>
          <w:p w14:paraId="781037DB" w14:textId="77777777" w:rsidR="001F64E3" w:rsidRPr="003869A3" w:rsidRDefault="001F64E3" w:rsidP="003A5434">
            <w:pPr>
              <w:spacing w:before="40" w:after="40"/>
              <w:contextualSpacing/>
              <w:rPr>
                <w:sz w:val="18"/>
                <w:szCs w:val="18"/>
                <w:lang w:eastAsia="x-none"/>
              </w:rPr>
            </w:pPr>
          </w:p>
        </w:tc>
        <w:tc>
          <w:tcPr>
            <w:tcW w:w="992" w:type="dxa"/>
          </w:tcPr>
          <w:p w14:paraId="213BBD7A" w14:textId="77777777" w:rsidR="001F64E3" w:rsidRPr="003869A3" w:rsidRDefault="001F64E3" w:rsidP="003A5434">
            <w:pPr>
              <w:spacing w:before="40" w:after="40"/>
              <w:contextualSpacing/>
              <w:rPr>
                <w:sz w:val="18"/>
                <w:szCs w:val="18"/>
                <w:lang w:eastAsia="x-none"/>
              </w:rPr>
            </w:pPr>
          </w:p>
        </w:tc>
        <w:tc>
          <w:tcPr>
            <w:tcW w:w="1276" w:type="dxa"/>
          </w:tcPr>
          <w:p w14:paraId="0BE0C0F9" w14:textId="77777777" w:rsidR="001F64E3" w:rsidRPr="003869A3" w:rsidRDefault="001F64E3" w:rsidP="003A5434">
            <w:pPr>
              <w:spacing w:before="40" w:after="40"/>
              <w:contextualSpacing/>
              <w:rPr>
                <w:sz w:val="18"/>
                <w:szCs w:val="18"/>
                <w:lang w:eastAsia="x-none"/>
              </w:rPr>
            </w:pPr>
          </w:p>
        </w:tc>
        <w:tc>
          <w:tcPr>
            <w:tcW w:w="2105" w:type="dxa"/>
          </w:tcPr>
          <w:p w14:paraId="4857C728" w14:textId="77777777" w:rsidR="001F64E3" w:rsidRPr="003869A3" w:rsidRDefault="001F64E3" w:rsidP="003A5434">
            <w:pPr>
              <w:spacing w:before="40" w:after="40"/>
              <w:contextualSpacing/>
              <w:rPr>
                <w:sz w:val="18"/>
                <w:szCs w:val="18"/>
                <w:lang w:eastAsia="x-none"/>
              </w:rPr>
            </w:pPr>
          </w:p>
        </w:tc>
        <w:tc>
          <w:tcPr>
            <w:tcW w:w="1348" w:type="dxa"/>
          </w:tcPr>
          <w:p w14:paraId="6A8013EF" w14:textId="77777777" w:rsidR="001F64E3" w:rsidRPr="003869A3" w:rsidRDefault="001F64E3" w:rsidP="003A5434">
            <w:pPr>
              <w:spacing w:before="40" w:after="40"/>
              <w:contextualSpacing/>
              <w:rPr>
                <w:sz w:val="18"/>
                <w:szCs w:val="18"/>
                <w:lang w:eastAsia="x-none"/>
              </w:rPr>
            </w:pPr>
          </w:p>
        </w:tc>
        <w:tc>
          <w:tcPr>
            <w:tcW w:w="1259" w:type="dxa"/>
          </w:tcPr>
          <w:p w14:paraId="4E899FD3" w14:textId="77777777" w:rsidR="001F64E3" w:rsidRPr="003869A3" w:rsidRDefault="001F64E3" w:rsidP="003A5434">
            <w:pPr>
              <w:spacing w:before="40" w:after="40"/>
              <w:contextualSpacing/>
              <w:rPr>
                <w:sz w:val="18"/>
                <w:szCs w:val="18"/>
                <w:lang w:eastAsia="x-none"/>
              </w:rPr>
            </w:pPr>
          </w:p>
        </w:tc>
        <w:tc>
          <w:tcPr>
            <w:tcW w:w="1017" w:type="dxa"/>
          </w:tcPr>
          <w:p w14:paraId="10C53FFE" w14:textId="77777777" w:rsidR="001F64E3" w:rsidRPr="003869A3" w:rsidRDefault="001F64E3" w:rsidP="003A5434">
            <w:pPr>
              <w:spacing w:before="40" w:after="40"/>
              <w:contextualSpacing/>
              <w:rPr>
                <w:sz w:val="18"/>
                <w:szCs w:val="18"/>
                <w:lang w:eastAsia="x-none"/>
              </w:rPr>
            </w:pPr>
          </w:p>
        </w:tc>
        <w:tc>
          <w:tcPr>
            <w:tcW w:w="1160" w:type="dxa"/>
          </w:tcPr>
          <w:p w14:paraId="7A349AAF" w14:textId="77777777" w:rsidR="001F64E3" w:rsidRPr="003869A3" w:rsidRDefault="001F64E3" w:rsidP="003A5434">
            <w:pPr>
              <w:spacing w:before="40" w:after="40"/>
              <w:contextualSpacing/>
              <w:rPr>
                <w:sz w:val="18"/>
                <w:szCs w:val="18"/>
                <w:lang w:eastAsia="x-none"/>
              </w:rPr>
            </w:pPr>
          </w:p>
        </w:tc>
        <w:tc>
          <w:tcPr>
            <w:tcW w:w="1169" w:type="dxa"/>
          </w:tcPr>
          <w:p w14:paraId="4F1F1A3E" w14:textId="77777777" w:rsidR="001F64E3" w:rsidRPr="003869A3" w:rsidRDefault="001F64E3" w:rsidP="003A5434">
            <w:pPr>
              <w:spacing w:before="40" w:after="40"/>
              <w:contextualSpacing/>
              <w:rPr>
                <w:sz w:val="18"/>
                <w:szCs w:val="18"/>
                <w:lang w:eastAsia="x-none"/>
              </w:rPr>
            </w:pPr>
          </w:p>
        </w:tc>
        <w:tc>
          <w:tcPr>
            <w:tcW w:w="720" w:type="dxa"/>
          </w:tcPr>
          <w:p w14:paraId="773EA14D" w14:textId="77777777" w:rsidR="001F64E3" w:rsidRPr="003869A3" w:rsidRDefault="001F64E3" w:rsidP="003A5434">
            <w:pPr>
              <w:spacing w:before="40" w:after="40"/>
              <w:contextualSpacing/>
              <w:rPr>
                <w:sz w:val="18"/>
                <w:szCs w:val="18"/>
                <w:lang w:eastAsia="x-none"/>
              </w:rPr>
            </w:pPr>
          </w:p>
        </w:tc>
        <w:tc>
          <w:tcPr>
            <w:tcW w:w="900" w:type="dxa"/>
          </w:tcPr>
          <w:p w14:paraId="38BEEC94" w14:textId="77777777" w:rsidR="001F64E3" w:rsidRPr="003869A3" w:rsidRDefault="001F64E3" w:rsidP="003A5434">
            <w:pPr>
              <w:spacing w:before="40" w:after="40"/>
              <w:contextualSpacing/>
              <w:rPr>
                <w:sz w:val="18"/>
                <w:szCs w:val="18"/>
                <w:lang w:eastAsia="x-none"/>
              </w:rPr>
            </w:pPr>
          </w:p>
        </w:tc>
      </w:tr>
      <w:tr w:rsidR="001F64E3" w:rsidRPr="00393C65" w14:paraId="44BBB13E" w14:textId="77777777" w:rsidTr="003A5434">
        <w:trPr>
          <w:trHeight w:val="553"/>
        </w:trPr>
        <w:tc>
          <w:tcPr>
            <w:tcW w:w="1725" w:type="dxa"/>
          </w:tcPr>
          <w:p w14:paraId="3C0B9105" w14:textId="77777777" w:rsidR="001F64E3" w:rsidRPr="003869A3" w:rsidRDefault="001F64E3" w:rsidP="003A5434">
            <w:pPr>
              <w:spacing w:before="40" w:after="40"/>
              <w:contextualSpacing/>
              <w:rPr>
                <w:sz w:val="18"/>
                <w:szCs w:val="18"/>
                <w:lang w:eastAsia="x-none"/>
              </w:rPr>
            </w:pPr>
          </w:p>
        </w:tc>
        <w:tc>
          <w:tcPr>
            <w:tcW w:w="969" w:type="dxa"/>
          </w:tcPr>
          <w:p w14:paraId="22C74F80" w14:textId="77777777" w:rsidR="001F64E3" w:rsidRPr="003869A3" w:rsidRDefault="001F64E3" w:rsidP="003A5434">
            <w:pPr>
              <w:spacing w:before="40" w:after="40"/>
              <w:contextualSpacing/>
              <w:rPr>
                <w:sz w:val="18"/>
                <w:szCs w:val="18"/>
                <w:lang w:eastAsia="x-none"/>
              </w:rPr>
            </w:pPr>
          </w:p>
        </w:tc>
        <w:tc>
          <w:tcPr>
            <w:tcW w:w="709" w:type="dxa"/>
          </w:tcPr>
          <w:p w14:paraId="53419D71" w14:textId="77777777" w:rsidR="001F64E3" w:rsidRPr="003869A3" w:rsidRDefault="001F64E3" w:rsidP="003A5434">
            <w:pPr>
              <w:spacing w:before="40" w:after="40"/>
              <w:contextualSpacing/>
              <w:rPr>
                <w:sz w:val="18"/>
                <w:szCs w:val="18"/>
                <w:lang w:eastAsia="x-none"/>
              </w:rPr>
            </w:pPr>
          </w:p>
        </w:tc>
        <w:tc>
          <w:tcPr>
            <w:tcW w:w="992" w:type="dxa"/>
          </w:tcPr>
          <w:p w14:paraId="1741DDE2" w14:textId="77777777" w:rsidR="001F64E3" w:rsidRPr="003869A3" w:rsidRDefault="001F64E3" w:rsidP="003A5434">
            <w:pPr>
              <w:spacing w:before="40" w:after="40"/>
              <w:contextualSpacing/>
              <w:rPr>
                <w:sz w:val="18"/>
                <w:szCs w:val="18"/>
                <w:lang w:eastAsia="x-none"/>
              </w:rPr>
            </w:pPr>
          </w:p>
        </w:tc>
        <w:tc>
          <w:tcPr>
            <w:tcW w:w="1276" w:type="dxa"/>
          </w:tcPr>
          <w:p w14:paraId="54E9D4CF" w14:textId="77777777" w:rsidR="001F64E3" w:rsidRPr="003869A3" w:rsidRDefault="001F64E3" w:rsidP="003A5434">
            <w:pPr>
              <w:spacing w:before="40" w:after="40"/>
              <w:contextualSpacing/>
              <w:rPr>
                <w:sz w:val="18"/>
                <w:szCs w:val="18"/>
                <w:lang w:eastAsia="x-none"/>
              </w:rPr>
            </w:pPr>
          </w:p>
        </w:tc>
        <w:tc>
          <w:tcPr>
            <w:tcW w:w="2105" w:type="dxa"/>
          </w:tcPr>
          <w:p w14:paraId="2995DB66" w14:textId="77777777" w:rsidR="001F64E3" w:rsidRPr="003869A3" w:rsidRDefault="001F64E3" w:rsidP="003A5434">
            <w:pPr>
              <w:spacing w:before="40" w:after="40"/>
              <w:contextualSpacing/>
              <w:rPr>
                <w:sz w:val="18"/>
                <w:szCs w:val="18"/>
                <w:lang w:eastAsia="x-none"/>
              </w:rPr>
            </w:pPr>
          </w:p>
        </w:tc>
        <w:tc>
          <w:tcPr>
            <w:tcW w:w="1348" w:type="dxa"/>
          </w:tcPr>
          <w:p w14:paraId="750E957E" w14:textId="77777777" w:rsidR="001F64E3" w:rsidRPr="003869A3" w:rsidRDefault="001F64E3" w:rsidP="003A5434">
            <w:pPr>
              <w:spacing w:before="40" w:after="40"/>
              <w:contextualSpacing/>
              <w:rPr>
                <w:sz w:val="18"/>
                <w:szCs w:val="18"/>
                <w:lang w:eastAsia="x-none"/>
              </w:rPr>
            </w:pPr>
          </w:p>
        </w:tc>
        <w:tc>
          <w:tcPr>
            <w:tcW w:w="1259" w:type="dxa"/>
          </w:tcPr>
          <w:p w14:paraId="4B8A00E1" w14:textId="77777777" w:rsidR="001F64E3" w:rsidRPr="003869A3" w:rsidRDefault="001F64E3" w:rsidP="003A5434">
            <w:pPr>
              <w:spacing w:before="40" w:after="40"/>
              <w:contextualSpacing/>
              <w:rPr>
                <w:sz w:val="18"/>
                <w:szCs w:val="18"/>
                <w:lang w:eastAsia="x-none"/>
              </w:rPr>
            </w:pPr>
          </w:p>
        </w:tc>
        <w:tc>
          <w:tcPr>
            <w:tcW w:w="1017" w:type="dxa"/>
          </w:tcPr>
          <w:p w14:paraId="08508631" w14:textId="77777777" w:rsidR="001F64E3" w:rsidRPr="003869A3" w:rsidRDefault="001F64E3" w:rsidP="003A5434">
            <w:pPr>
              <w:spacing w:before="40" w:after="40"/>
              <w:contextualSpacing/>
              <w:rPr>
                <w:sz w:val="18"/>
                <w:szCs w:val="18"/>
                <w:lang w:eastAsia="x-none"/>
              </w:rPr>
            </w:pPr>
          </w:p>
        </w:tc>
        <w:tc>
          <w:tcPr>
            <w:tcW w:w="1160" w:type="dxa"/>
          </w:tcPr>
          <w:p w14:paraId="1438C019" w14:textId="77777777" w:rsidR="001F64E3" w:rsidRPr="003869A3" w:rsidRDefault="001F64E3" w:rsidP="003A5434">
            <w:pPr>
              <w:spacing w:before="40" w:after="40"/>
              <w:contextualSpacing/>
              <w:rPr>
                <w:sz w:val="18"/>
                <w:szCs w:val="18"/>
                <w:lang w:eastAsia="x-none"/>
              </w:rPr>
            </w:pPr>
          </w:p>
        </w:tc>
        <w:tc>
          <w:tcPr>
            <w:tcW w:w="1169" w:type="dxa"/>
          </w:tcPr>
          <w:p w14:paraId="602E3EB2" w14:textId="77777777" w:rsidR="001F64E3" w:rsidRPr="003869A3" w:rsidRDefault="001F64E3" w:rsidP="003A5434">
            <w:pPr>
              <w:spacing w:before="40" w:after="40"/>
              <w:contextualSpacing/>
              <w:rPr>
                <w:sz w:val="18"/>
                <w:szCs w:val="18"/>
                <w:lang w:eastAsia="x-none"/>
              </w:rPr>
            </w:pPr>
          </w:p>
        </w:tc>
        <w:tc>
          <w:tcPr>
            <w:tcW w:w="720" w:type="dxa"/>
          </w:tcPr>
          <w:p w14:paraId="692814AB" w14:textId="77777777" w:rsidR="001F64E3" w:rsidRPr="003869A3" w:rsidRDefault="001F64E3" w:rsidP="003A5434">
            <w:pPr>
              <w:spacing w:before="40" w:after="40"/>
              <w:contextualSpacing/>
              <w:rPr>
                <w:sz w:val="18"/>
                <w:szCs w:val="18"/>
                <w:lang w:eastAsia="x-none"/>
              </w:rPr>
            </w:pPr>
          </w:p>
        </w:tc>
        <w:tc>
          <w:tcPr>
            <w:tcW w:w="900" w:type="dxa"/>
          </w:tcPr>
          <w:p w14:paraId="41ADD470" w14:textId="77777777" w:rsidR="001F64E3" w:rsidRPr="003869A3" w:rsidRDefault="001F64E3" w:rsidP="003A5434">
            <w:pPr>
              <w:spacing w:before="40" w:after="40"/>
              <w:contextualSpacing/>
              <w:rPr>
                <w:sz w:val="18"/>
                <w:szCs w:val="18"/>
                <w:lang w:eastAsia="x-none"/>
              </w:rPr>
            </w:pPr>
          </w:p>
        </w:tc>
      </w:tr>
    </w:tbl>
    <w:p w14:paraId="6F8B6838" w14:textId="77777777" w:rsidR="001F64E3" w:rsidRDefault="001F64E3" w:rsidP="001F64E3">
      <w:pPr>
        <w:rPr>
          <w:color w:val="FF0000"/>
        </w:rPr>
        <w:sectPr w:rsidR="001F64E3" w:rsidSect="001F64E3">
          <w:pgSz w:w="16840" w:h="11900" w:orient="landscape"/>
          <w:pgMar w:top="1440" w:right="1440" w:bottom="1440" w:left="1440" w:header="708" w:footer="708" w:gutter="0"/>
          <w:cols w:space="708"/>
          <w:docGrid w:linePitch="360"/>
        </w:sectPr>
      </w:pPr>
      <w:r>
        <w:rPr>
          <w:color w:val="FF0000"/>
        </w:rPr>
        <w:br w:type="page"/>
      </w:r>
    </w:p>
    <w:p w14:paraId="522A1E3C" w14:textId="77777777" w:rsidR="001F64E3" w:rsidRDefault="001F64E3" w:rsidP="001F64E3">
      <w:pPr>
        <w:pStyle w:val="Heading1"/>
        <w:numPr>
          <w:ilvl w:val="0"/>
          <w:numId w:val="0"/>
        </w:numPr>
      </w:pPr>
      <w:r>
        <w:lastRenderedPageBreak/>
        <w:t>ANNEX 2: SAMPLE FORM TO SUBMIT GRIEVANCES</w:t>
      </w:r>
    </w:p>
    <w:p w14:paraId="34D6C13C" w14:textId="77777777" w:rsidR="001F64E3" w:rsidRPr="00FF5068" w:rsidRDefault="001F64E3" w:rsidP="001F64E3">
      <w:pPr>
        <w:rPr>
          <w:rFonts w:eastAsia="Times New Roman" w:cs="Times New Roman"/>
        </w:rPr>
      </w:pPr>
    </w:p>
    <w:p w14:paraId="2DBFE1AE" w14:textId="77777777" w:rsidR="001F64E3" w:rsidRPr="00FF5068" w:rsidRDefault="001F64E3" w:rsidP="001F64E3">
      <w:pPr>
        <w:rPr>
          <w:rFonts w:eastAsia="Times New Roman" w:cs="Times New Roman"/>
        </w:rPr>
      </w:pPr>
      <w:r>
        <w:rPr>
          <w:rFonts w:eastAsia="Times New Roman" w:cs="Times New Roman"/>
        </w:rPr>
        <w:t xml:space="preserve">FULL </w:t>
      </w:r>
      <w:r w:rsidRPr="00FF5068">
        <w:rPr>
          <w:rFonts w:eastAsia="Times New Roman" w:cs="Times New Roman"/>
        </w:rPr>
        <w:t xml:space="preserve">NAME </w:t>
      </w:r>
      <w:r>
        <w:rPr>
          <w:rFonts w:eastAsia="Times New Roman" w:cs="Times New Roman"/>
        </w:rPr>
        <w:t xml:space="preserve">AND LAST NAME of Complainant </w:t>
      </w:r>
      <w:r w:rsidRPr="00FF5068">
        <w:rPr>
          <w:rFonts w:eastAsia="Times New Roman" w:cs="Times New Roman"/>
        </w:rPr>
        <w:t>(or Anonymous): ____________________</w:t>
      </w:r>
      <w:r>
        <w:rPr>
          <w:rFonts w:eastAsia="Times New Roman" w:cs="Times New Roman"/>
        </w:rPr>
        <w:t>_________________________________</w:t>
      </w:r>
      <w:r w:rsidRPr="00FF5068">
        <w:rPr>
          <w:rFonts w:eastAsia="Times New Roman" w:cs="Times New Roman"/>
        </w:rPr>
        <w:t>____________</w:t>
      </w:r>
      <w:r>
        <w:rPr>
          <w:rFonts w:eastAsia="Times New Roman" w:cs="Times New Roman"/>
        </w:rPr>
        <w:t>__________</w:t>
      </w:r>
    </w:p>
    <w:p w14:paraId="3541A39B" w14:textId="77777777" w:rsidR="001F64E3" w:rsidRPr="00FF5068" w:rsidRDefault="001F64E3" w:rsidP="001F64E3">
      <w:pPr>
        <w:rPr>
          <w:rFonts w:eastAsia="Times New Roman" w:cs="Times New Roman"/>
        </w:rPr>
      </w:pPr>
    </w:p>
    <w:p w14:paraId="322E5185" w14:textId="77777777" w:rsidR="001F64E3" w:rsidRDefault="001F64E3" w:rsidP="001F64E3">
      <w:pPr>
        <w:rPr>
          <w:rFonts w:eastAsia="Times New Roman" w:cs="Times New Roman"/>
        </w:rPr>
      </w:pPr>
      <w:r>
        <w:rPr>
          <w:rFonts w:eastAsia="Times New Roman" w:cs="Times New Roman"/>
        </w:rPr>
        <w:t>GENDER: __________________________</w:t>
      </w:r>
    </w:p>
    <w:p w14:paraId="35FA177C" w14:textId="77777777" w:rsidR="001F64E3" w:rsidRDefault="001F64E3" w:rsidP="001F64E3">
      <w:pPr>
        <w:rPr>
          <w:rFonts w:eastAsia="Times New Roman" w:cs="Times New Roman"/>
        </w:rPr>
      </w:pPr>
    </w:p>
    <w:p w14:paraId="5663C46A" w14:textId="77777777" w:rsidR="001F64E3" w:rsidRDefault="001F64E3" w:rsidP="001F64E3">
      <w:pPr>
        <w:rPr>
          <w:rFonts w:eastAsia="Times New Roman" w:cs="Times New Roman"/>
        </w:rPr>
      </w:pPr>
      <w:r>
        <w:rPr>
          <w:rFonts w:eastAsia="Times New Roman" w:cs="Times New Roman"/>
        </w:rPr>
        <w:t>AGE: _____________________________</w:t>
      </w:r>
    </w:p>
    <w:p w14:paraId="4C730494" w14:textId="77777777" w:rsidR="001F64E3" w:rsidRDefault="001F64E3" w:rsidP="001F64E3">
      <w:pPr>
        <w:rPr>
          <w:rFonts w:eastAsia="Times New Roman" w:cs="Times New Roman"/>
        </w:rPr>
      </w:pPr>
    </w:p>
    <w:p w14:paraId="73837515" w14:textId="77777777" w:rsidR="001F64E3" w:rsidRDefault="001F64E3" w:rsidP="001F64E3">
      <w:pPr>
        <w:rPr>
          <w:rFonts w:eastAsia="Times New Roman" w:cs="Times New Roman"/>
        </w:rPr>
      </w:pPr>
      <w:r w:rsidRPr="00FF5068">
        <w:rPr>
          <w:rFonts w:eastAsia="Times New Roman" w:cs="Times New Roman"/>
        </w:rPr>
        <w:t>CONTACT DETAILS</w:t>
      </w:r>
      <w:r>
        <w:rPr>
          <w:rFonts w:eastAsia="Times New Roman" w:cs="Times New Roman"/>
        </w:rPr>
        <w:t xml:space="preserve"> (by post, by telephone, by e-mail)</w:t>
      </w:r>
      <w:r w:rsidRPr="00FF5068">
        <w:rPr>
          <w:rFonts w:eastAsia="Times New Roman" w:cs="Times New Roman"/>
        </w:rPr>
        <w:t>: _______________________</w:t>
      </w:r>
      <w:r>
        <w:rPr>
          <w:rFonts w:eastAsia="Times New Roman" w:cs="Times New Roman"/>
        </w:rPr>
        <w:t>____________________________________________________</w:t>
      </w:r>
      <w:r w:rsidRPr="00FF5068">
        <w:rPr>
          <w:rFonts w:eastAsia="Times New Roman" w:cs="Times New Roman"/>
        </w:rPr>
        <w:t xml:space="preserve"> </w:t>
      </w:r>
    </w:p>
    <w:p w14:paraId="152FA63C" w14:textId="77777777" w:rsidR="001F64E3" w:rsidRPr="00FF5068" w:rsidRDefault="001F64E3" w:rsidP="001F64E3">
      <w:pPr>
        <w:rPr>
          <w:rFonts w:eastAsia="Times New Roman" w:cs="Times New Roman"/>
        </w:rPr>
      </w:pPr>
    </w:p>
    <w:p w14:paraId="60090C29" w14:textId="77777777" w:rsidR="001F64E3" w:rsidRPr="00FF5068" w:rsidRDefault="001F64E3" w:rsidP="001F64E3">
      <w:pPr>
        <w:rPr>
          <w:rFonts w:eastAsia="Times New Roman" w:cs="Times New Roman"/>
        </w:rPr>
      </w:pPr>
      <w:r w:rsidRPr="00FF5068">
        <w:rPr>
          <w:rFonts w:eastAsia="Times New Roman" w:cs="Times New Roman"/>
        </w:rPr>
        <w:t>STATEMENT OF GRIEVANCE (</w:t>
      </w:r>
      <w:r>
        <w:rPr>
          <w:rFonts w:eastAsia="Times New Roman" w:cs="Times New Roman"/>
        </w:rPr>
        <w:t>Reason for complaint and a</w:t>
      </w:r>
      <w:r w:rsidRPr="00FF5068">
        <w:rPr>
          <w:rFonts w:eastAsia="Times New Roman" w:cs="Times New Roman"/>
        </w:rPr>
        <w:t>ctivity leading to complaint</w:t>
      </w:r>
      <w:r>
        <w:rPr>
          <w:rFonts w:eastAsia="Times New Roman" w:cs="Times New Roman"/>
        </w:rPr>
        <w:t>. Please include as much details as possible to answer the following questions: (i) what happened, (ii) when did it happen, (iii) who did it happen to, (iv) what was the impact of what happened. Include additional information as needed/desired.</w:t>
      </w:r>
    </w:p>
    <w:p w14:paraId="56245BDB" w14:textId="77777777" w:rsidR="001F64E3" w:rsidRPr="00FF5068" w:rsidRDefault="001F64E3" w:rsidP="001F64E3">
      <w:r w:rsidRPr="00FF5068">
        <w:t>____________________________________________________________________________________________________________________________________________________________________</w:t>
      </w:r>
    </w:p>
    <w:p w14:paraId="4BE4CE07" w14:textId="77777777" w:rsidR="001F64E3" w:rsidRDefault="001F64E3" w:rsidP="001F64E3">
      <w:r w:rsidRPr="00FF506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C0CAD8" w14:textId="77777777" w:rsidR="001F64E3" w:rsidRPr="00FF5068" w:rsidRDefault="001F64E3" w:rsidP="001F64E3">
      <w:pPr>
        <w:rPr>
          <w:rFonts w:eastAsia="Times New Roman" w:cs="Times New Roman"/>
        </w:rPr>
      </w:pPr>
      <w:r w:rsidRPr="00FF5068">
        <w:t>__________________________________________________________________________________</w:t>
      </w:r>
    </w:p>
    <w:p w14:paraId="36329450" w14:textId="77777777" w:rsidR="001F64E3" w:rsidRDefault="001F64E3" w:rsidP="001F64E3">
      <w:pPr>
        <w:rPr>
          <w:rFonts w:eastAsia="Times New Roman" w:cs="Times New Roman"/>
        </w:rPr>
      </w:pPr>
    </w:p>
    <w:p w14:paraId="4D70A4B7" w14:textId="77777777" w:rsidR="001F64E3" w:rsidRDefault="001F64E3" w:rsidP="001F64E3">
      <w:pPr>
        <w:rPr>
          <w:rFonts w:eastAsia="Times New Roman" w:cs="Times New Roman"/>
        </w:rPr>
      </w:pPr>
    </w:p>
    <w:p w14:paraId="756BF0A5" w14:textId="77777777" w:rsidR="001F64E3" w:rsidRPr="00FF5068" w:rsidRDefault="001F64E3" w:rsidP="001F64E3">
      <w:r w:rsidRPr="00FF5068">
        <w:rPr>
          <w:rFonts w:eastAsia="Times New Roman" w:cs="Times New Roman"/>
        </w:rPr>
        <w:t>REMEDY REQUESTED</w:t>
      </w:r>
      <w:r>
        <w:rPr>
          <w:rFonts w:eastAsia="Times New Roman" w:cs="Times New Roman"/>
        </w:rPr>
        <w:t xml:space="preserve"> BY COMPLAINT</w:t>
      </w:r>
      <w:r w:rsidRPr="00FF5068">
        <w:rPr>
          <w:rFonts w:eastAsia="Times New Roman" w:cs="Times New Roman"/>
        </w:rPr>
        <w:t xml:space="preserve">: </w:t>
      </w:r>
      <w:r w:rsidRPr="00FF5068">
        <w:t>____________________________________________________________________________________________________________________________________________________________________</w:t>
      </w:r>
    </w:p>
    <w:p w14:paraId="48FBE6EC" w14:textId="77777777" w:rsidR="001F64E3" w:rsidRPr="00FF5068" w:rsidRDefault="001F64E3" w:rsidP="001F64E3">
      <w:r w:rsidRPr="00FF506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D6C4AE" w14:textId="77777777" w:rsidR="001F64E3" w:rsidRPr="00FF5068" w:rsidRDefault="001F64E3" w:rsidP="001F64E3">
      <w:pPr>
        <w:rPr>
          <w:rFonts w:eastAsia="Times New Roman" w:cs="Times New Roman"/>
        </w:rPr>
      </w:pPr>
      <w:r w:rsidRPr="00FF5068">
        <w:lastRenderedPageBreak/>
        <w:t>____________________________________________________________________________________________________________________________________________________________________</w:t>
      </w:r>
    </w:p>
    <w:p w14:paraId="0443EBA1" w14:textId="77777777" w:rsidR="001F64E3" w:rsidRDefault="001F64E3" w:rsidP="001F64E3">
      <w:pPr>
        <w:rPr>
          <w:rFonts w:eastAsia="Times New Roman" w:cs="Times New Roman"/>
        </w:rPr>
      </w:pPr>
    </w:p>
    <w:p w14:paraId="3CB33D9B" w14:textId="77777777" w:rsidR="001F64E3" w:rsidRDefault="001F64E3" w:rsidP="001F64E3">
      <w:pPr>
        <w:rPr>
          <w:rFonts w:eastAsia="Times New Roman" w:cs="Times New Roman"/>
        </w:rPr>
      </w:pPr>
    </w:p>
    <w:p w14:paraId="434F4408" w14:textId="77777777" w:rsidR="001F64E3" w:rsidRDefault="001F64E3" w:rsidP="001F64E3">
      <w:pPr>
        <w:rPr>
          <w:rFonts w:eastAsia="Times New Roman" w:cs="Times New Roman"/>
        </w:rPr>
      </w:pPr>
    </w:p>
    <w:p w14:paraId="52F1C491" w14:textId="77777777" w:rsidR="001F64E3" w:rsidRPr="00FF5068" w:rsidRDefault="001F64E3" w:rsidP="001F64E3">
      <w:pPr>
        <w:rPr>
          <w:rFonts w:eastAsia="Times New Roman" w:cs="Times New Roman"/>
        </w:rPr>
      </w:pPr>
      <w:r w:rsidRPr="00FF5068">
        <w:rPr>
          <w:rFonts w:eastAsia="Times New Roman" w:cs="Times New Roman"/>
        </w:rPr>
        <w:t>SIGNATURE: _______________________</w:t>
      </w:r>
      <w:r>
        <w:rPr>
          <w:rFonts w:eastAsia="Times New Roman" w:cs="Times New Roman"/>
        </w:rPr>
        <w:t>____</w:t>
      </w:r>
      <w:r w:rsidRPr="00FF5068">
        <w:rPr>
          <w:rFonts w:eastAsia="Times New Roman" w:cs="Times New Roman"/>
        </w:rPr>
        <w:t xml:space="preserve"> </w:t>
      </w:r>
      <w:r>
        <w:rPr>
          <w:rFonts w:eastAsia="Times New Roman" w:cs="Times New Roman"/>
        </w:rPr>
        <w:t xml:space="preserve">        </w:t>
      </w:r>
      <w:r w:rsidRPr="00FF5068">
        <w:rPr>
          <w:rFonts w:eastAsia="Times New Roman" w:cs="Times New Roman"/>
        </w:rPr>
        <w:t>DATE: _______________</w:t>
      </w:r>
      <w:r>
        <w:rPr>
          <w:rFonts w:eastAsia="Times New Roman" w:cs="Times New Roman"/>
        </w:rPr>
        <w:t>_____________</w:t>
      </w:r>
    </w:p>
    <w:p w14:paraId="200ECA77" w14:textId="77777777" w:rsidR="001F64E3" w:rsidRDefault="001F64E3" w:rsidP="001F64E3">
      <w:pPr>
        <w:rPr>
          <w:rFonts w:ascii="Times New Roman" w:eastAsia="Times New Roman" w:hAnsi="Times New Roman" w:cs="Times New Roman"/>
        </w:rPr>
      </w:pPr>
    </w:p>
    <w:p w14:paraId="7279FE42" w14:textId="77777777" w:rsidR="001F64E3" w:rsidRDefault="001F64E3" w:rsidP="001F64E3">
      <w:pPr>
        <w:rPr>
          <w:rFonts w:ascii="Times New Roman" w:eastAsia="Times New Roman" w:hAnsi="Times New Roman" w:cs="Times New Roman"/>
        </w:rPr>
      </w:pPr>
    </w:p>
    <w:p w14:paraId="4D1C31AC" w14:textId="77777777" w:rsidR="001F64E3" w:rsidRDefault="001F64E3" w:rsidP="001F64E3">
      <w:pPr>
        <w:rPr>
          <w:rFonts w:ascii="Times New Roman" w:eastAsia="Times New Roman" w:hAnsi="Times New Roman" w:cs="Times New Roman"/>
        </w:rPr>
      </w:pPr>
      <w:r>
        <w:rPr>
          <w:noProof/>
        </w:rPr>
        <mc:AlternateContent>
          <mc:Choice Requires="wps">
            <w:drawing>
              <wp:anchor distT="0" distB="0" distL="114300" distR="114300" simplePos="0" relativeHeight="251659264" behindDoc="0" locked="0" layoutInCell="1" allowOverlap="1" wp14:anchorId="6813DB3C" wp14:editId="5CCE808F">
                <wp:simplePos x="0" y="0"/>
                <wp:positionH relativeFrom="column">
                  <wp:posOffset>-327660</wp:posOffset>
                </wp:positionH>
                <wp:positionV relativeFrom="paragraph">
                  <wp:posOffset>139701</wp:posOffset>
                </wp:positionV>
                <wp:extent cx="6720840" cy="1744980"/>
                <wp:effectExtent l="0" t="0" r="10160" b="7620"/>
                <wp:wrapNone/>
                <wp:docPr id="1" name="Text Box 1"/>
                <wp:cNvGraphicFramePr/>
                <a:graphic xmlns:a="http://schemas.openxmlformats.org/drawingml/2006/main">
                  <a:graphicData uri="http://schemas.microsoft.com/office/word/2010/wordprocessingShape">
                    <wps:wsp>
                      <wps:cNvSpPr txBox="1"/>
                      <wps:spPr>
                        <a:xfrm>
                          <a:off x="0" y="0"/>
                          <a:ext cx="6720840" cy="1744980"/>
                        </a:xfrm>
                        <a:prstGeom prst="rect">
                          <a:avLst/>
                        </a:prstGeom>
                        <a:solidFill>
                          <a:schemeClr val="lt1"/>
                        </a:solidFill>
                        <a:ln w="6350">
                          <a:solidFill>
                            <a:prstClr val="black"/>
                          </a:solidFill>
                        </a:ln>
                      </wps:spPr>
                      <wps:txbx>
                        <w:txbxContent>
                          <w:p w14:paraId="302BB15B" w14:textId="77777777" w:rsidR="00A420B8" w:rsidRPr="00D27F05" w:rsidRDefault="00A420B8" w:rsidP="001F64E3">
                            <w:pPr>
                              <w:rPr>
                                <w:sz w:val="20"/>
                                <w:szCs w:val="20"/>
                              </w:rPr>
                            </w:pPr>
                            <w:r w:rsidRPr="00D27F05">
                              <w:rPr>
                                <w:sz w:val="20"/>
                                <w:szCs w:val="20"/>
                              </w:rPr>
                              <w:t>FOR ADMIN USE ONLY:</w:t>
                            </w:r>
                          </w:p>
                          <w:p w14:paraId="173FC39B" w14:textId="77777777" w:rsidR="00A420B8" w:rsidRPr="00D27F05" w:rsidRDefault="00A420B8" w:rsidP="001F64E3">
                            <w:pPr>
                              <w:rPr>
                                <w:sz w:val="20"/>
                                <w:szCs w:val="20"/>
                              </w:rPr>
                            </w:pPr>
                            <w:r w:rsidRPr="00D27F05">
                              <w:rPr>
                                <w:sz w:val="20"/>
                                <w:szCs w:val="20"/>
                              </w:rPr>
                              <w:br/>
                              <w:t>Date Grievance Received: ____________________________</w:t>
                            </w:r>
                          </w:p>
                          <w:p w14:paraId="043FD918" w14:textId="77777777" w:rsidR="00A420B8" w:rsidRPr="00D27F05" w:rsidRDefault="00A420B8" w:rsidP="001F64E3">
                            <w:pPr>
                              <w:pStyle w:val="ListParagraph"/>
                              <w:numPr>
                                <w:ilvl w:val="0"/>
                                <w:numId w:val="27"/>
                              </w:numPr>
                              <w:spacing w:after="0" w:line="240" w:lineRule="auto"/>
                              <w:rPr>
                                <w:sz w:val="20"/>
                                <w:szCs w:val="20"/>
                              </w:rPr>
                            </w:pPr>
                            <w:r w:rsidRPr="00D27F05">
                              <w:rPr>
                                <w:sz w:val="20"/>
                                <w:szCs w:val="20"/>
                              </w:rPr>
                              <w:t>In person</w:t>
                            </w:r>
                          </w:p>
                          <w:p w14:paraId="207821A5" w14:textId="77777777" w:rsidR="00A420B8" w:rsidRPr="00D27F05" w:rsidRDefault="00A420B8" w:rsidP="001F64E3">
                            <w:pPr>
                              <w:pStyle w:val="ListParagraph"/>
                              <w:numPr>
                                <w:ilvl w:val="0"/>
                                <w:numId w:val="27"/>
                              </w:numPr>
                              <w:spacing w:after="0" w:line="240" w:lineRule="auto"/>
                              <w:rPr>
                                <w:sz w:val="20"/>
                                <w:szCs w:val="20"/>
                              </w:rPr>
                            </w:pPr>
                            <w:r w:rsidRPr="00D27F05">
                              <w:rPr>
                                <w:sz w:val="20"/>
                                <w:szCs w:val="20"/>
                              </w:rPr>
                              <w:t>In writing</w:t>
                            </w:r>
                          </w:p>
                          <w:p w14:paraId="3BAF8C0F" w14:textId="77777777" w:rsidR="00A420B8" w:rsidRPr="00D27F05" w:rsidRDefault="00A420B8" w:rsidP="001F64E3">
                            <w:pPr>
                              <w:pStyle w:val="ListParagraph"/>
                              <w:ind w:left="1080"/>
                              <w:rPr>
                                <w:sz w:val="20"/>
                                <w:szCs w:val="20"/>
                              </w:rPr>
                            </w:pPr>
                          </w:p>
                          <w:p w14:paraId="589D0279" w14:textId="77777777" w:rsidR="00A420B8" w:rsidRPr="00D27F05" w:rsidRDefault="00A420B8" w:rsidP="001F64E3">
                            <w:pPr>
                              <w:rPr>
                                <w:sz w:val="20"/>
                                <w:szCs w:val="20"/>
                              </w:rPr>
                            </w:pPr>
                            <w:r w:rsidRPr="00D27F05">
                              <w:rPr>
                                <w:sz w:val="20"/>
                                <w:szCs w:val="20"/>
                              </w:rPr>
                              <w:t>Grievance Received by: ____________________________________________________________________</w:t>
                            </w:r>
                          </w:p>
                          <w:p w14:paraId="1A74D2CC" w14:textId="77777777" w:rsidR="00A420B8" w:rsidRPr="00D27F05" w:rsidRDefault="00A420B8" w:rsidP="001F64E3">
                            <w:pPr>
                              <w:rPr>
                                <w:sz w:val="20"/>
                                <w:szCs w:val="20"/>
                              </w:rPr>
                            </w:pPr>
                          </w:p>
                          <w:p w14:paraId="0EC792BC" w14:textId="77777777" w:rsidR="00A420B8" w:rsidRPr="00D27F05" w:rsidRDefault="00A420B8" w:rsidP="001F64E3">
                            <w:pPr>
                              <w:rPr>
                                <w:sz w:val="20"/>
                                <w:szCs w:val="20"/>
                              </w:rPr>
                            </w:pPr>
                            <w:r w:rsidRPr="00D27F05">
                              <w:rPr>
                                <w:sz w:val="20"/>
                                <w:szCs w:val="20"/>
                              </w:rPr>
                              <w:t>Action taken or required: 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3DB3C" id="_x0000_t202" coordsize="21600,21600" o:spt="202" path="m,l,21600r21600,l21600,xe">
                <v:stroke joinstyle="miter"/>
                <v:path gradientshapeok="t" o:connecttype="rect"/>
              </v:shapetype>
              <v:shape id="Text Box 1" o:spid="_x0000_s1026" type="#_x0000_t202" style="position:absolute;margin-left:-25.8pt;margin-top:11pt;width:529.2pt;height:1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" fillcolor="white [3201]" strokeweight=".5pt">
                <v:textbox>
                  <w:txbxContent>
                    <w:p w14:paraId="302BB15B" w14:textId="77777777" w:rsidR="00A420B8" w:rsidRPr="00D27F05" w:rsidRDefault="00A420B8" w:rsidP="001F64E3">
                      <w:pPr>
                        <w:rPr>
                          <w:sz w:val="20"/>
                          <w:szCs w:val="20"/>
                        </w:rPr>
                      </w:pPr>
                      <w:r w:rsidRPr="00D27F05">
                        <w:rPr>
                          <w:sz w:val="20"/>
                          <w:szCs w:val="20"/>
                        </w:rPr>
                        <w:t>FOR ADMIN USE ONLY:</w:t>
                      </w:r>
                    </w:p>
                    <w:p w14:paraId="173FC39B" w14:textId="77777777" w:rsidR="00A420B8" w:rsidRPr="00D27F05" w:rsidRDefault="00A420B8" w:rsidP="001F64E3">
                      <w:pPr>
                        <w:rPr>
                          <w:sz w:val="20"/>
                          <w:szCs w:val="20"/>
                        </w:rPr>
                      </w:pPr>
                      <w:r w:rsidRPr="00D27F05">
                        <w:rPr>
                          <w:sz w:val="20"/>
                          <w:szCs w:val="20"/>
                        </w:rPr>
                        <w:br/>
                        <w:t>Date Grievance Received: ____________________________</w:t>
                      </w:r>
                    </w:p>
                    <w:p w14:paraId="043FD918" w14:textId="77777777" w:rsidR="00A420B8" w:rsidRPr="00D27F05" w:rsidRDefault="00A420B8" w:rsidP="001F64E3">
                      <w:pPr>
                        <w:pStyle w:val="ListParagraph"/>
                        <w:numPr>
                          <w:ilvl w:val="0"/>
                          <w:numId w:val="27"/>
                        </w:numPr>
                        <w:spacing w:after="0" w:line="240" w:lineRule="auto"/>
                        <w:rPr>
                          <w:sz w:val="20"/>
                          <w:szCs w:val="20"/>
                        </w:rPr>
                      </w:pPr>
                      <w:r w:rsidRPr="00D27F05">
                        <w:rPr>
                          <w:sz w:val="20"/>
                          <w:szCs w:val="20"/>
                        </w:rPr>
                        <w:t>In person</w:t>
                      </w:r>
                    </w:p>
                    <w:p w14:paraId="207821A5" w14:textId="77777777" w:rsidR="00A420B8" w:rsidRPr="00D27F05" w:rsidRDefault="00A420B8" w:rsidP="001F64E3">
                      <w:pPr>
                        <w:pStyle w:val="ListParagraph"/>
                        <w:numPr>
                          <w:ilvl w:val="0"/>
                          <w:numId w:val="27"/>
                        </w:numPr>
                        <w:spacing w:after="0" w:line="240" w:lineRule="auto"/>
                        <w:rPr>
                          <w:sz w:val="20"/>
                          <w:szCs w:val="20"/>
                        </w:rPr>
                      </w:pPr>
                      <w:r w:rsidRPr="00D27F05">
                        <w:rPr>
                          <w:sz w:val="20"/>
                          <w:szCs w:val="20"/>
                        </w:rPr>
                        <w:t>In writing</w:t>
                      </w:r>
                    </w:p>
                    <w:p w14:paraId="3BAF8C0F" w14:textId="77777777" w:rsidR="00A420B8" w:rsidRPr="00D27F05" w:rsidRDefault="00A420B8" w:rsidP="001F64E3">
                      <w:pPr>
                        <w:pStyle w:val="ListParagraph"/>
                        <w:ind w:left="1080"/>
                        <w:rPr>
                          <w:sz w:val="20"/>
                          <w:szCs w:val="20"/>
                        </w:rPr>
                      </w:pPr>
                    </w:p>
                    <w:p w14:paraId="589D0279" w14:textId="77777777" w:rsidR="00A420B8" w:rsidRPr="00D27F05" w:rsidRDefault="00A420B8" w:rsidP="001F64E3">
                      <w:pPr>
                        <w:rPr>
                          <w:sz w:val="20"/>
                          <w:szCs w:val="20"/>
                        </w:rPr>
                      </w:pPr>
                      <w:r w:rsidRPr="00D27F05">
                        <w:rPr>
                          <w:sz w:val="20"/>
                          <w:szCs w:val="20"/>
                        </w:rPr>
                        <w:t>Grievance Received by: ____________________________________________________________________</w:t>
                      </w:r>
                    </w:p>
                    <w:p w14:paraId="1A74D2CC" w14:textId="77777777" w:rsidR="00A420B8" w:rsidRPr="00D27F05" w:rsidRDefault="00A420B8" w:rsidP="001F64E3">
                      <w:pPr>
                        <w:rPr>
                          <w:sz w:val="20"/>
                          <w:szCs w:val="20"/>
                        </w:rPr>
                      </w:pPr>
                    </w:p>
                    <w:p w14:paraId="0EC792BC" w14:textId="77777777" w:rsidR="00A420B8" w:rsidRPr="00D27F05" w:rsidRDefault="00A420B8" w:rsidP="001F64E3">
                      <w:pPr>
                        <w:rPr>
                          <w:sz w:val="20"/>
                          <w:szCs w:val="20"/>
                        </w:rPr>
                      </w:pPr>
                      <w:r w:rsidRPr="00D27F05">
                        <w:rPr>
                          <w:sz w:val="20"/>
                          <w:szCs w:val="20"/>
                        </w:rPr>
                        <w:t>Action taken or required: __________________________________________________________________</w:t>
                      </w:r>
                    </w:p>
                  </w:txbxContent>
                </v:textbox>
              </v:shape>
            </w:pict>
          </mc:Fallback>
        </mc:AlternateContent>
      </w:r>
    </w:p>
    <w:p w14:paraId="1954F9BC" w14:textId="77777777" w:rsidR="001F64E3" w:rsidRDefault="001F64E3" w:rsidP="001F64E3">
      <w:pPr>
        <w:rPr>
          <w:rFonts w:ascii="Times New Roman" w:eastAsia="Times New Roman" w:hAnsi="Times New Roman" w:cs="Times New Roman"/>
        </w:rPr>
      </w:pPr>
    </w:p>
    <w:p w14:paraId="6BFD670E" w14:textId="77777777" w:rsidR="001F64E3" w:rsidRDefault="001F64E3" w:rsidP="001F64E3"/>
    <w:p w14:paraId="7367620B" w14:textId="77777777" w:rsidR="001F64E3" w:rsidRPr="00AB480E" w:rsidRDefault="001F64E3" w:rsidP="001F64E3"/>
    <w:p w14:paraId="602937CE" w14:textId="77777777" w:rsidR="001F64E3" w:rsidRPr="00B206A2" w:rsidRDefault="001F64E3" w:rsidP="001F64E3">
      <w:pPr>
        <w:rPr>
          <w:rFonts w:cstheme="minorHAnsi"/>
          <w:lang w:val="en-GB"/>
        </w:rPr>
      </w:pPr>
    </w:p>
    <w:p w14:paraId="284EC4C3" w14:textId="77777777" w:rsidR="001F64E3" w:rsidRPr="00023967" w:rsidRDefault="001F64E3" w:rsidP="001F64E3"/>
    <w:p w14:paraId="70DF2808" w14:textId="77777777" w:rsidR="001F64E3" w:rsidRPr="00C3576E" w:rsidRDefault="001F64E3" w:rsidP="001F64E3">
      <w:pPr>
        <w:jc w:val="both"/>
        <w:rPr>
          <w:rFonts w:eastAsia="Times New Roman" w:cstheme="minorHAnsi"/>
          <w:color w:val="FF0000"/>
        </w:rPr>
      </w:pPr>
    </w:p>
    <w:p w14:paraId="3C0FA7C7" w14:textId="77777777" w:rsidR="001F64E3" w:rsidRDefault="001F64E3" w:rsidP="001F64E3">
      <w:pPr>
        <w:pStyle w:val="Heading1"/>
        <w:numPr>
          <w:ilvl w:val="0"/>
          <w:numId w:val="0"/>
        </w:numPr>
        <w:ind w:left="432" w:hanging="432"/>
        <w:rPr>
          <w:rFonts w:eastAsia="Times New Roman"/>
        </w:rPr>
      </w:pPr>
      <w:r>
        <w:rPr>
          <w:rFonts w:eastAsia="Times New Roman"/>
        </w:rPr>
        <w:t>TEMPLATE TO RECORD CONSULTATIONS</w:t>
      </w:r>
    </w:p>
    <w:p w14:paraId="3FA45449" w14:textId="77777777" w:rsidR="001F64E3" w:rsidRPr="00155D37" w:rsidRDefault="001F64E3" w:rsidP="001F64E3">
      <w:pPr>
        <w:pStyle w:val="NormalWeb"/>
        <w:spacing w:before="0" w:beforeAutospacing="0" w:after="0" w:afterAutospacing="0"/>
        <w:rPr>
          <w:rFonts w:asciiTheme="minorHAnsi" w:hAnsiTheme="minorHAnsi" w:cstheme="minorHAnsi"/>
          <w:b/>
          <w:bCs/>
          <w:color w:val="000000" w:themeColor="text1"/>
          <w:kern w:val="24"/>
          <w:sz w:val="22"/>
          <w:szCs w:val="22"/>
        </w:rPr>
      </w:pPr>
    </w:p>
    <w:p w14:paraId="1E4249F1" w14:textId="77777777" w:rsidR="001F64E3" w:rsidRPr="00155D37" w:rsidRDefault="001F64E3" w:rsidP="001F64E3">
      <w:pPr>
        <w:pStyle w:val="NormalWeb"/>
        <w:tabs>
          <w:tab w:val="left" w:pos="1800"/>
        </w:tabs>
        <w:spacing w:before="0" w:beforeAutospacing="0" w:after="0" w:afterAutospacing="0"/>
        <w:rPr>
          <w:rFonts w:asciiTheme="minorHAnsi" w:hAnsiTheme="minorHAnsi" w:cstheme="minorHAnsi"/>
          <w:b/>
          <w:bCs/>
          <w:color w:val="000000" w:themeColor="text1"/>
          <w:kern w:val="24"/>
          <w:sz w:val="22"/>
          <w:szCs w:val="22"/>
        </w:rPr>
      </w:pPr>
      <w:r w:rsidRPr="00155D37">
        <w:rPr>
          <w:rFonts w:asciiTheme="minorHAnsi" w:hAnsiTheme="minorHAnsi" w:cstheme="minorHAnsi"/>
          <w:b/>
          <w:bCs/>
          <w:color w:val="000000" w:themeColor="text1"/>
          <w:kern w:val="24"/>
          <w:sz w:val="22"/>
          <w:szCs w:val="22"/>
        </w:rPr>
        <w:t>Date and Time</w:t>
      </w:r>
      <w:r>
        <w:rPr>
          <w:rFonts w:asciiTheme="minorHAnsi" w:hAnsiTheme="minorHAnsi" w:cstheme="minorHAnsi"/>
          <w:b/>
          <w:bCs/>
          <w:color w:val="000000" w:themeColor="text1"/>
          <w:kern w:val="24"/>
          <w:sz w:val="22"/>
          <w:szCs w:val="22"/>
        </w:rPr>
        <w:t>:</w:t>
      </w:r>
      <w:r w:rsidRPr="00155D37">
        <w:rPr>
          <w:rFonts w:asciiTheme="minorHAnsi" w:hAnsiTheme="minorHAnsi" w:cstheme="minorHAnsi"/>
          <w:b/>
          <w:bCs/>
          <w:color w:val="000000" w:themeColor="text1"/>
          <w:kern w:val="24"/>
          <w:sz w:val="22"/>
          <w:szCs w:val="22"/>
        </w:rPr>
        <w:t xml:space="preserve"> </w:t>
      </w:r>
    </w:p>
    <w:p w14:paraId="701B58B9" w14:textId="77777777" w:rsidR="001F64E3" w:rsidRPr="00155D37" w:rsidRDefault="001F64E3" w:rsidP="001F64E3">
      <w:pPr>
        <w:pStyle w:val="NormalWeb"/>
        <w:tabs>
          <w:tab w:val="left" w:pos="1800"/>
        </w:tabs>
        <w:spacing w:before="0" w:beforeAutospacing="0" w:after="0" w:afterAutospacing="0"/>
        <w:rPr>
          <w:rFonts w:asciiTheme="minorHAnsi" w:hAnsiTheme="minorHAnsi" w:cstheme="minorHAnsi"/>
          <w:b/>
          <w:bCs/>
          <w:color w:val="000000" w:themeColor="text1"/>
          <w:kern w:val="24"/>
          <w:sz w:val="22"/>
          <w:szCs w:val="22"/>
        </w:rPr>
      </w:pPr>
      <w:r w:rsidRPr="00155D37">
        <w:rPr>
          <w:rFonts w:asciiTheme="minorHAnsi" w:hAnsiTheme="minorHAnsi" w:cstheme="minorHAnsi"/>
          <w:b/>
          <w:bCs/>
          <w:color w:val="000000" w:themeColor="text1"/>
          <w:kern w:val="24"/>
          <w:sz w:val="22"/>
          <w:szCs w:val="22"/>
        </w:rPr>
        <w:t>Organizer</w:t>
      </w:r>
      <w:r>
        <w:rPr>
          <w:rFonts w:asciiTheme="minorHAnsi" w:hAnsiTheme="minorHAnsi" w:cstheme="minorHAnsi"/>
          <w:b/>
          <w:bCs/>
          <w:color w:val="000000" w:themeColor="text1"/>
          <w:kern w:val="24"/>
          <w:sz w:val="22"/>
          <w:szCs w:val="22"/>
        </w:rPr>
        <w:t>:</w:t>
      </w:r>
      <w:r w:rsidRPr="00155D37">
        <w:rPr>
          <w:rFonts w:asciiTheme="minorHAnsi" w:hAnsiTheme="minorHAnsi" w:cstheme="minorHAnsi"/>
          <w:b/>
          <w:bCs/>
          <w:color w:val="000000" w:themeColor="text1"/>
          <w:kern w:val="24"/>
          <w:sz w:val="22"/>
          <w:szCs w:val="22"/>
        </w:rPr>
        <w:tab/>
      </w:r>
    </w:p>
    <w:p w14:paraId="6427978F" w14:textId="77777777" w:rsidR="001F64E3" w:rsidRDefault="001F64E3" w:rsidP="001F64E3">
      <w:pPr>
        <w:pStyle w:val="NormalWeb"/>
        <w:tabs>
          <w:tab w:val="left" w:pos="1800"/>
        </w:tabs>
        <w:spacing w:before="0" w:beforeAutospacing="0" w:after="0" w:afterAutospacing="0"/>
        <w:rPr>
          <w:rFonts w:asciiTheme="minorHAnsi" w:hAnsiTheme="minorHAnsi" w:cstheme="minorHAnsi"/>
          <w:b/>
          <w:bCs/>
          <w:color w:val="000000" w:themeColor="text1"/>
          <w:kern w:val="24"/>
          <w:sz w:val="22"/>
          <w:szCs w:val="22"/>
        </w:rPr>
      </w:pPr>
      <w:r>
        <w:rPr>
          <w:rFonts w:asciiTheme="minorHAnsi" w:hAnsiTheme="minorHAnsi" w:cstheme="minorHAnsi"/>
          <w:b/>
          <w:bCs/>
          <w:color w:val="000000" w:themeColor="text1"/>
          <w:kern w:val="24"/>
          <w:sz w:val="22"/>
          <w:szCs w:val="22"/>
        </w:rPr>
        <w:t>Location:</w:t>
      </w:r>
      <w:r w:rsidRPr="00155D37">
        <w:rPr>
          <w:rFonts w:asciiTheme="minorHAnsi" w:hAnsiTheme="minorHAnsi" w:cstheme="minorHAnsi"/>
          <w:b/>
          <w:bCs/>
          <w:color w:val="000000" w:themeColor="text1"/>
          <w:kern w:val="24"/>
          <w:sz w:val="22"/>
          <w:szCs w:val="22"/>
        </w:rPr>
        <w:tab/>
      </w:r>
    </w:p>
    <w:p w14:paraId="5DEE2795" w14:textId="77777777" w:rsidR="001F64E3" w:rsidRPr="00155D37" w:rsidRDefault="001F64E3" w:rsidP="001F64E3">
      <w:pPr>
        <w:pStyle w:val="NormalWeb"/>
        <w:tabs>
          <w:tab w:val="left" w:pos="1800"/>
        </w:tabs>
        <w:spacing w:before="0" w:beforeAutospacing="0" w:after="0" w:afterAutospacing="0"/>
        <w:rPr>
          <w:rFonts w:asciiTheme="minorHAnsi" w:hAnsiTheme="minorHAnsi" w:cstheme="minorHAnsi"/>
          <w:b/>
          <w:bCs/>
          <w:color w:val="000000" w:themeColor="text1"/>
          <w:kern w:val="24"/>
          <w:sz w:val="22"/>
          <w:szCs w:val="22"/>
        </w:rPr>
      </w:pPr>
    </w:p>
    <w:p w14:paraId="147168C8" w14:textId="77777777" w:rsidR="001F64E3" w:rsidRPr="0085588B" w:rsidRDefault="001F64E3" w:rsidP="001F64E3">
      <w:pPr>
        <w:shd w:val="clear" w:color="auto" w:fill="B6DDE8"/>
        <w:rPr>
          <w:rFonts w:cstheme="minorHAnsi"/>
          <w:b/>
          <w:bCs/>
          <w:kern w:val="24"/>
        </w:rPr>
      </w:pPr>
      <w:r w:rsidRPr="0085588B">
        <w:rPr>
          <w:rFonts w:cstheme="minorHAnsi"/>
          <w:b/>
          <w:bCs/>
          <w:kern w:val="24"/>
        </w:rPr>
        <w:t>TOPIC</w:t>
      </w:r>
      <w:r>
        <w:rPr>
          <w:rFonts w:cstheme="minorHAnsi"/>
          <w:b/>
          <w:bCs/>
          <w:kern w:val="24"/>
        </w:rPr>
        <w:t>/OBJECTIVE</w:t>
      </w:r>
    </w:p>
    <w:p w14:paraId="5DCD787A" w14:textId="77777777" w:rsidR="001F64E3" w:rsidRDefault="001F64E3" w:rsidP="001F64E3">
      <w:pPr>
        <w:pStyle w:val="NormalWeb"/>
        <w:spacing w:before="0" w:beforeAutospacing="0" w:after="0" w:afterAutospacing="0"/>
        <w:rPr>
          <w:rFonts w:asciiTheme="minorHAnsi" w:hAnsiTheme="minorHAnsi" w:cstheme="minorHAnsi"/>
          <w:kern w:val="24"/>
          <w:sz w:val="22"/>
          <w:szCs w:val="22"/>
        </w:rPr>
      </w:pPr>
      <w:r>
        <w:rPr>
          <w:rFonts w:asciiTheme="minorHAnsi" w:hAnsiTheme="minorHAnsi" w:cstheme="minorHAnsi"/>
          <w:kern w:val="24"/>
          <w:sz w:val="22"/>
          <w:szCs w:val="22"/>
        </w:rPr>
        <w:t>[Describe what is the purpose of the consultation, what information is being presented, what feedback is being sought, etc.]</w:t>
      </w:r>
    </w:p>
    <w:p w14:paraId="2E93C686" w14:textId="77777777" w:rsidR="001F64E3" w:rsidRDefault="001F64E3" w:rsidP="001F64E3">
      <w:pPr>
        <w:pStyle w:val="NormalWeb"/>
        <w:spacing w:before="0" w:beforeAutospacing="0" w:after="0" w:afterAutospacing="0"/>
        <w:rPr>
          <w:rFonts w:asciiTheme="minorHAnsi" w:hAnsiTheme="minorHAnsi" w:cstheme="minorHAnsi"/>
          <w:kern w:val="24"/>
          <w:sz w:val="22"/>
          <w:szCs w:val="22"/>
        </w:rPr>
      </w:pPr>
    </w:p>
    <w:p w14:paraId="7633D33A" w14:textId="77777777" w:rsidR="001F64E3" w:rsidRPr="0085588B" w:rsidRDefault="001F64E3" w:rsidP="001F64E3">
      <w:pPr>
        <w:pStyle w:val="NormalWeb"/>
        <w:spacing w:before="0" w:beforeAutospacing="0" w:after="0" w:afterAutospacing="0"/>
        <w:rPr>
          <w:rFonts w:asciiTheme="minorHAnsi" w:hAnsiTheme="minorHAnsi" w:cstheme="minorHAnsi"/>
          <w:kern w:val="24"/>
          <w:sz w:val="22"/>
          <w:szCs w:val="22"/>
        </w:rPr>
      </w:pPr>
    </w:p>
    <w:p w14:paraId="3D3B3C06" w14:textId="77777777" w:rsidR="001F64E3" w:rsidRPr="0085588B" w:rsidRDefault="001F64E3" w:rsidP="001F64E3">
      <w:pPr>
        <w:shd w:val="clear" w:color="auto" w:fill="B6DDE8"/>
        <w:rPr>
          <w:rFonts w:cstheme="minorHAnsi"/>
          <w:b/>
          <w:bCs/>
          <w:kern w:val="24"/>
        </w:rPr>
      </w:pPr>
      <w:r>
        <w:rPr>
          <w:rFonts w:cstheme="minorHAnsi"/>
          <w:b/>
          <w:bCs/>
          <w:kern w:val="24"/>
        </w:rPr>
        <w:t>SUMMARY OF INFORMATION PRESENTED</w:t>
      </w:r>
    </w:p>
    <w:p w14:paraId="247A9802" w14:textId="77777777" w:rsidR="001F64E3" w:rsidRDefault="001F64E3" w:rsidP="001F64E3">
      <w:pPr>
        <w:pStyle w:val="NormalWeb"/>
        <w:spacing w:before="0" w:beforeAutospacing="0" w:after="0" w:afterAutospacing="0"/>
        <w:jc w:val="both"/>
        <w:rPr>
          <w:rFonts w:asciiTheme="minorHAnsi" w:hAnsiTheme="minorHAnsi" w:cstheme="minorHAnsi"/>
          <w:kern w:val="24"/>
          <w:sz w:val="22"/>
          <w:szCs w:val="22"/>
        </w:rPr>
      </w:pPr>
    </w:p>
    <w:p w14:paraId="0E2658CD" w14:textId="77777777" w:rsidR="001F64E3" w:rsidRPr="00A92D6F" w:rsidRDefault="001F64E3" w:rsidP="001F64E3">
      <w:pPr>
        <w:pStyle w:val="NormalWeb"/>
        <w:spacing w:before="0" w:beforeAutospacing="0" w:after="0" w:afterAutospacing="0"/>
        <w:jc w:val="both"/>
        <w:rPr>
          <w:rFonts w:asciiTheme="minorHAnsi" w:hAnsiTheme="minorHAnsi" w:cstheme="minorHAnsi"/>
          <w:sz w:val="22"/>
          <w:szCs w:val="22"/>
          <w:lang w:eastAsia="en-AU"/>
        </w:rPr>
      </w:pPr>
      <w:r w:rsidRPr="00A92D6F">
        <w:rPr>
          <w:rFonts w:asciiTheme="minorHAnsi" w:hAnsiTheme="minorHAnsi" w:cstheme="minorHAnsi"/>
          <w:sz w:val="22"/>
          <w:szCs w:val="22"/>
          <w:lang w:eastAsia="en-AU"/>
        </w:rPr>
        <w:t>[Describe the format of the consultation, who facilitated</w:t>
      </w:r>
      <w:r>
        <w:rPr>
          <w:rFonts w:asciiTheme="minorHAnsi" w:hAnsiTheme="minorHAnsi" w:cstheme="minorHAnsi"/>
          <w:sz w:val="22"/>
          <w:szCs w:val="22"/>
          <w:lang w:eastAsia="en-AU"/>
        </w:rPr>
        <w:t>/presented</w:t>
      </w:r>
      <w:r w:rsidRPr="00A92D6F">
        <w:rPr>
          <w:rFonts w:asciiTheme="minorHAnsi" w:hAnsiTheme="minorHAnsi" w:cstheme="minorHAnsi"/>
          <w:sz w:val="22"/>
          <w:szCs w:val="22"/>
          <w:lang w:eastAsia="en-AU"/>
        </w:rPr>
        <w:t xml:space="preserve">, the language used, </w:t>
      </w:r>
      <w:proofErr w:type="gramStart"/>
      <w:r w:rsidRPr="00A92D6F">
        <w:rPr>
          <w:rFonts w:asciiTheme="minorHAnsi" w:hAnsiTheme="minorHAnsi" w:cstheme="minorHAnsi"/>
          <w:sz w:val="22"/>
          <w:szCs w:val="22"/>
          <w:lang w:eastAsia="en-AU"/>
        </w:rPr>
        <w:t>brief summary</w:t>
      </w:r>
      <w:proofErr w:type="gramEnd"/>
      <w:r w:rsidRPr="00A92D6F">
        <w:rPr>
          <w:rFonts w:asciiTheme="minorHAnsi" w:hAnsiTheme="minorHAnsi" w:cstheme="minorHAnsi"/>
          <w:sz w:val="22"/>
          <w:szCs w:val="22"/>
          <w:lang w:eastAsia="en-AU"/>
        </w:rPr>
        <w:t xml:space="preserve"> of information presented</w:t>
      </w:r>
      <w:r>
        <w:rPr>
          <w:rFonts w:asciiTheme="minorHAnsi" w:hAnsiTheme="minorHAnsi" w:cstheme="minorHAnsi"/>
          <w:sz w:val="22"/>
          <w:szCs w:val="22"/>
          <w:lang w:eastAsia="en-AU"/>
        </w:rPr>
        <w:t>, whether information had been shared in advance, etc. Please note information provided should cover</w:t>
      </w:r>
      <w:r w:rsidRPr="00C40355">
        <w:rPr>
          <w:rFonts w:asciiTheme="minorHAnsi" w:hAnsiTheme="minorHAnsi" w:cstheme="minorHAnsi"/>
          <w:sz w:val="22"/>
          <w:szCs w:val="22"/>
        </w:rPr>
        <w:t xml:space="preserve"> project activities and expected environmental and social impacts</w:t>
      </w:r>
      <w:r>
        <w:rPr>
          <w:rFonts w:asciiTheme="minorHAnsi" w:hAnsiTheme="minorHAnsi" w:cstheme="minorHAnsi"/>
          <w:sz w:val="22"/>
          <w:szCs w:val="22"/>
        </w:rPr>
        <w:t xml:space="preserve">, as well as </w:t>
      </w:r>
      <w:r w:rsidRPr="00C40355">
        <w:rPr>
          <w:rFonts w:asciiTheme="minorHAnsi" w:hAnsiTheme="minorHAnsi" w:cstheme="minorHAnsi"/>
          <w:sz w:val="22"/>
          <w:szCs w:val="22"/>
        </w:rPr>
        <w:t>proposed mitigation measures and project’s grievance redress mechanism</w:t>
      </w:r>
      <w:r>
        <w:rPr>
          <w:rFonts w:asciiTheme="minorHAnsi" w:hAnsiTheme="minorHAnsi" w:cstheme="minorHAnsi"/>
          <w:sz w:val="22"/>
          <w:szCs w:val="22"/>
        </w:rPr>
        <w:t>.</w:t>
      </w:r>
      <w:r w:rsidRPr="00A92D6F">
        <w:rPr>
          <w:rFonts w:asciiTheme="minorHAnsi" w:hAnsiTheme="minorHAnsi" w:cstheme="minorHAnsi"/>
          <w:sz w:val="22"/>
          <w:szCs w:val="22"/>
          <w:lang w:eastAsia="en-AU"/>
        </w:rPr>
        <w:t>]</w:t>
      </w:r>
    </w:p>
    <w:p w14:paraId="70295C4E" w14:textId="77777777" w:rsidR="001F64E3" w:rsidRDefault="001F64E3" w:rsidP="001F64E3">
      <w:pPr>
        <w:pStyle w:val="NormalWeb"/>
        <w:spacing w:before="0" w:beforeAutospacing="0" w:after="0" w:afterAutospacing="0"/>
        <w:jc w:val="both"/>
        <w:rPr>
          <w:rFonts w:asciiTheme="minorHAnsi" w:hAnsiTheme="minorHAnsi" w:cstheme="minorHAnsi"/>
          <w:sz w:val="20"/>
          <w:szCs w:val="18"/>
          <w:lang w:eastAsia="en-AU"/>
        </w:rPr>
      </w:pPr>
    </w:p>
    <w:p w14:paraId="7DC70023" w14:textId="77777777" w:rsidR="001F64E3" w:rsidRDefault="001F64E3" w:rsidP="001F64E3">
      <w:pPr>
        <w:pStyle w:val="NormalWeb"/>
        <w:spacing w:before="0" w:beforeAutospacing="0" w:after="0" w:afterAutospacing="0"/>
        <w:jc w:val="both"/>
        <w:rPr>
          <w:rFonts w:asciiTheme="minorHAnsi" w:hAnsiTheme="minorHAnsi" w:cstheme="minorHAnsi"/>
          <w:sz w:val="20"/>
          <w:szCs w:val="18"/>
          <w:lang w:eastAsia="en-AU"/>
        </w:rPr>
      </w:pPr>
    </w:p>
    <w:p w14:paraId="565D3CD1" w14:textId="77777777" w:rsidR="001F64E3" w:rsidRPr="0085588B" w:rsidRDefault="001F64E3" w:rsidP="001F64E3">
      <w:pPr>
        <w:shd w:val="clear" w:color="auto" w:fill="B6DDE8"/>
        <w:rPr>
          <w:rFonts w:cstheme="minorHAnsi"/>
          <w:b/>
          <w:bCs/>
          <w:kern w:val="24"/>
        </w:rPr>
      </w:pPr>
      <w:r>
        <w:rPr>
          <w:rFonts w:cstheme="minorHAnsi"/>
          <w:b/>
          <w:bCs/>
          <w:kern w:val="24"/>
        </w:rPr>
        <w:t>SUMMARY OF PARTICIPANTS</w:t>
      </w:r>
    </w:p>
    <w:p w14:paraId="51F312BD" w14:textId="77777777" w:rsidR="001F64E3" w:rsidRDefault="001F64E3" w:rsidP="001F64E3">
      <w:pPr>
        <w:pStyle w:val="NormalWeb"/>
        <w:spacing w:before="0" w:beforeAutospacing="0" w:after="0" w:afterAutospacing="0"/>
        <w:jc w:val="both"/>
        <w:rPr>
          <w:rFonts w:asciiTheme="minorHAnsi" w:hAnsiTheme="minorHAnsi" w:cstheme="minorHAnsi"/>
          <w:sz w:val="20"/>
          <w:szCs w:val="18"/>
          <w:lang w:eastAsia="en-AU"/>
        </w:rPr>
      </w:pPr>
    </w:p>
    <w:p w14:paraId="7522BD51" w14:textId="77777777" w:rsidR="001F64E3" w:rsidRPr="00A92D6F" w:rsidRDefault="001F64E3" w:rsidP="001F64E3">
      <w:pPr>
        <w:pStyle w:val="NormalWeb"/>
        <w:spacing w:before="0" w:beforeAutospacing="0" w:after="0" w:afterAutospacing="0"/>
        <w:jc w:val="both"/>
        <w:rPr>
          <w:rFonts w:asciiTheme="minorHAnsi" w:hAnsiTheme="minorHAnsi" w:cstheme="minorHAnsi"/>
          <w:sz w:val="22"/>
          <w:szCs w:val="22"/>
          <w:lang w:eastAsia="en-AU"/>
        </w:rPr>
      </w:pPr>
      <w:r>
        <w:rPr>
          <w:rFonts w:asciiTheme="minorHAnsi" w:hAnsiTheme="minorHAnsi" w:cstheme="minorHAnsi"/>
          <w:sz w:val="22"/>
          <w:szCs w:val="22"/>
          <w:lang w:eastAsia="en-AU"/>
        </w:rPr>
        <w:t xml:space="preserve">[Describe the total number and type of </w:t>
      </w:r>
      <w:r w:rsidRPr="00A92D6F">
        <w:rPr>
          <w:rFonts w:asciiTheme="minorHAnsi" w:hAnsiTheme="minorHAnsi" w:cstheme="minorHAnsi"/>
          <w:sz w:val="22"/>
          <w:szCs w:val="22"/>
          <w:lang w:eastAsia="en-AU"/>
        </w:rPr>
        <w:t xml:space="preserve">stakeholders </w:t>
      </w:r>
      <w:r>
        <w:rPr>
          <w:rFonts w:asciiTheme="minorHAnsi" w:hAnsiTheme="minorHAnsi" w:cstheme="minorHAnsi"/>
          <w:sz w:val="22"/>
          <w:szCs w:val="22"/>
          <w:lang w:eastAsia="en-AU"/>
        </w:rPr>
        <w:t xml:space="preserve">(e.g. % of female, % of people from ethnic groups, etc.) that are part of the consultations, how they were </w:t>
      </w:r>
      <w:r w:rsidRPr="00A92D6F">
        <w:rPr>
          <w:rFonts w:asciiTheme="minorHAnsi" w:hAnsiTheme="minorHAnsi" w:cstheme="minorHAnsi"/>
          <w:sz w:val="22"/>
          <w:szCs w:val="22"/>
          <w:lang w:eastAsia="en-AU"/>
        </w:rPr>
        <w:t>invited</w:t>
      </w:r>
      <w:r>
        <w:rPr>
          <w:rFonts w:asciiTheme="minorHAnsi" w:hAnsiTheme="minorHAnsi" w:cstheme="minorHAnsi"/>
          <w:sz w:val="22"/>
          <w:szCs w:val="22"/>
          <w:lang w:eastAsia="en-AU"/>
        </w:rPr>
        <w:t>, any special measures that were taken to accommodate them, etc.</w:t>
      </w:r>
      <w:r w:rsidRPr="00A92D6F">
        <w:rPr>
          <w:rFonts w:asciiTheme="minorHAnsi" w:hAnsiTheme="minorHAnsi" w:cstheme="minorHAnsi"/>
          <w:sz w:val="22"/>
          <w:szCs w:val="22"/>
          <w:lang w:eastAsia="en-AU"/>
        </w:rPr>
        <w:t>]</w:t>
      </w:r>
    </w:p>
    <w:p w14:paraId="50C5B267" w14:textId="77777777" w:rsidR="001F64E3" w:rsidRDefault="001F64E3" w:rsidP="001F64E3">
      <w:pPr>
        <w:pStyle w:val="NormalWeb"/>
        <w:spacing w:before="0" w:beforeAutospacing="0" w:after="0" w:afterAutospacing="0"/>
        <w:jc w:val="both"/>
        <w:rPr>
          <w:rFonts w:asciiTheme="minorHAnsi" w:hAnsiTheme="minorHAnsi" w:cstheme="minorHAnsi"/>
          <w:sz w:val="20"/>
          <w:szCs w:val="18"/>
          <w:lang w:eastAsia="en-AU"/>
        </w:rPr>
      </w:pPr>
    </w:p>
    <w:p w14:paraId="4B59FB80" w14:textId="77777777" w:rsidR="001F64E3" w:rsidRPr="0085588B" w:rsidRDefault="001F64E3" w:rsidP="001F64E3">
      <w:pPr>
        <w:pStyle w:val="NormalWeb"/>
        <w:spacing w:before="0" w:beforeAutospacing="0" w:after="0" w:afterAutospacing="0"/>
        <w:jc w:val="both"/>
        <w:rPr>
          <w:rFonts w:asciiTheme="minorHAnsi" w:hAnsiTheme="minorHAnsi" w:cstheme="minorHAnsi"/>
          <w:kern w:val="24"/>
          <w:sz w:val="22"/>
          <w:szCs w:val="22"/>
        </w:rPr>
      </w:pPr>
    </w:p>
    <w:p w14:paraId="56122E6C" w14:textId="77777777" w:rsidR="001F64E3" w:rsidRPr="00A92D6F" w:rsidRDefault="001F64E3" w:rsidP="001F64E3">
      <w:pPr>
        <w:shd w:val="clear" w:color="auto" w:fill="B6DDE8"/>
        <w:rPr>
          <w:rFonts w:cstheme="minorHAnsi"/>
          <w:b/>
          <w:bCs/>
          <w:kern w:val="24"/>
        </w:rPr>
      </w:pPr>
      <w:r>
        <w:rPr>
          <w:rFonts w:cstheme="minorHAnsi"/>
          <w:b/>
          <w:bCs/>
          <w:kern w:val="24"/>
        </w:rPr>
        <w:t>FEEDBACK RECEIVED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120"/>
      </w:tblGrid>
      <w:tr w:rsidR="001F64E3" w:rsidRPr="00AB480E" w14:paraId="6800002B" w14:textId="77777777" w:rsidTr="003A5434">
        <w:tc>
          <w:tcPr>
            <w:tcW w:w="1895" w:type="dxa"/>
            <w:shd w:val="clear" w:color="auto" w:fill="D9D9D9"/>
          </w:tcPr>
          <w:p w14:paraId="128BC5AC" w14:textId="77777777" w:rsidR="001F64E3" w:rsidRPr="00AB480E" w:rsidRDefault="001F64E3" w:rsidP="003A5434">
            <w:pPr>
              <w:jc w:val="center"/>
              <w:rPr>
                <w:rFonts w:cstheme="minorHAnsi"/>
                <w:b/>
                <w:bCs/>
                <w:sz w:val="20"/>
                <w:szCs w:val="20"/>
              </w:rPr>
            </w:pPr>
            <w:r w:rsidRPr="00AB480E">
              <w:rPr>
                <w:rFonts w:cstheme="minorHAnsi"/>
                <w:b/>
                <w:bCs/>
                <w:sz w:val="20"/>
                <w:szCs w:val="20"/>
              </w:rPr>
              <w:t>Who</w:t>
            </w:r>
          </w:p>
        </w:tc>
        <w:tc>
          <w:tcPr>
            <w:tcW w:w="7120" w:type="dxa"/>
            <w:shd w:val="clear" w:color="auto" w:fill="D9D9D9"/>
          </w:tcPr>
          <w:p w14:paraId="172B0232" w14:textId="77777777" w:rsidR="001F64E3" w:rsidRPr="00AB480E" w:rsidRDefault="001F64E3" w:rsidP="003A5434">
            <w:pPr>
              <w:jc w:val="center"/>
              <w:rPr>
                <w:rFonts w:cstheme="minorHAnsi"/>
                <w:b/>
                <w:bCs/>
                <w:sz w:val="20"/>
                <w:szCs w:val="20"/>
              </w:rPr>
            </w:pPr>
            <w:r w:rsidRPr="00AB480E">
              <w:rPr>
                <w:rFonts w:cstheme="minorHAnsi"/>
                <w:b/>
                <w:bCs/>
                <w:sz w:val="20"/>
                <w:szCs w:val="20"/>
              </w:rPr>
              <w:t>Description / Feedbacks/Inputs</w:t>
            </w:r>
          </w:p>
        </w:tc>
      </w:tr>
      <w:tr w:rsidR="001F64E3" w:rsidRPr="00AB480E" w14:paraId="3E1ECD5D" w14:textId="77777777" w:rsidTr="003A5434">
        <w:tc>
          <w:tcPr>
            <w:tcW w:w="1895" w:type="dxa"/>
          </w:tcPr>
          <w:p w14:paraId="631360D0" w14:textId="77777777" w:rsidR="001F64E3" w:rsidRPr="00AB480E" w:rsidRDefault="001F64E3" w:rsidP="003A5434">
            <w:pPr>
              <w:rPr>
                <w:rFonts w:cstheme="minorHAnsi"/>
                <w:sz w:val="20"/>
                <w:szCs w:val="20"/>
              </w:rPr>
            </w:pPr>
          </w:p>
        </w:tc>
        <w:tc>
          <w:tcPr>
            <w:tcW w:w="7120" w:type="dxa"/>
          </w:tcPr>
          <w:p w14:paraId="7975FAAE" w14:textId="77777777" w:rsidR="001F64E3" w:rsidRPr="00AB480E" w:rsidRDefault="001F64E3" w:rsidP="001F64E3">
            <w:pPr>
              <w:numPr>
                <w:ilvl w:val="0"/>
                <w:numId w:val="28"/>
              </w:numPr>
              <w:spacing w:after="0" w:line="240" w:lineRule="auto"/>
              <w:ind w:left="252" w:hanging="270"/>
              <w:jc w:val="both"/>
              <w:rPr>
                <w:rFonts w:cstheme="minorHAnsi"/>
                <w:sz w:val="20"/>
                <w:szCs w:val="20"/>
              </w:rPr>
            </w:pPr>
          </w:p>
        </w:tc>
      </w:tr>
      <w:tr w:rsidR="001F64E3" w:rsidRPr="00AB480E" w14:paraId="783CC95C" w14:textId="77777777" w:rsidTr="003A5434">
        <w:tc>
          <w:tcPr>
            <w:tcW w:w="1895" w:type="dxa"/>
          </w:tcPr>
          <w:p w14:paraId="3EB92ED8" w14:textId="77777777" w:rsidR="001F64E3" w:rsidRPr="00AB480E" w:rsidRDefault="001F64E3" w:rsidP="003A5434">
            <w:pPr>
              <w:rPr>
                <w:rFonts w:cstheme="minorHAnsi"/>
                <w:sz w:val="20"/>
                <w:szCs w:val="20"/>
              </w:rPr>
            </w:pPr>
          </w:p>
        </w:tc>
        <w:tc>
          <w:tcPr>
            <w:tcW w:w="7120" w:type="dxa"/>
          </w:tcPr>
          <w:p w14:paraId="6146E7F0" w14:textId="77777777" w:rsidR="001F64E3" w:rsidRPr="00AB480E" w:rsidRDefault="001F64E3" w:rsidP="001F64E3">
            <w:pPr>
              <w:numPr>
                <w:ilvl w:val="0"/>
                <w:numId w:val="28"/>
              </w:numPr>
              <w:spacing w:after="0" w:line="240" w:lineRule="auto"/>
              <w:ind w:left="252" w:hanging="270"/>
              <w:jc w:val="both"/>
              <w:rPr>
                <w:rFonts w:cstheme="minorHAnsi"/>
                <w:sz w:val="20"/>
                <w:szCs w:val="20"/>
              </w:rPr>
            </w:pPr>
          </w:p>
        </w:tc>
      </w:tr>
      <w:tr w:rsidR="001F64E3" w:rsidRPr="00AB480E" w14:paraId="3B1723D4" w14:textId="77777777" w:rsidTr="003A5434">
        <w:tc>
          <w:tcPr>
            <w:tcW w:w="1895" w:type="dxa"/>
          </w:tcPr>
          <w:p w14:paraId="4F05D332" w14:textId="77777777" w:rsidR="001F64E3" w:rsidRPr="00AB480E" w:rsidRDefault="001F64E3" w:rsidP="003A5434">
            <w:pPr>
              <w:rPr>
                <w:rFonts w:cstheme="minorHAnsi"/>
                <w:sz w:val="20"/>
                <w:szCs w:val="20"/>
              </w:rPr>
            </w:pPr>
          </w:p>
        </w:tc>
        <w:tc>
          <w:tcPr>
            <w:tcW w:w="7120" w:type="dxa"/>
          </w:tcPr>
          <w:p w14:paraId="2D83F9E9" w14:textId="77777777" w:rsidR="001F64E3" w:rsidRPr="00AB480E" w:rsidRDefault="001F64E3" w:rsidP="001F64E3">
            <w:pPr>
              <w:numPr>
                <w:ilvl w:val="0"/>
                <w:numId w:val="28"/>
              </w:numPr>
              <w:spacing w:after="0" w:line="240" w:lineRule="auto"/>
              <w:ind w:left="252" w:hanging="270"/>
              <w:jc w:val="both"/>
              <w:rPr>
                <w:rFonts w:cstheme="minorHAnsi"/>
                <w:sz w:val="20"/>
                <w:szCs w:val="20"/>
              </w:rPr>
            </w:pPr>
          </w:p>
        </w:tc>
      </w:tr>
      <w:tr w:rsidR="001F64E3" w:rsidRPr="00AB480E" w14:paraId="1A97B06D" w14:textId="77777777" w:rsidTr="003A5434">
        <w:tc>
          <w:tcPr>
            <w:tcW w:w="1895" w:type="dxa"/>
          </w:tcPr>
          <w:p w14:paraId="01C66119" w14:textId="77777777" w:rsidR="001F64E3" w:rsidRPr="00AB480E" w:rsidRDefault="001F64E3" w:rsidP="003A5434">
            <w:pPr>
              <w:rPr>
                <w:rFonts w:cstheme="minorHAnsi"/>
                <w:sz w:val="20"/>
                <w:szCs w:val="20"/>
              </w:rPr>
            </w:pPr>
          </w:p>
        </w:tc>
        <w:tc>
          <w:tcPr>
            <w:tcW w:w="7120" w:type="dxa"/>
          </w:tcPr>
          <w:p w14:paraId="3287B0D5" w14:textId="77777777" w:rsidR="001F64E3" w:rsidRPr="00AB480E" w:rsidRDefault="001F64E3" w:rsidP="001F64E3">
            <w:pPr>
              <w:numPr>
                <w:ilvl w:val="0"/>
                <w:numId w:val="28"/>
              </w:numPr>
              <w:spacing w:after="0" w:line="240" w:lineRule="auto"/>
              <w:ind w:left="252" w:hanging="270"/>
              <w:jc w:val="both"/>
              <w:rPr>
                <w:rFonts w:cstheme="minorHAnsi"/>
                <w:sz w:val="20"/>
                <w:szCs w:val="20"/>
              </w:rPr>
            </w:pPr>
          </w:p>
        </w:tc>
      </w:tr>
      <w:tr w:rsidR="001F64E3" w:rsidRPr="00AB480E" w14:paraId="493C7526" w14:textId="77777777" w:rsidTr="003A5434">
        <w:tc>
          <w:tcPr>
            <w:tcW w:w="1895" w:type="dxa"/>
          </w:tcPr>
          <w:p w14:paraId="4858164C" w14:textId="77777777" w:rsidR="001F64E3" w:rsidRPr="00AB480E" w:rsidRDefault="001F64E3" w:rsidP="003A5434">
            <w:pPr>
              <w:rPr>
                <w:rFonts w:cstheme="minorHAnsi"/>
                <w:sz w:val="20"/>
                <w:szCs w:val="20"/>
              </w:rPr>
            </w:pPr>
          </w:p>
        </w:tc>
        <w:tc>
          <w:tcPr>
            <w:tcW w:w="7120" w:type="dxa"/>
          </w:tcPr>
          <w:p w14:paraId="765C2D22" w14:textId="77777777" w:rsidR="001F64E3" w:rsidRPr="00AB480E" w:rsidRDefault="001F64E3" w:rsidP="001F64E3">
            <w:pPr>
              <w:numPr>
                <w:ilvl w:val="0"/>
                <w:numId w:val="28"/>
              </w:numPr>
              <w:spacing w:after="0" w:line="240" w:lineRule="auto"/>
              <w:ind w:left="252" w:hanging="270"/>
              <w:jc w:val="both"/>
              <w:rPr>
                <w:rFonts w:cstheme="minorHAnsi"/>
                <w:sz w:val="20"/>
                <w:szCs w:val="20"/>
              </w:rPr>
            </w:pPr>
          </w:p>
        </w:tc>
      </w:tr>
      <w:tr w:rsidR="001F64E3" w:rsidRPr="00AB480E" w14:paraId="49B1D6FF" w14:textId="77777777" w:rsidTr="003A5434">
        <w:tc>
          <w:tcPr>
            <w:tcW w:w="1895" w:type="dxa"/>
          </w:tcPr>
          <w:p w14:paraId="2F672020" w14:textId="77777777" w:rsidR="001F64E3" w:rsidRPr="00AB480E" w:rsidRDefault="001F64E3" w:rsidP="003A5434">
            <w:pPr>
              <w:rPr>
                <w:rFonts w:cstheme="minorHAnsi"/>
                <w:sz w:val="20"/>
                <w:szCs w:val="20"/>
              </w:rPr>
            </w:pPr>
          </w:p>
        </w:tc>
        <w:tc>
          <w:tcPr>
            <w:tcW w:w="7120" w:type="dxa"/>
          </w:tcPr>
          <w:p w14:paraId="224845FE" w14:textId="77777777" w:rsidR="001F64E3" w:rsidRPr="00AB480E" w:rsidRDefault="001F64E3" w:rsidP="001F64E3">
            <w:pPr>
              <w:numPr>
                <w:ilvl w:val="0"/>
                <w:numId w:val="28"/>
              </w:numPr>
              <w:spacing w:after="0" w:line="240" w:lineRule="auto"/>
              <w:ind w:left="252" w:hanging="270"/>
              <w:jc w:val="both"/>
              <w:rPr>
                <w:rFonts w:cstheme="minorHAnsi"/>
                <w:sz w:val="20"/>
                <w:szCs w:val="20"/>
              </w:rPr>
            </w:pPr>
          </w:p>
        </w:tc>
      </w:tr>
    </w:tbl>
    <w:p w14:paraId="4691D78B" w14:textId="77777777" w:rsidR="001F64E3" w:rsidRPr="0085588B" w:rsidRDefault="001F64E3" w:rsidP="001F64E3">
      <w:pPr>
        <w:rPr>
          <w:rFonts w:cstheme="minorHAnsi"/>
        </w:rPr>
      </w:pPr>
    </w:p>
    <w:p w14:paraId="6406C058" w14:textId="77777777" w:rsidR="001F64E3" w:rsidRPr="0085588B" w:rsidRDefault="001F64E3" w:rsidP="001F64E3">
      <w:pPr>
        <w:shd w:val="clear" w:color="auto" w:fill="B6DDE8"/>
        <w:ind w:left="360" w:hanging="360"/>
        <w:rPr>
          <w:rFonts w:cstheme="minorHAnsi"/>
          <w:b/>
          <w:bCs/>
          <w:kern w:val="24"/>
        </w:rPr>
      </w:pPr>
      <w:r>
        <w:rPr>
          <w:rFonts w:cstheme="minorHAnsi"/>
          <w:b/>
          <w:bCs/>
          <w:kern w:val="24"/>
        </w:rPr>
        <w:t>NEXT STEPS</w:t>
      </w:r>
    </w:p>
    <w:p w14:paraId="720DC96E" w14:textId="77777777" w:rsidR="001F64E3" w:rsidRPr="00A92D6F" w:rsidRDefault="001F64E3" w:rsidP="001F64E3">
      <w:pPr>
        <w:pStyle w:val="NormalWeb"/>
        <w:spacing w:before="0" w:beforeAutospacing="0" w:after="0" w:afterAutospacing="0"/>
        <w:jc w:val="both"/>
        <w:rPr>
          <w:rFonts w:asciiTheme="minorHAnsi" w:hAnsiTheme="minorHAnsi" w:cstheme="minorHAnsi"/>
          <w:sz w:val="22"/>
          <w:szCs w:val="22"/>
          <w:lang w:eastAsia="en-AU"/>
        </w:rPr>
      </w:pPr>
      <w:r>
        <w:rPr>
          <w:rFonts w:asciiTheme="minorHAnsi" w:hAnsiTheme="minorHAnsi" w:cstheme="minorHAnsi"/>
          <w:sz w:val="22"/>
          <w:szCs w:val="22"/>
          <w:lang w:eastAsia="en-AU"/>
        </w:rPr>
        <w:t>[Describe any next steps that may be relevant following this consultation, such as documents that may need to be updated, how participants will be informed whether their feedback was incorporated, follow-up meetings planned, etc.]</w:t>
      </w:r>
    </w:p>
    <w:p w14:paraId="15F57C85" w14:textId="77777777" w:rsidR="001F64E3" w:rsidRDefault="001F64E3" w:rsidP="001F64E3">
      <w:pPr>
        <w:rPr>
          <w:rFonts w:cstheme="minorHAnsi"/>
        </w:rPr>
      </w:pPr>
    </w:p>
    <w:p w14:paraId="05B6C207" w14:textId="77777777" w:rsidR="001F64E3" w:rsidRPr="0085588B" w:rsidRDefault="001F64E3" w:rsidP="001F64E3">
      <w:pPr>
        <w:shd w:val="clear" w:color="auto" w:fill="B6DDE8"/>
        <w:ind w:left="360" w:hanging="360"/>
        <w:rPr>
          <w:rFonts w:cstheme="minorHAnsi"/>
          <w:b/>
          <w:bCs/>
          <w:kern w:val="24"/>
        </w:rPr>
      </w:pPr>
      <w:r>
        <w:rPr>
          <w:rFonts w:cstheme="minorHAnsi"/>
          <w:b/>
          <w:bCs/>
          <w:kern w:val="24"/>
        </w:rPr>
        <w:t>PARTICIPANT’S LIST AND PHOTOS</w:t>
      </w:r>
    </w:p>
    <w:p w14:paraId="4F3E3380" w14:textId="77777777" w:rsidR="001F64E3" w:rsidRPr="00C40355" w:rsidRDefault="001F64E3" w:rsidP="001F64E3">
      <w:pPr>
        <w:rPr>
          <w:rFonts w:cstheme="minorHAnsi"/>
          <w:lang w:eastAsia="en-AU"/>
        </w:rPr>
      </w:pPr>
      <w:r>
        <w:rPr>
          <w:rFonts w:cstheme="minorHAnsi"/>
          <w:lang w:eastAsia="en-AU"/>
        </w:rPr>
        <w:t>[</w:t>
      </w:r>
      <w:r w:rsidR="00901491">
        <w:rPr>
          <w:rFonts w:cstheme="minorHAnsi"/>
          <w:lang w:eastAsia="en-AU"/>
        </w:rPr>
        <w:t xml:space="preserve">Will be </w:t>
      </w:r>
      <w:r>
        <w:rPr>
          <w:rFonts w:cstheme="minorHAnsi"/>
          <w:lang w:eastAsia="en-AU"/>
        </w:rPr>
        <w:t>Attach]</w:t>
      </w:r>
    </w:p>
    <w:p w14:paraId="204A8EBE" w14:textId="77777777" w:rsidR="001F64E3" w:rsidRPr="00AB480E" w:rsidRDefault="001F64E3" w:rsidP="001F64E3"/>
    <w:sectPr w:rsidR="001F64E3" w:rsidRPr="00AB48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F9C0" w14:textId="77777777" w:rsidR="00813725" w:rsidRDefault="00813725" w:rsidP="0056129E">
      <w:pPr>
        <w:spacing w:after="0" w:line="240" w:lineRule="auto"/>
      </w:pPr>
      <w:r>
        <w:separator/>
      </w:r>
    </w:p>
  </w:endnote>
  <w:endnote w:type="continuationSeparator" w:id="0">
    <w:p w14:paraId="213868A7" w14:textId="77777777" w:rsidR="00813725" w:rsidRDefault="00813725" w:rsidP="0056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Segoe Print"/>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641D" w14:textId="0F7A3339" w:rsidR="001E444B" w:rsidRDefault="001E444B">
    <w:pPr>
      <w:pStyle w:val="Footer"/>
    </w:pPr>
    <w:r>
      <w:rPr>
        <w:noProof/>
      </w:rPr>
      <mc:AlternateContent>
        <mc:Choice Requires="wps">
          <w:drawing>
            <wp:anchor distT="0" distB="0" distL="0" distR="0" simplePos="0" relativeHeight="251659264" behindDoc="0" locked="0" layoutInCell="1" allowOverlap="1" wp14:anchorId="5E0BCC4D" wp14:editId="42DF3997">
              <wp:simplePos x="635" y="635"/>
              <wp:positionH relativeFrom="page">
                <wp:align>right</wp:align>
              </wp:positionH>
              <wp:positionV relativeFrom="page">
                <wp:align>bottom</wp:align>
              </wp:positionV>
              <wp:extent cx="1172210" cy="357505"/>
              <wp:effectExtent l="0" t="0" r="0" b="0"/>
              <wp:wrapNone/>
              <wp:docPr id="105947188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518390C8" w14:textId="3F561F20" w:rsidR="001E444B" w:rsidRPr="001E444B" w:rsidRDefault="001E444B" w:rsidP="001E444B">
                          <w:pPr>
                            <w:spacing w:after="0"/>
                            <w:rPr>
                              <w:rFonts w:ascii="Aptos" w:eastAsia="Aptos" w:hAnsi="Aptos" w:cs="Aptos"/>
                              <w:noProof/>
                              <w:color w:val="000000"/>
                              <w:sz w:val="20"/>
                              <w:szCs w:val="20"/>
                            </w:rPr>
                          </w:pPr>
                          <w:r w:rsidRPr="001E444B">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0BCC4D" id="_x0000_t202" coordsize="21600,21600" o:spt="202" path="m,l,21600r21600,l21600,xe">
              <v:stroke joinstyle="miter"/>
              <v:path gradientshapeok="t" o:connecttype="rect"/>
            </v:shapetype>
            <v:shape id="Text Box 2" o:spid="_x0000_s1027" type="#_x0000_t202" alt="Official Use Only" style="position:absolute;margin-left:41.1pt;margin-top:0;width:9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fill o:detectmouseclick="t"/>
              <v:textbox style="mso-fit-shape-to-text:t" inset="0,0,20pt,15pt">
                <w:txbxContent>
                  <w:p w14:paraId="518390C8" w14:textId="3F561F20" w:rsidR="001E444B" w:rsidRPr="001E444B" w:rsidRDefault="001E444B" w:rsidP="001E444B">
                    <w:pPr>
                      <w:spacing w:after="0"/>
                      <w:rPr>
                        <w:rFonts w:ascii="Aptos" w:eastAsia="Aptos" w:hAnsi="Aptos" w:cs="Aptos"/>
                        <w:noProof/>
                        <w:color w:val="000000"/>
                        <w:sz w:val="20"/>
                        <w:szCs w:val="20"/>
                      </w:rPr>
                    </w:pPr>
                    <w:r w:rsidRPr="001E444B">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A29E" w14:textId="0DC510C4" w:rsidR="00A420B8" w:rsidRDefault="001E444B">
    <w:pPr>
      <w:pStyle w:val="Footer"/>
      <w:jc w:val="center"/>
    </w:pPr>
    <w:r>
      <w:rPr>
        <w:noProof/>
      </w:rPr>
      <mc:AlternateContent>
        <mc:Choice Requires="wps">
          <w:drawing>
            <wp:anchor distT="0" distB="0" distL="0" distR="0" simplePos="0" relativeHeight="251660288" behindDoc="0" locked="0" layoutInCell="1" allowOverlap="1" wp14:anchorId="5C20E633" wp14:editId="19D54B62">
              <wp:simplePos x="635" y="635"/>
              <wp:positionH relativeFrom="page">
                <wp:align>right</wp:align>
              </wp:positionH>
              <wp:positionV relativeFrom="page">
                <wp:align>bottom</wp:align>
              </wp:positionV>
              <wp:extent cx="1172210" cy="357505"/>
              <wp:effectExtent l="0" t="0" r="0" b="0"/>
              <wp:wrapNone/>
              <wp:docPr id="166551245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6C565287" w14:textId="46A8EB18" w:rsidR="001E444B" w:rsidRPr="001E444B" w:rsidRDefault="001E444B" w:rsidP="001E444B">
                          <w:pPr>
                            <w:spacing w:after="0"/>
                            <w:rPr>
                              <w:rFonts w:ascii="Aptos" w:eastAsia="Aptos" w:hAnsi="Aptos" w:cs="Aptos"/>
                              <w:noProof/>
                              <w:color w:val="000000"/>
                              <w:sz w:val="20"/>
                              <w:szCs w:val="20"/>
                            </w:rPr>
                          </w:pPr>
                          <w:r w:rsidRPr="001E444B">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C20E633" id="_x0000_t202" coordsize="21600,21600" o:spt="202" path="m,l,21600r21600,l21600,xe">
              <v:stroke joinstyle="miter"/>
              <v:path gradientshapeok="t" o:connecttype="rect"/>
            </v:shapetype>
            <v:shape id="Text Box 3" o:spid="_x0000_s1028" type="#_x0000_t202" alt="Official Use Only" style="position:absolute;left:0;text-align:left;margin-left:41.1pt;margin-top:0;width:92.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fill o:detectmouseclick="t"/>
              <v:textbox style="mso-fit-shape-to-text:t" inset="0,0,20pt,15pt">
                <w:txbxContent>
                  <w:p w14:paraId="6C565287" w14:textId="46A8EB18" w:rsidR="001E444B" w:rsidRPr="001E444B" w:rsidRDefault="001E444B" w:rsidP="001E444B">
                    <w:pPr>
                      <w:spacing w:after="0"/>
                      <w:rPr>
                        <w:rFonts w:ascii="Aptos" w:eastAsia="Aptos" w:hAnsi="Aptos" w:cs="Aptos"/>
                        <w:noProof/>
                        <w:color w:val="000000"/>
                        <w:sz w:val="20"/>
                        <w:szCs w:val="20"/>
                      </w:rPr>
                    </w:pPr>
                    <w:r w:rsidRPr="001E444B">
                      <w:rPr>
                        <w:rFonts w:ascii="Aptos" w:eastAsia="Aptos" w:hAnsi="Aptos" w:cs="Aptos"/>
                        <w:noProof/>
                        <w:color w:val="000000"/>
                        <w:sz w:val="20"/>
                        <w:szCs w:val="20"/>
                      </w:rPr>
                      <w:t>Official Use Only</w:t>
                    </w:r>
                  </w:p>
                </w:txbxContent>
              </v:textbox>
              <w10:wrap anchorx="page" anchory="page"/>
            </v:shape>
          </w:pict>
        </mc:Fallback>
      </mc:AlternateContent>
    </w:r>
    <w:sdt>
      <w:sdtPr>
        <w:id w:val="1935869675"/>
        <w:docPartObj>
          <w:docPartGallery w:val="Page Numbers (Bottom of Page)"/>
          <w:docPartUnique/>
        </w:docPartObj>
      </w:sdtPr>
      <w:sdtEndPr>
        <w:rPr>
          <w:noProof/>
        </w:rPr>
      </w:sdtEndPr>
      <w:sdtContent>
        <w:r w:rsidR="00A420B8">
          <w:fldChar w:fldCharType="begin"/>
        </w:r>
        <w:r w:rsidR="00A420B8">
          <w:instrText xml:space="preserve"> PAGE   \* MERGEFORMAT </w:instrText>
        </w:r>
        <w:r w:rsidR="00A420B8">
          <w:fldChar w:fldCharType="separate"/>
        </w:r>
        <w:r w:rsidR="00A420B8">
          <w:rPr>
            <w:noProof/>
          </w:rPr>
          <w:t>2</w:t>
        </w:r>
        <w:r w:rsidR="00A420B8">
          <w:rPr>
            <w:noProof/>
          </w:rPr>
          <w:fldChar w:fldCharType="end"/>
        </w:r>
      </w:sdtContent>
    </w:sdt>
  </w:p>
  <w:p w14:paraId="63CC3614" w14:textId="77777777" w:rsidR="00A420B8" w:rsidRDefault="00A42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6B60" w14:textId="06566E2C" w:rsidR="001E444B" w:rsidRDefault="001E444B">
    <w:pPr>
      <w:pStyle w:val="Footer"/>
    </w:pPr>
    <w:r>
      <w:rPr>
        <w:noProof/>
      </w:rPr>
      <mc:AlternateContent>
        <mc:Choice Requires="wps">
          <w:drawing>
            <wp:anchor distT="0" distB="0" distL="0" distR="0" simplePos="0" relativeHeight="251658240" behindDoc="0" locked="0" layoutInCell="1" allowOverlap="1" wp14:anchorId="3CCD3E63" wp14:editId="12CCE510">
              <wp:simplePos x="635" y="635"/>
              <wp:positionH relativeFrom="page">
                <wp:align>right</wp:align>
              </wp:positionH>
              <wp:positionV relativeFrom="page">
                <wp:align>bottom</wp:align>
              </wp:positionV>
              <wp:extent cx="1172210" cy="357505"/>
              <wp:effectExtent l="0" t="0" r="0" b="0"/>
              <wp:wrapNone/>
              <wp:docPr id="135880882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565CDA97" w14:textId="433ABBE8" w:rsidR="001E444B" w:rsidRPr="001E444B" w:rsidRDefault="001E444B" w:rsidP="001E444B">
                          <w:pPr>
                            <w:spacing w:after="0"/>
                            <w:rPr>
                              <w:rFonts w:ascii="Aptos" w:eastAsia="Aptos" w:hAnsi="Aptos" w:cs="Aptos"/>
                              <w:noProof/>
                              <w:color w:val="000000"/>
                              <w:sz w:val="20"/>
                              <w:szCs w:val="20"/>
                            </w:rPr>
                          </w:pPr>
                          <w:r w:rsidRPr="001E444B">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CD3E63" id="_x0000_t202" coordsize="21600,21600" o:spt="202" path="m,l,21600r21600,l21600,xe">
              <v:stroke joinstyle="miter"/>
              <v:path gradientshapeok="t" o:connecttype="rect"/>
            </v:shapetype>
            <v:shape id="_x0000_s1029"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fill o:detectmouseclick="t"/>
              <v:textbox style="mso-fit-shape-to-text:t" inset="0,0,20pt,15pt">
                <w:txbxContent>
                  <w:p w14:paraId="565CDA97" w14:textId="433ABBE8" w:rsidR="001E444B" w:rsidRPr="001E444B" w:rsidRDefault="001E444B" w:rsidP="001E444B">
                    <w:pPr>
                      <w:spacing w:after="0"/>
                      <w:rPr>
                        <w:rFonts w:ascii="Aptos" w:eastAsia="Aptos" w:hAnsi="Aptos" w:cs="Aptos"/>
                        <w:noProof/>
                        <w:color w:val="000000"/>
                        <w:sz w:val="20"/>
                        <w:szCs w:val="20"/>
                      </w:rPr>
                    </w:pPr>
                    <w:r w:rsidRPr="001E444B">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F021" w14:textId="77777777" w:rsidR="00813725" w:rsidRDefault="00813725" w:rsidP="0056129E">
      <w:pPr>
        <w:spacing w:after="0" w:line="240" w:lineRule="auto"/>
      </w:pPr>
      <w:r>
        <w:separator/>
      </w:r>
    </w:p>
  </w:footnote>
  <w:footnote w:type="continuationSeparator" w:id="0">
    <w:p w14:paraId="2949B82F" w14:textId="77777777" w:rsidR="00813725" w:rsidRDefault="00813725" w:rsidP="00561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B711" w14:textId="77777777" w:rsidR="00A420B8" w:rsidRPr="0056129E" w:rsidRDefault="00A420B8" w:rsidP="0056129E">
    <w:pPr>
      <w:pStyle w:val="Header"/>
      <w:jc w:val="center"/>
      <w:rPr>
        <w:rFonts w:ascii="Calibri" w:hAnsi="Calibri" w:cs="Calibri"/>
        <w:b/>
        <w:bCs/>
        <w:i/>
        <w:iCs/>
        <w:color w:val="1B290D"/>
        <w:sz w:val="18"/>
        <w:szCs w:val="18"/>
      </w:rPr>
    </w:pPr>
    <w:r w:rsidRPr="0056129E">
      <w:rPr>
        <w:rFonts w:ascii="Calibri" w:hAnsi="Calibri" w:cs="Calibri"/>
        <w:b/>
        <w:bCs/>
        <w:i/>
        <w:iCs/>
        <w:color w:val="1B290D"/>
        <w:sz w:val="18"/>
        <w:szCs w:val="18"/>
      </w:rPr>
      <w:t>Montenegro Forest for Shared Prosperity Project</w:t>
    </w:r>
  </w:p>
  <w:p w14:paraId="6022CB5C" w14:textId="77777777" w:rsidR="00A420B8" w:rsidRDefault="00A42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9A"/>
    <w:multiLevelType w:val="multilevel"/>
    <w:tmpl w:val="B6FA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47DD8"/>
    <w:multiLevelType w:val="hybridMultilevel"/>
    <w:tmpl w:val="46327D80"/>
    <w:lvl w:ilvl="0" w:tplc="A254E48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12B4141"/>
    <w:multiLevelType w:val="multilevel"/>
    <w:tmpl w:val="36EC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04D2E"/>
    <w:multiLevelType w:val="hybridMultilevel"/>
    <w:tmpl w:val="68668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E538C"/>
    <w:multiLevelType w:val="hybridMultilevel"/>
    <w:tmpl w:val="ABFA4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5299A"/>
    <w:multiLevelType w:val="multilevel"/>
    <w:tmpl w:val="7750A16E"/>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C40C9C"/>
    <w:multiLevelType w:val="hybridMultilevel"/>
    <w:tmpl w:val="AF4A5704"/>
    <w:lvl w:ilvl="0" w:tplc="861EC13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3DDD"/>
    <w:multiLevelType w:val="multilevel"/>
    <w:tmpl w:val="F4A03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C2B4F"/>
    <w:multiLevelType w:val="hybridMultilevel"/>
    <w:tmpl w:val="3F0C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50F32"/>
    <w:multiLevelType w:val="multilevel"/>
    <w:tmpl w:val="5958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424C9"/>
    <w:multiLevelType w:val="multilevel"/>
    <w:tmpl w:val="F94EE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6536E"/>
    <w:multiLevelType w:val="hybridMultilevel"/>
    <w:tmpl w:val="7BF4A654"/>
    <w:lvl w:ilvl="0" w:tplc="E5A81EEA">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A4056"/>
    <w:multiLevelType w:val="hybridMultilevel"/>
    <w:tmpl w:val="C0AC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122F8"/>
    <w:multiLevelType w:val="hybridMultilevel"/>
    <w:tmpl w:val="7FD0B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67F5F"/>
    <w:multiLevelType w:val="hybridMultilevel"/>
    <w:tmpl w:val="7610C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55BD1"/>
    <w:multiLevelType w:val="hybridMultilevel"/>
    <w:tmpl w:val="19CE5822"/>
    <w:lvl w:ilvl="0" w:tplc="6752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0A02B4"/>
    <w:multiLevelType w:val="multilevel"/>
    <w:tmpl w:val="D906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F7E1E"/>
    <w:multiLevelType w:val="hybridMultilevel"/>
    <w:tmpl w:val="28DA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A24F6"/>
    <w:multiLevelType w:val="hybridMultilevel"/>
    <w:tmpl w:val="A018683C"/>
    <w:lvl w:ilvl="0" w:tplc="87789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F69DA"/>
    <w:multiLevelType w:val="hybridMultilevel"/>
    <w:tmpl w:val="5702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5058A"/>
    <w:multiLevelType w:val="multilevel"/>
    <w:tmpl w:val="2A1842C2"/>
    <w:styleLink w:val="Style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FD13E8C"/>
    <w:multiLevelType w:val="multilevel"/>
    <w:tmpl w:val="A900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967AA2"/>
    <w:multiLevelType w:val="multilevel"/>
    <w:tmpl w:val="FA4A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C5226"/>
    <w:multiLevelType w:val="multilevel"/>
    <w:tmpl w:val="8D60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4E559E"/>
    <w:multiLevelType w:val="hybridMultilevel"/>
    <w:tmpl w:val="BE46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63DEC"/>
    <w:multiLevelType w:val="hybridMultilevel"/>
    <w:tmpl w:val="A1F8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830E1"/>
    <w:multiLevelType w:val="hybridMultilevel"/>
    <w:tmpl w:val="A4A4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C2196"/>
    <w:multiLevelType w:val="hybridMultilevel"/>
    <w:tmpl w:val="425E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A05E7"/>
    <w:multiLevelType w:val="hybridMultilevel"/>
    <w:tmpl w:val="AF4A5704"/>
    <w:lvl w:ilvl="0" w:tplc="861EC13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465AA"/>
    <w:multiLevelType w:val="hybridMultilevel"/>
    <w:tmpl w:val="0E46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63DA8"/>
    <w:multiLevelType w:val="multilevel"/>
    <w:tmpl w:val="10CE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738B0"/>
    <w:multiLevelType w:val="hybridMultilevel"/>
    <w:tmpl w:val="CDD0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A33984"/>
    <w:multiLevelType w:val="hybridMultilevel"/>
    <w:tmpl w:val="686C7C24"/>
    <w:lvl w:ilvl="0" w:tplc="A254E48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E2072"/>
    <w:multiLevelType w:val="hybridMultilevel"/>
    <w:tmpl w:val="B5BEA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82878"/>
    <w:multiLevelType w:val="multilevel"/>
    <w:tmpl w:val="9EC4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626805">
    <w:abstractNumId w:val="6"/>
  </w:num>
  <w:num w:numId="2" w16cid:durableId="1430470324">
    <w:abstractNumId w:val="28"/>
  </w:num>
  <w:num w:numId="3" w16cid:durableId="903108435">
    <w:abstractNumId w:val="25"/>
  </w:num>
  <w:num w:numId="4" w16cid:durableId="1712074628">
    <w:abstractNumId w:val="1"/>
  </w:num>
  <w:num w:numId="5" w16cid:durableId="1838425828">
    <w:abstractNumId w:val="33"/>
  </w:num>
  <w:num w:numId="6" w16cid:durableId="1295990333">
    <w:abstractNumId w:val="32"/>
  </w:num>
  <w:num w:numId="7" w16cid:durableId="216625869">
    <w:abstractNumId w:val="18"/>
  </w:num>
  <w:num w:numId="8" w16cid:durableId="806165697">
    <w:abstractNumId w:val="3"/>
  </w:num>
  <w:num w:numId="9" w16cid:durableId="1149977182">
    <w:abstractNumId w:val="16"/>
  </w:num>
  <w:num w:numId="10" w16cid:durableId="411123570">
    <w:abstractNumId w:val="13"/>
  </w:num>
  <w:num w:numId="11" w16cid:durableId="723916011">
    <w:abstractNumId w:val="4"/>
  </w:num>
  <w:num w:numId="12" w16cid:durableId="1058481156">
    <w:abstractNumId w:val="14"/>
  </w:num>
  <w:num w:numId="13" w16cid:durableId="515269185">
    <w:abstractNumId w:val="11"/>
  </w:num>
  <w:num w:numId="14" w16cid:durableId="601184714">
    <w:abstractNumId w:val="20"/>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165823962">
    <w:abstractNumId w:val="20"/>
  </w:num>
  <w:num w:numId="16" w16cid:durableId="335352002">
    <w:abstractNumId w:val="30"/>
  </w:num>
  <w:num w:numId="17" w16cid:durableId="264652589">
    <w:abstractNumId w:val="22"/>
  </w:num>
  <w:num w:numId="18" w16cid:durableId="676494148">
    <w:abstractNumId w:val="0"/>
  </w:num>
  <w:num w:numId="19" w16cid:durableId="523904850">
    <w:abstractNumId w:val="26"/>
  </w:num>
  <w:num w:numId="20" w16cid:durableId="360939259">
    <w:abstractNumId w:val="27"/>
  </w:num>
  <w:num w:numId="21" w16cid:durableId="440805189">
    <w:abstractNumId w:val="19"/>
  </w:num>
  <w:num w:numId="22" w16cid:durableId="478115715">
    <w:abstractNumId w:val="31"/>
  </w:num>
  <w:num w:numId="23" w16cid:durableId="1434323931">
    <w:abstractNumId w:val="12"/>
  </w:num>
  <w:num w:numId="24" w16cid:durableId="1580363174">
    <w:abstractNumId w:val="24"/>
  </w:num>
  <w:num w:numId="25" w16cid:durableId="1861581459">
    <w:abstractNumId w:val="8"/>
  </w:num>
  <w:num w:numId="26" w16cid:durableId="1262837251">
    <w:abstractNumId w:val="29"/>
  </w:num>
  <w:num w:numId="27" w16cid:durableId="1375933736">
    <w:abstractNumId w:val="15"/>
  </w:num>
  <w:num w:numId="28" w16cid:durableId="107816819">
    <w:abstractNumId w:val="17"/>
  </w:num>
  <w:num w:numId="29" w16cid:durableId="20668733">
    <w:abstractNumId w:val="5"/>
  </w:num>
  <w:num w:numId="30" w16cid:durableId="504243143">
    <w:abstractNumId w:val="2"/>
  </w:num>
  <w:num w:numId="31" w16cid:durableId="1302423488">
    <w:abstractNumId w:val="9"/>
  </w:num>
  <w:num w:numId="32" w16cid:durableId="1278220901">
    <w:abstractNumId w:val="34"/>
  </w:num>
  <w:num w:numId="33" w16cid:durableId="1311209810">
    <w:abstractNumId w:val="23"/>
  </w:num>
  <w:num w:numId="34" w16cid:durableId="883104456">
    <w:abstractNumId w:val="21"/>
  </w:num>
  <w:num w:numId="35" w16cid:durableId="359942244">
    <w:abstractNumId w:val="7"/>
  </w:num>
  <w:num w:numId="36" w16cid:durableId="121459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F9"/>
    <w:rsid w:val="000077F2"/>
    <w:rsid w:val="00007D2A"/>
    <w:rsid w:val="00015670"/>
    <w:rsid w:val="000B08CF"/>
    <w:rsid w:val="000B355F"/>
    <w:rsid w:val="000C79F6"/>
    <w:rsid w:val="000D0AB6"/>
    <w:rsid w:val="000D2717"/>
    <w:rsid w:val="000F13F2"/>
    <w:rsid w:val="000F2907"/>
    <w:rsid w:val="000F3D65"/>
    <w:rsid w:val="001123BC"/>
    <w:rsid w:val="0011524A"/>
    <w:rsid w:val="001262F8"/>
    <w:rsid w:val="001438BF"/>
    <w:rsid w:val="00153D9C"/>
    <w:rsid w:val="00156E55"/>
    <w:rsid w:val="001664A5"/>
    <w:rsid w:val="0017059B"/>
    <w:rsid w:val="00171C57"/>
    <w:rsid w:val="00172EE1"/>
    <w:rsid w:val="00174E86"/>
    <w:rsid w:val="001956C3"/>
    <w:rsid w:val="001C3256"/>
    <w:rsid w:val="001E0D3D"/>
    <w:rsid w:val="001E444B"/>
    <w:rsid w:val="001F64E3"/>
    <w:rsid w:val="00214331"/>
    <w:rsid w:val="00266CBD"/>
    <w:rsid w:val="002A2FDF"/>
    <w:rsid w:val="002A47A7"/>
    <w:rsid w:val="002F0721"/>
    <w:rsid w:val="00307463"/>
    <w:rsid w:val="00372481"/>
    <w:rsid w:val="0038279A"/>
    <w:rsid w:val="003A4D30"/>
    <w:rsid w:val="003A5434"/>
    <w:rsid w:val="003B6EAB"/>
    <w:rsid w:val="003C09C2"/>
    <w:rsid w:val="0042099C"/>
    <w:rsid w:val="00434ED3"/>
    <w:rsid w:val="004401A5"/>
    <w:rsid w:val="004631C0"/>
    <w:rsid w:val="00482959"/>
    <w:rsid w:val="00487419"/>
    <w:rsid w:val="004A0BEB"/>
    <w:rsid w:val="004B579C"/>
    <w:rsid w:val="004E3463"/>
    <w:rsid w:val="004F3F40"/>
    <w:rsid w:val="004F6718"/>
    <w:rsid w:val="0053204F"/>
    <w:rsid w:val="00537560"/>
    <w:rsid w:val="005400DF"/>
    <w:rsid w:val="00553017"/>
    <w:rsid w:val="0056129E"/>
    <w:rsid w:val="00566C72"/>
    <w:rsid w:val="00577713"/>
    <w:rsid w:val="0058135E"/>
    <w:rsid w:val="00596986"/>
    <w:rsid w:val="005A1DCC"/>
    <w:rsid w:val="005B5413"/>
    <w:rsid w:val="005B7D42"/>
    <w:rsid w:val="005C6892"/>
    <w:rsid w:val="005C7E2E"/>
    <w:rsid w:val="005E1032"/>
    <w:rsid w:val="005E4478"/>
    <w:rsid w:val="006123CF"/>
    <w:rsid w:val="006169BD"/>
    <w:rsid w:val="0065166A"/>
    <w:rsid w:val="006908C1"/>
    <w:rsid w:val="006A14F9"/>
    <w:rsid w:val="006B03E5"/>
    <w:rsid w:val="006D349D"/>
    <w:rsid w:val="00713377"/>
    <w:rsid w:val="0073132A"/>
    <w:rsid w:val="00776EB5"/>
    <w:rsid w:val="00780301"/>
    <w:rsid w:val="007846BB"/>
    <w:rsid w:val="007A1DAD"/>
    <w:rsid w:val="007D0035"/>
    <w:rsid w:val="007E0D14"/>
    <w:rsid w:val="007E2E78"/>
    <w:rsid w:val="007E4B74"/>
    <w:rsid w:val="007F02CC"/>
    <w:rsid w:val="008106A6"/>
    <w:rsid w:val="00813725"/>
    <w:rsid w:val="0082117E"/>
    <w:rsid w:val="008238BE"/>
    <w:rsid w:val="00834146"/>
    <w:rsid w:val="0083464A"/>
    <w:rsid w:val="008360C5"/>
    <w:rsid w:val="00852CD9"/>
    <w:rsid w:val="00882FBB"/>
    <w:rsid w:val="008A555C"/>
    <w:rsid w:val="00901491"/>
    <w:rsid w:val="00923FE8"/>
    <w:rsid w:val="009479B5"/>
    <w:rsid w:val="009657D9"/>
    <w:rsid w:val="009841A1"/>
    <w:rsid w:val="00994762"/>
    <w:rsid w:val="009C6671"/>
    <w:rsid w:val="009D7D5B"/>
    <w:rsid w:val="00A27093"/>
    <w:rsid w:val="00A27721"/>
    <w:rsid w:val="00A420B8"/>
    <w:rsid w:val="00A5694D"/>
    <w:rsid w:val="00A618B9"/>
    <w:rsid w:val="00AA533F"/>
    <w:rsid w:val="00AA7252"/>
    <w:rsid w:val="00AB4D8A"/>
    <w:rsid w:val="00AC5238"/>
    <w:rsid w:val="00AF17FE"/>
    <w:rsid w:val="00B1283F"/>
    <w:rsid w:val="00B217E6"/>
    <w:rsid w:val="00B339FF"/>
    <w:rsid w:val="00B52B7D"/>
    <w:rsid w:val="00B55D06"/>
    <w:rsid w:val="00B65C99"/>
    <w:rsid w:val="00B66B02"/>
    <w:rsid w:val="00B81DCD"/>
    <w:rsid w:val="00B92D7E"/>
    <w:rsid w:val="00BD6108"/>
    <w:rsid w:val="00BE21FC"/>
    <w:rsid w:val="00BE391F"/>
    <w:rsid w:val="00C24525"/>
    <w:rsid w:val="00C45E97"/>
    <w:rsid w:val="00C559B1"/>
    <w:rsid w:val="00CA690B"/>
    <w:rsid w:val="00CC19E7"/>
    <w:rsid w:val="00CC7B14"/>
    <w:rsid w:val="00CF2892"/>
    <w:rsid w:val="00CF4523"/>
    <w:rsid w:val="00D13834"/>
    <w:rsid w:val="00D41129"/>
    <w:rsid w:val="00D432C3"/>
    <w:rsid w:val="00D526BB"/>
    <w:rsid w:val="00D61680"/>
    <w:rsid w:val="00D9129E"/>
    <w:rsid w:val="00D93685"/>
    <w:rsid w:val="00DA21B1"/>
    <w:rsid w:val="00DE196B"/>
    <w:rsid w:val="00E126E8"/>
    <w:rsid w:val="00E16AD7"/>
    <w:rsid w:val="00E2714E"/>
    <w:rsid w:val="00E318DB"/>
    <w:rsid w:val="00E318F8"/>
    <w:rsid w:val="00E41801"/>
    <w:rsid w:val="00E5325F"/>
    <w:rsid w:val="00E81A6E"/>
    <w:rsid w:val="00E83D0D"/>
    <w:rsid w:val="00EC0036"/>
    <w:rsid w:val="00F328E0"/>
    <w:rsid w:val="00F44B3D"/>
    <w:rsid w:val="00F50AA8"/>
    <w:rsid w:val="00F51ED5"/>
    <w:rsid w:val="00FA684F"/>
    <w:rsid w:val="00FE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3CF54"/>
  <w15:chartTrackingRefBased/>
  <w15:docId w15:val="{BB4C5FC4-41FA-4523-9D88-9E5A031E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D30"/>
    <w:pPr>
      <w:keepNext/>
      <w:keepLines/>
      <w:numPr>
        <w:numId w:val="14"/>
      </w:numPr>
      <w:pBdr>
        <w:top w:val="single" w:sz="24" w:space="1" w:color="727CA3"/>
        <w:left w:val="single" w:sz="24" w:space="1" w:color="727CA3"/>
        <w:bottom w:val="single" w:sz="24" w:space="1" w:color="727CA3"/>
        <w:right w:val="single" w:sz="24" w:space="1" w:color="727CA3"/>
      </w:pBdr>
      <w:shd w:val="clear" w:color="auto" w:fill="727CA3"/>
      <w:spacing w:before="240" w:after="240" w:line="240" w:lineRule="auto"/>
      <w:jc w:val="both"/>
      <w:outlineLvl w:val="0"/>
    </w:pPr>
    <w:rPr>
      <w:rFonts w:ascii="Arial" w:eastAsiaTheme="majorEastAsia" w:hAnsi="Arial" w:cstheme="majorBidi"/>
      <w:b/>
      <w:color w:val="FFFFFF" w:themeColor="background1"/>
      <w:spacing w:val="15"/>
      <w:sz w:val="24"/>
      <w:szCs w:val="32"/>
      <w14:ligatures w14:val="standardContextual"/>
    </w:rPr>
  </w:style>
  <w:style w:type="paragraph" w:styleId="Heading2">
    <w:name w:val="heading 2"/>
    <w:basedOn w:val="Heading1"/>
    <w:next w:val="Normal"/>
    <w:link w:val="Heading2Char"/>
    <w:uiPriority w:val="9"/>
    <w:unhideWhenUsed/>
    <w:qFormat/>
    <w:rsid w:val="003A4D30"/>
    <w:pPr>
      <w:numPr>
        <w:ilvl w:val="1"/>
      </w:numPr>
      <w:pBdr>
        <w:top w:val="single" w:sz="24" w:space="1" w:color="E2E4EC"/>
        <w:left w:val="single" w:sz="24" w:space="1" w:color="E2E4EC"/>
        <w:bottom w:val="single" w:sz="24" w:space="1" w:color="E2E4EC"/>
        <w:right w:val="single" w:sz="24" w:space="1" w:color="E2E4EC"/>
      </w:pBdr>
      <w:shd w:val="clear" w:color="auto" w:fill="E2E4EC"/>
      <w:spacing w:before="40"/>
      <w:outlineLvl w:val="1"/>
    </w:pPr>
    <w:rPr>
      <w:color w:val="003768"/>
      <w:sz w:val="22"/>
      <w:szCs w:val="26"/>
    </w:rPr>
  </w:style>
  <w:style w:type="paragraph" w:styleId="Heading3">
    <w:name w:val="heading 3"/>
    <w:basedOn w:val="Normal"/>
    <w:next w:val="Normal"/>
    <w:link w:val="Heading3Char"/>
    <w:uiPriority w:val="9"/>
    <w:unhideWhenUsed/>
    <w:qFormat/>
    <w:rsid w:val="003A4D30"/>
    <w:pPr>
      <w:keepNext/>
      <w:keepLines/>
      <w:numPr>
        <w:ilvl w:val="2"/>
        <w:numId w:val="14"/>
      </w:numPr>
      <w:spacing w:before="120" w:after="120" w:line="240" w:lineRule="auto"/>
      <w:jc w:val="both"/>
      <w:outlineLvl w:val="2"/>
    </w:pPr>
    <w:rPr>
      <w:rFonts w:ascii="Arial" w:eastAsia="Times New Roman" w:hAnsi="Arial" w:cs="Times New Roman"/>
      <w:b/>
      <w:color w:val="003768"/>
      <w:spacing w:val="10"/>
      <w:szCs w:val="24"/>
    </w:rPr>
  </w:style>
  <w:style w:type="paragraph" w:styleId="Heading4">
    <w:name w:val="heading 4"/>
    <w:basedOn w:val="Heading3"/>
    <w:next w:val="Normal"/>
    <w:link w:val="Heading4Char"/>
    <w:uiPriority w:val="9"/>
    <w:unhideWhenUsed/>
    <w:qFormat/>
    <w:rsid w:val="003A4D30"/>
    <w:pPr>
      <w:numPr>
        <w:ilvl w:val="3"/>
      </w:numPr>
      <w:spacing w:before="40" w:after="0"/>
      <w:outlineLvl w:val="3"/>
    </w:pPr>
    <w:rPr>
      <w:rFonts w:eastAsiaTheme="majorEastAsia" w:cstheme="majorBidi"/>
      <w:i/>
      <w:iCs/>
      <w:color w:val="4472C4" w:themeColor="accent1"/>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Bullet Answer,Bullets,Citation List,Ha,List Bullet-OpsManual,List Paragraph (numbered (a)),List Paragraph nowy,List Paragraph1,List Paragraph2,List_Paragraph,Liste 1,Multilevel para_II,Normal 2,References,Resume Title,Title Style 1"/>
    <w:basedOn w:val="Normal"/>
    <w:link w:val="ListParagraphChar"/>
    <w:uiPriority w:val="99"/>
    <w:qFormat/>
    <w:rsid w:val="00D13834"/>
    <w:pPr>
      <w:ind w:left="720"/>
      <w:contextualSpacing/>
    </w:pPr>
  </w:style>
  <w:style w:type="table" w:styleId="TableGrid">
    <w:name w:val="Table Grid"/>
    <w:aliases w:val="Tablo Kılavuzum,Tablo Kılavuzu_ilkem,Table Grid (Appendix list),ＰＡＤＥＣＯ,Table QA,Table inside,tableau PC,Table 1,SRK,GT0,Tabla portada,Table long document,tablo,Tablo-drs,Vale 4,Plain Table,表格样式,mtbs,CV table,Table Grid CFAA,TabelEcorys"/>
    <w:basedOn w:val="TableNormal"/>
    <w:uiPriority w:val="39"/>
    <w:qFormat/>
    <w:rsid w:val="00DE1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E19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E81A6E"/>
    <w:pPr>
      <w:spacing w:after="0" w:line="240" w:lineRule="auto"/>
    </w:pPr>
  </w:style>
  <w:style w:type="character" w:styleId="CommentReference">
    <w:name w:val="annotation reference"/>
    <w:basedOn w:val="DefaultParagraphFont"/>
    <w:uiPriority w:val="99"/>
    <w:semiHidden/>
    <w:unhideWhenUsed/>
    <w:rsid w:val="00487419"/>
    <w:rPr>
      <w:sz w:val="16"/>
      <w:szCs w:val="16"/>
    </w:rPr>
  </w:style>
  <w:style w:type="paragraph" w:styleId="CommentText">
    <w:name w:val="annotation text"/>
    <w:basedOn w:val="Normal"/>
    <w:link w:val="CommentTextChar"/>
    <w:uiPriority w:val="99"/>
    <w:unhideWhenUsed/>
    <w:rsid w:val="00487419"/>
    <w:pPr>
      <w:spacing w:line="240" w:lineRule="auto"/>
    </w:pPr>
    <w:rPr>
      <w:sz w:val="20"/>
      <w:szCs w:val="20"/>
    </w:rPr>
  </w:style>
  <w:style w:type="character" w:customStyle="1" w:styleId="CommentTextChar">
    <w:name w:val="Comment Text Char"/>
    <w:basedOn w:val="DefaultParagraphFont"/>
    <w:link w:val="CommentText"/>
    <w:uiPriority w:val="99"/>
    <w:rsid w:val="00487419"/>
    <w:rPr>
      <w:sz w:val="20"/>
      <w:szCs w:val="20"/>
    </w:rPr>
  </w:style>
  <w:style w:type="paragraph" w:styleId="CommentSubject">
    <w:name w:val="annotation subject"/>
    <w:basedOn w:val="CommentText"/>
    <w:next w:val="CommentText"/>
    <w:link w:val="CommentSubjectChar"/>
    <w:uiPriority w:val="99"/>
    <w:semiHidden/>
    <w:unhideWhenUsed/>
    <w:rsid w:val="00487419"/>
    <w:rPr>
      <w:b/>
      <w:bCs/>
    </w:rPr>
  </w:style>
  <w:style w:type="character" w:customStyle="1" w:styleId="CommentSubjectChar">
    <w:name w:val="Comment Subject Char"/>
    <w:basedOn w:val="CommentTextChar"/>
    <w:link w:val="CommentSubject"/>
    <w:uiPriority w:val="99"/>
    <w:semiHidden/>
    <w:rsid w:val="00487419"/>
    <w:rPr>
      <w:b/>
      <w:bCs/>
      <w:sz w:val="20"/>
      <w:szCs w:val="20"/>
    </w:rPr>
  </w:style>
  <w:style w:type="character" w:customStyle="1" w:styleId="CaptionChar">
    <w:name w:val="Caption Char"/>
    <w:aliases w:val="Resim Yazısı Char Char Char Char Char Char Char Char Char Char Char,Resim Yazısı Char Char Char Char Char Char Char Char Char Char1,Resim Yazısı Char Char Char Char Char Char Char Char Char1,Resim Yazısı Char Char Char1,Char2 Char,Map Char"/>
    <w:link w:val="Caption"/>
    <w:uiPriority w:val="35"/>
    <w:qFormat/>
    <w:locked/>
    <w:rsid w:val="0065166A"/>
    <w:rPr>
      <w:rFonts w:ascii="Arial" w:hAnsi="Arial" w:cs="Arial"/>
      <w:b/>
      <w:iCs/>
      <w:sz w:val="18"/>
      <w:szCs w:val="18"/>
    </w:rPr>
  </w:style>
  <w:style w:type="paragraph" w:styleId="Caption">
    <w:name w:val="caption"/>
    <w:aliases w:val="Resim Yazısı Char Char Char Char Char Char Char Char Char Char,Resim Yazısı Char Char Char Char Char Char Char Char Char,Resim Yazısı Char Char Char Char Char Char Char Char,Resim Yazısı Char Char,Resim Yazısı Char Char Char,Char2,Map,Tabl"/>
    <w:basedOn w:val="Normal"/>
    <w:next w:val="Normal"/>
    <w:link w:val="CaptionChar"/>
    <w:uiPriority w:val="35"/>
    <w:unhideWhenUsed/>
    <w:qFormat/>
    <w:rsid w:val="0065166A"/>
    <w:pPr>
      <w:keepNext/>
      <w:spacing w:before="60" w:after="60" w:line="240" w:lineRule="auto"/>
      <w:jc w:val="both"/>
    </w:pPr>
    <w:rPr>
      <w:rFonts w:ascii="Arial" w:hAnsi="Arial" w:cs="Arial"/>
      <w:b/>
      <w:iCs/>
      <w:sz w:val="18"/>
      <w:szCs w:val="18"/>
    </w:rPr>
  </w:style>
  <w:style w:type="table" w:customStyle="1" w:styleId="TableGrid1">
    <w:name w:val="Table Grid1"/>
    <w:rsid w:val="00FA684F"/>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3A4D30"/>
    <w:rPr>
      <w:rFonts w:ascii="Arial" w:eastAsiaTheme="majorEastAsia" w:hAnsi="Arial" w:cstheme="majorBidi"/>
      <w:b/>
      <w:color w:val="FFFFFF" w:themeColor="background1"/>
      <w:spacing w:val="15"/>
      <w:sz w:val="24"/>
      <w:szCs w:val="32"/>
      <w:shd w:val="clear" w:color="auto" w:fill="727CA3"/>
      <w14:ligatures w14:val="standardContextual"/>
    </w:rPr>
  </w:style>
  <w:style w:type="character" w:customStyle="1" w:styleId="Heading2Char">
    <w:name w:val="Heading 2 Char"/>
    <w:basedOn w:val="DefaultParagraphFont"/>
    <w:link w:val="Heading2"/>
    <w:uiPriority w:val="9"/>
    <w:rsid w:val="003A4D30"/>
    <w:rPr>
      <w:rFonts w:ascii="Arial" w:eastAsiaTheme="majorEastAsia" w:hAnsi="Arial" w:cstheme="majorBidi"/>
      <w:b/>
      <w:color w:val="003768"/>
      <w:spacing w:val="15"/>
      <w:szCs w:val="26"/>
      <w:shd w:val="clear" w:color="auto" w:fill="E2E4EC"/>
      <w14:ligatures w14:val="standardContextual"/>
    </w:rPr>
  </w:style>
  <w:style w:type="character" w:customStyle="1" w:styleId="Heading3Char">
    <w:name w:val="Heading 3 Char"/>
    <w:basedOn w:val="DefaultParagraphFont"/>
    <w:link w:val="Heading3"/>
    <w:uiPriority w:val="9"/>
    <w:rsid w:val="003A4D30"/>
    <w:rPr>
      <w:rFonts w:ascii="Arial" w:eastAsia="Times New Roman" w:hAnsi="Arial" w:cs="Times New Roman"/>
      <w:b/>
      <w:color w:val="003768"/>
      <w:spacing w:val="10"/>
      <w:szCs w:val="24"/>
    </w:rPr>
  </w:style>
  <w:style w:type="character" w:customStyle="1" w:styleId="Heading4Char">
    <w:name w:val="Heading 4 Char"/>
    <w:basedOn w:val="DefaultParagraphFont"/>
    <w:link w:val="Heading4"/>
    <w:uiPriority w:val="9"/>
    <w:rsid w:val="003A4D30"/>
    <w:rPr>
      <w:rFonts w:ascii="Arial" w:eastAsiaTheme="majorEastAsia" w:hAnsi="Arial" w:cstheme="majorBidi"/>
      <w:b/>
      <w:i/>
      <w:iCs/>
      <w:color w:val="4472C4" w:themeColor="accent1"/>
      <w:szCs w:val="24"/>
    </w:rPr>
  </w:style>
  <w:style w:type="numbering" w:customStyle="1" w:styleId="Style1">
    <w:name w:val="Style1"/>
    <w:uiPriority w:val="99"/>
    <w:rsid w:val="003A4D30"/>
    <w:pPr>
      <w:numPr>
        <w:numId w:val="15"/>
      </w:numPr>
    </w:pPr>
  </w:style>
  <w:style w:type="table" w:customStyle="1" w:styleId="1">
    <w:name w:val="表格样式1"/>
    <w:basedOn w:val="TableNormal"/>
    <w:next w:val="TableGrid"/>
    <w:uiPriority w:val="39"/>
    <w:rsid w:val="00B55D06"/>
    <w:pPr>
      <w:spacing w:after="0" w:line="240" w:lineRule="auto"/>
    </w:pPr>
    <w:rPr>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39"/>
    <w:rsid w:val="009479B5"/>
    <w:pPr>
      <w:spacing w:after="0" w:line="240" w:lineRule="auto"/>
    </w:pPr>
    <w:rPr>
      <w:rFonts w:ascii="Calibri" w:eastAsia="Calibri" w:hAnsi="Calibri" w:cs="Times New Roman"/>
      <w:szCs w:val="20"/>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1F64E3"/>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ListParagraphChar">
    <w:name w:val="List Paragraph Char"/>
    <w:aliases w:val="ANNEX Char,Bullet Answer Char,Bullets Char,Citation List Char,Ha Char,List Bullet-OpsManual Char,List Paragraph (numbered (a)) Char,List Paragraph nowy Char,List Paragraph1 Char,List Paragraph2 Char,List_Paragraph Char,Liste 1 Char"/>
    <w:link w:val="ListParagraph"/>
    <w:uiPriority w:val="99"/>
    <w:qFormat/>
    <w:rsid w:val="001F64E3"/>
  </w:style>
  <w:style w:type="paragraph" w:styleId="BalloonText">
    <w:name w:val="Balloon Text"/>
    <w:basedOn w:val="Normal"/>
    <w:link w:val="BalloonTextChar"/>
    <w:uiPriority w:val="99"/>
    <w:semiHidden/>
    <w:unhideWhenUsed/>
    <w:rsid w:val="003A5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434"/>
    <w:rPr>
      <w:rFonts w:ascii="Segoe UI" w:hAnsi="Segoe UI" w:cs="Segoe UI"/>
      <w:sz w:val="18"/>
      <w:szCs w:val="18"/>
    </w:rPr>
  </w:style>
  <w:style w:type="character" w:styleId="Strong">
    <w:name w:val="Strong"/>
    <w:basedOn w:val="DefaultParagraphFont"/>
    <w:uiPriority w:val="22"/>
    <w:qFormat/>
    <w:rsid w:val="00372481"/>
    <w:rPr>
      <w:b/>
      <w:bCs/>
    </w:rPr>
  </w:style>
  <w:style w:type="paragraph" w:styleId="Header">
    <w:name w:val="header"/>
    <w:basedOn w:val="Normal"/>
    <w:link w:val="HeaderChar"/>
    <w:uiPriority w:val="99"/>
    <w:unhideWhenUsed/>
    <w:rsid w:val="00561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29E"/>
  </w:style>
  <w:style w:type="paragraph" w:styleId="Footer">
    <w:name w:val="footer"/>
    <w:basedOn w:val="Normal"/>
    <w:link w:val="FooterChar"/>
    <w:uiPriority w:val="99"/>
    <w:unhideWhenUsed/>
    <w:rsid w:val="00561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7215">
      <w:bodyDiv w:val="1"/>
      <w:marLeft w:val="0"/>
      <w:marRight w:val="0"/>
      <w:marTop w:val="0"/>
      <w:marBottom w:val="0"/>
      <w:divBdr>
        <w:top w:val="none" w:sz="0" w:space="0" w:color="auto"/>
        <w:left w:val="none" w:sz="0" w:space="0" w:color="auto"/>
        <w:bottom w:val="none" w:sz="0" w:space="0" w:color="auto"/>
        <w:right w:val="none" w:sz="0" w:space="0" w:color="auto"/>
      </w:divBdr>
    </w:div>
    <w:div w:id="238057136">
      <w:bodyDiv w:val="1"/>
      <w:marLeft w:val="0"/>
      <w:marRight w:val="0"/>
      <w:marTop w:val="0"/>
      <w:marBottom w:val="0"/>
      <w:divBdr>
        <w:top w:val="none" w:sz="0" w:space="0" w:color="auto"/>
        <w:left w:val="none" w:sz="0" w:space="0" w:color="auto"/>
        <w:bottom w:val="none" w:sz="0" w:space="0" w:color="auto"/>
        <w:right w:val="none" w:sz="0" w:space="0" w:color="auto"/>
      </w:divBdr>
    </w:div>
    <w:div w:id="615911749">
      <w:bodyDiv w:val="1"/>
      <w:marLeft w:val="0"/>
      <w:marRight w:val="0"/>
      <w:marTop w:val="0"/>
      <w:marBottom w:val="0"/>
      <w:divBdr>
        <w:top w:val="none" w:sz="0" w:space="0" w:color="auto"/>
        <w:left w:val="none" w:sz="0" w:space="0" w:color="auto"/>
        <w:bottom w:val="none" w:sz="0" w:space="0" w:color="auto"/>
        <w:right w:val="none" w:sz="0" w:space="0" w:color="auto"/>
      </w:divBdr>
    </w:div>
    <w:div w:id="686059933">
      <w:bodyDiv w:val="1"/>
      <w:marLeft w:val="0"/>
      <w:marRight w:val="0"/>
      <w:marTop w:val="0"/>
      <w:marBottom w:val="0"/>
      <w:divBdr>
        <w:top w:val="none" w:sz="0" w:space="0" w:color="auto"/>
        <w:left w:val="none" w:sz="0" w:space="0" w:color="auto"/>
        <w:bottom w:val="none" w:sz="0" w:space="0" w:color="auto"/>
        <w:right w:val="none" w:sz="0" w:space="0" w:color="auto"/>
      </w:divBdr>
    </w:div>
    <w:div w:id="873805554">
      <w:bodyDiv w:val="1"/>
      <w:marLeft w:val="0"/>
      <w:marRight w:val="0"/>
      <w:marTop w:val="0"/>
      <w:marBottom w:val="0"/>
      <w:divBdr>
        <w:top w:val="none" w:sz="0" w:space="0" w:color="auto"/>
        <w:left w:val="none" w:sz="0" w:space="0" w:color="auto"/>
        <w:bottom w:val="none" w:sz="0" w:space="0" w:color="auto"/>
        <w:right w:val="none" w:sz="0" w:space="0" w:color="auto"/>
      </w:divBdr>
    </w:div>
    <w:div w:id="1140461124">
      <w:bodyDiv w:val="1"/>
      <w:marLeft w:val="0"/>
      <w:marRight w:val="0"/>
      <w:marTop w:val="0"/>
      <w:marBottom w:val="0"/>
      <w:divBdr>
        <w:top w:val="none" w:sz="0" w:space="0" w:color="auto"/>
        <w:left w:val="none" w:sz="0" w:space="0" w:color="auto"/>
        <w:bottom w:val="none" w:sz="0" w:space="0" w:color="auto"/>
        <w:right w:val="none" w:sz="0" w:space="0" w:color="auto"/>
      </w:divBdr>
    </w:div>
    <w:div w:id="1167670864">
      <w:bodyDiv w:val="1"/>
      <w:marLeft w:val="0"/>
      <w:marRight w:val="0"/>
      <w:marTop w:val="0"/>
      <w:marBottom w:val="0"/>
      <w:divBdr>
        <w:top w:val="none" w:sz="0" w:space="0" w:color="auto"/>
        <w:left w:val="none" w:sz="0" w:space="0" w:color="auto"/>
        <w:bottom w:val="none" w:sz="0" w:space="0" w:color="auto"/>
        <w:right w:val="none" w:sz="0" w:space="0" w:color="auto"/>
      </w:divBdr>
    </w:div>
    <w:div w:id="1243828964">
      <w:bodyDiv w:val="1"/>
      <w:marLeft w:val="0"/>
      <w:marRight w:val="0"/>
      <w:marTop w:val="0"/>
      <w:marBottom w:val="0"/>
      <w:divBdr>
        <w:top w:val="none" w:sz="0" w:space="0" w:color="auto"/>
        <w:left w:val="none" w:sz="0" w:space="0" w:color="auto"/>
        <w:bottom w:val="none" w:sz="0" w:space="0" w:color="auto"/>
        <w:right w:val="none" w:sz="0" w:space="0" w:color="auto"/>
      </w:divBdr>
    </w:div>
    <w:div w:id="1341275161">
      <w:bodyDiv w:val="1"/>
      <w:marLeft w:val="0"/>
      <w:marRight w:val="0"/>
      <w:marTop w:val="0"/>
      <w:marBottom w:val="0"/>
      <w:divBdr>
        <w:top w:val="none" w:sz="0" w:space="0" w:color="auto"/>
        <w:left w:val="none" w:sz="0" w:space="0" w:color="auto"/>
        <w:bottom w:val="none" w:sz="0" w:space="0" w:color="auto"/>
        <w:right w:val="none" w:sz="0" w:space="0" w:color="auto"/>
      </w:divBdr>
    </w:div>
    <w:div w:id="1399479150">
      <w:bodyDiv w:val="1"/>
      <w:marLeft w:val="0"/>
      <w:marRight w:val="0"/>
      <w:marTop w:val="0"/>
      <w:marBottom w:val="0"/>
      <w:divBdr>
        <w:top w:val="none" w:sz="0" w:space="0" w:color="auto"/>
        <w:left w:val="none" w:sz="0" w:space="0" w:color="auto"/>
        <w:bottom w:val="none" w:sz="0" w:space="0" w:color="auto"/>
        <w:right w:val="none" w:sz="0" w:space="0" w:color="auto"/>
      </w:divBdr>
    </w:div>
    <w:div w:id="1953054945">
      <w:bodyDiv w:val="1"/>
      <w:marLeft w:val="0"/>
      <w:marRight w:val="0"/>
      <w:marTop w:val="0"/>
      <w:marBottom w:val="0"/>
      <w:divBdr>
        <w:top w:val="none" w:sz="0" w:space="0" w:color="auto"/>
        <w:left w:val="none" w:sz="0" w:space="0" w:color="auto"/>
        <w:bottom w:val="none" w:sz="0" w:space="0" w:color="auto"/>
        <w:right w:val="none" w:sz="0" w:space="0" w:color="auto"/>
      </w:divBdr>
    </w:div>
    <w:div w:id="20203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85A1-0FFB-4EB7-998F-EAE849F1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10268</Words>
  <Characters>68390</Characters>
  <Application>Microsoft Office Word</Application>
  <DocSecurity>0</DocSecurity>
  <Lines>1954</Lines>
  <Paragraphs>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Lapcevic</dc:creator>
  <cp:keywords/>
  <dc:description/>
  <cp:lastModifiedBy>Fisseha Tessema Abissa</cp:lastModifiedBy>
  <cp:revision>4</cp:revision>
  <cp:lastPrinted>2025-11-10T13:12:00Z</cp:lastPrinted>
  <dcterms:created xsi:type="dcterms:W3CDTF">2025-12-17T17:08:00Z</dcterms:created>
  <dcterms:modified xsi:type="dcterms:W3CDTF">2025-12-17T17:19:00Z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50fdc6f9,3f264210,6345b405</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2025-11-27T08:19:49Z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576b8776-0672-4f18-a15c-0ac74f8b091e</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