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begin"/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instrText xml:space="preserve"> HYPERLINK "http://portal.ujn.gov.me/delta2015/contractType.html" \o "Create Notice" </w:instrText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separate"/>
      </w:r>
      <w:proofErr w:type="spellStart"/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>Kreiraj</w:t>
      </w:r>
      <w:proofErr w:type="spellEnd"/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>Obavješt</w:t>
      </w:r>
      <w:proofErr w:type="spellEnd"/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>.</w:t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end"/>
      </w:r>
      <w:r w:rsidRPr="00FD3BA7">
        <w:rPr>
          <w:rFonts w:ascii="Arial" w:eastAsia="Times New Roman" w:hAnsi="Arial" w:cs="Arial"/>
          <w:color w:val="222222"/>
          <w:sz w:val="17"/>
        </w:rPr>
        <w:t> </w:t>
      </w:r>
      <w:proofErr w:type="spellStart"/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begin"/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instrText xml:space="preserve"> HYPERLINK "http://portal.ujn.gov.me/delta2015/buyer/listNotices.html" \o "List Notices" </w:instrText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separate"/>
      </w:r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>Lista</w:t>
      </w:r>
      <w:proofErr w:type="spellEnd"/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>Obavješt</w:t>
      </w:r>
      <w:proofErr w:type="spellEnd"/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>.</w:t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end"/>
      </w:r>
      <w:r w:rsidRPr="00FD3BA7">
        <w:rPr>
          <w:rFonts w:ascii="Arial" w:eastAsia="Times New Roman" w:hAnsi="Arial" w:cs="Arial"/>
          <w:color w:val="222222"/>
          <w:sz w:val="17"/>
        </w:rPr>
        <w:t> </w:t>
      </w:r>
      <w:proofErr w:type="spellStart"/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begin"/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instrText xml:space="preserve"> HYPERLINK "http://portal.ujn.gov.me/delta2015/search/noticeSearch.html" \o "Advanced Search" </w:instrText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separate"/>
      </w:r>
      <w:r w:rsidRPr="00FD3BA7">
        <w:rPr>
          <w:rFonts w:ascii="inherit" w:eastAsia="Times New Roman" w:hAnsi="inherit" w:cs="Arial"/>
          <w:b/>
          <w:bCs/>
          <w:color w:val="FFFFFF"/>
          <w:sz w:val="15"/>
          <w:u w:val="single"/>
        </w:rPr>
        <w:t>Pretraži</w:t>
      </w:r>
      <w:proofErr w:type="spellEnd"/>
      <w:r w:rsidRPr="00FD3BA7">
        <w:rPr>
          <w:rFonts w:ascii="Arial" w:eastAsia="Times New Roman" w:hAnsi="Arial" w:cs="Arial"/>
          <w:color w:val="222222"/>
          <w:sz w:val="17"/>
          <w:szCs w:val="17"/>
        </w:rPr>
        <w:fldChar w:fldCharType="end"/>
      </w:r>
    </w:p>
    <w:tbl>
      <w:tblPr>
        <w:tblW w:w="13074" w:type="dxa"/>
        <w:tblBorders>
          <w:top w:val="single" w:sz="6" w:space="0" w:color="F5F5F1"/>
          <w:left w:val="single" w:sz="6" w:space="0" w:color="F5F5F1"/>
          <w:bottom w:val="single" w:sz="6" w:space="0" w:color="F5F5F1"/>
          <w:right w:val="single" w:sz="6" w:space="0" w:color="F5F5F1"/>
        </w:tblBorders>
        <w:tblCellMar>
          <w:left w:w="0" w:type="dxa"/>
          <w:right w:w="0" w:type="dxa"/>
        </w:tblCellMar>
        <w:tblLook w:val="04A0"/>
      </w:tblPr>
      <w:tblGrid>
        <w:gridCol w:w="13074"/>
      </w:tblGrid>
      <w:tr w:rsidR="00FD3BA7" w:rsidRPr="00FD3BA7" w:rsidTr="00FD3BA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1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r>
              <w:rPr>
                <w:rFonts w:ascii="inherit" w:eastAsia="Times New Roman" w:hAnsi="inherit"/>
                <w:noProof/>
                <w:sz w:val="17"/>
                <w:szCs w:val="17"/>
              </w:rPr>
              <w:drawing>
                <wp:inline distT="0" distB="0" distL="0" distR="0">
                  <wp:extent cx="887095" cy="1022985"/>
                  <wp:effectExtent l="19050" t="0" r="8255" b="0"/>
                  <wp:docPr id="4" name="Picture 4" descr="http://portal.ujn.gov.me/delta2015/styles/GHQ-style/images/mn_logo_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ortal.ujn.gov.me/delta2015/styles/GHQ-style/images/mn_logo_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CRNA GORA</w:t>
            </w:r>
            <w:r w:rsidRPr="00FD3BA7">
              <w:rPr>
                <w:rFonts w:ascii="inherit" w:eastAsia="Times New Roman" w:hAnsi="inherit"/>
                <w:b/>
                <w:bCs/>
                <w:sz w:val="17"/>
                <w:szCs w:val="17"/>
              </w:rPr>
              <w:br/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Ministarstvo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finansija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  <w:szCs w:val="17"/>
              </w:rPr>
              <w:br/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Uprava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za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javne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nabavke</w:t>
            </w:r>
            <w:proofErr w:type="spellEnd"/>
          </w:p>
        </w:tc>
      </w:tr>
    </w:tbl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Naručilac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 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Ministarstvo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unutrasnjih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poslova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,</w:t>
      </w:r>
      <w:r w:rsidRPr="00FD3BA7">
        <w:rPr>
          <w:rFonts w:ascii="inherit" w:eastAsia="Times New Roman" w:hAnsi="inherit" w:cs="Arial"/>
          <w:color w:val="222222"/>
          <w:sz w:val="17"/>
        </w:rPr>
        <w:t> </w: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Broj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 10/15</w:t>
      </w:r>
      <w:r w:rsidRPr="00FD3BA7">
        <w:rPr>
          <w:rFonts w:ascii="inherit" w:eastAsia="Times New Roman" w:hAnsi="inherit" w:cs="Arial"/>
          <w:color w:val="222222"/>
          <w:sz w:val="17"/>
        </w:rPr>
        <w:t> </w: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Mjesto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datum</w:t>
      </w:r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 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Podgorica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10/07/2015</w:t>
      </w:r>
    </w:p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Ministarstvo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unutrasnjih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poslova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, 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objavljuje</w:t>
      </w:r>
      <w:proofErr w:type="spellEnd"/>
    </w:p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</w:p>
    <w:p w:rsidR="00FD3BA7" w:rsidRPr="00FD3BA7" w:rsidRDefault="00FD3BA7" w:rsidP="00FD3BA7">
      <w:pPr>
        <w:shd w:val="clear" w:color="auto" w:fill="FFFFFF"/>
        <w:spacing w:line="257" w:lineRule="atLeast"/>
        <w:ind w:left="216"/>
        <w:jc w:val="center"/>
        <w:textAlignment w:val="baseline"/>
        <w:outlineLvl w:val="1"/>
        <w:rPr>
          <w:rFonts w:ascii="inherit" w:eastAsia="Times New Roman" w:hAnsi="inherit" w:cs="Arial"/>
          <w:b/>
          <w:bCs/>
          <w:color w:val="660000"/>
          <w:sz w:val="31"/>
          <w:szCs w:val="31"/>
        </w:rPr>
      </w:pPr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TENDERSKU DOKUMENTACIJU</w:t>
      </w:r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> </w:t>
      </w:r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br/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broj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: 10/15</w:t>
      </w:r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> </w:t>
      </w:r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br/>
        <w:t>za</w:t>
      </w:r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> 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>Otvoreni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>postupak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>javne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</w:rPr>
        <w:t>nabavke</w:t>
      </w:r>
      <w:proofErr w:type="spellEnd"/>
    </w:p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I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Podaci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o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naručiocu</w:t>
      </w:r>
      <w:proofErr w:type="spellEnd"/>
    </w:p>
    <w:tbl>
      <w:tblPr>
        <w:tblW w:w="5000" w:type="pct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839"/>
        <w:gridCol w:w="4735"/>
      </w:tblGrid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Naručilac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>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Ministarstvo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unutrasnjih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poslova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Kontakt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osoba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>/e: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Nataša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Ivanović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/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Draško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Leković</w:t>
            </w:r>
            <w:proofErr w:type="spellEnd"/>
          </w:p>
        </w:tc>
      </w:tr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Adresa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>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Bul.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Sv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. Petra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Cetinjskog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 xml:space="preserve"> 22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Poštanski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broj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>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81000</w:t>
            </w:r>
          </w:p>
        </w:tc>
      </w:tr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Grad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>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Podgorica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Identifikacioni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broj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>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02016010</w:t>
            </w:r>
          </w:p>
        </w:tc>
      </w:tr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Telefon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>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020241967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sz w:val="17"/>
                <w:szCs w:val="17"/>
              </w:rPr>
              <w:t>Fax: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020241967</w:t>
            </w:r>
          </w:p>
        </w:tc>
      </w:tr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Elektronska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pošta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 (e-mail):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mup.comercijala@t-com.me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Internet </w:t>
            </w: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stranica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 (web):</w:t>
            </w:r>
            <w:r w:rsidRPr="00FD3BA7">
              <w:rPr>
                <w:rFonts w:ascii="inherit" w:eastAsia="Times New Roman" w:hAnsi="inherit"/>
                <w:sz w:val="17"/>
              </w:rPr>
              <w:t> </w:t>
            </w:r>
            <w:r w:rsidRPr="00FD3BA7">
              <w:rPr>
                <w:rFonts w:ascii="inherit" w:eastAsia="Times New Roman" w:hAnsi="inherit"/>
                <w:sz w:val="17"/>
                <w:szCs w:val="17"/>
              </w:rPr>
              <w:br/>
            </w:r>
            <w:r w:rsidRPr="00FD3BA7">
              <w:rPr>
                <w:rFonts w:ascii="inherit" w:eastAsia="Times New Roman" w:hAnsi="inherit"/>
                <w:b/>
                <w:bCs/>
                <w:sz w:val="17"/>
              </w:rPr>
              <w:t>www.mup.gov.me</w:t>
            </w:r>
          </w:p>
        </w:tc>
      </w:tr>
    </w:tbl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II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Predmet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javne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nabavke</w:t>
      </w:r>
      <w:proofErr w:type="spellEnd"/>
    </w:p>
    <w:p w:rsidR="00FD3BA7" w:rsidRPr="00FD3BA7" w:rsidRDefault="00FD3BA7" w:rsidP="00FD3BA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19.95pt;height:17.1pt" o:ole="">
            <v:imagedata r:id="rId6" o:title=""/>
          </v:shape>
          <w:control r:id="rId7" w:name="DefaultOcxName" w:shapeid="_x0000_i1059"/>
        </w:objec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t>Robe</w: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8" type="#_x0000_t75" style="width:19.95pt;height:17.1pt" o:ole="">
            <v:imagedata r:id="rId8" o:title=""/>
          </v:shape>
          <w:control r:id="rId9" w:name="DefaultOcxName1" w:shapeid="_x0000_i1058"/>
        </w:objec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Radovi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7" type="#_x0000_t75" style="width:19.95pt;height:17.1pt" o:ole="">
            <v:imagedata r:id="rId8" o:title=""/>
          </v:shape>
          <w:control r:id="rId10" w:name="DefaultOcxName2" w:shapeid="_x0000_i1057"/>
        </w:objec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Usluge</w:t>
      </w:r>
      <w:proofErr w:type="spellEnd"/>
    </w:p>
    <w:p w:rsidR="00FD3BA7" w:rsidRPr="00FD3BA7" w:rsidRDefault="00FD3BA7" w:rsidP="00FD3BA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1254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008"/>
        <w:gridCol w:w="8539"/>
      </w:tblGrid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9999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color w:val="FFFFFF"/>
                <w:sz w:val="17"/>
                <w:szCs w:val="17"/>
              </w:rPr>
              <w:t>15800000-6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9999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color w:val="FFFFFF"/>
                <w:sz w:val="17"/>
                <w:szCs w:val="17"/>
              </w:rPr>
              <w:t>Razni</w:t>
            </w:r>
            <w:proofErr w:type="spellEnd"/>
            <w:r w:rsidRPr="00FD3BA7">
              <w:rPr>
                <w:rFonts w:ascii="inherit" w:eastAsia="Times New Roman" w:hAnsi="inherit"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color w:val="FFFFFF"/>
                <w:sz w:val="17"/>
                <w:szCs w:val="17"/>
              </w:rPr>
              <w:t>prehrambeni</w:t>
            </w:r>
            <w:proofErr w:type="spellEnd"/>
            <w:r w:rsidRPr="00FD3BA7">
              <w:rPr>
                <w:rFonts w:ascii="inherit" w:eastAsia="Times New Roman" w:hAnsi="inherit"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color w:val="FFFFFF"/>
                <w:sz w:val="17"/>
                <w:szCs w:val="17"/>
              </w:rPr>
              <w:t>proizvodi</w:t>
            </w:r>
            <w:proofErr w:type="spellEnd"/>
          </w:p>
        </w:tc>
      </w:tr>
    </w:tbl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Opis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(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dodatak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)</w:t>
      </w:r>
    </w:p>
    <w:p w:rsidR="00FD3BA7" w:rsidRPr="00FD3BA7" w:rsidRDefault="00FD3BA7" w:rsidP="00FD3BA7">
      <w:pPr>
        <w:shd w:val="clear" w:color="auto" w:fill="FFFFFF"/>
        <w:spacing w:after="360"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proofErr w:type="gram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Predmet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javne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nabavke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je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nabavka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materijala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za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restorane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-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suhomesnati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proizvodi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>.</w:t>
      </w:r>
      <w:proofErr w:type="gramEnd"/>
    </w:p>
    <w:p w:rsidR="00FD3BA7" w:rsidRPr="00FD3BA7" w:rsidRDefault="00FD3BA7" w:rsidP="00FD3BA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Označiti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da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li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se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predmet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javne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nabavke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nabavlja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kao</w:t>
      </w:r>
      <w:proofErr w:type="spellEnd"/>
      <w:r w:rsidRPr="00FD3BA7">
        <w:rPr>
          <w:rFonts w:ascii="inherit" w:eastAsia="Times New Roman" w:hAnsi="inherit" w:cs="Arial"/>
          <w:b/>
          <w:bCs/>
          <w:color w:val="222222"/>
          <w:sz w:val="17"/>
        </w:rPr>
        <w:t>:</w:t>
      </w: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6" type="#_x0000_t75" style="width:19.95pt;height:17.1pt" o:ole="">
            <v:imagedata r:id="rId6" o:title=""/>
          </v:shape>
          <w:control r:id="rId11" w:name="DefaultOcxName3" w:shapeid="_x0000_i1056"/>
        </w:object>
      </w:r>
      <w:proofErr w:type="spellStart"/>
      <w:proofErr w:type="gram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cjelina</w:t>
      </w:r>
      <w:proofErr w:type="spellEnd"/>
      <w:proofErr w:type="gram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5" type="#_x0000_t75" style="width:19.95pt;height:17.1pt" o:ole="">
            <v:imagedata r:id="rId8" o:title=""/>
          </v:shape>
          <w:control r:id="rId12" w:name="DefaultOcxName4" w:shapeid="_x0000_i1055"/>
        </w:objec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partije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(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navesti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partije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>)</w:t>
      </w:r>
    </w:p>
    <w:p w:rsidR="00FD3BA7" w:rsidRPr="00FD3BA7" w:rsidRDefault="00FD3BA7" w:rsidP="00FD3BA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III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Podaci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o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zaključivanju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okvirnog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sporazuma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(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ukoliko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je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primjenjivo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)</w:t>
      </w:r>
    </w:p>
    <w:p w:rsidR="00FD3BA7" w:rsidRPr="00FD3BA7" w:rsidRDefault="00FD3BA7" w:rsidP="00FD3BA7">
      <w:pPr>
        <w:shd w:val="clear" w:color="auto" w:fill="FFFFFF"/>
        <w:spacing w:after="360"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Javna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nabavka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predviđa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zaključivanje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okvirnog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sporazuma</w:t>
      </w:r>
      <w:proofErr w:type="spellEnd"/>
    </w:p>
    <w:p w:rsidR="00FD3BA7" w:rsidRPr="00FD3BA7" w:rsidRDefault="00FD3BA7" w:rsidP="00FD3BA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4" type="#_x0000_t75" style="width:19.95pt;height:17.1pt" o:ole="">
            <v:imagedata r:id="rId8" o:title=""/>
          </v:shape>
          <w:control r:id="rId13" w:name="DefaultOcxName5" w:shapeid="_x0000_i1054"/>
        </w:object>
      </w:r>
      <w:proofErr w:type="spellStart"/>
      <w:proofErr w:type="gram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da</w:t>
      </w:r>
      <w:proofErr w:type="spellEnd"/>
      <w:proofErr w:type="gram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3" type="#_x0000_t75" style="width:19.95pt;height:17.1pt" o:ole="">
            <v:imagedata r:id="rId6" o:title=""/>
          </v:shape>
          <w:control r:id="rId14" w:name="DefaultOcxName6" w:shapeid="_x0000_i1053"/>
        </w:objec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t>ne</w:t>
      </w:r>
    </w:p>
    <w:p w:rsidR="00FD3BA7" w:rsidRPr="00FD3BA7" w:rsidRDefault="00FD3BA7" w:rsidP="00FD3BA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IV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Procijenjena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vrijednost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javne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nabavke</w:t>
      </w:r>
      <w:proofErr w:type="spellEnd"/>
    </w:p>
    <w:p w:rsidR="00FD3BA7" w:rsidRPr="00FD3BA7" w:rsidRDefault="00FD3BA7" w:rsidP="00FD3BA7">
      <w:pPr>
        <w:shd w:val="clear" w:color="auto" w:fill="FFFFFF"/>
        <w:spacing w:after="360"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Procijenjena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vrijednost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javne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nabavke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u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eurima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proofErr w:type="gram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sa</w:t>
      </w:r>
      <w:proofErr w:type="spellEnd"/>
      <w:proofErr w:type="gram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uračunatim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PDV-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om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>: 37.500,00 €</w:t>
      </w:r>
    </w:p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V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Kriterijum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za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izbor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najpovoljnije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ponude</w:t>
      </w:r>
      <w:proofErr w:type="spellEnd"/>
    </w:p>
    <w:p w:rsidR="00FD3BA7" w:rsidRPr="00FD3BA7" w:rsidRDefault="00FD3BA7" w:rsidP="00FD3BA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2" type="#_x0000_t75" style="width:19.95pt;height:17.1pt" o:ole="">
            <v:imagedata r:id="rId6" o:title=""/>
          </v:shape>
          <w:control r:id="rId15" w:name="DefaultOcxName7" w:shapeid="_x0000_i1052"/>
        </w:object>
      </w:r>
      <w:proofErr w:type="spellStart"/>
      <w:proofErr w:type="gram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najniža</w:t>
      </w:r>
      <w:proofErr w:type="spellEnd"/>
      <w:proofErr w:type="gram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ponuđena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cijena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object w:dxaOrig="1440" w:dyaOrig="1440">
          <v:shape id="_x0000_i1051" type="#_x0000_t75" style="width:19.95pt;height:17.1pt" o:ole="">
            <v:imagedata r:id="rId8" o:title=""/>
          </v:shape>
          <w:control r:id="rId16" w:name="DefaultOcxName8" w:shapeid="_x0000_i1051"/>
        </w:objec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ekonomski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najpovoljnija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ponuda</w:t>
      </w:r>
      <w:proofErr w:type="spellEnd"/>
    </w:p>
    <w:p w:rsidR="00FD3BA7" w:rsidRPr="00FD3BA7" w:rsidRDefault="00FD3BA7" w:rsidP="00FD3BA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VI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Dodatne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informacije</w:t>
      </w:r>
      <w:proofErr w:type="spellEnd"/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Kako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se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radi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o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hitnoj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nabavci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koju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treba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sprovesti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u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što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kraćem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roku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da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bi se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obezbijedili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uslovi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za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rad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pripadnika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Ministarstva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unutrašnjih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poslova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, a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pošto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Naručilac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nije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postavio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zahtjeve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koji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bi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učesnicima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iziskivali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dodatno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vrijeme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za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pripremu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dokumentacije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ili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pribavljanje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posebnih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informacija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vezanih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za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postupak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,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smatramo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da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su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se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stekli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uslovi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da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se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navedena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nabavka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sprovede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u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otvorenom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postupku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skraćenim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rokom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>.</w:t>
      </w:r>
      <w:r w:rsidRPr="00FD3BA7">
        <w:rPr>
          <w:rFonts w:ascii="inherit" w:eastAsia="Times New Roman" w:hAnsi="inherit" w:cs="Arial"/>
          <w:color w:val="222222"/>
          <w:sz w:val="17"/>
        </w:rPr>
        <w:t> </w: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Pitanja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možete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poslati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proofErr w:type="gram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</w:t>
      </w:r>
      <w:proofErr w:type="spellEnd"/>
      <w:proofErr w:type="gram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email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adresu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>: mup.comercijala@t-com.me</w:t>
      </w:r>
    </w:p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VII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Dokumentacija</w:t>
      </w:r>
      <w:proofErr w:type="spellEnd"/>
    </w:p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  <w:r w:rsidRPr="00FD3BA7">
        <w:rPr>
          <w:rFonts w:ascii="Arial" w:eastAsia="Times New Roman" w:hAnsi="Arial" w:cs="Arial"/>
          <w:color w:val="222222"/>
          <w:sz w:val="17"/>
          <w:szCs w:val="17"/>
        </w:rPr>
        <w:br/>
      </w:r>
    </w:p>
    <w:p w:rsidR="00FD3BA7" w:rsidRPr="00FD3BA7" w:rsidRDefault="00FD3BA7" w:rsidP="00FD3BA7">
      <w:pPr>
        <w:shd w:val="clear" w:color="auto" w:fill="FFFFFF"/>
        <w:spacing w:line="257" w:lineRule="atLeast"/>
        <w:ind w:left="216"/>
        <w:textAlignment w:val="baseline"/>
        <w:outlineLvl w:val="1"/>
        <w:rPr>
          <w:rFonts w:ascii="inherit" w:eastAsia="Times New Roman" w:hAnsi="inherit" w:cs="Arial"/>
          <w:b/>
          <w:bCs/>
          <w:color w:val="660000"/>
          <w:sz w:val="31"/>
          <w:szCs w:val="31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Tenderska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dokumentacija</w:t>
      </w:r>
      <w:proofErr w:type="spellEnd"/>
    </w:p>
    <w:tbl>
      <w:tblPr>
        <w:tblW w:w="1037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219"/>
        <w:gridCol w:w="4700"/>
        <w:gridCol w:w="1366"/>
        <w:gridCol w:w="1846"/>
        <w:gridCol w:w="248"/>
      </w:tblGrid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Tip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dokumenta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Naziv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fajla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Veličina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(KB)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Datum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unosa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</w:p>
        </w:tc>
      </w:tr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Tenderska</w:t>
            </w:r>
            <w:proofErr w:type="spellEnd"/>
            <w:r w:rsidRPr="00FD3BA7">
              <w:rPr>
                <w:rFonts w:ascii="inherit" w:eastAsia="Times New Roman" w:hAnsi="inherit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sz w:val="17"/>
                <w:szCs w:val="17"/>
              </w:rPr>
              <w:t>dokumentacija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proofErr w:type="gramStart"/>
            <w:r w:rsidRPr="00FD3BA7">
              <w:rPr>
                <w:rFonts w:ascii="inherit" w:eastAsia="Times New Roman" w:hAnsi="inherit"/>
                <w:sz w:val="17"/>
                <w:szCs w:val="17"/>
              </w:rPr>
              <w:t>tenderska-dokumentacija-za-otvoreni-robe-hrana.doc</w:t>
            </w:r>
            <w:proofErr w:type="gramEnd"/>
            <w:r w:rsidRPr="00FD3BA7">
              <w:rPr>
                <w:rFonts w:ascii="inherit" w:eastAsia="Times New Roman" w:hAnsi="inherit"/>
                <w:sz w:val="17"/>
                <w:szCs w:val="17"/>
              </w:rPr>
              <w:t>..doc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sz w:val="17"/>
                <w:szCs w:val="17"/>
              </w:rPr>
              <w:t>292,5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sz w:val="17"/>
                <w:szCs w:val="17"/>
              </w:rPr>
              <w:t>09/07/2015 03:18:38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sz w:val="17"/>
                <w:szCs w:val="17"/>
              </w:rPr>
            </w:pPr>
          </w:p>
        </w:tc>
      </w:tr>
    </w:tbl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  <w:r w:rsidRPr="00FD3BA7">
        <w:rPr>
          <w:rFonts w:ascii="Arial" w:eastAsia="Times New Roman" w:hAnsi="Arial" w:cs="Arial"/>
          <w:color w:val="222222"/>
          <w:sz w:val="17"/>
          <w:szCs w:val="17"/>
        </w:rPr>
        <w:br/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br/>
      </w:r>
    </w:p>
    <w:p w:rsidR="00FD3BA7" w:rsidRPr="00FD3BA7" w:rsidRDefault="00FD3BA7" w:rsidP="00FD3BA7">
      <w:pPr>
        <w:shd w:val="clear" w:color="auto" w:fill="FFFFFF"/>
        <w:spacing w:line="257" w:lineRule="atLeast"/>
        <w:ind w:left="216"/>
        <w:textAlignment w:val="baseline"/>
        <w:outlineLvl w:val="1"/>
        <w:rPr>
          <w:rFonts w:ascii="inherit" w:eastAsia="Times New Roman" w:hAnsi="inherit" w:cs="Arial"/>
          <w:b/>
          <w:bCs/>
          <w:color w:val="660000"/>
          <w:sz w:val="31"/>
          <w:szCs w:val="31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Pojasnjenje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i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Izmjena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Tenderske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dokumentacije</w:t>
      </w:r>
      <w:proofErr w:type="spellEnd"/>
    </w:p>
    <w:tbl>
      <w:tblPr>
        <w:tblW w:w="1037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2103"/>
        <w:gridCol w:w="2539"/>
        <w:gridCol w:w="2480"/>
        <w:gridCol w:w="461"/>
      </w:tblGrid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Tip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dokumenta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Naziv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fajla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Veličina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(KB)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Datum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unosa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</w:p>
        </w:tc>
      </w:tr>
    </w:tbl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  <w:r w:rsidRPr="00FD3BA7">
        <w:rPr>
          <w:rFonts w:ascii="Arial" w:eastAsia="Times New Roman" w:hAnsi="Arial" w:cs="Arial"/>
          <w:color w:val="222222"/>
          <w:sz w:val="17"/>
          <w:szCs w:val="17"/>
        </w:rPr>
        <w:br/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br/>
      </w:r>
    </w:p>
    <w:p w:rsidR="00FD3BA7" w:rsidRPr="00FD3BA7" w:rsidRDefault="00FD3BA7" w:rsidP="00FD3BA7">
      <w:pPr>
        <w:shd w:val="clear" w:color="auto" w:fill="FFFFFF"/>
        <w:spacing w:line="257" w:lineRule="atLeast"/>
        <w:ind w:left="216"/>
        <w:textAlignment w:val="baseline"/>
        <w:outlineLvl w:val="1"/>
        <w:rPr>
          <w:rFonts w:ascii="inherit" w:eastAsia="Times New Roman" w:hAnsi="inherit" w:cs="Arial"/>
          <w:b/>
          <w:bCs/>
          <w:color w:val="660000"/>
          <w:sz w:val="31"/>
          <w:szCs w:val="31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Odluke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 xml:space="preserve"> (</w:t>
      </w: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rješenja</w:t>
      </w:r>
      <w:proofErr w:type="spellEnd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)</w:t>
      </w:r>
    </w:p>
    <w:tbl>
      <w:tblPr>
        <w:tblW w:w="1037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2103"/>
        <w:gridCol w:w="2539"/>
        <w:gridCol w:w="2480"/>
        <w:gridCol w:w="461"/>
      </w:tblGrid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Tip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dokumenta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Naziv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fajla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Veličina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(KB)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Datum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unosa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</w:p>
        </w:tc>
      </w:tr>
    </w:tbl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Arial" w:eastAsia="Times New Roman" w:hAnsi="Arial" w:cs="Arial"/>
          <w:color w:val="222222"/>
          <w:sz w:val="17"/>
          <w:szCs w:val="17"/>
        </w:rPr>
      </w:pPr>
      <w:r w:rsidRPr="00FD3BA7">
        <w:rPr>
          <w:rFonts w:ascii="Arial" w:eastAsia="Times New Roman" w:hAnsi="Arial" w:cs="Arial"/>
          <w:color w:val="222222"/>
          <w:sz w:val="17"/>
          <w:szCs w:val="17"/>
        </w:rPr>
        <w:br/>
      </w:r>
      <w:r w:rsidRPr="00FD3BA7">
        <w:rPr>
          <w:rFonts w:ascii="Arial" w:eastAsia="Times New Roman" w:hAnsi="Arial" w:cs="Arial"/>
          <w:color w:val="222222"/>
          <w:sz w:val="17"/>
          <w:szCs w:val="17"/>
        </w:rPr>
        <w:br/>
      </w:r>
    </w:p>
    <w:p w:rsidR="00FD3BA7" w:rsidRPr="00FD3BA7" w:rsidRDefault="00FD3BA7" w:rsidP="00FD3BA7">
      <w:pPr>
        <w:shd w:val="clear" w:color="auto" w:fill="FFFFFF"/>
        <w:spacing w:line="257" w:lineRule="atLeast"/>
        <w:ind w:left="216"/>
        <w:textAlignment w:val="baseline"/>
        <w:outlineLvl w:val="1"/>
        <w:rPr>
          <w:rFonts w:ascii="inherit" w:eastAsia="Times New Roman" w:hAnsi="inherit" w:cs="Arial"/>
          <w:b/>
          <w:bCs/>
          <w:color w:val="660000"/>
          <w:sz w:val="31"/>
          <w:szCs w:val="31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660000"/>
          <w:sz w:val="31"/>
          <w:szCs w:val="31"/>
        </w:rPr>
        <w:t>Ugovori</w:t>
      </w:r>
      <w:proofErr w:type="spellEnd"/>
    </w:p>
    <w:tbl>
      <w:tblPr>
        <w:tblW w:w="1037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2796"/>
        <w:gridCol w:w="2103"/>
        <w:gridCol w:w="2539"/>
        <w:gridCol w:w="2480"/>
        <w:gridCol w:w="461"/>
      </w:tblGrid>
      <w:tr w:rsidR="00FD3BA7" w:rsidRPr="00FD3BA7" w:rsidTr="00FD3BA7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lastRenderedPageBreak/>
              <w:t xml:space="preserve">Tip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dokumenta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Naziv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fajla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Veličina</w:t>
            </w:r>
            <w:proofErr w:type="spellEnd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 (KB)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 xml:space="preserve">Datum </w:t>
            </w:r>
            <w:proofErr w:type="spellStart"/>
            <w:r w:rsidRPr="00FD3BA7"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  <w:t>unosa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3758"/>
            <w:tcMar>
              <w:top w:w="57" w:type="dxa"/>
              <w:left w:w="71" w:type="dxa"/>
              <w:bottom w:w="57" w:type="dxa"/>
              <w:right w:w="143" w:type="dxa"/>
            </w:tcMar>
            <w:vAlign w:val="center"/>
            <w:hideMark/>
          </w:tcPr>
          <w:p w:rsidR="00FD3BA7" w:rsidRPr="00FD3BA7" w:rsidRDefault="00FD3BA7" w:rsidP="00FD3BA7">
            <w:pPr>
              <w:rPr>
                <w:rFonts w:ascii="inherit" w:eastAsia="Times New Roman" w:hAnsi="inherit"/>
                <w:b/>
                <w:bCs/>
                <w:color w:val="FFFFFF"/>
                <w:sz w:val="17"/>
                <w:szCs w:val="17"/>
              </w:rPr>
            </w:pPr>
          </w:p>
        </w:tc>
      </w:tr>
    </w:tbl>
    <w:p w:rsidR="00FD3BA7" w:rsidRPr="00FD3BA7" w:rsidRDefault="00FD3BA7" w:rsidP="00FD3BA7">
      <w:pPr>
        <w:shd w:val="clear" w:color="auto" w:fill="BEC9A5"/>
        <w:spacing w:line="570" w:lineRule="atLeast"/>
        <w:textAlignment w:val="baseline"/>
        <w:outlineLvl w:val="2"/>
        <w:rPr>
          <w:rFonts w:ascii="inherit" w:eastAsia="Times New Roman" w:hAnsi="inherit" w:cs="Arial"/>
          <w:b/>
          <w:bCs/>
          <w:color w:val="2F3520"/>
          <w:sz w:val="26"/>
          <w:szCs w:val="26"/>
        </w:rPr>
      </w:pP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Mjesto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i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 xml:space="preserve"> datum </w:t>
      </w:r>
      <w:proofErr w:type="spellStart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objavljivanja</w:t>
      </w:r>
      <w:proofErr w:type="spellEnd"/>
      <w:r w:rsidRPr="00FD3BA7">
        <w:rPr>
          <w:rFonts w:ascii="inherit" w:eastAsia="Times New Roman" w:hAnsi="inherit" w:cs="Arial"/>
          <w:b/>
          <w:bCs/>
          <w:color w:val="2F3520"/>
          <w:sz w:val="26"/>
          <w:szCs w:val="26"/>
        </w:rPr>
        <w:t>:</w:t>
      </w:r>
    </w:p>
    <w:p w:rsidR="00FD3BA7" w:rsidRPr="00FD3BA7" w:rsidRDefault="00FD3BA7" w:rsidP="00FD3BA7">
      <w:pPr>
        <w:shd w:val="clear" w:color="auto" w:fill="FFFFFF"/>
        <w:spacing w:line="257" w:lineRule="atLeast"/>
        <w:ind w:left="384" w:right="360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Portal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Uprave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za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javne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nabavke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>:</w:t>
      </w:r>
      <w:r w:rsidRPr="00FD3BA7">
        <w:rPr>
          <w:rFonts w:ascii="inherit" w:eastAsia="Times New Roman" w:hAnsi="inherit" w:cs="Arial"/>
          <w:color w:val="222222"/>
          <w:sz w:val="17"/>
        </w:rPr>
        <w:t> 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fldChar w:fldCharType="begin"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instrText xml:space="preserve"> HYPERLINK "http://portal.ujn.gov.me/" </w:instrTex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fldChar w:fldCharType="separate"/>
      </w:r>
      <w:r w:rsidRPr="00FD3BA7">
        <w:rPr>
          <w:rFonts w:ascii="inherit" w:eastAsia="Times New Roman" w:hAnsi="inherit" w:cs="Arial"/>
          <w:color w:val="8A0917"/>
          <w:sz w:val="17"/>
          <w:u w:val="single"/>
        </w:rPr>
        <w:t>portal.ujn.gov.me</w:t>
      </w:r>
      <w:proofErr w:type="spellEnd"/>
      <w:r w:rsidRPr="00FD3BA7">
        <w:rPr>
          <w:rFonts w:ascii="inherit" w:eastAsia="Times New Roman" w:hAnsi="inherit" w:cs="Arial"/>
          <w:color w:val="8A0917"/>
          <w:sz w:val="17"/>
          <w:u w:val="single"/>
        </w:rPr>
        <w:t> </w:t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fldChar w:fldCharType="end"/>
      </w:r>
      <w:r w:rsidRPr="00FD3BA7">
        <w:rPr>
          <w:rFonts w:ascii="inherit" w:eastAsia="Times New Roman" w:hAnsi="inherit" w:cs="Arial"/>
          <w:color w:val="222222"/>
          <w:sz w:val="17"/>
          <w:szCs w:val="17"/>
        </w:rPr>
        <w:br/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Zadnja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izmjena</w:t>
      </w:r>
      <w:proofErr w:type="spell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 xml:space="preserve"> </w:t>
      </w:r>
      <w:proofErr w:type="spellStart"/>
      <w:proofErr w:type="gramStart"/>
      <w:r w:rsidRPr="00FD3BA7">
        <w:rPr>
          <w:rFonts w:ascii="inherit" w:eastAsia="Times New Roman" w:hAnsi="inherit" w:cs="Arial"/>
          <w:color w:val="222222"/>
          <w:sz w:val="17"/>
          <w:szCs w:val="17"/>
        </w:rPr>
        <w:t>dana</w:t>
      </w:r>
      <w:proofErr w:type="spellEnd"/>
      <w:proofErr w:type="gramEnd"/>
      <w:r w:rsidRPr="00FD3BA7">
        <w:rPr>
          <w:rFonts w:ascii="inherit" w:eastAsia="Times New Roman" w:hAnsi="inherit" w:cs="Arial"/>
          <w:color w:val="222222"/>
          <w:sz w:val="17"/>
          <w:szCs w:val="17"/>
        </w:rPr>
        <w:t>: 10/07/2015 09:53:12</w:t>
      </w:r>
    </w:p>
    <w:p w:rsidR="00FD3BA7" w:rsidRPr="00FD3BA7" w:rsidRDefault="00FD3BA7" w:rsidP="00FD3BA7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D3BA7" w:rsidRPr="00FD3BA7" w:rsidRDefault="00FD3BA7" w:rsidP="00FD3BA7">
      <w:pPr>
        <w:shd w:val="clear" w:color="auto" w:fill="FFFFFF"/>
        <w:spacing w:line="257" w:lineRule="atLeast"/>
        <w:textAlignment w:val="baseline"/>
        <w:rPr>
          <w:rFonts w:ascii="inherit" w:eastAsia="Times New Roman" w:hAnsi="inherit" w:cs="Arial"/>
          <w:color w:val="222222"/>
          <w:sz w:val="17"/>
          <w:szCs w:val="17"/>
        </w:rPr>
      </w:pPr>
      <w:hyperlink r:id="rId17" w:history="1">
        <w:proofErr w:type="spellStart"/>
        <w:r w:rsidRPr="00FD3BA7">
          <w:rPr>
            <w:rFonts w:ascii="inherit" w:eastAsia="Times New Roman" w:hAnsi="inherit" w:cs="Arial"/>
            <w:b/>
            <w:bCs/>
            <w:color w:val="FFFFFF"/>
            <w:sz w:val="15"/>
            <w:u w:val="single"/>
          </w:rPr>
          <w:t>Štampaj</w:t>
        </w:r>
        <w:proofErr w:type="spellEnd"/>
        <w:r w:rsidRPr="00FD3BA7">
          <w:rPr>
            <w:rFonts w:ascii="inherit" w:eastAsia="Times New Roman" w:hAnsi="inherit" w:cs="Arial"/>
            <w:b/>
            <w:bCs/>
            <w:color w:val="FFFFFF"/>
            <w:sz w:val="15"/>
            <w:u w:val="single"/>
          </w:rPr>
          <w:t xml:space="preserve"> </w:t>
        </w:r>
        <w:proofErr w:type="spellStart"/>
        <w:r w:rsidRPr="00FD3BA7">
          <w:rPr>
            <w:rFonts w:ascii="inherit" w:eastAsia="Times New Roman" w:hAnsi="inherit" w:cs="Arial"/>
            <w:b/>
            <w:bCs/>
            <w:color w:val="FFFFFF"/>
            <w:sz w:val="15"/>
            <w:u w:val="single"/>
          </w:rPr>
          <w:t>stranu</w:t>
        </w:r>
        <w:proofErr w:type="spellEnd"/>
      </w:hyperlink>
    </w:p>
    <w:p w:rsidR="00FD3BA7" w:rsidRPr="00FD3BA7" w:rsidRDefault="00FD3BA7" w:rsidP="00FD3BA7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D3BA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0610F" w:rsidRDefault="0080610F"/>
    <w:sectPr w:rsidR="0080610F" w:rsidSect="0080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1076C"/>
    <w:multiLevelType w:val="multilevel"/>
    <w:tmpl w:val="F2C2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70647D"/>
    <w:multiLevelType w:val="multilevel"/>
    <w:tmpl w:val="97D4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B47196"/>
    <w:multiLevelType w:val="multilevel"/>
    <w:tmpl w:val="ABA0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FD3BA7"/>
    <w:rsid w:val="002B33AB"/>
    <w:rsid w:val="0080610F"/>
    <w:rsid w:val="00824991"/>
    <w:rsid w:val="00D45BBC"/>
    <w:rsid w:val="00FD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9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991"/>
    <w:pPr>
      <w:keepNext/>
      <w:jc w:val="center"/>
      <w:outlineLvl w:val="0"/>
    </w:pPr>
    <w:rPr>
      <w:rFonts w:eastAsia="Times New Roman"/>
      <w:b/>
      <w:i/>
      <w:sz w:val="28"/>
      <w:szCs w:val="20"/>
      <w:u w:val="single"/>
    </w:rPr>
  </w:style>
  <w:style w:type="paragraph" w:styleId="Heading2">
    <w:name w:val="heading 2"/>
    <w:basedOn w:val="Normal"/>
    <w:link w:val="Heading2Char"/>
    <w:uiPriority w:val="9"/>
    <w:qFormat/>
    <w:rsid w:val="00FD3BA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D3BA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991"/>
    <w:rPr>
      <w:rFonts w:eastAsia="Times New Roman"/>
      <w:b/>
      <w:i/>
      <w:sz w:val="28"/>
      <w:u w:val="single"/>
    </w:rPr>
  </w:style>
  <w:style w:type="paragraph" w:styleId="ListParagraph">
    <w:name w:val="List Paragraph"/>
    <w:basedOn w:val="Normal"/>
    <w:qFormat/>
    <w:rsid w:val="00824991"/>
    <w:pPr>
      <w:ind w:left="720"/>
      <w:contextualSpacing/>
    </w:pPr>
    <w:rPr>
      <w:rFonts w:ascii="Calibri" w:eastAsia="Calibri" w:hAnsi="Calibri"/>
      <w:sz w:val="22"/>
      <w:szCs w:val="22"/>
      <w:lang w:val="sr-Latn-CS" w:eastAsia="sr-Latn-CS"/>
    </w:rPr>
  </w:style>
  <w:style w:type="paragraph" w:customStyle="1" w:styleId="Style1">
    <w:name w:val="Style1"/>
    <w:link w:val="Style1Char"/>
    <w:qFormat/>
    <w:rsid w:val="00824991"/>
    <w:rPr>
      <w:rFonts w:eastAsia="Times New Roman"/>
      <w:lang w:val="es-ES_tradn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9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991"/>
  </w:style>
  <w:style w:type="character" w:customStyle="1" w:styleId="Style1Char">
    <w:name w:val="Style1 Char"/>
    <w:basedOn w:val="CommentTextChar"/>
    <w:link w:val="Style1"/>
    <w:rsid w:val="00824991"/>
    <w:rPr>
      <w:rFonts w:eastAsia="Times New Roman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rsid w:val="00FD3BA7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D3BA7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D3BA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3BA7"/>
    <w:rPr>
      <w:b/>
      <w:bCs/>
    </w:rPr>
  </w:style>
  <w:style w:type="character" w:customStyle="1" w:styleId="apple-converted-space">
    <w:name w:val="apple-converted-space"/>
    <w:basedOn w:val="DefaultParagraphFont"/>
    <w:rsid w:val="00FD3BA7"/>
  </w:style>
  <w:style w:type="paragraph" w:styleId="NormalWeb">
    <w:name w:val="Normal (Web)"/>
    <w:basedOn w:val="Normal"/>
    <w:uiPriority w:val="99"/>
    <w:semiHidden/>
    <w:unhideWhenUsed/>
    <w:rsid w:val="00FD3BA7"/>
    <w:pPr>
      <w:spacing w:before="100" w:beforeAutospacing="1" w:after="100" w:afterAutospacing="1"/>
    </w:pPr>
    <w:rPr>
      <w:rFonts w:eastAsia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BA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B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BA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BA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B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38">
          <w:marLeft w:val="0"/>
          <w:marRight w:val="143"/>
          <w:marTop w:val="2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176">
          <w:marLeft w:val="0"/>
          <w:marRight w:val="0"/>
          <w:marTop w:val="69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11">
          <w:marLeft w:val="0"/>
          <w:marRight w:val="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54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32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39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434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hyperlink" Target="javascript:window.print();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jpeg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drasko.lekovic</dc:creator>
  <cp:keywords/>
  <dc:description/>
  <cp:lastModifiedBy>drasko.lekovic</cp:lastModifiedBy>
  <cp:revision>1</cp:revision>
  <dcterms:created xsi:type="dcterms:W3CDTF">2015-07-10T09:21:00Z</dcterms:created>
  <dcterms:modified xsi:type="dcterms:W3CDTF">2015-07-10T09:22:00Z</dcterms:modified>
</cp:coreProperties>
</file>