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1392662</wp:posOffset>
                </wp:positionH>
                <wp:positionV relativeFrom="paragraph">
                  <wp:posOffset>-114569</wp:posOffset>
                </wp:positionV>
                <wp:extent cx="4000500" cy="1276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Crna Gora</w:t>
                            </w: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Vlada Crne Gore</w:t>
                            </w: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MINISTARSTVO UNUTRAŠNJIH POSLOVA</w:t>
                            </w: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  <w:t>Odjeljenje za unutrašnju kontrolu policije</w:t>
                            </w: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65pt;margin-top:-9pt;width:315pt;height:10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UU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" stroked="f">
                <v:textbox>
                  <w:txbxContent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Crna Gora</w:t>
                      </w:r>
                    </w:p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Vlada Crne Gore</w:t>
                      </w:r>
                    </w:p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MINISTARSTVO UNUTRAŠNJIH POSLOVA</w:t>
                      </w:r>
                    </w:p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  <w:t>Odjeljenje za unutrašnju kontrolu policije</w:t>
                      </w:r>
                    </w:p>
                    <w:p w:rsidR="0084313C" w:rsidRDefault="0084313C" w:rsidP="0084313C">
                      <w:pPr>
                        <w:jc w:val="center"/>
                        <w:rPr>
                          <w:rFonts w:asciiTheme="minorHAnsi" w:hAnsiTheme="minorHAnsi" w:cstheme="minorBidi"/>
                          <w:sz w:val="22"/>
                          <w:szCs w:val="22"/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0" t="0" r="0" b="0"/>
            <wp:wrapSquare wrapText="right"/>
            <wp:docPr id="1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 mjesec </w:t>
      </w:r>
      <w:r w:rsidR="0039681E">
        <w:rPr>
          <w:rFonts w:ascii="Arial" w:hAnsi="Arial" w:cs="Arial"/>
          <w:sz w:val="21"/>
          <w:szCs w:val="21"/>
        </w:rPr>
        <w:t>februar</w:t>
      </w:r>
      <w:r>
        <w:rPr>
          <w:rFonts w:ascii="Arial" w:hAnsi="Arial" w:cs="Arial"/>
          <w:sz w:val="21"/>
          <w:szCs w:val="21"/>
        </w:rPr>
        <w:t xml:space="preserve"> 202</w:t>
      </w:r>
      <w:r w:rsidR="00C14AC2">
        <w:rPr>
          <w:rFonts w:ascii="Arial" w:hAnsi="Arial" w:cs="Arial"/>
          <w:sz w:val="21"/>
          <w:szCs w:val="21"/>
        </w:rPr>
        <w:t>6.godine</w:t>
      </w: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351C0A" w:rsidRDefault="00351C0A" w:rsidP="00351C0A">
      <w:pPr>
        <w:jc w:val="both"/>
        <w:rPr>
          <w:rFonts w:ascii="Arial" w:hAnsi="Arial" w:cs="Arial"/>
          <w:iCs/>
          <w:sz w:val="22"/>
          <w:szCs w:val="22"/>
          <w:lang w:val="sr-Latn-ME"/>
        </w:rPr>
      </w:pPr>
    </w:p>
    <w:p w:rsidR="00F549F3" w:rsidRPr="007D4EA4" w:rsidRDefault="00F549F3" w:rsidP="00F549F3">
      <w:pPr>
        <w:spacing w:after="160" w:line="254" w:lineRule="auto"/>
        <w:jc w:val="center"/>
        <w:rPr>
          <w:rFonts w:ascii="Arial" w:eastAsia="Calibri" w:hAnsi="Arial" w:cs="Arial"/>
          <w:sz w:val="22"/>
          <w:szCs w:val="22"/>
          <w:lang w:val="sr-Latn-ME"/>
        </w:rPr>
      </w:pPr>
      <w:r w:rsidRPr="007D4EA4">
        <w:rPr>
          <w:rFonts w:ascii="Arial" w:eastAsia="Calibri" w:hAnsi="Arial" w:cs="Arial"/>
          <w:sz w:val="22"/>
          <w:szCs w:val="22"/>
          <w:lang w:val="sr-Latn-ME"/>
        </w:rPr>
        <w:t>● ● ◊ ● ●</w:t>
      </w:r>
    </w:p>
    <w:p w:rsidR="00F549F3" w:rsidRPr="00227CAB" w:rsidRDefault="00F549F3" w:rsidP="00F549F3">
      <w:pPr>
        <w:tabs>
          <w:tab w:val="left" w:pos="709"/>
        </w:tabs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 w:rsidRPr="007D4EA4">
        <w:rPr>
          <w:rFonts w:ascii="Arial" w:hAnsi="Arial" w:cs="Arial"/>
          <w:b/>
          <w:bCs/>
          <w:sz w:val="22"/>
          <w:szCs w:val="22"/>
          <w:lang w:val="sr-Latn-ME"/>
        </w:rPr>
        <w:t xml:space="preserve">■ Kontrole – </w:t>
      </w:r>
      <w:r w:rsidRPr="00227CAB">
        <w:rPr>
          <w:rFonts w:ascii="Arial" w:hAnsi="Arial" w:cs="Arial"/>
          <w:b/>
          <w:bCs/>
          <w:sz w:val="22"/>
          <w:szCs w:val="22"/>
          <w:lang w:val="sr-Latn-ME"/>
        </w:rPr>
        <w:t xml:space="preserve">provjere </w:t>
      </w:r>
    </w:p>
    <w:p w:rsidR="00F549F3" w:rsidRPr="007D4EA4" w:rsidRDefault="00F549F3" w:rsidP="00F549F3">
      <w:pPr>
        <w:shd w:val="clear" w:color="auto" w:fill="FFFFFF"/>
        <w:ind w:firstLine="720"/>
        <w:jc w:val="both"/>
        <w:rPr>
          <w:rFonts w:ascii="Arial" w:hAnsi="Arial" w:cs="Arial"/>
          <w:color w:val="5B9BD5" w:themeColor="accent1"/>
          <w:sz w:val="22"/>
          <w:szCs w:val="22"/>
          <w:lang w:val="sr-Latn-ME"/>
        </w:rPr>
      </w:pPr>
    </w:p>
    <w:p w:rsidR="00DE61E4" w:rsidRPr="00735B88" w:rsidRDefault="00DE61E4" w:rsidP="00DE61E4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 xml:space="preserve">Službenici Odjeljenja za unutrašnju kontrolu policije su tokom </w:t>
      </w:r>
      <w:r>
        <w:rPr>
          <w:rFonts w:ascii="Arial" w:hAnsi="Arial" w:cs="Arial"/>
          <w:sz w:val="22"/>
          <w:szCs w:val="22"/>
          <w:lang w:val="sr-Latn-ME"/>
        </w:rPr>
        <w:t>februara</w:t>
      </w:r>
      <w:r w:rsidRPr="00735B88">
        <w:rPr>
          <w:rFonts w:ascii="Arial" w:hAnsi="Arial" w:cs="Arial"/>
          <w:sz w:val="22"/>
          <w:szCs w:val="22"/>
          <w:lang w:val="sr-Latn-ME"/>
        </w:rPr>
        <w:t xml:space="preserve"> 2026.godine, izvršili </w:t>
      </w:r>
      <w:r>
        <w:rPr>
          <w:rFonts w:ascii="Arial" w:hAnsi="Arial" w:cs="Arial"/>
          <w:sz w:val="22"/>
          <w:szCs w:val="22"/>
          <w:lang w:val="sr-Latn-ME"/>
        </w:rPr>
        <w:t xml:space="preserve">devet </w:t>
      </w:r>
      <w:r w:rsidRPr="00735B88">
        <w:rPr>
          <w:rFonts w:ascii="Arial" w:hAnsi="Arial" w:cs="Arial"/>
          <w:sz w:val="22"/>
          <w:szCs w:val="22"/>
          <w:lang w:val="sr-Latn-ME"/>
        </w:rPr>
        <w:t>kontrola – provjera zakonitosti postupanja policijskih službenika na osnovu operativnih i drugih saznanja o mogućim nezakonitostima i nepravilnostima u radu i postupanju policijskih službenika.</w:t>
      </w:r>
    </w:p>
    <w:p w:rsidR="00DE61E4" w:rsidRPr="00735B88" w:rsidRDefault="00DE61E4" w:rsidP="00DE61E4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DE61E4" w:rsidRPr="003C7399" w:rsidRDefault="00DE61E4" w:rsidP="00DE61E4">
      <w:pPr>
        <w:ind w:right="178"/>
        <w:jc w:val="both"/>
        <w:rPr>
          <w:rFonts w:ascii="Arial" w:hAnsi="Arial"/>
          <w:iCs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>►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3C7399">
        <w:rPr>
          <w:rFonts w:ascii="Arial" w:hAnsi="Arial"/>
          <w:sz w:val="22"/>
          <w:szCs w:val="22"/>
          <w:lang w:val="sr-Latn-ME"/>
        </w:rPr>
        <w:t>Na osnovu činjenica i dokaza utvrđenih u postupku unutrašnje kontrole,</w:t>
      </w:r>
      <w:r>
        <w:rPr>
          <w:rFonts w:ascii="Arial" w:hAnsi="Arial"/>
          <w:sz w:val="22"/>
          <w:szCs w:val="22"/>
          <w:lang w:val="sr-Latn-ME"/>
        </w:rPr>
        <w:t xml:space="preserve"> u jednom slučaju kontrole, </w:t>
      </w:r>
      <w:r w:rsidRPr="003C7399">
        <w:rPr>
          <w:rFonts w:ascii="Arial" w:hAnsi="Arial"/>
          <w:sz w:val="22"/>
          <w:szCs w:val="22"/>
          <w:lang w:val="sr-Latn-ME"/>
        </w:rPr>
        <w:t>Izvještaj sa spisima sačinjenim u postupku unutrašnje kontrole dostavljen je direktoru Uprave policije u cilju pokretanja postupka za utvrđivanje disciplinske odgovrnosti policijskih službenika Interventne jedinice Stanice policije za javni red i mir</w:t>
      </w:r>
      <w:r>
        <w:rPr>
          <w:rFonts w:ascii="Arial" w:hAnsi="Arial"/>
          <w:sz w:val="22"/>
          <w:szCs w:val="22"/>
          <w:lang w:val="sr-Latn-ME"/>
        </w:rPr>
        <w:t xml:space="preserve"> </w:t>
      </w:r>
      <w:r w:rsidRPr="003C7399">
        <w:rPr>
          <w:rFonts w:ascii="Arial" w:hAnsi="Arial"/>
          <w:sz w:val="22"/>
          <w:szCs w:val="22"/>
          <w:lang w:val="sr-Latn-ME"/>
        </w:rPr>
        <w:t xml:space="preserve">OB Podgorica </w:t>
      </w:r>
      <w:r>
        <w:rPr>
          <w:rFonts w:ascii="Arial" w:hAnsi="Arial"/>
          <w:sz w:val="22"/>
          <w:szCs w:val="22"/>
          <w:lang w:val="sr-Latn-ME"/>
        </w:rPr>
        <w:t xml:space="preserve"> (tri policijska službenika),</w:t>
      </w:r>
      <w:r w:rsidRPr="003C7399">
        <w:rPr>
          <w:rFonts w:ascii="Arial" w:hAnsi="Arial"/>
          <w:sz w:val="22"/>
          <w:szCs w:val="22"/>
          <w:lang w:val="sr-Latn-ME"/>
        </w:rPr>
        <w:t xml:space="preserve"> zbog postojanja osnovane sumnje da su</w:t>
      </w:r>
      <w:r w:rsidR="00814084">
        <w:rPr>
          <w:rFonts w:ascii="Arial" w:hAnsi="Arial"/>
          <w:sz w:val="22"/>
          <w:szCs w:val="22"/>
          <w:lang w:val="sr-Latn-ME"/>
        </w:rPr>
        <w:t xml:space="preserve"> </w:t>
      </w:r>
      <w:r w:rsidRPr="003C7399">
        <w:rPr>
          <w:rFonts w:ascii="Arial" w:hAnsi="Arial"/>
          <w:sz w:val="22"/>
          <w:szCs w:val="22"/>
          <w:lang w:val="sr-Latn-ME"/>
        </w:rPr>
        <w:t xml:space="preserve">prekoračili službena ovlašćenja nezakonitom upotrebom fizičke snage prema </w:t>
      </w:r>
      <w:r>
        <w:rPr>
          <w:rFonts w:ascii="Arial" w:hAnsi="Arial"/>
          <w:sz w:val="22"/>
          <w:szCs w:val="22"/>
          <w:lang w:val="sr-Latn-ME"/>
        </w:rPr>
        <w:t>građaninu B.M.</w:t>
      </w:r>
      <w:r w:rsidRPr="003C7399">
        <w:rPr>
          <w:rFonts w:ascii="Arial" w:hAnsi="Arial"/>
          <w:sz w:val="22"/>
          <w:szCs w:val="22"/>
          <w:lang w:val="sr-Latn-ME"/>
        </w:rPr>
        <w:t>, te da su počinili težu povredu službene dužnosti iz člana 95 stav 1 tačka 4 Zakona o državnim službenicima i namještenicima (zloupotreba položaja ili prekoračenje ovlašćenja u službi).</w:t>
      </w:r>
    </w:p>
    <w:p w:rsidR="00DE61E4" w:rsidRDefault="00DE61E4" w:rsidP="00DE61E4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  <w:r>
        <w:rPr>
          <w:rFonts w:ascii="Arial" w:hAnsi="Arial"/>
          <w:sz w:val="22"/>
          <w:szCs w:val="22"/>
          <w:lang w:val="sr-Latn-ME"/>
        </w:rPr>
        <w:t xml:space="preserve">Takođe, </w:t>
      </w:r>
      <w:r w:rsidRPr="001757E1">
        <w:rPr>
          <w:rFonts w:ascii="Arial" w:eastAsia="Calibri" w:hAnsi="Arial" w:cs="Arial"/>
          <w:sz w:val="22"/>
          <w:szCs w:val="22"/>
          <w:lang w:val="sr-Latn-ME"/>
        </w:rPr>
        <w:t xml:space="preserve">s obzirom na zahtjev Osnovnog državnog tužilaštva u </w:t>
      </w:r>
      <w:r>
        <w:rPr>
          <w:rFonts w:ascii="Arial" w:eastAsia="Calibri" w:hAnsi="Arial" w:cs="Arial"/>
          <w:sz w:val="22"/>
          <w:szCs w:val="22"/>
          <w:lang w:val="sr-Latn-ME"/>
        </w:rPr>
        <w:t>Podgorici</w:t>
      </w:r>
      <w:r w:rsidRPr="001757E1">
        <w:rPr>
          <w:rFonts w:ascii="Arial" w:eastAsia="Calibri" w:hAnsi="Arial" w:cs="Arial"/>
          <w:sz w:val="22"/>
          <w:szCs w:val="22"/>
          <w:lang w:val="sr-Latn-ME"/>
        </w:rPr>
        <w:t xml:space="preserve">, </w:t>
      </w:r>
      <w:r w:rsidRPr="001757E1">
        <w:rPr>
          <w:rFonts w:ascii="Arial" w:hAnsi="Arial"/>
          <w:sz w:val="22"/>
          <w:szCs w:val="22"/>
          <w:lang w:val="sr-Latn-ME"/>
        </w:rPr>
        <w:t>Izvještaj sa spisima predmeta, sačinjenim u postupku unutrašnje kontrole dostavljen je</w:t>
      </w:r>
      <w:r>
        <w:rPr>
          <w:rFonts w:ascii="Arial" w:hAnsi="Arial"/>
          <w:sz w:val="22"/>
          <w:szCs w:val="22"/>
          <w:lang w:val="sr-Latn-ME"/>
        </w:rPr>
        <w:t xml:space="preserve"> i</w:t>
      </w:r>
      <w:r w:rsidRPr="001757E1">
        <w:rPr>
          <w:rFonts w:ascii="Arial" w:hAnsi="Arial"/>
          <w:sz w:val="22"/>
          <w:szCs w:val="22"/>
          <w:lang w:val="sr-Latn-ME"/>
        </w:rPr>
        <w:t xml:space="preserve"> </w:t>
      </w:r>
      <w:r>
        <w:rPr>
          <w:rFonts w:ascii="Arial" w:hAnsi="Arial"/>
          <w:sz w:val="22"/>
          <w:szCs w:val="22"/>
          <w:lang w:val="sr-Latn-ME"/>
        </w:rPr>
        <w:t xml:space="preserve">tom tužilaštvu, na dalji postupak i odlučivanje da li u postupanju policisjkih službenika ima elemenata krivičnog djela za koje se gonjenje preduzima po službenoj dužnosti, </w:t>
      </w:r>
      <w:r w:rsidRPr="001757E1">
        <w:rPr>
          <w:rFonts w:ascii="Arial" w:hAnsi="Arial"/>
          <w:sz w:val="22"/>
          <w:szCs w:val="22"/>
          <w:lang w:val="sr-Latn-ME"/>
        </w:rPr>
        <w:t>sa konstat</w:t>
      </w:r>
      <w:r>
        <w:rPr>
          <w:rFonts w:ascii="Arial" w:hAnsi="Arial"/>
          <w:sz w:val="22"/>
          <w:szCs w:val="22"/>
          <w:lang w:val="sr-Latn-ME"/>
        </w:rPr>
        <w:t>acijom činjeničnog stanja</w:t>
      </w:r>
      <w:r w:rsidRPr="001757E1">
        <w:rPr>
          <w:rFonts w:ascii="Arial" w:hAnsi="Arial"/>
          <w:sz w:val="22"/>
          <w:szCs w:val="22"/>
          <w:lang w:val="sr-Latn-ME"/>
        </w:rPr>
        <w:t xml:space="preserve"> u postupku unutrašnje kontrole </w:t>
      </w:r>
      <w:r>
        <w:rPr>
          <w:rFonts w:ascii="Arial" w:hAnsi="Arial"/>
          <w:sz w:val="22"/>
          <w:szCs w:val="22"/>
          <w:lang w:val="sr-Latn-ME"/>
        </w:rPr>
        <w:t>o</w:t>
      </w:r>
      <w:r w:rsidRPr="001757E1">
        <w:rPr>
          <w:rFonts w:ascii="Arial" w:hAnsi="Arial"/>
          <w:sz w:val="22"/>
          <w:szCs w:val="22"/>
          <w:lang w:val="sr-Latn-ME"/>
        </w:rPr>
        <w:t xml:space="preserve"> navodi</w:t>
      </w:r>
      <w:r>
        <w:rPr>
          <w:rFonts w:ascii="Arial" w:hAnsi="Arial"/>
          <w:sz w:val="22"/>
          <w:szCs w:val="22"/>
          <w:lang w:val="sr-Latn-ME"/>
        </w:rPr>
        <w:t>ma građanina B.M.</w:t>
      </w:r>
      <w:r w:rsidRPr="001757E1">
        <w:rPr>
          <w:rFonts w:ascii="Arial" w:hAnsi="Arial"/>
          <w:sz w:val="22"/>
          <w:szCs w:val="22"/>
          <w:lang w:val="sr-Latn-ME"/>
        </w:rPr>
        <w:t xml:space="preserve"> o zlostavljanju</w:t>
      </w:r>
      <w:r>
        <w:rPr>
          <w:rFonts w:ascii="Arial" w:hAnsi="Arial"/>
          <w:sz w:val="22"/>
          <w:szCs w:val="22"/>
          <w:lang w:val="sr-Latn-ME"/>
        </w:rPr>
        <w:t>.</w:t>
      </w:r>
    </w:p>
    <w:p w:rsidR="00DE61E4" w:rsidRPr="00735B88" w:rsidRDefault="00DE61E4" w:rsidP="00DE61E4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</w:p>
    <w:p w:rsidR="00DE61E4" w:rsidRDefault="00DE61E4" w:rsidP="00DE61E4">
      <w:pPr>
        <w:ind w:right="178"/>
        <w:jc w:val="both"/>
        <w:rPr>
          <w:rFonts w:ascii="Arial" w:hAnsi="Arial"/>
          <w:color w:val="000000" w:themeColor="text1"/>
          <w:sz w:val="22"/>
          <w:szCs w:val="22"/>
          <w:lang w:val="sr-Latn-ME"/>
        </w:rPr>
      </w:pPr>
      <w:bookmarkStart w:id="0" w:name="_GoBack"/>
      <w:bookmarkEnd w:id="0"/>
      <w:r w:rsidRPr="00735B88">
        <w:rPr>
          <w:rFonts w:ascii="Arial" w:hAnsi="Arial" w:cs="Arial"/>
          <w:sz w:val="22"/>
          <w:szCs w:val="22"/>
          <w:lang w:val="sr-Latn-ME"/>
        </w:rPr>
        <w:t>►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/>
          <w:sz w:val="22"/>
          <w:szCs w:val="22"/>
          <w:lang w:val="sr-Latn-ME"/>
        </w:rPr>
        <w:t xml:space="preserve">U preostalih osam slučajeva, u postupcima unutrašnje kontrole </w:t>
      </w:r>
      <w:r w:rsidRPr="00735B88">
        <w:rPr>
          <w:rFonts w:ascii="Arial" w:hAnsi="Arial"/>
          <w:color w:val="000000" w:themeColor="text1"/>
          <w:sz w:val="22"/>
          <w:szCs w:val="22"/>
          <w:lang w:val="sr-Latn-ME"/>
        </w:rPr>
        <w:t>nijesu utvrđene činjenice i dokazi koji bi ukazivali na nezakonito i/ili neprofesionalno postupanje policijskih službenika u predmetn</w:t>
      </w:r>
      <w:r>
        <w:rPr>
          <w:rFonts w:ascii="Arial" w:hAnsi="Arial"/>
          <w:color w:val="000000" w:themeColor="text1"/>
          <w:sz w:val="22"/>
          <w:szCs w:val="22"/>
          <w:lang w:val="sr-Latn-ME"/>
        </w:rPr>
        <w:t>i</w:t>
      </w:r>
      <w:r w:rsidRPr="00735B88">
        <w:rPr>
          <w:rFonts w:ascii="Arial" w:hAnsi="Arial"/>
          <w:color w:val="000000" w:themeColor="text1"/>
          <w:sz w:val="22"/>
          <w:szCs w:val="22"/>
          <w:lang w:val="sr-Latn-ME"/>
        </w:rPr>
        <w:t>m slučaj</w:t>
      </w:r>
      <w:r>
        <w:rPr>
          <w:rFonts w:ascii="Arial" w:hAnsi="Arial"/>
          <w:color w:val="000000" w:themeColor="text1"/>
          <w:sz w:val="22"/>
          <w:szCs w:val="22"/>
          <w:lang w:val="sr-Latn-ME"/>
        </w:rPr>
        <w:t>evima</w:t>
      </w:r>
      <w:r w:rsidRPr="00735B88">
        <w:rPr>
          <w:rFonts w:ascii="Arial" w:hAnsi="Arial"/>
          <w:color w:val="000000" w:themeColor="text1"/>
          <w:sz w:val="22"/>
          <w:szCs w:val="22"/>
          <w:lang w:val="sr-Latn-ME"/>
        </w:rPr>
        <w:t>.</w:t>
      </w:r>
    </w:p>
    <w:p w:rsidR="00DE61E4" w:rsidRDefault="00DE61E4" w:rsidP="00DE61E4">
      <w:pPr>
        <w:ind w:right="178"/>
        <w:jc w:val="both"/>
        <w:rPr>
          <w:rFonts w:ascii="Arial" w:hAnsi="Arial"/>
          <w:color w:val="000000" w:themeColor="text1"/>
          <w:sz w:val="22"/>
          <w:szCs w:val="22"/>
          <w:lang w:val="sr-Latn-ME"/>
        </w:rPr>
      </w:pPr>
    </w:p>
    <w:p w:rsidR="0039681E" w:rsidRDefault="00DE61E4" w:rsidP="00DE61E4">
      <w:pPr>
        <w:shd w:val="clear" w:color="auto" w:fill="FFFFFF" w:themeFill="background1"/>
        <w:jc w:val="both"/>
        <w:rPr>
          <w:rFonts w:ascii="Arial" w:hAnsi="Arial"/>
          <w:sz w:val="22"/>
          <w:szCs w:val="22"/>
          <w:lang w:val="sr-Latn-ME"/>
        </w:rPr>
      </w:pPr>
      <w:r>
        <w:rPr>
          <w:rFonts w:ascii="Arial" w:hAnsi="Arial"/>
          <w:color w:val="000000" w:themeColor="text1"/>
          <w:sz w:val="22"/>
          <w:szCs w:val="22"/>
          <w:lang w:val="sr-Latn-ME"/>
        </w:rPr>
        <w:t xml:space="preserve">U šest od navedenih osam slučajeva i pored činjenice da se u postupcima unutrašnje kontrole nijesu mogle utvrditi činjenice i dokazi koji bi ukazivali na nezakonitosti u postupanju policijskih službenika, </w:t>
      </w:r>
      <w:r w:rsidRPr="001757E1">
        <w:rPr>
          <w:rFonts w:ascii="Arial" w:eastAsia="Calibri" w:hAnsi="Arial" w:cs="Arial"/>
          <w:sz w:val="22"/>
          <w:szCs w:val="22"/>
          <w:lang w:val="sr-Latn-ME"/>
        </w:rPr>
        <w:t>s obzirom na zahtjev</w:t>
      </w:r>
      <w:r>
        <w:rPr>
          <w:rFonts w:ascii="Arial" w:eastAsia="Calibri" w:hAnsi="Arial" w:cs="Arial"/>
          <w:sz w:val="22"/>
          <w:szCs w:val="22"/>
          <w:lang w:val="sr-Latn-ME"/>
        </w:rPr>
        <w:t>e</w:t>
      </w:r>
      <w:r w:rsidRPr="001757E1">
        <w:rPr>
          <w:rFonts w:ascii="Arial" w:eastAsia="Calibri" w:hAnsi="Arial" w:cs="Arial"/>
          <w:sz w:val="22"/>
          <w:szCs w:val="22"/>
          <w:lang w:val="sr-Latn-ME"/>
        </w:rPr>
        <w:t xml:space="preserve"> </w:t>
      </w:r>
      <w:r>
        <w:rPr>
          <w:rFonts w:ascii="Arial" w:eastAsia="Calibri" w:hAnsi="Arial" w:cs="Arial"/>
          <w:sz w:val="22"/>
          <w:szCs w:val="22"/>
          <w:lang w:val="sr-Latn-ME"/>
        </w:rPr>
        <w:t>nadležnih</w:t>
      </w:r>
      <w:r w:rsidRPr="001757E1">
        <w:rPr>
          <w:rFonts w:ascii="Arial" w:eastAsia="Calibri" w:hAnsi="Arial" w:cs="Arial"/>
          <w:sz w:val="22"/>
          <w:szCs w:val="22"/>
          <w:lang w:val="sr-Latn-ME"/>
        </w:rPr>
        <w:t xml:space="preserve"> državn</w:t>
      </w:r>
      <w:r>
        <w:rPr>
          <w:rFonts w:ascii="Arial" w:eastAsia="Calibri" w:hAnsi="Arial" w:cs="Arial"/>
          <w:sz w:val="22"/>
          <w:szCs w:val="22"/>
          <w:lang w:val="sr-Latn-ME"/>
        </w:rPr>
        <w:t>ih</w:t>
      </w:r>
      <w:r w:rsidRPr="001757E1">
        <w:rPr>
          <w:rFonts w:ascii="Arial" w:eastAsia="Calibri" w:hAnsi="Arial" w:cs="Arial"/>
          <w:sz w:val="22"/>
          <w:szCs w:val="22"/>
          <w:lang w:val="sr-Latn-ME"/>
        </w:rPr>
        <w:t xml:space="preserve"> tužilašt</w:t>
      </w:r>
      <w:r>
        <w:rPr>
          <w:rFonts w:ascii="Arial" w:eastAsia="Calibri" w:hAnsi="Arial" w:cs="Arial"/>
          <w:sz w:val="22"/>
          <w:szCs w:val="22"/>
          <w:lang w:val="sr-Latn-ME"/>
        </w:rPr>
        <w:t>ava</w:t>
      </w:r>
      <w:r w:rsidRPr="001757E1">
        <w:rPr>
          <w:rFonts w:ascii="Arial" w:eastAsia="Calibri" w:hAnsi="Arial" w:cs="Arial"/>
          <w:sz w:val="22"/>
          <w:szCs w:val="22"/>
          <w:lang w:val="sr-Latn-ME"/>
        </w:rPr>
        <w:t xml:space="preserve">, </w:t>
      </w:r>
      <w:r w:rsidRPr="001757E1">
        <w:rPr>
          <w:rFonts w:ascii="Arial" w:hAnsi="Arial"/>
          <w:sz w:val="22"/>
          <w:szCs w:val="22"/>
          <w:lang w:val="sr-Latn-ME"/>
        </w:rPr>
        <w:t>Izvještaj</w:t>
      </w:r>
      <w:r>
        <w:rPr>
          <w:rFonts w:ascii="Arial" w:hAnsi="Arial"/>
          <w:sz w:val="22"/>
          <w:szCs w:val="22"/>
          <w:lang w:val="sr-Latn-ME"/>
        </w:rPr>
        <w:t>i</w:t>
      </w:r>
      <w:r w:rsidRPr="001757E1">
        <w:rPr>
          <w:rFonts w:ascii="Arial" w:hAnsi="Arial"/>
          <w:sz w:val="22"/>
          <w:szCs w:val="22"/>
          <w:lang w:val="sr-Latn-ME"/>
        </w:rPr>
        <w:t xml:space="preserve"> sa spisima predmeta, sačinjenim u postupku unutrašnje kontrole dostavljen</w:t>
      </w:r>
      <w:r>
        <w:rPr>
          <w:rFonts w:ascii="Arial" w:hAnsi="Arial"/>
          <w:sz w:val="22"/>
          <w:szCs w:val="22"/>
          <w:lang w:val="sr-Latn-ME"/>
        </w:rPr>
        <w:t>i</w:t>
      </w:r>
      <w:r w:rsidRPr="001757E1">
        <w:rPr>
          <w:rFonts w:ascii="Arial" w:hAnsi="Arial"/>
          <w:sz w:val="22"/>
          <w:szCs w:val="22"/>
          <w:lang w:val="sr-Latn-ME"/>
        </w:rPr>
        <w:t xml:space="preserve"> </w:t>
      </w:r>
      <w:r>
        <w:rPr>
          <w:rFonts w:ascii="Arial" w:hAnsi="Arial"/>
          <w:sz w:val="22"/>
          <w:szCs w:val="22"/>
          <w:lang w:val="sr-Latn-ME"/>
        </w:rPr>
        <w:t>su</w:t>
      </w:r>
      <w:r w:rsidRPr="001757E1">
        <w:rPr>
          <w:rFonts w:ascii="Arial" w:hAnsi="Arial"/>
          <w:sz w:val="22"/>
          <w:szCs w:val="22"/>
          <w:lang w:val="sr-Latn-ME"/>
        </w:rPr>
        <w:t xml:space="preserve"> </w:t>
      </w:r>
      <w:r>
        <w:rPr>
          <w:rFonts w:ascii="Arial" w:hAnsi="Arial"/>
          <w:sz w:val="22"/>
          <w:szCs w:val="22"/>
          <w:lang w:val="sr-Latn-ME"/>
        </w:rPr>
        <w:t xml:space="preserve">državnim tužilaštvima, </w:t>
      </w:r>
      <w:r w:rsidRPr="001757E1">
        <w:rPr>
          <w:rFonts w:ascii="Arial" w:hAnsi="Arial"/>
          <w:sz w:val="22"/>
          <w:szCs w:val="22"/>
          <w:lang w:val="sr-Latn-ME"/>
        </w:rPr>
        <w:t>sa konstat</w:t>
      </w:r>
      <w:r>
        <w:rPr>
          <w:rFonts w:ascii="Arial" w:hAnsi="Arial"/>
          <w:sz w:val="22"/>
          <w:szCs w:val="22"/>
          <w:lang w:val="sr-Latn-ME"/>
        </w:rPr>
        <w:t>a</w:t>
      </w:r>
      <w:r w:rsidRPr="001757E1">
        <w:rPr>
          <w:rFonts w:ascii="Arial" w:hAnsi="Arial"/>
          <w:sz w:val="22"/>
          <w:szCs w:val="22"/>
          <w:lang w:val="sr-Latn-ME"/>
        </w:rPr>
        <w:t>cijom da se u postupku unutrašnje kontrole nijesu mogle</w:t>
      </w:r>
      <w:r>
        <w:rPr>
          <w:rFonts w:ascii="Arial" w:hAnsi="Arial"/>
          <w:sz w:val="22"/>
          <w:szCs w:val="22"/>
          <w:lang w:val="sr-Latn-ME"/>
        </w:rPr>
        <w:t xml:space="preserve"> </w:t>
      </w:r>
      <w:r w:rsidR="0039681E" w:rsidRPr="001757E1">
        <w:rPr>
          <w:rFonts w:ascii="Arial" w:hAnsi="Arial"/>
          <w:sz w:val="22"/>
          <w:szCs w:val="22"/>
          <w:lang w:val="sr-Latn-ME"/>
        </w:rPr>
        <w:t>utvrditi činjenice i dokazi kojima bi se potvrdili navodi o zlostavljanju</w:t>
      </w:r>
      <w:r w:rsidR="0039681E">
        <w:rPr>
          <w:rFonts w:ascii="Arial" w:hAnsi="Arial"/>
          <w:sz w:val="22"/>
          <w:szCs w:val="22"/>
          <w:lang w:val="sr-Latn-ME"/>
        </w:rPr>
        <w:t xml:space="preserve"> lica lišenih slobode.</w:t>
      </w:r>
    </w:p>
    <w:p w:rsidR="00814084" w:rsidRDefault="00814084" w:rsidP="00DE61E4">
      <w:pPr>
        <w:shd w:val="clear" w:color="auto" w:fill="FFFFFF" w:themeFill="background1"/>
        <w:jc w:val="both"/>
        <w:rPr>
          <w:rFonts w:ascii="Arial" w:hAnsi="Arial"/>
          <w:sz w:val="22"/>
          <w:szCs w:val="22"/>
          <w:lang w:val="sr-Latn-ME"/>
        </w:rPr>
      </w:pPr>
    </w:p>
    <w:p w:rsidR="00814084" w:rsidRDefault="00814084" w:rsidP="00DE61E4">
      <w:pPr>
        <w:shd w:val="clear" w:color="auto" w:fill="FFFFFF" w:themeFill="background1"/>
        <w:jc w:val="both"/>
        <w:rPr>
          <w:rFonts w:ascii="Arial" w:hAnsi="Arial"/>
          <w:sz w:val="22"/>
          <w:szCs w:val="22"/>
          <w:lang w:val="sr-Latn-ME"/>
        </w:rPr>
      </w:pPr>
    </w:p>
    <w:p w:rsidR="00814084" w:rsidRDefault="00814084" w:rsidP="00DE61E4">
      <w:pPr>
        <w:shd w:val="clear" w:color="auto" w:fill="FFFFFF" w:themeFill="background1"/>
        <w:jc w:val="both"/>
        <w:rPr>
          <w:rFonts w:ascii="Arial" w:hAnsi="Arial"/>
          <w:sz w:val="22"/>
          <w:szCs w:val="22"/>
          <w:lang w:val="sr-Latn-ME"/>
        </w:rPr>
      </w:pPr>
    </w:p>
    <w:p w:rsidR="00814084" w:rsidRDefault="00814084" w:rsidP="00DE61E4">
      <w:pPr>
        <w:shd w:val="clear" w:color="auto" w:fill="FFFFFF" w:themeFill="background1"/>
        <w:jc w:val="both"/>
        <w:rPr>
          <w:rFonts w:ascii="Arial" w:hAnsi="Arial"/>
          <w:sz w:val="22"/>
          <w:szCs w:val="22"/>
          <w:lang w:val="sr-Latn-ME"/>
        </w:rPr>
      </w:pPr>
    </w:p>
    <w:p w:rsidR="00814084" w:rsidRDefault="00814084" w:rsidP="00814084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 w:rsidRPr="00735B88">
        <w:rPr>
          <w:rFonts w:ascii="Arial" w:hAnsi="Arial" w:cs="Arial"/>
          <w:b/>
          <w:bCs/>
          <w:sz w:val="22"/>
          <w:szCs w:val="22"/>
          <w:lang w:val="sr-Latn-ME"/>
        </w:rPr>
        <w:lastRenderedPageBreak/>
        <w:t>■Pritužbe – žalbe građana</w:t>
      </w:r>
    </w:p>
    <w:p w:rsidR="00814084" w:rsidRPr="00735B88" w:rsidRDefault="00814084" w:rsidP="00814084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</w:p>
    <w:p w:rsidR="00814084" w:rsidRPr="00735B88" w:rsidRDefault="00814084" w:rsidP="00814084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>Službenici Odjeljenja za unutraš</w:t>
      </w:r>
      <w:r>
        <w:rPr>
          <w:rFonts w:ascii="Arial" w:hAnsi="Arial" w:cs="Arial"/>
          <w:sz w:val="22"/>
          <w:szCs w:val="22"/>
          <w:lang w:val="sr-Latn-ME"/>
        </w:rPr>
        <w:t>nju kontrolu policije su tokom februara</w:t>
      </w:r>
      <w:r w:rsidRPr="00735B88">
        <w:rPr>
          <w:rFonts w:ascii="Arial" w:hAnsi="Arial" w:cs="Arial"/>
          <w:sz w:val="22"/>
          <w:szCs w:val="22"/>
          <w:lang w:val="sr-Latn-ME"/>
        </w:rPr>
        <w:t xml:space="preserve"> 2026.godine, izvršili kontrole zakonitosti postupanja policijskih službenika na osnovu </w:t>
      </w:r>
      <w:r>
        <w:rPr>
          <w:rFonts w:ascii="Arial" w:hAnsi="Arial" w:cs="Arial"/>
          <w:sz w:val="22"/>
          <w:szCs w:val="22"/>
          <w:lang w:val="sr-Latn-ME"/>
        </w:rPr>
        <w:t>pet</w:t>
      </w:r>
      <w:r w:rsidRPr="00735B88">
        <w:rPr>
          <w:rFonts w:ascii="Arial" w:hAnsi="Arial" w:cs="Arial"/>
          <w:sz w:val="22"/>
          <w:szCs w:val="22"/>
          <w:lang w:val="sr-Latn-ME"/>
        </w:rPr>
        <w:t xml:space="preserve"> pritužb</w:t>
      </w:r>
      <w:r>
        <w:rPr>
          <w:rFonts w:ascii="Arial" w:hAnsi="Arial" w:cs="Arial"/>
          <w:sz w:val="22"/>
          <w:szCs w:val="22"/>
          <w:lang w:val="sr-Latn-ME"/>
        </w:rPr>
        <w:t>i</w:t>
      </w:r>
      <w:r w:rsidRPr="00735B88">
        <w:rPr>
          <w:rFonts w:ascii="Arial" w:hAnsi="Arial" w:cs="Arial"/>
          <w:sz w:val="22"/>
          <w:szCs w:val="22"/>
          <w:lang w:val="sr-Latn-ME"/>
        </w:rPr>
        <w:t xml:space="preserve"> građana na postupanje policijskih službenika.</w:t>
      </w:r>
    </w:p>
    <w:p w:rsidR="00814084" w:rsidRPr="00735B88" w:rsidRDefault="00814084" w:rsidP="00814084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814084" w:rsidRPr="00735B88" w:rsidRDefault="00814084" w:rsidP="00814084">
      <w:pPr>
        <w:ind w:right="-108"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>Pritužbe su se sadržinski odnosile na način vršenja policijskih poslova i primjenu policijskih ovlašćenja.</w:t>
      </w:r>
    </w:p>
    <w:p w:rsidR="00814084" w:rsidRDefault="00814084" w:rsidP="00814084">
      <w:pPr>
        <w:ind w:right="-108"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814084" w:rsidRDefault="00814084" w:rsidP="00814084">
      <w:pPr>
        <w:shd w:val="clear" w:color="auto" w:fill="FFFFFF" w:themeFill="background1"/>
        <w:jc w:val="both"/>
        <w:rPr>
          <w:rFonts w:ascii="Arial" w:hAnsi="Arial"/>
          <w:noProof/>
          <w:color w:val="000000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>►</w:t>
      </w:r>
      <w:r>
        <w:rPr>
          <w:rFonts w:ascii="Arial" w:eastAsia="Calibri" w:hAnsi="Arial" w:cs="Arial"/>
          <w:color w:val="FF0000"/>
          <w:sz w:val="22"/>
          <w:szCs w:val="22"/>
          <w:lang w:val="sr-Latn-ME"/>
        </w:rPr>
        <w:t xml:space="preserve"> </w:t>
      </w:r>
      <w:r w:rsidRPr="00D96262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Na osnovu činjenica i okolnosti utvrđenih u postupku unutrašnje kontrole,</w:t>
      </w:r>
      <w:r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u jednom slučaju,</w:t>
      </w:r>
      <w:r w:rsidRPr="00D96262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konstatovano je da postoji osnovana sumnja da su</w:t>
      </w:r>
      <w:r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dva</w:t>
      </w:r>
      <w:r w:rsidRPr="00D96262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policijsk</w:t>
      </w:r>
      <w:r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a službenika</w:t>
      </w:r>
      <w:r w:rsidRPr="00D96262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Stanice policije Odjeljenja bezbjednosti Ulcinj</w:t>
      </w:r>
      <w:r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,</w:t>
      </w:r>
      <w:r w:rsidRPr="00D96262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svojim ponašanjem prekršili odredbe Kodeksa policijs</w:t>
      </w:r>
      <w:r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ke</w:t>
      </w:r>
      <w:r w:rsidRPr="00D96262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etike, usljed č</w:t>
      </w:r>
      <w:r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e</w:t>
      </w:r>
      <w:r w:rsidRPr="00D96262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ga je Izvještaj sa spisima sačinjenim u postupku unutrašnje kontrole dostavljen Etičkom odboru na ocjenu etičnosti postupanja policijskih službenika u predmetnom slučaju</w:t>
      </w:r>
      <w:r w:rsidRPr="00E45388">
        <w:rPr>
          <w:rFonts w:ascii="Arial" w:hAnsi="Arial"/>
          <w:noProof/>
          <w:color w:val="000000"/>
          <w:sz w:val="22"/>
          <w:szCs w:val="22"/>
          <w:lang w:val="sr-Latn-ME"/>
        </w:rPr>
        <w:t>.</w:t>
      </w:r>
    </w:p>
    <w:p w:rsidR="00814084" w:rsidRPr="007938A7" w:rsidRDefault="00814084" w:rsidP="00814084">
      <w:pPr>
        <w:shd w:val="clear" w:color="auto" w:fill="FFFFFF" w:themeFill="background1"/>
        <w:jc w:val="both"/>
        <w:rPr>
          <w:rFonts w:ascii="Arial" w:hAnsi="Arial"/>
          <w:bCs/>
          <w:color w:val="000000" w:themeColor="text1"/>
          <w:sz w:val="22"/>
          <w:szCs w:val="22"/>
          <w:lang w:val="sr-Latn-ME"/>
        </w:rPr>
      </w:pPr>
      <w:r w:rsidRPr="007938A7">
        <w:rPr>
          <w:rFonts w:ascii="Arial" w:hAnsi="Arial"/>
          <w:noProof/>
          <w:color w:val="000000"/>
          <w:sz w:val="22"/>
          <w:szCs w:val="22"/>
          <w:lang w:val="sr-Latn-ME"/>
        </w:rPr>
        <w:t>Takođe, Izvještaj</w:t>
      </w:r>
      <w:r w:rsidRPr="007938A7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sa spisima sačinjenim u postupku unutrašnje kontrole dostavljen je i Osnovnom državnom tužiocu u Ulcinju na dalji postupak, ocjenu i odlučivanje o tome da li u radnjama i postupanju policijskih službenika  postoje elementi krivičnog djela za koje se gonjenje preduzima po službenoj dužnosti.</w:t>
      </w:r>
    </w:p>
    <w:p w:rsidR="00814084" w:rsidRPr="00735B88" w:rsidRDefault="00814084" w:rsidP="00814084">
      <w:pPr>
        <w:ind w:right="-108"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814084" w:rsidRPr="00735B88" w:rsidRDefault="00814084" w:rsidP="00814084">
      <w:pPr>
        <w:keepNext/>
        <w:shd w:val="clear" w:color="auto" w:fill="FFFFFF" w:themeFill="background1"/>
        <w:ind w:right="-57"/>
        <w:jc w:val="both"/>
        <w:outlineLvl w:val="1"/>
        <w:rPr>
          <w:rFonts w:ascii="Arial" w:hAnsi="Arial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 xml:space="preserve">► U </w:t>
      </w:r>
      <w:r>
        <w:rPr>
          <w:rFonts w:ascii="Arial" w:hAnsi="Arial" w:cs="Arial"/>
          <w:sz w:val="22"/>
          <w:szCs w:val="22"/>
          <w:lang w:val="sr-Latn-ME"/>
        </w:rPr>
        <w:t xml:space="preserve">preostala četiri slučaja, </w:t>
      </w:r>
      <w:r w:rsidRPr="00735B88">
        <w:rPr>
          <w:rFonts w:ascii="Arial" w:hAnsi="Arial"/>
          <w:bCs/>
          <w:sz w:val="22"/>
          <w:szCs w:val="22"/>
          <w:lang w:val="sr-Latn-ME"/>
        </w:rPr>
        <w:t>postupcima unutrašnje kontrole</w:t>
      </w:r>
      <w:r>
        <w:rPr>
          <w:rFonts w:ascii="Arial" w:hAnsi="Arial"/>
          <w:bCs/>
          <w:sz w:val="22"/>
          <w:szCs w:val="22"/>
          <w:lang w:val="sr-Latn-ME"/>
        </w:rPr>
        <w:t xml:space="preserve">, </w:t>
      </w:r>
      <w:r w:rsidRPr="00735B88">
        <w:rPr>
          <w:rFonts w:ascii="Arial" w:hAnsi="Arial"/>
          <w:bCs/>
          <w:sz w:val="22"/>
          <w:szCs w:val="22"/>
          <w:lang w:val="sr-Latn-ME"/>
        </w:rPr>
        <w:t xml:space="preserve">nijesu se mogle utvrditi činjenice i dokazi </w:t>
      </w:r>
      <w:r w:rsidRPr="00735B88">
        <w:rPr>
          <w:rFonts w:ascii="Arial" w:hAnsi="Arial"/>
          <w:sz w:val="22"/>
          <w:szCs w:val="22"/>
          <w:lang w:val="sr-Latn-ME"/>
        </w:rPr>
        <w:t>koji bi ukazivali na postojanje elemenata disiplinske ili druge odgovornosti policijskih službenika u preduzimanju službenih radnji u predmetnim slučajevima.</w:t>
      </w:r>
    </w:p>
    <w:p w:rsidR="00814084" w:rsidRPr="00DE61E4" w:rsidRDefault="00814084" w:rsidP="00DE61E4">
      <w:pPr>
        <w:shd w:val="clear" w:color="auto" w:fill="FFFFFF" w:themeFill="background1"/>
        <w:jc w:val="both"/>
        <w:rPr>
          <w:rFonts w:ascii="Arial" w:hAnsi="Arial"/>
          <w:sz w:val="22"/>
          <w:szCs w:val="22"/>
          <w:lang w:val="sr-Latn-ME"/>
        </w:rPr>
      </w:pPr>
    </w:p>
    <w:p w:rsidR="0039681E" w:rsidRDefault="0039681E" w:rsidP="0039681E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</w:p>
    <w:p w:rsidR="00351C0A" w:rsidRPr="007D4EA4" w:rsidRDefault="00351C0A" w:rsidP="00351C0A">
      <w:pPr>
        <w:shd w:val="clear" w:color="auto" w:fill="FFFFFF"/>
        <w:tabs>
          <w:tab w:val="left" w:pos="4200"/>
        </w:tabs>
        <w:ind w:firstLine="720"/>
        <w:jc w:val="both"/>
        <w:rPr>
          <w:rFonts w:ascii="Arial" w:hAnsi="Arial" w:cs="Arial"/>
          <w:color w:val="5B9BD5" w:themeColor="accent1"/>
          <w:sz w:val="22"/>
          <w:szCs w:val="22"/>
          <w:lang w:val="sr-Latn-ME"/>
        </w:rPr>
      </w:pPr>
    </w:p>
    <w:sectPr w:rsidR="00351C0A" w:rsidRPr="007D4E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33666"/>
    <w:multiLevelType w:val="hybridMultilevel"/>
    <w:tmpl w:val="1A1ACD22"/>
    <w:lvl w:ilvl="0" w:tplc="984E8D16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09D7B92"/>
    <w:multiLevelType w:val="hybridMultilevel"/>
    <w:tmpl w:val="1666C9F4"/>
    <w:lvl w:ilvl="0" w:tplc="4386EBE4">
      <w:start w:val="1"/>
      <w:numFmt w:val="decimal"/>
      <w:lvlText w:val="%1."/>
      <w:lvlJc w:val="left"/>
      <w:pPr>
        <w:ind w:left="360" w:hanging="360"/>
      </w:pPr>
      <w:rPr>
        <w:rFonts w:eastAsia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3E1168"/>
    <w:multiLevelType w:val="hybridMultilevel"/>
    <w:tmpl w:val="52E8F8AE"/>
    <w:lvl w:ilvl="0" w:tplc="78ACD2CC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1C0CB9"/>
    <w:multiLevelType w:val="hybridMultilevel"/>
    <w:tmpl w:val="A85C4986"/>
    <w:lvl w:ilvl="0" w:tplc="E2883564">
      <w:start w:val="1"/>
      <w:numFmt w:val="decimal"/>
      <w:lvlText w:val="%1."/>
      <w:lvlJc w:val="left"/>
      <w:pPr>
        <w:ind w:left="644" w:hanging="360"/>
      </w:pPr>
      <w:rPr>
        <w:rFonts w:eastAsia="Calibri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B9"/>
    <w:rsid w:val="00032AC7"/>
    <w:rsid w:val="00114DB9"/>
    <w:rsid w:val="00136C16"/>
    <w:rsid w:val="00177052"/>
    <w:rsid w:val="001B32AB"/>
    <w:rsid w:val="001E3A97"/>
    <w:rsid w:val="00275B2E"/>
    <w:rsid w:val="002E6F36"/>
    <w:rsid w:val="00351C0A"/>
    <w:rsid w:val="003711AF"/>
    <w:rsid w:val="0039681E"/>
    <w:rsid w:val="0048074F"/>
    <w:rsid w:val="00532A4A"/>
    <w:rsid w:val="005517DA"/>
    <w:rsid w:val="005705A5"/>
    <w:rsid w:val="007527AE"/>
    <w:rsid w:val="007F343E"/>
    <w:rsid w:val="00814084"/>
    <w:rsid w:val="0084313C"/>
    <w:rsid w:val="008710E1"/>
    <w:rsid w:val="008B51F0"/>
    <w:rsid w:val="00946C93"/>
    <w:rsid w:val="00B93218"/>
    <w:rsid w:val="00BA33FD"/>
    <w:rsid w:val="00C06433"/>
    <w:rsid w:val="00C14AC2"/>
    <w:rsid w:val="00DB51E0"/>
    <w:rsid w:val="00DE61E4"/>
    <w:rsid w:val="00E1491F"/>
    <w:rsid w:val="00EF5FEB"/>
    <w:rsid w:val="00F5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F3112B"/>
  <w15:chartTrackingRefBased/>
  <w15:docId w15:val="{946F9F21-76DD-49E7-8682-63DC13F9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C0A"/>
    <w:pPr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84313C"/>
    <w:pPr>
      <w:jc w:val="center"/>
    </w:pPr>
    <w:rPr>
      <w:rFonts w:eastAsia="Calibri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843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link w:val="Title"/>
    <w:uiPriority w:val="99"/>
    <w:locked/>
    <w:rsid w:val="0084313C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F54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</dc:creator>
  <cp:keywords/>
  <dc:description/>
  <cp:lastModifiedBy>MUP</cp:lastModifiedBy>
  <cp:revision>33</cp:revision>
  <dcterms:created xsi:type="dcterms:W3CDTF">2025-11-03T09:23:00Z</dcterms:created>
  <dcterms:modified xsi:type="dcterms:W3CDTF">2026-03-11T08:42:00Z</dcterms:modified>
</cp:coreProperties>
</file>