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77" w:rsidRPr="00E93BF6" w:rsidRDefault="00C26E77" w:rsidP="00CD0D75">
      <w:pPr>
        <w:spacing w:after="0" w:line="240" w:lineRule="auto"/>
        <w:jc w:val="center"/>
        <w:rPr>
          <w:rFonts w:cs="Calibri"/>
        </w:rPr>
      </w:pPr>
      <w:r w:rsidRPr="00E93BF6">
        <w:rPr>
          <w:rFonts w:ascii="Book Antiqua" w:hAnsi="Book Antiqua"/>
          <w:noProof/>
          <w:sz w:val="24"/>
        </w:rPr>
        <w:drawing>
          <wp:inline distT="0" distB="0" distL="0" distR="0">
            <wp:extent cx="2400300" cy="17811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00300" cy="1781175"/>
                    </a:xfrm>
                    <a:prstGeom prst="rect">
                      <a:avLst/>
                    </a:prstGeom>
                    <a:noFill/>
                    <a:ln w="9525">
                      <a:noFill/>
                      <a:miter lim="800000"/>
                      <a:headEnd/>
                      <a:tailEnd/>
                    </a:ln>
                  </pic:spPr>
                </pic:pic>
              </a:graphicData>
            </a:graphic>
          </wp:inline>
        </w:drawing>
      </w:r>
    </w:p>
    <w:p w:rsidR="00C26E77" w:rsidRPr="00E93BF6" w:rsidRDefault="00C26E77" w:rsidP="00C26E77">
      <w:pPr>
        <w:pStyle w:val="Heading1"/>
        <w:spacing w:before="0" w:line="240" w:lineRule="auto"/>
        <w:ind w:left="882"/>
        <w:rPr>
          <w:rFonts w:ascii="Calibri" w:hAnsi="Calibri" w:cs="Calibri"/>
          <w:b w:val="0"/>
          <w:sz w:val="22"/>
          <w:szCs w:val="22"/>
        </w:rPr>
      </w:pPr>
      <w:r w:rsidRPr="00E93BF6">
        <w:rPr>
          <w:rFonts w:ascii="Calibri" w:eastAsia="Calibri" w:hAnsi="Calibri" w:cs="Calibri"/>
          <w:bCs w:val="0"/>
          <w:sz w:val="22"/>
          <w:szCs w:val="22"/>
        </w:rPr>
        <w:t xml:space="preserve">                                         </w:t>
      </w:r>
      <w:r w:rsidRPr="00E93BF6">
        <w:rPr>
          <w:rFonts w:ascii="Calibri" w:hAnsi="Calibri" w:cs="Calibri"/>
          <w:b w:val="0"/>
          <w:sz w:val="22"/>
          <w:szCs w:val="22"/>
        </w:rPr>
        <w:t xml:space="preserve">        </w:t>
      </w:r>
    </w:p>
    <w:p w:rsidR="00C26E77" w:rsidRPr="00E93BF6" w:rsidRDefault="00C26E77" w:rsidP="00C26E77">
      <w:pPr>
        <w:spacing w:after="0" w:line="240" w:lineRule="auto"/>
        <w:rPr>
          <w:rFonts w:cs="Calibri"/>
        </w:rPr>
      </w:pPr>
    </w:p>
    <w:p w:rsidR="00C26E77" w:rsidRPr="00E93BF6" w:rsidRDefault="00C26E77" w:rsidP="00C26E77">
      <w:pPr>
        <w:spacing w:after="0" w:line="240" w:lineRule="auto"/>
        <w:rPr>
          <w:rFonts w:cs="Calibri"/>
        </w:rPr>
      </w:pPr>
    </w:p>
    <w:p w:rsidR="00C26E77" w:rsidRPr="00E93BF6" w:rsidRDefault="00C26E77" w:rsidP="00C26E77">
      <w:pPr>
        <w:spacing w:after="0" w:line="240" w:lineRule="auto"/>
        <w:rPr>
          <w:rFonts w:cs="Calibri"/>
          <w:b/>
        </w:rPr>
      </w:pPr>
    </w:p>
    <w:p w:rsidR="00C26E77" w:rsidRPr="00CD0D75" w:rsidRDefault="00C26E77" w:rsidP="00CD0D75">
      <w:pPr>
        <w:spacing w:after="0"/>
        <w:jc w:val="center"/>
        <w:rPr>
          <w:rFonts w:ascii="Arial" w:hAnsi="Arial" w:cs="Arial"/>
          <w:b/>
        </w:rPr>
      </w:pPr>
    </w:p>
    <w:p w:rsidR="00C26E77" w:rsidRPr="00CD0D75" w:rsidRDefault="00C26E77" w:rsidP="00CD0D75">
      <w:pPr>
        <w:spacing w:after="0"/>
        <w:jc w:val="center"/>
        <w:rPr>
          <w:rFonts w:ascii="Arial" w:hAnsi="Arial" w:cs="Arial"/>
          <w:b/>
        </w:rPr>
      </w:pPr>
      <w:r w:rsidRPr="00CD0D75">
        <w:rPr>
          <w:rFonts w:ascii="Arial" w:hAnsi="Arial" w:cs="Arial"/>
          <w:b/>
        </w:rPr>
        <w:t>K O N C E S I O N I   A K T</w:t>
      </w:r>
    </w:p>
    <w:p w:rsidR="00C26E77" w:rsidRPr="00CD0D75" w:rsidRDefault="00C26E77" w:rsidP="00CD0D75">
      <w:pPr>
        <w:spacing w:after="0"/>
        <w:jc w:val="center"/>
        <w:rPr>
          <w:rFonts w:ascii="Arial" w:hAnsi="Arial" w:cs="Arial"/>
          <w:b/>
        </w:rPr>
      </w:pPr>
      <w:r w:rsidRPr="00CD0D75">
        <w:rPr>
          <w:rFonts w:ascii="Arial" w:hAnsi="Arial" w:cs="Arial"/>
          <w:b/>
        </w:rPr>
        <w:t xml:space="preserve">o mineralnoj sirovini tehničko-građevinskog kamena </w:t>
      </w:r>
      <w:r w:rsidR="000B58CD" w:rsidRPr="00CD0D75">
        <w:rPr>
          <w:rFonts w:ascii="Arial" w:hAnsi="Arial" w:cs="Arial"/>
          <w:b/>
        </w:rPr>
        <w:t>na ležištu “OTILOVIĆI</w:t>
      </w:r>
      <w:r w:rsidRPr="00CD0D75">
        <w:rPr>
          <w:rFonts w:ascii="Arial" w:hAnsi="Arial" w:cs="Arial"/>
          <w:b/>
        </w:rPr>
        <w:t>”, opština Pljevlja</w:t>
      </w:r>
    </w:p>
    <w:p w:rsidR="00C26E77" w:rsidRPr="00CD0D75" w:rsidRDefault="00C26E77" w:rsidP="00CD0D75">
      <w:pPr>
        <w:spacing w:after="0"/>
        <w:rPr>
          <w:rFonts w:ascii="Arial" w:hAnsi="Arial" w:cs="Arial"/>
          <w:b/>
        </w:rPr>
      </w:pPr>
    </w:p>
    <w:p w:rsidR="00C26E77" w:rsidRPr="00CD0D75" w:rsidRDefault="00C26E77" w:rsidP="00CD0D75">
      <w:pPr>
        <w:spacing w:after="0"/>
        <w:rPr>
          <w:rFonts w:ascii="Arial" w:hAnsi="Arial" w:cs="Arial"/>
          <w:b/>
        </w:rPr>
      </w:pPr>
    </w:p>
    <w:p w:rsidR="00C26E77" w:rsidRPr="00CD0D75" w:rsidRDefault="00C26E77" w:rsidP="00CD0D75">
      <w:pPr>
        <w:spacing w:after="0"/>
        <w:rPr>
          <w:rFonts w:ascii="Arial" w:hAnsi="Arial" w:cs="Arial"/>
          <w:b/>
        </w:rPr>
      </w:pPr>
    </w:p>
    <w:p w:rsidR="00C26E77" w:rsidRPr="00CD0D75" w:rsidRDefault="00C26E77" w:rsidP="00CD0D75">
      <w:pPr>
        <w:spacing w:after="0"/>
        <w:rPr>
          <w:rFonts w:ascii="Arial" w:hAnsi="Arial" w:cs="Arial"/>
          <w:b/>
        </w:rPr>
      </w:pPr>
    </w:p>
    <w:p w:rsidR="00C26E77" w:rsidRPr="00CD0D75" w:rsidRDefault="00C26E77" w:rsidP="00CD0D75">
      <w:pPr>
        <w:spacing w:after="0"/>
        <w:rPr>
          <w:rFonts w:ascii="Arial" w:hAnsi="Arial" w:cs="Arial"/>
          <w:b/>
        </w:rPr>
      </w:pPr>
    </w:p>
    <w:p w:rsidR="00C26E77" w:rsidRPr="00CD0D75" w:rsidRDefault="00C26E77" w:rsidP="00CD0D75">
      <w:pPr>
        <w:spacing w:after="0"/>
        <w:rPr>
          <w:rFonts w:ascii="Arial" w:hAnsi="Arial" w:cs="Arial"/>
          <w:b/>
        </w:rPr>
      </w:pPr>
    </w:p>
    <w:p w:rsidR="00C26E77" w:rsidRPr="00CD0D75" w:rsidRDefault="00C26E77" w:rsidP="00CD0D75">
      <w:pPr>
        <w:spacing w:after="0"/>
        <w:rPr>
          <w:rFonts w:ascii="Arial" w:hAnsi="Arial" w:cs="Arial"/>
          <w:b/>
        </w:rPr>
      </w:pPr>
    </w:p>
    <w:p w:rsidR="00C26E77" w:rsidRPr="00CD0D75" w:rsidRDefault="00C26E77" w:rsidP="00CD0D75">
      <w:pPr>
        <w:spacing w:after="0"/>
        <w:rPr>
          <w:rFonts w:ascii="Arial" w:hAnsi="Arial" w:cs="Arial"/>
          <w:b/>
        </w:rPr>
      </w:pPr>
    </w:p>
    <w:p w:rsidR="00C26E77" w:rsidRPr="00CD0D75" w:rsidRDefault="00C26E77" w:rsidP="00CD0D75">
      <w:pPr>
        <w:spacing w:after="0"/>
        <w:rPr>
          <w:rFonts w:ascii="Arial" w:hAnsi="Arial" w:cs="Arial"/>
          <w:b/>
        </w:rPr>
      </w:pPr>
    </w:p>
    <w:p w:rsidR="00C26E77" w:rsidRDefault="00C26E77" w:rsidP="00CD0D75">
      <w:pPr>
        <w:spacing w:after="0"/>
        <w:rPr>
          <w:rFonts w:ascii="Arial" w:hAnsi="Arial" w:cs="Arial"/>
          <w:b/>
        </w:rPr>
      </w:pPr>
    </w:p>
    <w:p w:rsidR="00CD0D75" w:rsidRDefault="00CD0D75" w:rsidP="00CD0D75">
      <w:pPr>
        <w:spacing w:after="0"/>
        <w:rPr>
          <w:rFonts w:ascii="Arial" w:hAnsi="Arial" w:cs="Arial"/>
          <w:b/>
        </w:rPr>
      </w:pPr>
    </w:p>
    <w:p w:rsidR="00CD0D75" w:rsidRDefault="00CD0D75" w:rsidP="00CD0D75">
      <w:pPr>
        <w:spacing w:after="0"/>
        <w:rPr>
          <w:rFonts w:ascii="Arial" w:hAnsi="Arial" w:cs="Arial"/>
          <w:b/>
        </w:rPr>
      </w:pPr>
    </w:p>
    <w:p w:rsidR="00CD0D75" w:rsidRPr="00CD0D75" w:rsidRDefault="00CD0D75" w:rsidP="00CD0D75">
      <w:pPr>
        <w:spacing w:after="0"/>
        <w:rPr>
          <w:rFonts w:ascii="Arial" w:hAnsi="Arial" w:cs="Arial"/>
          <w:b/>
        </w:rPr>
      </w:pPr>
    </w:p>
    <w:p w:rsidR="00C26E77" w:rsidRPr="00CD0D75" w:rsidRDefault="00C26E77" w:rsidP="00CD0D75">
      <w:pPr>
        <w:spacing w:after="0"/>
        <w:rPr>
          <w:rFonts w:ascii="Arial" w:hAnsi="Arial" w:cs="Arial"/>
          <w:b/>
        </w:rPr>
      </w:pPr>
    </w:p>
    <w:p w:rsidR="00C26E77" w:rsidRPr="00CD0D75" w:rsidRDefault="00C26E77" w:rsidP="00CD0D75">
      <w:pPr>
        <w:spacing w:after="0"/>
        <w:rPr>
          <w:rFonts w:ascii="Arial" w:hAnsi="Arial" w:cs="Arial"/>
          <w:b/>
        </w:rPr>
      </w:pPr>
    </w:p>
    <w:p w:rsidR="00C26E77" w:rsidRPr="00CD0D75" w:rsidRDefault="00C26E77" w:rsidP="00CD0D75">
      <w:pPr>
        <w:spacing w:after="0"/>
        <w:rPr>
          <w:rFonts w:ascii="Arial" w:hAnsi="Arial" w:cs="Arial"/>
          <w:b/>
        </w:rPr>
      </w:pPr>
    </w:p>
    <w:p w:rsidR="00C26E77" w:rsidRPr="00CD0D75" w:rsidRDefault="00C26E77" w:rsidP="00CD0D75">
      <w:pPr>
        <w:spacing w:after="0"/>
        <w:rPr>
          <w:rFonts w:ascii="Arial" w:hAnsi="Arial" w:cs="Arial"/>
          <w:b/>
        </w:rPr>
      </w:pPr>
    </w:p>
    <w:p w:rsidR="00C26E77" w:rsidRPr="00336931" w:rsidRDefault="00A037ED" w:rsidP="00CD0D75">
      <w:pPr>
        <w:spacing w:after="0"/>
        <w:jc w:val="center"/>
        <w:rPr>
          <w:rFonts w:ascii="Arial" w:hAnsi="Arial" w:cs="Arial"/>
        </w:rPr>
      </w:pPr>
      <w:r w:rsidRPr="00336931">
        <w:rPr>
          <w:rFonts w:ascii="Arial" w:hAnsi="Arial" w:cs="Arial"/>
        </w:rPr>
        <w:t>Podgorica, novembar</w:t>
      </w:r>
      <w:r w:rsidR="00C26E77" w:rsidRPr="00336931">
        <w:rPr>
          <w:rFonts w:ascii="Arial" w:hAnsi="Arial" w:cs="Arial"/>
        </w:rPr>
        <w:t xml:space="preserve">  2017. godine</w:t>
      </w:r>
    </w:p>
    <w:p w:rsidR="00C26E77" w:rsidRPr="00CD0D75" w:rsidRDefault="00C26E77" w:rsidP="00CD0D75">
      <w:pPr>
        <w:spacing w:after="0"/>
        <w:rPr>
          <w:rFonts w:ascii="Arial" w:hAnsi="Arial" w:cs="Arial"/>
          <w:b/>
        </w:rPr>
      </w:pPr>
    </w:p>
    <w:p w:rsidR="00C26E77" w:rsidRPr="00CD0D75" w:rsidRDefault="00C26E77" w:rsidP="00CD0D75">
      <w:pPr>
        <w:spacing w:after="0"/>
        <w:rPr>
          <w:rFonts w:ascii="Arial" w:hAnsi="Arial" w:cs="Arial"/>
          <w:b/>
        </w:rPr>
      </w:pPr>
    </w:p>
    <w:p w:rsidR="00C26E77" w:rsidRPr="00CD0D75" w:rsidRDefault="00C26E77" w:rsidP="00CD0D75">
      <w:pPr>
        <w:spacing w:after="0"/>
        <w:rPr>
          <w:rFonts w:ascii="Arial" w:hAnsi="Arial" w:cs="Arial"/>
          <w:i/>
        </w:rPr>
      </w:pPr>
      <w:r w:rsidRPr="00CD0D75">
        <w:rPr>
          <w:rFonts w:ascii="Arial" w:hAnsi="Arial" w:cs="Arial"/>
          <w:i/>
        </w:rPr>
        <w:t xml:space="preserve">                                                     </w:t>
      </w:r>
    </w:p>
    <w:p w:rsidR="00CD0D75" w:rsidRDefault="00C26E77" w:rsidP="00CD0D75">
      <w:pPr>
        <w:spacing w:after="0"/>
        <w:rPr>
          <w:rFonts w:ascii="Arial" w:hAnsi="Arial" w:cs="Arial"/>
        </w:rPr>
      </w:pPr>
      <w:r w:rsidRPr="00CD0D75">
        <w:rPr>
          <w:rFonts w:ascii="Arial" w:hAnsi="Arial" w:cs="Arial"/>
        </w:rPr>
        <w:t xml:space="preserve">                                           </w:t>
      </w:r>
    </w:p>
    <w:p w:rsidR="00CD0D75" w:rsidRDefault="00CD0D75" w:rsidP="00CD0D75">
      <w:pPr>
        <w:spacing w:after="0"/>
        <w:rPr>
          <w:rFonts w:ascii="Arial" w:hAnsi="Arial" w:cs="Arial"/>
        </w:rPr>
      </w:pPr>
    </w:p>
    <w:p w:rsidR="00C26E77" w:rsidRPr="00CD0D75" w:rsidRDefault="00C26E77" w:rsidP="00CD0D75">
      <w:pPr>
        <w:spacing w:after="0"/>
        <w:rPr>
          <w:rFonts w:ascii="Arial" w:hAnsi="Arial" w:cs="Arial"/>
        </w:rPr>
      </w:pPr>
      <w:r w:rsidRPr="00CD0D75">
        <w:rPr>
          <w:rFonts w:ascii="Arial" w:hAnsi="Arial" w:cs="Arial"/>
        </w:rPr>
        <w:t xml:space="preserve">                </w:t>
      </w:r>
    </w:p>
    <w:p w:rsidR="00C26E77" w:rsidRPr="00CD0D75" w:rsidRDefault="00C26E77" w:rsidP="00CD0D75">
      <w:pPr>
        <w:pStyle w:val="Heading1"/>
        <w:spacing w:before="0" w:after="0"/>
        <w:rPr>
          <w:b w:val="0"/>
          <w:sz w:val="22"/>
          <w:szCs w:val="22"/>
        </w:rPr>
      </w:pPr>
      <w:r w:rsidRPr="00CD0D75">
        <w:rPr>
          <w:b w:val="0"/>
          <w:sz w:val="22"/>
          <w:szCs w:val="22"/>
        </w:rPr>
        <w:lastRenderedPageBreak/>
        <w:t xml:space="preserve">                                                      </w:t>
      </w:r>
      <w:r w:rsidRPr="00CD0D75">
        <w:rPr>
          <w:rFonts w:eastAsia="Calibri"/>
          <w:bCs w:val="0"/>
          <w:sz w:val="22"/>
          <w:szCs w:val="22"/>
        </w:rPr>
        <w:t xml:space="preserve">                                         </w:t>
      </w:r>
      <w:r w:rsidRPr="00CD0D75">
        <w:rPr>
          <w:b w:val="0"/>
          <w:sz w:val="22"/>
          <w:szCs w:val="22"/>
        </w:rPr>
        <w:t xml:space="preserve">                                                       </w:t>
      </w:r>
    </w:p>
    <w:p w:rsidR="00C26E77" w:rsidRPr="00CD0D75" w:rsidRDefault="00C26E77" w:rsidP="00CD0D75">
      <w:pPr>
        <w:pStyle w:val="Heading1"/>
        <w:spacing w:before="0" w:after="0"/>
        <w:jc w:val="center"/>
        <w:rPr>
          <w:b w:val="0"/>
          <w:sz w:val="22"/>
          <w:szCs w:val="22"/>
        </w:rPr>
      </w:pPr>
      <w:r w:rsidRPr="00CD0D75">
        <w:rPr>
          <w:b w:val="0"/>
          <w:noProof/>
          <w:sz w:val="22"/>
          <w:szCs w:val="22"/>
        </w:rPr>
        <w:drawing>
          <wp:inline distT="0" distB="0" distL="0" distR="0">
            <wp:extent cx="2400300" cy="17811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00300" cy="1781175"/>
                    </a:xfrm>
                    <a:prstGeom prst="rect">
                      <a:avLst/>
                    </a:prstGeom>
                    <a:noFill/>
                    <a:ln w="9525">
                      <a:noFill/>
                      <a:miter lim="800000"/>
                      <a:headEnd/>
                      <a:tailEnd/>
                    </a:ln>
                  </pic:spPr>
                </pic:pic>
              </a:graphicData>
            </a:graphic>
          </wp:inline>
        </w:drawing>
      </w:r>
    </w:p>
    <w:p w:rsidR="00C26E77" w:rsidRPr="00CD0D75" w:rsidRDefault="00C26E77" w:rsidP="00CD0D75">
      <w:pPr>
        <w:spacing w:after="0"/>
        <w:rPr>
          <w:rFonts w:ascii="Arial" w:hAnsi="Arial" w:cs="Arial"/>
          <w:b/>
        </w:rPr>
      </w:pPr>
    </w:p>
    <w:p w:rsidR="00C26E77" w:rsidRPr="00772217" w:rsidRDefault="00881468" w:rsidP="00CD0D75">
      <w:pPr>
        <w:spacing w:after="0"/>
        <w:rPr>
          <w:rFonts w:ascii="Arial" w:hAnsi="Arial" w:cs="Arial"/>
        </w:rPr>
      </w:pPr>
      <w:r>
        <w:rPr>
          <w:rFonts w:ascii="Arial" w:hAnsi="Arial" w:cs="Arial"/>
        </w:rPr>
        <w:t>Podgorica,  28.12.</w:t>
      </w:r>
      <w:r w:rsidR="00C26E77" w:rsidRPr="00772217">
        <w:rPr>
          <w:rFonts w:ascii="Arial" w:hAnsi="Arial" w:cs="Arial"/>
        </w:rPr>
        <w:t xml:space="preserve">2017. </w:t>
      </w:r>
      <w:r w:rsidR="00772217" w:rsidRPr="00772217">
        <w:rPr>
          <w:rFonts w:ascii="Arial" w:hAnsi="Arial" w:cs="Arial"/>
        </w:rPr>
        <w:t>g</w:t>
      </w:r>
      <w:r w:rsidR="00C26E77" w:rsidRPr="00772217">
        <w:rPr>
          <w:rFonts w:ascii="Arial" w:hAnsi="Arial" w:cs="Arial"/>
        </w:rPr>
        <w:t>odine</w:t>
      </w:r>
    </w:p>
    <w:p w:rsidR="00772217" w:rsidRPr="00772217" w:rsidRDefault="00772217" w:rsidP="00CD0D75">
      <w:pPr>
        <w:spacing w:after="0"/>
        <w:rPr>
          <w:rFonts w:ascii="Arial" w:hAnsi="Arial" w:cs="Arial"/>
        </w:rPr>
      </w:pPr>
      <w:r w:rsidRPr="00772217">
        <w:rPr>
          <w:rFonts w:ascii="Arial" w:hAnsi="Arial" w:cs="Arial"/>
        </w:rPr>
        <w:t>B</w:t>
      </w:r>
      <w:r w:rsidR="00B5031A">
        <w:rPr>
          <w:rFonts w:ascii="Arial" w:hAnsi="Arial" w:cs="Arial"/>
        </w:rPr>
        <w:t>roj: 970-365/2017-9</w:t>
      </w:r>
    </w:p>
    <w:p w:rsidR="00C26E77" w:rsidRPr="00CD0D75" w:rsidRDefault="00C26E77" w:rsidP="00CD0D75">
      <w:pPr>
        <w:spacing w:after="0"/>
        <w:rPr>
          <w:rFonts w:ascii="Arial" w:hAnsi="Arial" w:cs="Arial"/>
          <w:b/>
        </w:rPr>
      </w:pPr>
    </w:p>
    <w:p w:rsidR="00C26E77" w:rsidRPr="00CD0D75" w:rsidRDefault="00C26E77" w:rsidP="00CD0D75">
      <w:pPr>
        <w:spacing w:after="0"/>
        <w:rPr>
          <w:rFonts w:ascii="Arial" w:hAnsi="Arial" w:cs="Arial"/>
          <w:b/>
        </w:rPr>
      </w:pPr>
    </w:p>
    <w:p w:rsidR="00C26E77" w:rsidRPr="00CD0D75" w:rsidRDefault="00C26E77" w:rsidP="00CD0D75">
      <w:pPr>
        <w:spacing w:after="0"/>
        <w:rPr>
          <w:rFonts w:ascii="Arial" w:hAnsi="Arial" w:cs="Arial"/>
          <w:b/>
        </w:rPr>
      </w:pPr>
    </w:p>
    <w:p w:rsidR="00C26E77" w:rsidRPr="00CD0D75" w:rsidRDefault="00C26E77" w:rsidP="00CD0D75">
      <w:pPr>
        <w:spacing w:after="0"/>
        <w:rPr>
          <w:rFonts w:ascii="Arial" w:hAnsi="Arial" w:cs="Arial"/>
          <w:b/>
        </w:rPr>
      </w:pPr>
    </w:p>
    <w:p w:rsidR="00C26E77" w:rsidRPr="00CD0D75" w:rsidRDefault="00C26E77" w:rsidP="00CD0D75">
      <w:pPr>
        <w:spacing w:after="0"/>
        <w:rPr>
          <w:rFonts w:ascii="Arial" w:hAnsi="Arial" w:cs="Arial"/>
          <w:b/>
        </w:rPr>
      </w:pPr>
    </w:p>
    <w:p w:rsidR="00C26E77" w:rsidRPr="00CD0D75" w:rsidRDefault="00C26E77" w:rsidP="00772217">
      <w:pPr>
        <w:spacing w:after="0"/>
        <w:jc w:val="center"/>
        <w:rPr>
          <w:rFonts w:ascii="Arial" w:hAnsi="Arial" w:cs="Arial"/>
          <w:b/>
        </w:rPr>
      </w:pPr>
      <w:r w:rsidRPr="00CD0D75">
        <w:rPr>
          <w:rFonts w:ascii="Arial" w:hAnsi="Arial" w:cs="Arial"/>
          <w:b/>
        </w:rPr>
        <w:t>K O N C E S I O N I   A K T</w:t>
      </w:r>
    </w:p>
    <w:p w:rsidR="00C26E77" w:rsidRPr="00CD0D75" w:rsidRDefault="00C26E77" w:rsidP="00772217">
      <w:pPr>
        <w:spacing w:after="0"/>
        <w:jc w:val="center"/>
        <w:rPr>
          <w:rFonts w:ascii="Arial" w:hAnsi="Arial" w:cs="Arial"/>
          <w:b/>
        </w:rPr>
      </w:pPr>
      <w:r w:rsidRPr="00CD0D75">
        <w:rPr>
          <w:rFonts w:ascii="Arial" w:hAnsi="Arial" w:cs="Arial"/>
          <w:b/>
        </w:rPr>
        <w:t xml:space="preserve">o mineralnoj sirovini tehničko-građevinskog kamena </w:t>
      </w:r>
      <w:r w:rsidR="000E3A14" w:rsidRPr="00CD0D75">
        <w:rPr>
          <w:rFonts w:ascii="Arial" w:hAnsi="Arial" w:cs="Arial"/>
          <w:b/>
        </w:rPr>
        <w:t>na ležištu “OTILOVIĆI</w:t>
      </w:r>
      <w:r w:rsidRPr="00CD0D75">
        <w:rPr>
          <w:rFonts w:ascii="Arial" w:hAnsi="Arial" w:cs="Arial"/>
          <w:b/>
        </w:rPr>
        <w:t>”, opština Pljevlja</w:t>
      </w:r>
    </w:p>
    <w:p w:rsidR="00C26E77" w:rsidRPr="00CD0D75" w:rsidRDefault="00C26E77" w:rsidP="00CD0D75">
      <w:pPr>
        <w:spacing w:after="0"/>
        <w:rPr>
          <w:rFonts w:ascii="Arial" w:hAnsi="Arial" w:cs="Arial"/>
          <w:b/>
        </w:rPr>
      </w:pPr>
    </w:p>
    <w:p w:rsidR="00C26E77" w:rsidRPr="00CD0D75" w:rsidRDefault="00C26E77" w:rsidP="00CD0D75">
      <w:pPr>
        <w:spacing w:after="0"/>
        <w:rPr>
          <w:rFonts w:ascii="Arial" w:hAnsi="Arial" w:cs="Arial"/>
          <w:b/>
        </w:rPr>
      </w:pPr>
    </w:p>
    <w:p w:rsidR="00C26E77" w:rsidRPr="00CD0D75" w:rsidRDefault="00C26E77" w:rsidP="00CD0D75">
      <w:pPr>
        <w:spacing w:after="0"/>
        <w:rPr>
          <w:rFonts w:ascii="Arial" w:hAnsi="Arial" w:cs="Arial"/>
          <w:b/>
        </w:rPr>
      </w:pPr>
    </w:p>
    <w:p w:rsidR="00C26E77" w:rsidRPr="00CD0D75" w:rsidRDefault="00C26E77" w:rsidP="00CD0D75">
      <w:pPr>
        <w:spacing w:after="0"/>
        <w:rPr>
          <w:rFonts w:ascii="Arial" w:hAnsi="Arial" w:cs="Arial"/>
          <w:b/>
        </w:rPr>
      </w:pPr>
    </w:p>
    <w:p w:rsidR="00C26E77" w:rsidRPr="00CD0D75" w:rsidRDefault="00C26E77" w:rsidP="00CD0D75">
      <w:pPr>
        <w:spacing w:after="0"/>
        <w:rPr>
          <w:rFonts w:ascii="Arial" w:hAnsi="Arial" w:cs="Arial"/>
          <w:b/>
        </w:rPr>
      </w:pPr>
      <w:r w:rsidRPr="00CD0D75">
        <w:rPr>
          <w:rFonts w:ascii="Arial" w:hAnsi="Arial" w:cs="Arial"/>
          <w:b/>
        </w:rPr>
        <w:t xml:space="preserve">                                                                                                                   </w:t>
      </w:r>
      <w:r w:rsidR="00772217">
        <w:rPr>
          <w:rFonts w:ascii="Arial" w:hAnsi="Arial" w:cs="Arial"/>
          <w:b/>
        </w:rPr>
        <w:t xml:space="preserve">            </w:t>
      </w:r>
      <w:r w:rsidRPr="00CD0D75">
        <w:rPr>
          <w:rFonts w:ascii="Arial" w:hAnsi="Arial" w:cs="Arial"/>
          <w:b/>
        </w:rPr>
        <w:t xml:space="preserve"> M I N I S T A R K A </w:t>
      </w:r>
    </w:p>
    <w:p w:rsidR="00C26E77" w:rsidRPr="00CD0D75" w:rsidRDefault="00C26E77" w:rsidP="00CD0D75">
      <w:pPr>
        <w:spacing w:after="0"/>
        <w:rPr>
          <w:rFonts w:ascii="Arial" w:hAnsi="Arial" w:cs="Arial"/>
          <w:b/>
        </w:rPr>
      </w:pPr>
      <w:r w:rsidRPr="00CD0D75">
        <w:rPr>
          <w:rFonts w:ascii="Arial" w:hAnsi="Arial" w:cs="Arial"/>
          <w:b/>
        </w:rPr>
        <w:t xml:space="preserve">                                           </w:t>
      </w:r>
    </w:p>
    <w:p w:rsidR="00C26E77" w:rsidRPr="00336931" w:rsidRDefault="00C26E77" w:rsidP="00CD0D75">
      <w:pPr>
        <w:spacing w:after="0"/>
        <w:rPr>
          <w:rFonts w:ascii="Arial" w:hAnsi="Arial" w:cs="Arial"/>
        </w:rPr>
      </w:pPr>
      <w:r w:rsidRPr="00336931">
        <w:rPr>
          <w:rFonts w:ascii="Arial" w:hAnsi="Arial" w:cs="Arial"/>
        </w:rPr>
        <w:t xml:space="preserve">                                                                                                                       </w:t>
      </w:r>
      <w:r w:rsidR="00772217" w:rsidRPr="00336931">
        <w:rPr>
          <w:rFonts w:ascii="Arial" w:hAnsi="Arial" w:cs="Arial"/>
        </w:rPr>
        <w:t xml:space="preserve">           </w:t>
      </w:r>
      <w:r w:rsidR="00336931">
        <w:rPr>
          <w:rFonts w:ascii="Arial" w:hAnsi="Arial" w:cs="Arial"/>
        </w:rPr>
        <w:t xml:space="preserve">  </w:t>
      </w:r>
      <w:r w:rsidRPr="00336931">
        <w:rPr>
          <w:rFonts w:ascii="Arial" w:hAnsi="Arial" w:cs="Arial"/>
        </w:rPr>
        <w:t xml:space="preserve">Dragica Sekulić    </w:t>
      </w:r>
    </w:p>
    <w:p w:rsidR="00C26E77" w:rsidRPr="00CD0D75" w:rsidRDefault="00C26E77" w:rsidP="00CD0D75">
      <w:pPr>
        <w:spacing w:after="0"/>
        <w:rPr>
          <w:rFonts w:ascii="Arial" w:hAnsi="Arial" w:cs="Arial"/>
          <w:b/>
        </w:rPr>
      </w:pPr>
      <w:r w:rsidRPr="00CD0D75">
        <w:rPr>
          <w:rFonts w:ascii="Arial" w:hAnsi="Arial" w:cs="Arial"/>
          <w:b/>
        </w:rPr>
        <w:t xml:space="preserve">       </w:t>
      </w:r>
    </w:p>
    <w:p w:rsidR="00C26E77" w:rsidRPr="00CD0D75" w:rsidRDefault="00C26E77" w:rsidP="00CD0D75">
      <w:pPr>
        <w:spacing w:after="0"/>
        <w:rPr>
          <w:rFonts w:ascii="Arial" w:hAnsi="Arial" w:cs="Arial"/>
          <w:b/>
        </w:rPr>
      </w:pPr>
    </w:p>
    <w:p w:rsidR="00C26E77" w:rsidRPr="00CD0D75" w:rsidRDefault="00C26E77" w:rsidP="00CD0D75">
      <w:pPr>
        <w:spacing w:after="0"/>
        <w:rPr>
          <w:rFonts w:ascii="Arial" w:hAnsi="Arial" w:cs="Arial"/>
          <w:b/>
        </w:rPr>
      </w:pPr>
    </w:p>
    <w:p w:rsidR="00C26E77" w:rsidRPr="00CD0D75" w:rsidRDefault="00C26E77" w:rsidP="00CD0D75">
      <w:pPr>
        <w:spacing w:after="0"/>
        <w:rPr>
          <w:rFonts w:ascii="Arial" w:hAnsi="Arial" w:cs="Arial"/>
          <w:b/>
        </w:rPr>
      </w:pPr>
      <w:r w:rsidRPr="00CD0D75">
        <w:rPr>
          <w:rFonts w:ascii="Arial" w:hAnsi="Arial" w:cs="Arial"/>
          <w:b/>
        </w:rPr>
        <w:t xml:space="preserve">                             </w:t>
      </w:r>
    </w:p>
    <w:p w:rsidR="00C26E77" w:rsidRPr="00B5031A" w:rsidRDefault="00C26E77" w:rsidP="00CD0D75">
      <w:pPr>
        <w:spacing w:after="0"/>
        <w:rPr>
          <w:rFonts w:ascii="Arial" w:hAnsi="Arial" w:cs="Arial"/>
          <w:b/>
        </w:rPr>
      </w:pPr>
      <w:r w:rsidRPr="00B5031A">
        <w:rPr>
          <w:rFonts w:ascii="Arial" w:hAnsi="Arial" w:cs="Arial"/>
          <w:b/>
        </w:rPr>
        <w:t>Autori Koncesionog akta:</w:t>
      </w:r>
    </w:p>
    <w:p w:rsidR="00C26E77" w:rsidRPr="00CD0D75" w:rsidRDefault="00C26E77" w:rsidP="00CD0D75">
      <w:pPr>
        <w:spacing w:after="0"/>
        <w:rPr>
          <w:rFonts w:ascii="Arial" w:hAnsi="Arial" w:cs="Arial"/>
          <w:b/>
        </w:rPr>
      </w:pPr>
    </w:p>
    <w:p w:rsidR="00C26E77" w:rsidRDefault="00B5031A" w:rsidP="00CD0D75">
      <w:pPr>
        <w:spacing w:after="0"/>
        <w:rPr>
          <w:rFonts w:ascii="Arial" w:hAnsi="Arial" w:cs="Arial"/>
        </w:rPr>
      </w:pPr>
      <w:r w:rsidRPr="00B5031A">
        <w:rPr>
          <w:rFonts w:ascii="Arial" w:hAnsi="Arial" w:cs="Arial"/>
        </w:rPr>
        <w:t>Vesna Vuja</w:t>
      </w:r>
      <w:r>
        <w:rPr>
          <w:rFonts w:ascii="Arial" w:hAnsi="Arial" w:cs="Arial"/>
        </w:rPr>
        <w:t>čić, dipl.inž.geologije, predsjednica,</w:t>
      </w:r>
    </w:p>
    <w:p w:rsidR="00B5031A" w:rsidRDefault="00B5031A" w:rsidP="00CD0D75">
      <w:pPr>
        <w:spacing w:after="0"/>
        <w:rPr>
          <w:rFonts w:ascii="Arial" w:hAnsi="Arial" w:cs="Arial"/>
        </w:rPr>
      </w:pPr>
      <w:r>
        <w:rPr>
          <w:rFonts w:ascii="Arial" w:hAnsi="Arial" w:cs="Arial"/>
        </w:rPr>
        <w:t>Nebojša Koprivica, dipl.inž.geologije, član,</w:t>
      </w:r>
    </w:p>
    <w:p w:rsidR="00B5031A" w:rsidRDefault="00B5031A" w:rsidP="00CD0D75">
      <w:pPr>
        <w:spacing w:after="0"/>
        <w:rPr>
          <w:rFonts w:ascii="Arial" w:hAnsi="Arial" w:cs="Arial"/>
        </w:rPr>
      </w:pPr>
      <w:r>
        <w:rPr>
          <w:rFonts w:ascii="Arial" w:hAnsi="Arial" w:cs="Arial"/>
        </w:rPr>
        <w:t>Ljiljana Maksimović, dipl.inž.rudarstva, član</w:t>
      </w:r>
    </w:p>
    <w:p w:rsidR="00B5031A" w:rsidRDefault="00B5031A" w:rsidP="00CD0D75">
      <w:pPr>
        <w:spacing w:after="0"/>
        <w:rPr>
          <w:rFonts w:ascii="Arial" w:hAnsi="Arial" w:cs="Arial"/>
        </w:rPr>
      </w:pPr>
      <w:r>
        <w:rPr>
          <w:rFonts w:ascii="Arial" w:hAnsi="Arial" w:cs="Arial"/>
        </w:rPr>
        <w:t xml:space="preserve">Vesna Velašević, dipl.ekonomista, član i </w:t>
      </w:r>
    </w:p>
    <w:p w:rsidR="00B5031A" w:rsidRPr="00B5031A" w:rsidRDefault="00B5031A" w:rsidP="00CD0D75">
      <w:pPr>
        <w:spacing w:after="0"/>
        <w:rPr>
          <w:rFonts w:ascii="Arial" w:hAnsi="Arial" w:cs="Arial"/>
        </w:rPr>
      </w:pPr>
      <w:r>
        <w:rPr>
          <w:rFonts w:ascii="Arial" w:hAnsi="Arial" w:cs="Arial"/>
        </w:rPr>
        <w:t>Emilija Otašević, dipl.pravnik</w:t>
      </w:r>
    </w:p>
    <w:p w:rsidR="00C26E77" w:rsidRPr="00CD0D75" w:rsidRDefault="00C26E77" w:rsidP="00CD0D75">
      <w:pPr>
        <w:spacing w:after="0"/>
        <w:rPr>
          <w:rFonts w:ascii="Arial" w:hAnsi="Arial" w:cs="Arial"/>
          <w:b/>
        </w:rPr>
      </w:pPr>
    </w:p>
    <w:p w:rsidR="00C26E77" w:rsidRPr="00CD0D75" w:rsidRDefault="00C26E77" w:rsidP="00CD0D75">
      <w:pPr>
        <w:spacing w:after="0"/>
        <w:rPr>
          <w:rFonts w:ascii="Arial" w:hAnsi="Arial" w:cs="Arial"/>
          <w:b/>
        </w:rPr>
      </w:pPr>
    </w:p>
    <w:p w:rsidR="00C26E77" w:rsidRPr="00CD0D75" w:rsidRDefault="00C26E77" w:rsidP="00CD0D75">
      <w:pPr>
        <w:spacing w:after="0"/>
        <w:rPr>
          <w:rFonts w:ascii="Arial" w:hAnsi="Arial" w:cs="Arial"/>
          <w:b/>
        </w:rPr>
      </w:pPr>
    </w:p>
    <w:p w:rsidR="00C26E77" w:rsidRPr="00CD0D75" w:rsidRDefault="00C26E77" w:rsidP="00CD0D75">
      <w:pPr>
        <w:spacing w:after="0"/>
        <w:rPr>
          <w:rFonts w:ascii="Arial" w:hAnsi="Arial" w:cs="Arial"/>
          <w:b/>
        </w:rPr>
      </w:pPr>
    </w:p>
    <w:p w:rsidR="00C26E77" w:rsidRPr="00CD0D75" w:rsidRDefault="00C26E77" w:rsidP="00CD0D75">
      <w:pPr>
        <w:spacing w:after="0"/>
        <w:rPr>
          <w:rFonts w:ascii="Arial" w:hAnsi="Arial" w:cs="Arial"/>
          <w:b/>
        </w:rPr>
      </w:pPr>
    </w:p>
    <w:p w:rsidR="00C26E77" w:rsidRPr="00CD0D75" w:rsidRDefault="00C26E77" w:rsidP="00CD0D75">
      <w:pPr>
        <w:spacing w:after="0"/>
        <w:rPr>
          <w:rFonts w:ascii="Arial" w:hAnsi="Arial" w:cs="Arial"/>
          <w:b/>
        </w:rPr>
      </w:pPr>
    </w:p>
    <w:p w:rsidR="00C26E77" w:rsidRPr="00CD0D75" w:rsidRDefault="00B5031A" w:rsidP="00CD0D75">
      <w:pPr>
        <w:spacing w:after="0"/>
        <w:rPr>
          <w:rFonts w:ascii="Arial" w:hAnsi="Arial" w:cs="Arial"/>
          <w:b/>
        </w:rPr>
      </w:pPr>
      <w:r>
        <w:rPr>
          <w:rFonts w:ascii="Arial" w:hAnsi="Arial" w:cs="Arial"/>
          <w:b/>
        </w:rPr>
        <w:t xml:space="preserve">     </w:t>
      </w:r>
      <w:r w:rsidR="00C26E77" w:rsidRPr="00CD0D75">
        <w:rPr>
          <w:rFonts w:ascii="Arial" w:hAnsi="Arial" w:cs="Arial"/>
          <w:b/>
        </w:rPr>
        <w:t xml:space="preserve">                   </w:t>
      </w:r>
    </w:p>
    <w:p w:rsidR="008A63CC" w:rsidRPr="00CD0D75" w:rsidRDefault="008A63CC" w:rsidP="008A63CC">
      <w:pPr>
        <w:spacing w:after="0"/>
        <w:rPr>
          <w:rFonts w:ascii="Arial" w:hAnsi="Arial" w:cs="Arial"/>
          <w:b/>
        </w:rPr>
      </w:pPr>
      <w:r w:rsidRPr="00CD0D75">
        <w:rPr>
          <w:rFonts w:ascii="Arial" w:hAnsi="Arial" w:cs="Arial"/>
          <w:b/>
        </w:rPr>
        <w:lastRenderedPageBreak/>
        <w:t xml:space="preserve">                                                   OPŠTI PODACI O KONCESIONOM AKTU</w:t>
      </w:r>
    </w:p>
    <w:p w:rsidR="008A63CC" w:rsidRPr="00CD0D75" w:rsidRDefault="008A63CC" w:rsidP="008A63CC">
      <w:pPr>
        <w:spacing w:after="0"/>
        <w:rPr>
          <w:rFonts w:ascii="Arial" w:hAnsi="Arial" w:cs="Arial"/>
          <w:b/>
        </w:rPr>
      </w:pPr>
    </w:p>
    <w:p w:rsidR="008A63CC" w:rsidRPr="00CD0D75" w:rsidRDefault="008A63CC" w:rsidP="008A63CC">
      <w:pPr>
        <w:spacing w:after="0"/>
        <w:rPr>
          <w:rFonts w:ascii="Arial" w:hAnsi="Arial" w:cs="Arial"/>
          <w:b/>
        </w:rPr>
      </w:pPr>
    </w:p>
    <w:p w:rsidR="008A63CC" w:rsidRDefault="008A63CC" w:rsidP="008A63CC">
      <w:pPr>
        <w:spacing w:after="0"/>
        <w:jc w:val="both"/>
        <w:rPr>
          <w:rFonts w:ascii="Arial" w:hAnsi="Arial" w:cs="Arial"/>
          <w:b/>
        </w:rPr>
      </w:pPr>
      <w:r w:rsidRPr="00CD0D75">
        <w:rPr>
          <w:rFonts w:ascii="Arial" w:hAnsi="Arial" w:cs="Arial"/>
          <w:b/>
        </w:rPr>
        <w:t>Naziv Koncesionog akta:</w:t>
      </w:r>
    </w:p>
    <w:p w:rsidR="008A63CC" w:rsidRPr="00CD0D75" w:rsidRDefault="008A63CC" w:rsidP="008A63CC">
      <w:pPr>
        <w:spacing w:after="0"/>
        <w:jc w:val="both"/>
        <w:rPr>
          <w:rFonts w:ascii="Arial" w:hAnsi="Arial" w:cs="Arial"/>
          <w:b/>
        </w:rPr>
      </w:pPr>
    </w:p>
    <w:p w:rsidR="008A63CC" w:rsidRPr="00CD0D75" w:rsidRDefault="008A63CC" w:rsidP="008A63CC">
      <w:pPr>
        <w:spacing w:after="0"/>
        <w:jc w:val="both"/>
        <w:rPr>
          <w:rFonts w:ascii="Arial" w:hAnsi="Arial" w:cs="Arial"/>
        </w:rPr>
      </w:pPr>
      <w:r w:rsidRPr="00CD0D75">
        <w:rPr>
          <w:rFonts w:ascii="Arial" w:hAnsi="Arial" w:cs="Arial"/>
        </w:rPr>
        <w:t>Koncesioni akt o  mineralnoj sirovini tehničko-građevinskog kamena na ležištu “Otilovići”, opština Pljevlja</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b/>
        </w:rPr>
      </w:pPr>
      <w:r w:rsidRPr="00CD0D75">
        <w:rPr>
          <w:rFonts w:ascii="Arial" w:hAnsi="Arial" w:cs="Arial"/>
          <w:b/>
        </w:rPr>
        <w:t>Naručilac izrade Koncesionog akta:</w:t>
      </w:r>
    </w:p>
    <w:p w:rsidR="008A63CC" w:rsidRPr="00CD0D75" w:rsidRDefault="008A63CC" w:rsidP="008A63CC">
      <w:pPr>
        <w:spacing w:after="0"/>
        <w:jc w:val="both"/>
        <w:rPr>
          <w:rFonts w:ascii="Arial" w:hAnsi="Arial" w:cs="Arial"/>
          <w:b/>
        </w:rPr>
      </w:pPr>
    </w:p>
    <w:p w:rsidR="008A63CC" w:rsidRPr="00CD0D75" w:rsidRDefault="008A63CC" w:rsidP="008A63CC">
      <w:pPr>
        <w:spacing w:after="0"/>
        <w:jc w:val="both"/>
        <w:rPr>
          <w:rFonts w:ascii="Arial" w:hAnsi="Arial" w:cs="Arial"/>
        </w:rPr>
      </w:pPr>
      <w:r w:rsidRPr="00CD0D75">
        <w:rPr>
          <w:rFonts w:ascii="Arial" w:hAnsi="Arial" w:cs="Arial"/>
        </w:rPr>
        <w:t>Izrada Koncesionog akta izvršena je na osnovu zaključaka Vlade Crne Gore, sa sjednice održane 19. oktobra 2017. godine, kojim se Ministarstvo ekonomije zadužuje da pokrene postupak dodjele koncesije za eksploataciju tehničko-građevinskog kamena na ležištu “Otilovići”, opština Pljevlja.</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b/>
        </w:rPr>
      </w:pPr>
      <w:r w:rsidRPr="00CD0D75">
        <w:rPr>
          <w:rFonts w:ascii="Arial" w:hAnsi="Arial" w:cs="Arial"/>
          <w:b/>
        </w:rPr>
        <w:t>Izrada Koncesionog akta:</w:t>
      </w:r>
    </w:p>
    <w:p w:rsidR="008A63CC" w:rsidRPr="00CD0D75" w:rsidRDefault="008A63CC" w:rsidP="008A63CC">
      <w:pPr>
        <w:spacing w:after="0"/>
        <w:jc w:val="both"/>
        <w:rPr>
          <w:rFonts w:ascii="Arial" w:hAnsi="Arial" w:cs="Arial"/>
          <w:b/>
        </w:rPr>
      </w:pPr>
    </w:p>
    <w:p w:rsidR="008A63CC" w:rsidRPr="00CD0D75" w:rsidRDefault="008A63CC" w:rsidP="008A63CC">
      <w:pPr>
        <w:spacing w:after="0"/>
        <w:jc w:val="both"/>
        <w:rPr>
          <w:rFonts w:ascii="Arial" w:hAnsi="Arial" w:cs="Arial"/>
        </w:rPr>
      </w:pPr>
      <w:r w:rsidRPr="00CD0D75">
        <w:rPr>
          <w:rFonts w:ascii="Arial" w:hAnsi="Arial" w:cs="Arial"/>
        </w:rPr>
        <w:t xml:space="preserve">Koncesioni akt je uradilo Ministarstvo ekonomije preko Radne grupe za izradu Koncesionog akta za dodjelu koncesije za  eksploataciju mineralne sirovine tehničko-građevinskog kamena na ležištu „Otilovići“, opština Pljevlja, koju je </w:t>
      </w:r>
      <w:r>
        <w:rPr>
          <w:rFonts w:ascii="Arial" w:hAnsi="Arial" w:cs="Arial"/>
        </w:rPr>
        <w:t>formiralo Rješenjem, broj: 970-365/2017-8 od 27.11.</w:t>
      </w:r>
      <w:r w:rsidRPr="00CD0D75">
        <w:rPr>
          <w:rFonts w:ascii="Arial" w:hAnsi="Arial" w:cs="Arial"/>
        </w:rPr>
        <w:t>2017. godine.</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b/>
        </w:rPr>
      </w:pPr>
      <w:r w:rsidRPr="00CD0D75">
        <w:rPr>
          <w:rFonts w:ascii="Arial" w:hAnsi="Arial" w:cs="Arial"/>
          <w:b/>
        </w:rPr>
        <w:t>Autori Koncesionog akta:</w:t>
      </w:r>
    </w:p>
    <w:p w:rsidR="008A63CC" w:rsidRPr="00CD0D75" w:rsidRDefault="008A63CC" w:rsidP="008A63CC">
      <w:pPr>
        <w:spacing w:after="0"/>
        <w:jc w:val="both"/>
        <w:rPr>
          <w:rFonts w:ascii="Arial" w:hAnsi="Arial" w:cs="Arial"/>
        </w:rPr>
      </w:pPr>
    </w:p>
    <w:p w:rsidR="008A63CC" w:rsidRDefault="008A63CC" w:rsidP="008A63CC">
      <w:pPr>
        <w:spacing w:after="0"/>
        <w:jc w:val="both"/>
        <w:rPr>
          <w:rFonts w:ascii="Arial" w:hAnsi="Arial" w:cs="Arial"/>
        </w:rPr>
      </w:pPr>
      <w:r w:rsidRPr="00B5031A">
        <w:rPr>
          <w:rFonts w:ascii="Arial" w:hAnsi="Arial" w:cs="Arial"/>
        </w:rPr>
        <w:t>Vesna Vuja</w:t>
      </w:r>
      <w:r>
        <w:rPr>
          <w:rFonts w:ascii="Arial" w:hAnsi="Arial" w:cs="Arial"/>
        </w:rPr>
        <w:t>čić, dipl.inž.geologije, predsjednica,</w:t>
      </w:r>
    </w:p>
    <w:p w:rsidR="008A63CC" w:rsidRDefault="008A63CC" w:rsidP="008A63CC">
      <w:pPr>
        <w:spacing w:after="0"/>
        <w:jc w:val="both"/>
        <w:rPr>
          <w:rFonts w:ascii="Arial" w:hAnsi="Arial" w:cs="Arial"/>
        </w:rPr>
      </w:pPr>
      <w:r>
        <w:rPr>
          <w:rFonts w:ascii="Arial" w:hAnsi="Arial" w:cs="Arial"/>
        </w:rPr>
        <w:t>Nebojša Koprivica, dipl.inž.geologije, član,</w:t>
      </w:r>
    </w:p>
    <w:p w:rsidR="008A63CC" w:rsidRDefault="008A63CC" w:rsidP="008A63CC">
      <w:pPr>
        <w:spacing w:after="0"/>
        <w:jc w:val="both"/>
        <w:rPr>
          <w:rFonts w:ascii="Arial" w:hAnsi="Arial" w:cs="Arial"/>
        </w:rPr>
      </w:pPr>
      <w:r>
        <w:rPr>
          <w:rFonts w:ascii="Arial" w:hAnsi="Arial" w:cs="Arial"/>
        </w:rPr>
        <w:t>Ljiljana Maksimović, dipl.inž.rudarstva, član</w:t>
      </w:r>
    </w:p>
    <w:p w:rsidR="008A63CC" w:rsidRDefault="008A63CC" w:rsidP="008A63CC">
      <w:pPr>
        <w:spacing w:after="0"/>
        <w:jc w:val="both"/>
        <w:rPr>
          <w:rFonts w:ascii="Arial" w:hAnsi="Arial" w:cs="Arial"/>
        </w:rPr>
      </w:pPr>
      <w:r>
        <w:rPr>
          <w:rFonts w:ascii="Arial" w:hAnsi="Arial" w:cs="Arial"/>
        </w:rPr>
        <w:t xml:space="preserve">Vesna Velašević, dipl.ekonomista, član i </w:t>
      </w:r>
    </w:p>
    <w:p w:rsidR="008A63CC" w:rsidRPr="00B5031A" w:rsidRDefault="008A63CC" w:rsidP="008A63CC">
      <w:pPr>
        <w:spacing w:after="0"/>
        <w:jc w:val="both"/>
        <w:rPr>
          <w:rFonts w:ascii="Arial" w:hAnsi="Arial" w:cs="Arial"/>
        </w:rPr>
      </w:pPr>
      <w:r>
        <w:rPr>
          <w:rFonts w:ascii="Arial" w:hAnsi="Arial" w:cs="Arial"/>
        </w:rPr>
        <w:t>Emilija Otašević, dipl.pravnik</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b/>
        </w:rPr>
      </w:pPr>
      <w:r w:rsidRPr="00CD0D75">
        <w:rPr>
          <w:rFonts w:ascii="Arial" w:hAnsi="Arial" w:cs="Arial"/>
          <w:b/>
        </w:rPr>
        <w:t>Koncesioni akt je urađen u skladu sa čl. 9, 17 i 19 Zakona o koncesijama („Sl. list CG“, br. 08/09).</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b/>
        </w:rPr>
      </w:pPr>
      <w:r w:rsidRPr="00CD0D75">
        <w:rPr>
          <w:rFonts w:ascii="Arial" w:hAnsi="Arial" w:cs="Arial"/>
          <w:b/>
        </w:rPr>
        <w:t>Izvori podataka za izradu Koncesionog akta:</w:t>
      </w:r>
    </w:p>
    <w:p w:rsidR="008A63CC" w:rsidRPr="00CD0D75" w:rsidRDefault="008A63CC" w:rsidP="008A63CC">
      <w:pPr>
        <w:spacing w:after="0"/>
        <w:jc w:val="both"/>
        <w:rPr>
          <w:rFonts w:ascii="Arial" w:hAnsi="Arial" w:cs="Arial"/>
          <w:b/>
        </w:rPr>
      </w:pPr>
    </w:p>
    <w:p w:rsidR="008A63CC" w:rsidRPr="00CD0D75" w:rsidRDefault="008A63CC" w:rsidP="008A63CC">
      <w:pPr>
        <w:spacing w:after="0"/>
        <w:jc w:val="both"/>
        <w:rPr>
          <w:rFonts w:ascii="Arial" w:hAnsi="Arial" w:cs="Arial"/>
        </w:rPr>
      </w:pPr>
      <w:r w:rsidRPr="00CD0D75">
        <w:rPr>
          <w:rFonts w:ascii="Arial" w:hAnsi="Arial" w:cs="Arial"/>
        </w:rPr>
        <w:t>-Raspoloživa geološka i rudarska dokumentacija Ministarstva ekonomije;</w:t>
      </w:r>
    </w:p>
    <w:p w:rsidR="008A63CC" w:rsidRPr="00CD0D75" w:rsidRDefault="008A63CC" w:rsidP="008A63CC">
      <w:pPr>
        <w:spacing w:after="0"/>
        <w:jc w:val="both"/>
        <w:rPr>
          <w:rFonts w:ascii="Arial" w:hAnsi="Arial" w:cs="Arial"/>
        </w:rPr>
      </w:pPr>
      <w:r w:rsidRPr="00CD0D75">
        <w:rPr>
          <w:rFonts w:ascii="Arial" w:hAnsi="Arial" w:cs="Arial"/>
        </w:rPr>
        <w:t>-Podaci Uprave za nekretnine Crne Gore, Područna jedinica Pljevlja;</w:t>
      </w:r>
    </w:p>
    <w:p w:rsidR="008A63CC" w:rsidRPr="00CD0D75" w:rsidRDefault="008A63CC" w:rsidP="008A63CC">
      <w:pPr>
        <w:spacing w:after="0"/>
        <w:jc w:val="both"/>
        <w:rPr>
          <w:rFonts w:ascii="Arial" w:hAnsi="Arial" w:cs="Arial"/>
        </w:rPr>
      </w:pPr>
      <w:r w:rsidRPr="00CD0D75">
        <w:rPr>
          <w:rFonts w:ascii="Arial" w:hAnsi="Arial" w:cs="Arial"/>
        </w:rPr>
        <w:t>-Podaci iz Prostorno-urbanističkog plana Opštine Pljevlja (“Sl.list CG” – opštinski propisi, br. 11/11);</w:t>
      </w:r>
    </w:p>
    <w:p w:rsidR="008A63CC" w:rsidRPr="00CD0D75" w:rsidRDefault="008A63CC" w:rsidP="008A63CC">
      <w:pPr>
        <w:spacing w:after="0"/>
        <w:jc w:val="both"/>
        <w:rPr>
          <w:rFonts w:ascii="Arial" w:hAnsi="Arial" w:cs="Arial"/>
        </w:rPr>
      </w:pPr>
      <w:r w:rsidRPr="00CD0D75">
        <w:rPr>
          <w:rFonts w:ascii="Arial" w:hAnsi="Arial" w:cs="Arial"/>
        </w:rPr>
        <w:t>-Podaci Zavoda za statistiku, akt br. 12-596/2 od 08.03.2017. godine, arhiviran u Ministarstvu pod br. 970-55/2017-1 od 15.03.2017. godine, o p</w:t>
      </w:r>
      <w:r>
        <w:rPr>
          <w:rFonts w:ascii="Arial" w:hAnsi="Arial" w:cs="Arial"/>
        </w:rPr>
        <w:t xml:space="preserve">rosječno ostvarenoj cijeni </w:t>
      </w:r>
      <w:r w:rsidRPr="00CD0D75">
        <w:rPr>
          <w:rFonts w:ascii="Arial" w:hAnsi="Arial" w:cs="Arial"/>
        </w:rPr>
        <w:t>proizvoda mineralne sirovine tehničko-građevinskog kamena u Crnoj Gori u 2016. godini;</w:t>
      </w:r>
    </w:p>
    <w:p w:rsidR="008A63CC" w:rsidRPr="00CD0D75" w:rsidRDefault="008A63CC" w:rsidP="008A63CC">
      <w:pPr>
        <w:spacing w:after="0"/>
        <w:jc w:val="both"/>
        <w:rPr>
          <w:rFonts w:ascii="Arial" w:hAnsi="Arial" w:cs="Arial"/>
        </w:rPr>
      </w:pPr>
      <w:r w:rsidRPr="00CD0D75">
        <w:rPr>
          <w:rFonts w:ascii="Arial" w:hAnsi="Arial" w:cs="Arial"/>
        </w:rPr>
        <w:t>-Podaci o ostvarenoj proizvodnji tehničko-građevinskog kamena u Crnoj Gori u 2016. godini;</w:t>
      </w:r>
    </w:p>
    <w:p w:rsidR="008A63CC" w:rsidRPr="00CD0D75" w:rsidRDefault="008A63CC" w:rsidP="008A63CC">
      <w:pPr>
        <w:spacing w:after="0"/>
        <w:jc w:val="both"/>
        <w:rPr>
          <w:rFonts w:ascii="Arial" w:hAnsi="Arial" w:cs="Arial"/>
        </w:rPr>
      </w:pPr>
      <w:r w:rsidRPr="00CD0D75">
        <w:rPr>
          <w:rFonts w:ascii="Arial" w:hAnsi="Arial" w:cs="Arial"/>
        </w:rPr>
        <w:t>-Podaci o ostvarenim normativima osnovnih materijala i energije na analognim ležištima u Crnoj Gori.</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b/>
        </w:rPr>
      </w:pPr>
      <w:r w:rsidRPr="00CD0D75">
        <w:rPr>
          <w:rFonts w:ascii="Arial" w:hAnsi="Arial" w:cs="Arial"/>
          <w:b/>
        </w:rPr>
        <w:t>Zakonski propisi korišćeni pri izradi Koncesionog akta:</w:t>
      </w:r>
    </w:p>
    <w:p w:rsidR="008A63CC" w:rsidRPr="00CD0D75" w:rsidRDefault="008A63CC" w:rsidP="008A63CC">
      <w:pPr>
        <w:spacing w:after="0"/>
        <w:jc w:val="both"/>
        <w:rPr>
          <w:rFonts w:ascii="Arial" w:hAnsi="Arial" w:cs="Arial"/>
          <w:b/>
        </w:rPr>
      </w:pPr>
    </w:p>
    <w:p w:rsidR="008A63CC" w:rsidRPr="00CD0D75" w:rsidRDefault="008A63CC" w:rsidP="008A63CC">
      <w:pPr>
        <w:spacing w:after="0"/>
        <w:jc w:val="both"/>
        <w:rPr>
          <w:rFonts w:ascii="Arial" w:hAnsi="Arial" w:cs="Arial"/>
        </w:rPr>
      </w:pPr>
      <w:r w:rsidRPr="00CD0D75">
        <w:rPr>
          <w:rFonts w:ascii="Arial" w:hAnsi="Arial" w:cs="Arial"/>
        </w:rPr>
        <w:t>-Zakon o koncesijama („Sl. list CG“, br. 08/09);</w:t>
      </w:r>
    </w:p>
    <w:p w:rsidR="008A63CC" w:rsidRPr="00CD0D75" w:rsidRDefault="008A63CC" w:rsidP="008A63CC">
      <w:pPr>
        <w:spacing w:after="0"/>
        <w:jc w:val="both"/>
        <w:rPr>
          <w:rFonts w:ascii="Arial" w:hAnsi="Arial" w:cs="Arial"/>
        </w:rPr>
      </w:pPr>
      <w:r w:rsidRPr="00CD0D75">
        <w:rPr>
          <w:rFonts w:ascii="Arial" w:hAnsi="Arial" w:cs="Arial"/>
        </w:rPr>
        <w:t>-Zakon o rudarstvu („Sl. list CG“, br. 65/08, 74/10 i 40/11);</w:t>
      </w:r>
    </w:p>
    <w:p w:rsidR="008A63CC" w:rsidRPr="00CD0D75" w:rsidRDefault="008A63CC" w:rsidP="008A63CC">
      <w:pPr>
        <w:spacing w:after="0"/>
        <w:jc w:val="both"/>
        <w:rPr>
          <w:rFonts w:ascii="Arial" w:hAnsi="Arial" w:cs="Arial"/>
        </w:rPr>
      </w:pPr>
      <w:r w:rsidRPr="00CD0D75">
        <w:rPr>
          <w:rFonts w:ascii="Arial" w:hAnsi="Arial" w:cs="Arial"/>
        </w:rPr>
        <w:t>-Zakon o geološkim istraživanjima (‘’Sl. list RCG’’, br. 28/93, 27/94, 42/94 i 26/07 i „Sl. list CG“, br. 28/11);</w:t>
      </w:r>
    </w:p>
    <w:p w:rsidR="008A63CC" w:rsidRPr="00CD0D75" w:rsidRDefault="008A63CC" w:rsidP="008A63CC">
      <w:pPr>
        <w:spacing w:after="0"/>
        <w:jc w:val="both"/>
        <w:rPr>
          <w:rFonts w:ascii="Arial" w:hAnsi="Arial" w:cs="Arial"/>
        </w:rPr>
      </w:pPr>
      <w:r w:rsidRPr="00CD0D75">
        <w:rPr>
          <w:rFonts w:ascii="Arial" w:hAnsi="Arial" w:cs="Arial"/>
        </w:rPr>
        <w:lastRenderedPageBreak/>
        <w:t>-Zakon o procjeni uticaja na životnu sredinu („Sl. list RCG“, br. 80/05 i „S</w:t>
      </w:r>
      <w:r>
        <w:rPr>
          <w:rFonts w:ascii="Arial" w:hAnsi="Arial" w:cs="Arial"/>
        </w:rPr>
        <w:t xml:space="preserve">l. list CG“, br. 40/10, 73/10, </w:t>
      </w:r>
      <w:r w:rsidRPr="00CD0D75">
        <w:rPr>
          <w:rFonts w:ascii="Arial" w:hAnsi="Arial" w:cs="Arial"/>
        </w:rPr>
        <w:t>40/11</w:t>
      </w:r>
      <w:r>
        <w:rPr>
          <w:rFonts w:ascii="Arial" w:hAnsi="Arial" w:cs="Arial"/>
        </w:rPr>
        <w:t xml:space="preserve"> i 27/13</w:t>
      </w:r>
      <w:r w:rsidRPr="00CD0D75">
        <w:rPr>
          <w:rFonts w:ascii="Arial" w:hAnsi="Arial" w:cs="Arial"/>
        </w:rPr>
        <w:t>);</w:t>
      </w:r>
    </w:p>
    <w:p w:rsidR="008A63CC" w:rsidRPr="00CD0D75" w:rsidRDefault="008A63CC" w:rsidP="008A63CC">
      <w:pPr>
        <w:spacing w:after="0"/>
        <w:jc w:val="both"/>
        <w:rPr>
          <w:rFonts w:ascii="Arial" w:hAnsi="Arial" w:cs="Arial"/>
        </w:rPr>
      </w:pPr>
      <w:r w:rsidRPr="00CD0D75">
        <w:rPr>
          <w:rFonts w:ascii="Arial" w:hAnsi="Arial" w:cs="Arial"/>
        </w:rPr>
        <w:t>-Uredba o kriterijumima i načinu obračuna iznosa minimalne koncesione naknade za ustupanje prava na istraživanje i eksploataciju mineralnih sirovina („Sl. list CG“, br. 37/11);</w:t>
      </w:r>
    </w:p>
    <w:p w:rsidR="008A63CC" w:rsidRPr="00CD0D75" w:rsidRDefault="008A63CC" w:rsidP="008A63CC">
      <w:pPr>
        <w:spacing w:after="0"/>
        <w:jc w:val="both"/>
        <w:rPr>
          <w:rFonts w:ascii="Arial" w:hAnsi="Arial" w:cs="Arial"/>
        </w:rPr>
      </w:pPr>
      <w:r w:rsidRPr="00CD0D75">
        <w:rPr>
          <w:rFonts w:ascii="Arial" w:hAnsi="Arial" w:cs="Arial"/>
        </w:rPr>
        <w:t>-Uredba o visini sredstava za sanaciju i rekultivaciju prostora na kojem se izvode rudarski radovi, način obračunavanja, plaćanja i korišćenja tih sredstava („Sl. list CG“, br. 51/11).</w:t>
      </w:r>
    </w:p>
    <w:p w:rsidR="008A63CC" w:rsidRPr="00CD0D75" w:rsidRDefault="008A63CC" w:rsidP="008A63CC">
      <w:pPr>
        <w:spacing w:after="0"/>
        <w:jc w:val="both"/>
        <w:rPr>
          <w:rFonts w:ascii="Arial" w:hAnsi="Arial" w:cs="Arial"/>
        </w:rPr>
      </w:pPr>
    </w:p>
    <w:p w:rsidR="008A63CC" w:rsidRPr="00CD0D75" w:rsidRDefault="008A63CC" w:rsidP="008A63CC">
      <w:pPr>
        <w:spacing w:after="0"/>
        <w:rPr>
          <w:rFonts w:ascii="Arial" w:hAnsi="Arial" w:cs="Arial"/>
          <w:b/>
        </w:rPr>
      </w:pPr>
      <w:r w:rsidRPr="00CD0D75">
        <w:rPr>
          <w:rFonts w:ascii="Arial" w:hAnsi="Arial" w:cs="Arial"/>
          <w:b/>
        </w:rPr>
        <w:t>Mjesto i vrijeme izrade Koncesionog akta:</w:t>
      </w:r>
    </w:p>
    <w:p w:rsidR="008A63CC" w:rsidRPr="00CD0D75" w:rsidRDefault="008A63CC" w:rsidP="008A63CC">
      <w:pPr>
        <w:spacing w:after="0"/>
        <w:rPr>
          <w:rFonts w:ascii="Arial" w:hAnsi="Arial" w:cs="Arial"/>
          <w:b/>
        </w:rPr>
      </w:pPr>
    </w:p>
    <w:p w:rsidR="008A63CC" w:rsidRPr="00CD0D75" w:rsidRDefault="008A63CC" w:rsidP="008A63CC">
      <w:pPr>
        <w:spacing w:after="0"/>
        <w:rPr>
          <w:rFonts w:ascii="Arial" w:hAnsi="Arial" w:cs="Arial"/>
        </w:rPr>
      </w:pPr>
      <w:r w:rsidRPr="00CD0D75">
        <w:rPr>
          <w:rFonts w:ascii="Arial" w:hAnsi="Arial" w:cs="Arial"/>
        </w:rPr>
        <w:t>Podgorica, novembar 2017. godine</w:t>
      </w:r>
    </w:p>
    <w:p w:rsidR="008A63CC" w:rsidRPr="00CD0D75" w:rsidRDefault="008A63CC" w:rsidP="008A63CC">
      <w:pPr>
        <w:spacing w:after="0"/>
        <w:rPr>
          <w:rFonts w:ascii="Arial" w:hAnsi="Arial" w:cs="Arial"/>
        </w:rPr>
      </w:pPr>
    </w:p>
    <w:p w:rsidR="008A63CC" w:rsidRPr="00CD0D75" w:rsidRDefault="008A63CC" w:rsidP="008A63CC">
      <w:pPr>
        <w:spacing w:after="0"/>
        <w:rPr>
          <w:rFonts w:ascii="Arial" w:hAnsi="Arial" w:cs="Arial"/>
        </w:rPr>
      </w:pPr>
    </w:p>
    <w:p w:rsidR="008A63CC" w:rsidRPr="00CD0D75" w:rsidRDefault="008A63CC" w:rsidP="008A63CC">
      <w:pPr>
        <w:spacing w:after="0"/>
        <w:rPr>
          <w:rFonts w:ascii="Arial" w:hAnsi="Arial" w:cs="Arial"/>
        </w:rPr>
      </w:pPr>
    </w:p>
    <w:p w:rsidR="008A63CC" w:rsidRPr="00CD0D75" w:rsidRDefault="008A63CC" w:rsidP="008A63CC">
      <w:pPr>
        <w:spacing w:after="0"/>
        <w:rPr>
          <w:rFonts w:ascii="Arial" w:hAnsi="Arial" w:cs="Arial"/>
        </w:rPr>
      </w:pPr>
    </w:p>
    <w:p w:rsidR="008A63CC" w:rsidRPr="00CD0D75" w:rsidRDefault="008A63CC" w:rsidP="008A63CC">
      <w:pPr>
        <w:spacing w:after="0"/>
        <w:rPr>
          <w:rFonts w:ascii="Arial" w:hAnsi="Arial" w:cs="Arial"/>
        </w:rPr>
      </w:pPr>
    </w:p>
    <w:p w:rsidR="008A63CC" w:rsidRPr="00CD0D75" w:rsidRDefault="008A63CC" w:rsidP="008A63CC">
      <w:pPr>
        <w:spacing w:after="0"/>
        <w:rPr>
          <w:rFonts w:ascii="Arial" w:hAnsi="Arial" w:cs="Arial"/>
        </w:rPr>
      </w:pPr>
    </w:p>
    <w:p w:rsidR="008A63CC" w:rsidRPr="00CD0D75" w:rsidRDefault="008A63CC" w:rsidP="008A63CC">
      <w:pPr>
        <w:spacing w:after="0"/>
        <w:rPr>
          <w:rFonts w:ascii="Arial" w:hAnsi="Arial" w:cs="Arial"/>
        </w:rPr>
      </w:pPr>
    </w:p>
    <w:p w:rsidR="008A63CC" w:rsidRPr="00CD0D75" w:rsidRDefault="008A63CC" w:rsidP="008A63CC">
      <w:pPr>
        <w:spacing w:after="0"/>
        <w:rPr>
          <w:rFonts w:ascii="Arial" w:hAnsi="Arial" w:cs="Arial"/>
        </w:rPr>
      </w:pPr>
    </w:p>
    <w:p w:rsidR="008A63CC" w:rsidRPr="00CD0D75" w:rsidRDefault="008A63CC" w:rsidP="008A63CC">
      <w:pPr>
        <w:spacing w:after="0"/>
        <w:rPr>
          <w:rFonts w:ascii="Arial" w:hAnsi="Arial" w:cs="Arial"/>
        </w:rPr>
      </w:pPr>
    </w:p>
    <w:p w:rsidR="008A63CC" w:rsidRPr="00CD0D75" w:rsidRDefault="008A63CC" w:rsidP="008A63CC">
      <w:pPr>
        <w:spacing w:after="0"/>
        <w:rPr>
          <w:rFonts w:ascii="Arial" w:hAnsi="Arial" w:cs="Arial"/>
        </w:rPr>
      </w:pPr>
    </w:p>
    <w:p w:rsidR="008A63CC" w:rsidRPr="00CD0D75" w:rsidRDefault="008A63CC" w:rsidP="008A63CC">
      <w:pPr>
        <w:spacing w:after="0"/>
        <w:rPr>
          <w:rFonts w:ascii="Arial" w:hAnsi="Arial" w:cs="Arial"/>
        </w:rPr>
      </w:pPr>
    </w:p>
    <w:p w:rsidR="008A63CC" w:rsidRPr="00CD0D75" w:rsidRDefault="008A63CC" w:rsidP="008A63CC">
      <w:pPr>
        <w:spacing w:after="0"/>
        <w:rPr>
          <w:rFonts w:ascii="Arial" w:hAnsi="Arial" w:cs="Arial"/>
        </w:rPr>
      </w:pPr>
    </w:p>
    <w:p w:rsidR="008A63CC" w:rsidRPr="00CD0D75" w:rsidRDefault="008A63CC" w:rsidP="008A63CC">
      <w:pPr>
        <w:spacing w:after="0"/>
        <w:rPr>
          <w:rFonts w:ascii="Arial" w:hAnsi="Arial" w:cs="Arial"/>
        </w:rPr>
      </w:pPr>
    </w:p>
    <w:p w:rsidR="008A63CC" w:rsidRPr="00CD0D75" w:rsidRDefault="008A63CC" w:rsidP="008A63CC">
      <w:pPr>
        <w:spacing w:after="0"/>
        <w:rPr>
          <w:rFonts w:ascii="Arial" w:hAnsi="Arial" w:cs="Arial"/>
        </w:rPr>
      </w:pPr>
    </w:p>
    <w:p w:rsidR="008A63CC" w:rsidRPr="00CD0D75" w:rsidRDefault="008A63CC" w:rsidP="008A63CC">
      <w:pPr>
        <w:spacing w:after="0"/>
        <w:rPr>
          <w:rFonts w:ascii="Arial" w:hAnsi="Arial" w:cs="Arial"/>
        </w:rPr>
      </w:pPr>
    </w:p>
    <w:p w:rsidR="008A63CC" w:rsidRPr="00CD0D75" w:rsidRDefault="008A63CC" w:rsidP="008A63CC">
      <w:pPr>
        <w:spacing w:after="0"/>
        <w:rPr>
          <w:rFonts w:ascii="Arial" w:hAnsi="Arial" w:cs="Arial"/>
        </w:rPr>
      </w:pPr>
    </w:p>
    <w:p w:rsidR="008A63CC" w:rsidRPr="00CD0D75" w:rsidRDefault="008A63CC" w:rsidP="008A63CC">
      <w:pPr>
        <w:spacing w:after="0"/>
        <w:rPr>
          <w:rFonts w:ascii="Arial" w:hAnsi="Arial" w:cs="Arial"/>
        </w:rPr>
      </w:pPr>
    </w:p>
    <w:p w:rsidR="00C26E77" w:rsidRPr="00CD0D75" w:rsidRDefault="00C26E77" w:rsidP="00CD0D75">
      <w:pPr>
        <w:spacing w:after="0"/>
        <w:rPr>
          <w:rFonts w:ascii="Arial" w:hAnsi="Arial" w:cs="Arial"/>
        </w:rPr>
      </w:pPr>
    </w:p>
    <w:p w:rsidR="00C26E77" w:rsidRPr="00CD0D75" w:rsidRDefault="00C26E77" w:rsidP="00CD0D75">
      <w:pPr>
        <w:spacing w:after="0"/>
        <w:rPr>
          <w:rFonts w:ascii="Arial" w:hAnsi="Arial" w:cs="Arial"/>
        </w:rPr>
      </w:pPr>
    </w:p>
    <w:p w:rsidR="00C26E77" w:rsidRPr="00CD0D75" w:rsidRDefault="00C26E77" w:rsidP="00CD0D75">
      <w:pPr>
        <w:spacing w:after="0"/>
        <w:rPr>
          <w:rFonts w:ascii="Arial" w:hAnsi="Arial" w:cs="Arial"/>
        </w:rPr>
      </w:pPr>
    </w:p>
    <w:p w:rsidR="00C26E77" w:rsidRPr="00CD0D75" w:rsidRDefault="00C26E77" w:rsidP="00CD0D75">
      <w:pPr>
        <w:spacing w:after="0"/>
        <w:rPr>
          <w:rFonts w:ascii="Arial" w:hAnsi="Arial" w:cs="Arial"/>
        </w:rPr>
      </w:pPr>
    </w:p>
    <w:p w:rsidR="00C26E77" w:rsidRPr="00CD0D75" w:rsidRDefault="00C26E77" w:rsidP="00CD0D75">
      <w:pPr>
        <w:spacing w:after="0"/>
        <w:rPr>
          <w:rFonts w:ascii="Arial" w:hAnsi="Arial" w:cs="Arial"/>
        </w:rPr>
      </w:pPr>
    </w:p>
    <w:p w:rsidR="00C26E77" w:rsidRPr="00CD0D75" w:rsidRDefault="00C26E77" w:rsidP="00CD0D75">
      <w:pPr>
        <w:spacing w:after="0"/>
        <w:rPr>
          <w:rFonts w:ascii="Arial" w:hAnsi="Arial" w:cs="Arial"/>
        </w:rPr>
      </w:pPr>
    </w:p>
    <w:p w:rsidR="00C26E77" w:rsidRPr="00CD0D75" w:rsidRDefault="00C26E77" w:rsidP="00CD0D75">
      <w:pPr>
        <w:spacing w:after="0"/>
        <w:rPr>
          <w:rFonts w:ascii="Arial" w:hAnsi="Arial" w:cs="Arial"/>
        </w:rPr>
      </w:pPr>
    </w:p>
    <w:p w:rsidR="00C26E77" w:rsidRPr="00CD0D75" w:rsidRDefault="00C26E77" w:rsidP="00CD0D75">
      <w:pPr>
        <w:spacing w:after="0"/>
        <w:rPr>
          <w:rFonts w:ascii="Arial" w:hAnsi="Arial" w:cs="Arial"/>
        </w:rPr>
      </w:pPr>
    </w:p>
    <w:p w:rsidR="00C26E77" w:rsidRPr="00CD0D75" w:rsidRDefault="00C26E77" w:rsidP="00CD0D75">
      <w:pPr>
        <w:spacing w:after="0"/>
        <w:rPr>
          <w:rFonts w:ascii="Arial" w:hAnsi="Arial" w:cs="Arial"/>
        </w:rPr>
      </w:pPr>
    </w:p>
    <w:p w:rsidR="00C26E77" w:rsidRPr="00CD0D75" w:rsidRDefault="00C26E77" w:rsidP="00CD0D75">
      <w:pPr>
        <w:spacing w:after="0"/>
        <w:rPr>
          <w:rFonts w:ascii="Arial" w:hAnsi="Arial" w:cs="Arial"/>
        </w:rPr>
      </w:pPr>
    </w:p>
    <w:p w:rsidR="00C26E77" w:rsidRPr="00CD0D75" w:rsidRDefault="00C26E77" w:rsidP="00CD0D75">
      <w:pPr>
        <w:spacing w:after="0"/>
        <w:rPr>
          <w:rFonts w:ascii="Arial" w:hAnsi="Arial" w:cs="Arial"/>
        </w:rPr>
      </w:pPr>
    </w:p>
    <w:p w:rsidR="00C26E77" w:rsidRPr="00CD0D75" w:rsidRDefault="00C26E77" w:rsidP="00CD0D75">
      <w:pPr>
        <w:spacing w:after="0"/>
        <w:rPr>
          <w:rFonts w:ascii="Arial" w:hAnsi="Arial" w:cs="Arial"/>
        </w:rPr>
      </w:pPr>
    </w:p>
    <w:p w:rsidR="00C26E77" w:rsidRPr="00CD0D75" w:rsidRDefault="00C26E77" w:rsidP="00CD0D75">
      <w:pPr>
        <w:spacing w:after="0"/>
        <w:rPr>
          <w:rFonts w:ascii="Arial" w:hAnsi="Arial" w:cs="Arial"/>
        </w:rPr>
      </w:pPr>
    </w:p>
    <w:p w:rsidR="00C26E77" w:rsidRPr="00CD0D75" w:rsidRDefault="00C26E77" w:rsidP="00CD0D75">
      <w:pPr>
        <w:spacing w:after="0"/>
        <w:rPr>
          <w:rFonts w:ascii="Arial" w:hAnsi="Arial" w:cs="Arial"/>
        </w:rPr>
      </w:pPr>
    </w:p>
    <w:p w:rsidR="00C26E77" w:rsidRPr="00CD0D75" w:rsidRDefault="00C26E77" w:rsidP="00CD0D75">
      <w:pPr>
        <w:spacing w:after="0"/>
        <w:rPr>
          <w:rFonts w:ascii="Arial" w:hAnsi="Arial" w:cs="Arial"/>
        </w:rPr>
      </w:pPr>
    </w:p>
    <w:p w:rsidR="00C26E77" w:rsidRPr="00CD0D75" w:rsidRDefault="00C26E77" w:rsidP="00CD0D75">
      <w:pPr>
        <w:spacing w:after="0"/>
        <w:rPr>
          <w:rFonts w:ascii="Arial" w:hAnsi="Arial" w:cs="Arial"/>
        </w:rPr>
      </w:pPr>
    </w:p>
    <w:p w:rsidR="00C26E77" w:rsidRPr="00CD0D75" w:rsidRDefault="00C26E77" w:rsidP="00CD0D75">
      <w:pPr>
        <w:spacing w:after="0"/>
        <w:rPr>
          <w:rFonts w:ascii="Arial" w:hAnsi="Arial" w:cs="Arial"/>
        </w:rPr>
      </w:pPr>
    </w:p>
    <w:p w:rsidR="00C26E77" w:rsidRPr="00CD0D75" w:rsidRDefault="00C26E77" w:rsidP="00CD0D75">
      <w:pPr>
        <w:spacing w:after="0"/>
        <w:rPr>
          <w:rFonts w:ascii="Arial" w:hAnsi="Arial" w:cs="Arial"/>
        </w:rPr>
      </w:pPr>
    </w:p>
    <w:p w:rsidR="00881468" w:rsidRDefault="00881468" w:rsidP="008A63CC">
      <w:pPr>
        <w:spacing w:after="0"/>
        <w:jc w:val="both"/>
        <w:rPr>
          <w:rFonts w:ascii="Arial" w:hAnsi="Arial" w:cs="Arial"/>
          <w:b/>
        </w:rPr>
      </w:pPr>
      <w:bookmarkStart w:id="0" w:name="_Toc390549892"/>
      <w:bookmarkStart w:id="1" w:name="_Toc390336654"/>
      <w:bookmarkStart w:id="2" w:name="_Toc390336529"/>
      <w:bookmarkStart w:id="3" w:name="_Toc402262924"/>
    </w:p>
    <w:p w:rsidR="008A63CC" w:rsidRPr="00CD0D75" w:rsidRDefault="008A63CC" w:rsidP="008A63CC">
      <w:pPr>
        <w:spacing w:after="0"/>
        <w:jc w:val="both"/>
        <w:rPr>
          <w:rFonts w:ascii="Arial" w:hAnsi="Arial" w:cs="Arial"/>
          <w:b/>
        </w:rPr>
      </w:pPr>
      <w:r w:rsidRPr="00CD0D75">
        <w:rPr>
          <w:rFonts w:ascii="Arial" w:hAnsi="Arial" w:cs="Arial"/>
          <w:b/>
        </w:rPr>
        <w:lastRenderedPageBreak/>
        <w:t>S A D R Ž A J</w:t>
      </w:r>
    </w:p>
    <w:p w:rsidR="008A63CC" w:rsidRPr="00CD0D75" w:rsidRDefault="008A63CC" w:rsidP="008A63CC">
      <w:pPr>
        <w:spacing w:after="0"/>
        <w:jc w:val="both"/>
        <w:rPr>
          <w:rFonts w:ascii="Arial" w:hAnsi="Arial" w:cs="Arial"/>
          <w:b/>
        </w:rPr>
      </w:pPr>
    </w:p>
    <w:p w:rsidR="008A63CC" w:rsidRPr="00CD0D75" w:rsidRDefault="008A63CC" w:rsidP="008A63CC">
      <w:pPr>
        <w:spacing w:after="0"/>
        <w:jc w:val="both"/>
        <w:rPr>
          <w:rFonts w:ascii="Arial" w:hAnsi="Arial" w:cs="Arial"/>
        </w:rPr>
      </w:pPr>
      <w:r w:rsidRPr="00CD0D75">
        <w:rPr>
          <w:rFonts w:ascii="Arial" w:hAnsi="Arial" w:cs="Arial"/>
        </w:rPr>
        <w:t>1. Uvod</w:t>
      </w:r>
    </w:p>
    <w:p w:rsidR="008A63CC" w:rsidRPr="00CD0D75" w:rsidRDefault="008A63CC" w:rsidP="008A63CC">
      <w:pPr>
        <w:spacing w:after="0"/>
        <w:jc w:val="both"/>
        <w:rPr>
          <w:rFonts w:ascii="Arial" w:hAnsi="Arial" w:cs="Arial"/>
        </w:rPr>
      </w:pPr>
      <w:r w:rsidRPr="00CD0D75">
        <w:rPr>
          <w:rFonts w:ascii="Arial" w:hAnsi="Arial" w:cs="Arial"/>
        </w:rPr>
        <w:t>2. Tehnički izvještaj o ležištu  tehničko-građevinskog kamena “Otilovići”</w:t>
      </w:r>
    </w:p>
    <w:p w:rsidR="008A63CC" w:rsidRPr="00CD0D75" w:rsidRDefault="008A63CC" w:rsidP="008A63CC">
      <w:pPr>
        <w:spacing w:after="0"/>
        <w:jc w:val="both"/>
        <w:rPr>
          <w:rFonts w:ascii="Arial" w:hAnsi="Arial" w:cs="Arial"/>
        </w:rPr>
      </w:pPr>
      <w:r w:rsidRPr="00CD0D75">
        <w:rPr>
          <w:rFonts w:ascii="Arial" w:hAnsi="Arial" w:cs="Arial"/>
        </w:rPr>
        <w:t>3. Rok trajanja koncesije</w:t>
      </w:r>
    </w:p>
    <w:p w:rsidR="008A63CC" w:rsidRPr="00CD0D75" w:rsidRDefault="008A63CC" w:rsidP="008A63CC">
      <w:pPr>
        <w:spacing w:after="0"/>
        <w:jc w:val="both"/>
        <w:rPr>
          <w:rFonts w:ascii="Arial" w:hAnsi="Arial" w:cs="Arial"/>
        </w:rPr>
      </w:pPr>
      <w:r w:rsidRPr="00CD0D75">
        <w:rPr>
          <w:rFonts w:ascii="Arial" w:hAnsi="Arial" w:cs="Arial"/>
        </w:rPr>
        <w:t>4. Osnovni parametri za ocjenu ekonomske opravdanosti investicije</w:t>
      </w:r>
    </w:p>
    <w:p w:rsidR="008A63CC" w:rsidRPr="00CD0D75" w:rsidRDefault="008A63CC" w:rsidP="008A63CC">
      <w:pPr>
        <w:spacing w:after="0"/>
        <w:jc w:val="both"/>
        <w:rPr>
          <w:rFonts w:ascii="Arial" w:hAnsi="Arial" w:cs="Arial"/>
        </w:rPr>
      </w:pPr>
      <w:r w:rsidRPr="00CD0D75">
        <w:rPr>
          <w:rFonts w:ascii="Arial" w:hAnsi="Arial" w:cs="Arial"/>
        </w:rPr>
        <w:t>5. Mjere za zaštitu životne sredine</w:t>
      </w:r>
    </w:p>
    <w:p w:rsidR="008A63CC" w:rsidRPr="00CD0D75" w:rsidRDefault="008A63CC" w:rsidP="008A63CC">
      <w:pPr>
        <w:spacing w:after="0"/>
        <w:jc w:val="both"/>
        <w:rPr>
          <w:rFonts w:ascii="Arial" w:hAnsi="Arial" w:cs="Arial"/>
        </w:rPr>
      </w:pPr>
      <w:r w:rsidRPr="00CD0D75">
        <w:rPr>
          <w:rFonts w:ascii="Arial" w:hAnsi="Arial" w:cs="Arial"/>
        </w:rPr>
        <w:t>6. Rekultivacija istražno-eksploatacionog prostora ”Otilovići”</w:t>
      </w:r>
    </w:p>
    <w:p w:rsidR="008A63CC" w:rsidRPr="00CD0D75" w:rsidRDefault="008A63CC" w:rsidP="008A63CC">
      <w:pPr>
        <w:spacing w:after="0"/>
        <w:jc w:val="both"/>
        <w:rPr>
          <w:rFonts w:ascii="Arial" w:hAnsi="Arial" w:cs="Arial"/>
        </w:rPr>
      </w:pPr>
      <w:r w:rsidRPr="00CD0D75">
        <w:rPr>
          <w:rFonts w:ascii="Arial" w:hAnsi="Arial" w:cs="Arial"/>
        </w:rPr>
        <w:t>7. Unaprjeđenje ekonomske efikasnosti</w:t>
      </w:r>
    </w:p>
    <w:p w:rsidR="008A63CC" w:rsidRPr="00CD0D75" w:rsidRDefault="008A63CC" w:rsidP="008A63CC">
      <w:pPr>
        <w:spacing w:after="0"/>
        <w:jc w:val="both"/>
        <w:rPr>
          <w:rFonts w:ascii="Arial" w:hAnsi="Arial" w:cs="Arial"/>
        </w:rPr>
      </w:pPr>
      <w:r w:rsidRPr="00CD0D75">
        <w:rPr>
          <w:rFonts w:ascii="Arial" w:hAnsi="Arial" w:cs="Arial"/>
        </w:rPr>
        <w:t>8.Uslovi koje je dužan da ispunjava koncesionar u pogledu tehničke opremljenosti, finansijske sposobnosti i ostale reference i dokaze o ispunjavanju tih uslova</w:t>
      </w:r>
    </w:p>
    <w:p w:rsidR="008A63CC" w:rsidRPr="00CD0D75" w:rsidRDefault="008A63CC" w:rsidP="008A63CC">
      <w:pPr>
        <w:spacing w:after="0"/>
        <w:jc w:val="both"/>
        <w:rPr>
          <w:rFonts w:ascii="Arial" w:hAnsi="Arial" w:cs="Arial"/>
        </w:rPr>
      </w:pPr>
      <w:r w:rsidRPr="00CD0D75">
        <w:rPr>
          <w:rFonts w:ascii="Arial" w:hAnsi="Arial" w:cs="Arial"/>
        </w:rPr>
        <w:t>9. Minimalni – početni iznos koncesione naknade</w:t>
      </w:r>
    </w:p>
    <w:p w:rsidR="008A63CC" w:rsidRPr="00CD0D75" w:rsidRDefault="008A63CC" w:rsidP="008A63CC">
      <w:pPr>
        <w:spacing w:after="0"/>
        <w:jc w:val="both"/>
        <w:rPr>
          <w:rFonts w:ascii="Arial" w:hAnsi="Arial" w:cs="Arial"/>
        </w:rPr>
      </w:pPr>
      <w:r w:rsidRPr="00CD0D75">
        <w:rPr>
          <w:rFonts w:ascii="Arial" w:hAnsi="Arial" w:cs="Arial"/>
        </w:rPr>
        <w:t>10. Kriterijumi za izbor najpovoljnije ponude</w:t>
      </w:r>
    </w:p>
    <w:p w:rsidR="008A63CC" w:rsidRPr="00CD0D75" w:rsidRDefault="008A63CC" w:rsidP="008A63CC">
      <w:pPr>
        <w:spacing w:after="0"/>
        <w:jc w:val="both"/>
        <w:rPr>
          <w:rFonts w:ascii="Arial" w:hAnsi="Arial" w:cs="Arial"/>
        </w:rPr>
      </w:pPr>
      <w:r w:rsidRPr="00CD0D75">
        <w:rPr>
          <w:rFonts w:ascii="Arial" w:hAnsi="Arial" w:cs="Arial"/>
        </w:rPr>
        <w:t>11. Spisak potrebne tehničke dokumentacije sa uslovima za njenu izradu, odobrenja, saglasnosti i mišljenja za obavljanje koncesione djelatnosti</w:t>
      </w:r>
    </w:p>
    <w:p w:rsidR="008A63CC" w:rsidRPr="00CD0D75" w:rsidRDefault="008A63CC" w:rsidP="008A63CC">
      <w:pPr>
        <w:spacing w:after="0"/>
        <w:jc w:val="both"/>
        <w:rPr>
          <w:rFonts w:ascii="Arial" w:hAnsi="Arial" w:cs="Arial"/>
        </w:rPr>
      </w:pPr>
      <w:r w:rsidRPr="00CD0D75">
        <w:rPr>
          <w:rFonts w:ascii="Arial" w:hAnsi="Arial" w:cs="Arial"/>
        </w:rPr>
        <w:t xml:space="preserve">12. Hronologija izrade tehničke dokumentacije i pribavljanje odobrenja i saglasnosti za izvođenje rudarskih radova </w:t>
      </w:r>
    </w:p>
    <w:p w:rsidR="008A63CC" w:rsidRPr="00CD0D75" w:rsidRDefault="008A63CC" w:rsidP="008A63CC">
      <w:pPr>
        <w:spacing w:after="0"/>
        <w:jc w:val="both"/>
        <w:rPr>
          <w:rFonts w:ascii="Arial" w:hAnsi="Arial" w:cs="Arial"/>
        </w:rPr>
      </w:pPr>
      <w:r w:rsidRPr="00CD0D75">
        <w:rPr>
          <w:rFonts w:ascii="Arial" w:hAnsi="Arial" w:cs="Arial"/>
        </w:rPr>
        <w:t>13. Osnovni elementi tenderske dokumentacije (oglas, dokumentacija vezana za ponudu)</w:t>
      </w:r>
    </w:p>
    <w:p w:rsidR="008A63CC" w:rsidRPr="00CD0D75" w:rsidRDefault="008A63CC" w:rsidP="008A63CC">
      <w:pPr>
        <w:spacing w:after="0"/>
        <w:jc w:val="both"/>
        <w:rPr>
          <w:rFonts w:ascii="Arial" w:hAnsi="Arial" w:cs="Arial"/>
        </w:rPr>
      </w:pPr>
      <w:r w:rsidRPr="00CD0D75">
        <w:rPr>
          <w:rFonts w:ascii="Arial" w:hAnsi="Arial" w:cs="Arial"/>
        </w:rPr>
        <w:t>14. Spisak propisa koji se primjenjuje u postupku davanja koncesije i u vršenju koncesione djelatnosti</w:t>
      </w:r>
    </w:p>
    <w:p w:rsidR="00C26E77" w:rsidRPr="00CD0D75" w:rsidRDefault="00C26E77" w:rsidP="00CD0D75">
      <w:pPr>
        <w:spacing w:after="0"/>
        <w:rPr>
          <w:rFonts w:ascii="Arial" w:hAnsi="Arial" w:cs="Arial"/>
        </w:rPr>
      </w:pPr>
    </w:p>
    <w:p w:rsidR="00C26E77" w:rsidRPr="00CD0D75" w:rsidRDefault="00C26E77" w:rsidP="00CD0D75">
      <w:pPr>
        <w:spacing w:after="0"/>
        <w:rPr>
          <w:rFonts w:ascii="Arial" w:hAnsi="Arial" w:cs="Arial"/>
        </w:rPr>
      </w:pPr>
    </w:p>
    <w:p w:rsidR="00C26E77" w:rsidRPr="00CD0D75" w:rsidRDefault="00C26E77" w:rsidP="00CD0D75">
      <w:pPr>
        <w:spacing w:after="0"/>
        <w:rPr>
          <w:rFonts w:ascii="Arial" w:hAnsi="Arial" w:cs="Arial"/>
        </w:rPr>
      </w:pPr>
    </w:p>
    <w:p w:rsidR="00C26E77" w:rsidRPr="00CD0D75" w:rsidRDefault="00C26E77" w:rsidP="00CD0D75">
      <w:pPr>
        <w:pStyle w:val="Heading1"/>
        <w:spacing w:before="0" w:after="0"/>
        <w:rPr>
          <w:sz w:val="22"/>
          <w:szCs w:val="22"/>
        </w:rPr>
      </w:pPr>
    </w:p>
    <w:p w:rsidR="00C26E77" w:rsidRPr="00CD0D75" w:rsidRDefault="00C26E77" w:rsidP="00CD0D75">
      <w:pPr>
        <w:pStyle w:val="Heading1"/>
        <w:spacing w:before="0" w:after="0"/>
        <w:rPr>
          <w:sz w:val="22"/>
          <w:szCs w:val="22"/>
        </w:rPr>
      </w:pPr>
    </w:p>
    <w:p w:rsidR="00C26E77" w:rsidRPr="00CD0D75" w:rsidRDefault="00C26E77" w:rsidP="00CD0D75">
      <w:pPr>
        <w:pStyle w:val="Heading1"/>
        <w:spacing w:before="0" w:after="0"/>
        <w:rPr>
          <w:sz w:val="22"/>
          <w:szCs w:val="22"/>
        </w:rPr>
      </w:pPr>
    </w:p>
    <w:p w:rsidR="00C26E77" w:rsidRPr="00CD0D75" w:rsidRDefault="00C26E77" w:rsidP="00CD0D75">
      <w:pPr>
        <w:pStyle w:val="Heading1"/>
        <w:spacing w:before="0" w:after="0"/>
        <w:rPr>
          <w:sz w:val="22"/>
          <w:szCs w:val="22"/>
        </w:rPr>
      </w:pPr>
    </w:p>
    <w:p w:rsidR="00C26E77" w:rsidRPr="00CD0D75" w:rsidRDefault="00C26E77" w:rsidP="00CD0D75">
      <w:pPr>
        <w:pStyle w:val="Heading1"/>
        <w:spacing w:before="0" w:after="0"/>
        <w:rPr>
          <w:sz w:val="22"/>
          <w:szCs w:val="22"/>
        </w:rPr>
      </w:pPr>
    </w:p>
    <w:p w:rsidR="00C26E77" w:rsidRPr="00CD0D75" w:rsidRDefault="00C26E77" w:rsidP="00CD0D75">
      <w:pPr>
        <w:pStyle w:val="Heading1"/>
        <w:spacing w:before="0" w:after="0"/>
        <w:rPr>
          <w:sz w:val="22"/>
          <w:szCs w:val="22"/>
        </w:rPr>
      </w:pPr>
    </w:p>
    <w:p w:rsidR="00C26E77" w:rsidRPr="00CD0D75" w:rsidRDefault="00C26E77" w:rsidP="00CD0D75">
      <w:pPr>
        <w:spacing w:after="0"/>
        <w:rPr>
          <w:rFonts w:ascii="Arial" w:hAnsi="Arial" w:cs="Arial"/>
        </w:rPr>
      </w:pPr>
    </w:p>
    <w:p w:rsidR="00C26E77" w:rsidRPr="00CD0D75" w:rsidRDefault="00C26E77" w:rsidP="00CD0D75">
      <w:pPr>
        <w:spacing w:after="0"/>
        <w:rPr>
          <w:rFonts w:ascii="Arial" w:hAnsi="Arial" w:cs="Arial"/>
        </w:rPr>
      </w:pPr>
    </w:p>
    <w:p w:rsidR="00C26E77" w:rsidRPr="00CD0D75" w:rsidRDefault="00C26E77" w:rsidP="00CD0D75">
      <w:pPr>
        <w:spacing w:after="0"/>
        <w:rPr>
          <w:rFonts w:ascii="Arial" w:hAnsi="Arial" w:cs="Arial"/>
        </w:rPr>
      </w:pPr>
    </w:p>
    <w:p w:rsidR="00C26E77" w:rsidRPr="00CD0D75" w:rsidRDefault="00C26E77" w:rsidP="00CD0D75">
      <w:pPr>
        <w:spacing w:after="0"/>
        <w:rPr>
          <w:rFonts w:ascii="Arial" w:hAnsi="Arial" w:cs="Arial"/>
        </w:rPr>
      </w:pPr>
    </w:p>
    <w:p w:rsidR="00C26E77" w:rsidRDefault="00C26E77" w:rsidP="00CD0D75">
      <w:pPr>
        <w:pStyle w:val="Heading1"/>
        <w:spacing w:before="0" w:after="0"/>
        <w:rPr>
          <w:rFonts w:eastAsia="Calibri"/>
          <w:b w:val="0"/>
          <w:bCs w:val="0"/>
          <w:kern w:val="0"/>
          <w:sz w:val="22"/>
          <w:szCs w:val="22"/>
        </w:rPr>
      </w:pPr>
    </w:p>
    <w:p w:rsidR="00772217" w:rsidRDefault="00772217" w:rsidP="00772217"/>
    <w:p w:rsidR="00772217" w:rsidRDefault="00772217" w:rsidP="00772217"/>
    <w:p w:rsidR="00772217" w:rsidRDefault="00772217" w:rsidP="00772217"/>
    <w:p w:rsidR="00881468" w:rsidRDefault="00881468" w:rsidP="00772217"/>
    <w:p w:rsidR="00881468" w:rsidRDefault="00881468" w:rsidP="00772217"/>
    <w:p w:rsidR="00881468" w:rsidRDefault="00881468" w:rsidP="00772217"/>
    <w:p w:rsidR="00881468" w:rsidRDefault="00881468" w:rsidP="00772217"/>
    <w:p w:rsidR="00C26E77" w:rsidRPr="00CD0D75" w:rsidRDefault="00C26E77" w:rsidP="00CD0D75">
      <w:pPr>
        <w:pStyle w:val="Heading1"/>
        <w:spacing w:before="0" w:after="0"/>
        <w:rPr>
          <w:sz w:val="22"/>
          <w:szCs w:val="22"/>
        </w:rPr>
      </w:pPr>
      <w:r w:rsidRPr="00CD0D75">
        <w:rPr>
          <w:sz w:val="22"/>
          <w:szCs w:val="22"/>
        </w:rPr>
        <w:lastRenderedPageBreak/>
        <w:t>1. U</w:t>
      </w:r>
      <w:bookmarkEnd w:id="0"/>
      <w:bookmarkEnd w:id="1"/>
      <w:bookmarkEnd w:id="2"/>
      <w:bookmarkEnd w:id="3"/>
      <w:r w:rsidRPr="00CD0D75">
        <w:rPr>
          <w:sz w:val="22"/>
          <w:szCs w:val="22"/>
        </w:rPr>
        <w:t>VOD</w:t>
      </w:r>
    </w:p>
    <w:p w:rsidR="00C26E77" w:rsidRPr="00CD0D75" w:rsidRDefault="00C26E77" w:rsidP="00CD0D75">
      <w:pPr>
        <w:spacing w:after="0"/>
        <w:rPr>
          <w:rFonts w:ascii="Arial" w:hAnsi="Arial" w:cs="Arial"/>
        </w:rPr>
      </w:pPr>
    </w:p>
    <w:p w:rsidR="008A63CC" w:rsidRPr="00CD0D75" w:rsidRDefault="008A63CC" w:rsidP="008A63CC">
      <w:pPr>
        <w:spacing w:after="0"/>
        <w:jc w:val="both"/>
        <w:rPr>
          <w:rFonts w:ascii="Arial" w:hAnsi="Arial" w:cs="Arial"/>
        </w:rPr>
      </w:pPr>
      <w:r>
        <w:rPr>
          <w:rFonts w:ascii="Arial" w:hAnsi="Arial" w:cs="Arial"/>
        </w:rPr>
        <w:t>U skladu sa članom 17</w:t>
      </w:r>
      <w:r w:rsidRPr="00CD0D75">
        <w:rPr>
          <w:rFonts w:ascii="Arial" w:hAnsi="Arial" w:cs="Arial"/>
        </w:rPr>
        <w:t xml:space="preserve"> i članom 41 Zakona</w:t>
      </w:r>
      <w:r>
        <w:rPr>
          <w:rFonts w:ascii="Arial" w:hAnsi="Arial" w:cs="Arial"/>
        </w:rPr>
        <w:t xml:space="preserve"> o koncesijama</w:t>
      </w:r>
      <w:r w:rsidRPr="00CD0D75">
        <w:rPr>
          <w:rFonts w:ascii="Arial" w:hAnsi="Arial" w:cs="Arial"/>
          <w:color w:val="FF0000"/>
        </w:rPr>
        <w:t xml:space="preserve">  </w:t>
      </w:r>
      <w:r w:rsidRPr="00CD0D75">
        <w:rPr>
          <w:rFonts w:ascii="Arial" w:hAnsi="Arial" w:cs="Arial"/>
        </w:rPr>
        <w:t xml:space="preserve">Ministarstvo ekonomije </w:t>
      </w:r>
      <w:r>
        <w:rPr>
          <w:rFonts w:ascii="Arial" w:hAnsi="Arial" w:cs="Arial"/>
        </w:rPr>
        <w:t>(u daljem tekstu: M</w:t>
      </w:r>
      <w:r w:rsidRPr="00CD0D75">
        <w:rPr>
          <w:rFonts w:ascii="Arial" w:hAnsi="Arial" w:cs="Arial"/>
        </w:rPr>
        <w:t xml:space="preserve">inistarstvo) je pripremilo Koncesioni akt </w:t>
      </w:r>
      <w:r>
        <w:rPr>
          <w:rFonts w:ascii="Arial" w:hAnsi="Arial" w:cs="Arial"/>
        </w:rPr>
        <w:t>o</w:t>
      </w:r>
      <w:r w:rsidRPr="00CD0D75">
        <w:rPr>
          <w:rFonts w:ascii="Arial" w:hAnsi="Arial" w:cs="Arial"/>
        </w:rPr>
        <w:t xml:space="preserve"> mineraln</w:t>
      </w:r>
      <w:r>
        <w:rPr>
          <w:rFonts w:ascii="Arial" w:hAnsi="Arial" w:cs="Arial"/>
        </w:rPr>
        <w:t>o</w:t>
      </w:r>
      <w:r w:rsidRPr="00CD0D75">
        <w:rPr>
          <w:rFonts w:ascii="Arial" w:hAnsi="Arial" w:cs="Arial"/>
        </w:rPr>
        <w:t>j sirovini tehničko-građevinskog kamena na ležištu “Otilovići” , opština Pljevlja (u daljem tekstu: Koncesioni akt). Cilj izrade Koncesionog akta je pokretanje postupka javnog nadmetanja za izbor najpovoljnije ponude za dodjelu Ugovora o koncesiji za eksploataciju mineralne sirovine tehničko-građevinskog  kamena na ležištu “Otilovići”, opština Pljevlja.</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 xml:space="preserve">Izrada Koncesionog akta izvršena je na osnovu zaključaka Vlade Crne </w:t>
      </w:r>
      <w:r>
        <w:rPr>
          <w:rFonts w:ascii="Arial" w:hAnsi="Arial" w:cs="Arial"/>
        </w:rPr>
        <w:t>Gore, sa sjednice održane 19. o</w:t>
      </w:r>
      <w:r w:rsidRPr="00CD0D75">
        <w:rPr>
          <w:rFonts w:ascii="Arial" w:hAnsi="Arial" w:cs="Arial"/>
        </w:rPr>
        <w:t>ktobra  2017</w:t>
      </w:r>
      <w:r>
        <w:rPr>
          <w:rFonts w:ascii="Arial" w:hAnsi="Arial" w:cs="Arial"/>
        </w:rPr>
        <w:t xml:space="preserve">. godine, kojim se Ministarstvo </w:t>
      </w:r>
      <w:r w:rsidRPr="00CD0D75">
        <w:rPr>
          <w:rFonts w:ascii="Arial" w:hAnsi="Arial" w:cs="Arial"/>
        </w:rPr>
        <w:t>zadužuje da pokrene postupak dodjele koncesije za eksploataciju tehničko-građevinskog kamena na ležištu “Otilovići”, opština Pljevlja.</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 xml:space="preserve">Nakon donošenja zaključaka Vlade, Radna grupa </w:t>
      </w:r>
      <w:r>
        <w:rPr>
          <w:rFonts w:ascii="Arial" w:hAnsi="Arial" w:cs="Arial"/>
        </w:rPr>
        <w:t xml:space="preserve">koju je obrazovalo Ministarstvo </w:t>
      </w:r>
      <w:r w:rsidRPr="00CD0D75">
        <w:rPr>
          <w:rFonts w:ascii="Arial" w:hAnsi="Arial" w:cs="Arial"/>
        </w:rPr>
        <w:t>je pristupila izradi Koncesionog akt</w:t>
      </w:r>
      <w:r>
        <w:rPr>
          <w:rFonts w:ascii="Arial" w:hAnsi="Arial" w:cs="Arial"/>
        </w:rPr>
        <w:t>a na osnovu Rješenja br. 970-365/2017-8 od 27.11.2017. g</w:t>
      </w:r>
      <w:r w:rsidRPr="00CD0D75">
        <w:rPr>
          <w:rFonts w:ascii="Arial" w:hAnsi="Arial" w:cs="Arial"/>
        </w:rPr>
        <w:t>odine.</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U skladu sa članom 8 stav 3 Zakona o koncesijama, prije upućivanja Koncesionog akta Vladi na usvajanje, Ministarstvo organizuje i sprovodi javnu raspravu u roku od 15 do 30 dana od dana upućivanja javnog poziva za javnu raspravu.</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 xml:space="preserve">Poslije sprovedene javne rasprave, </w:t>
      </w:r>
      <w:r>
        <w:rPr>
          <w:rFonts w:ascii="Arial" w:hAnsi="Arial" w:cs="Arial"/>
        </w:rPr>
        <w:t>M</w:t>
      </w:r>
      <w:r w:rsidRPr="00CD0D75">
        <w:rPr>
          <w:rFonts w:ascii="Arial" w:hAnsi="Arial" w:cs="Arial"/>
        </w:rPr>
        <w:t>inistarstvo dostavlja Vladi, u skladu sa članom 8 stav 6 Zakona o koncesijama, Koncesioni akt sa Izvještajem sa javne rasprave na usvajanje.</w:t>
      </w:r>
    </w:p>
    <w:p w:rsidR="008A63CC" w:rsidRPr="00CD0D75" w:rsidRDefault="008A63CC" w:rsidP="008A63CC">
      <w:pPr>
        <w:spacing w:after="0"/>
        <w:jc w:val="both"/>
        <w:rPr>
          <w:rFonts w:ascii="Arial" w:hAnsi="Arial" w:cs="Arial"/>
        </w:rPr>
      </w:pPr>
      <w:r w:rsidRPr="00CD0D75">
        <w:rPr>
          <w:rFonts w:ascii="Arial" w:hAnsi="Arial" w:cs="Arial"/>
        </w:rPr>
        <w:t>Nakon usvajanja Koncesionog akta od strane Vlade, Ministarstvo objavljuje Javni oglas za davanje koncesije za eksploataciju  mineralne sirovine tehničko-građevinskog  kamena na ležištu “Otilovići”, opština Pljevlja.</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lang w:eastAsia="sl-SI"/>
        </w:rPr>
      </w:pPr>
      <w:r w:rsidRPr="00CD0D75">
        <w:rPr>
          <w:rFonts w:ascii="Arial" w:hAnsi="Arial" w:cs="Arial"/>
          <w:lang w:eastAsia="sl-SI"/>
        </w:rPr>
        <w:t xml:space="preserve">Koncesija za </w:t>
      </w:r>
      <w:r w:rsidRPr="00CD0D75">
        <w:rPr>
          <w:rFonts w:ascii="Arial" w:hAnsi="Arial" w:cs="Arial"/>
        </w:rPr>
        <w:t>eksploataciju tehničko-građevinskog kamena na ležištu “Otilovići”, opština Pljevlja,  se daje</w:t>
      </w:r>
      <w:r w:rsidRPr="00CD0D75">
        <w:rPr>
          <w:rFonts w:ascii="Arial" w:hAnsi="Arial" w:cs="Arial"/>
          <w:lang w:eastAsia="sl-SI"/>
        </w:rPr>
        <w:t xml:space="preserve"> putem javnog nadmetanja u otvorenom postupku, na način propisan Zakonom o koncesijama.</w:t>
      </w:r>
    </w:p>
    <w:p w:rsidR="008A63CC" w:rsidRPr="00CD0D75" w:rsidRDefault="008A63CC" w:rsidP="008A63CC">
      <w:pPr>
        <w:spacing w:after="0"/>
        <w:rPr>
          <w:rFonts w:ascii="Arial" w:hAnsi="Arial" w:cs="Arial"/>
          <w:lang w:eastAsia="sl-SI"/>
        </w:rPr>
      </w:pPr>
    </w:p>
    <w:p w:rsidR="008A63CC" w:rsidRPr="00CD0D75" w:rsidRDefault="008A63CC" w:rsidP="008A63CC">
      <w:pPr>
        <w:spacing w:after="0"/>
        <w:rPr>
          <w:rFonts w:ascii="Arial" w:hAnsi="Arial" w:cs="Arial"/>
          <w:color w:val="00000A"/>
        </w:rPr>
      </w:pPr>
      <w:r w:rsidRPr="00CD0D75">
        <w:rPr>
          <w:rFonts w:ascii="Arial" w:hAnsi="Arial" w:cs="Arial"/>
          <w:lang w:eastAsia="sl-SI"/>
        </w:rPr>
        <w:t>Ponuđač dostavlja ponudu na osnovu Javnog oglasa za davanje koncesije. Rok za dostavljanje ponuda iznosi jedan</w:t>
      </w:r>
      <w:r w:rsidRPr="00CD0D75">
        <w:rPr>
          <w:rFonts w:ascii="Arial" w:hAnsi="Arial" w:cs="Arial"/>
          <w:color w:val="FF0000"/>
          <w:lang w:eastAsia="sl-SI"/>
        </w:rPr>
        <w:t xml:space="preserve"> </w:t>
      </w:r>
      <w:r w:rsidRPr="00CD0D75">
        <w:rPr>
          <w:rFonts w:ascii="Arial" w:hAnsi="Arial" w:cs="Arial"/>
          <w:lang w:eastAsia="sl-SI"/>
        </w:rPr>
        <w:t>mjesec od dana objavljivanja javnog oglasa u ’’Službenom listu Crne Gore’’.</w:t>
      </w:r>
    </w:p>
    <w:p w:rsidR="008A63CC" w:rsidRPr="00CD0D75" w:rsidRDefault="008A63CC" w:rsidP="008A63CC">
      <w:pPr>
        <w:spacing w:after="0"/>
        <w:rPr>
          <w:rFonts w:ascii="Arial" w:hAnsi="Arial" w:cs="Arial"/>
        </w:rPr>
      </w:pPr>
    </w:p>
    <w:p w:rsidR="008A63CC" w:rsidRPr="00CD0D75" w:rsidRDefault="008A63CC" w:rsidP="008A63CC">
      <w:pPr>
        <w:spacing w:after="0"/>
        <w:rPr>
          <w:rFonts w:ascii="Arial" w:hAnsi="Arial" w:cs="Arial"/>
        </w:rPr>
      </w:pPr>
    </w:p>
    <w:p w:rsidR="008A63CC" w:rsidRPr="00CD0D75" w:rsidRDefault="008A63CC" w:rsidP="008A63CC">
      <w:pPr>
        <w:spacing w:after="0"/>
        <w:rPr>
          <w:rFonts w:ascii="Arial" w:hAnsi="Arial" w:cs="Arial"/>
        </w:rPr>
      </w:pPr>
    </w:p>
    <w:p w:rsidR="00C26E77" w:rsidRPr="00CD0D75" w:rsidRDefault="00C26E77" w:rsidP="00CD0D75">
      <w:pPr>
        <w:spacing w:after="0"/>
        <w:rPr>
          <w:rFonts w:ascii="Arial" w:hAnsi="Arial" w:cs="Arial"/>
        </w:rPr>
      </w:pPr>
    </w:p>
    <w:p w:rsidR="00C26E77" w:rsidRPr="00CD0D75" w:rsidRDefault="00C26E77" w:rsidP="00CD0D75">
      <w:pPr>
        <w:spacing w:after="0"/>
        <w:rPr>
          <w:rFonts w:ascii="Arial" w:hAnsi="Arial" w:cs="Arial"/>
        </w:rPr>
      </w:pPr>
    </w:p>
    <w:p w:rsidR="00C26E77" w:rsidRPr="00CD0D75" w:rsidRDefault="00C26E77" w:rsidP="00CD0D75">
      <w:pPr>
        <w:spacing w:after="0"/>
        <w:rPr>
          <w:rFonts w:ascii="Arial" w:hAnsi="Arial" w:cs="Arial"/>
        </w:rPr>
      </w:pPr>
    </w:p>
    <w:p w:rsidR="00C26E77" w:rsidRPr="00CD0D75" w:rsidRDefault="00C26E77" w:rsidP="00CD0D75">
      <w:pPr>
        <w:spacing w:after="0"/>
        <w:rPr>
          <w:rFonts w:ascii="Arial" w:hAnsi="Arial" w:cs="Arial"/>
        </w:rPr>
      </w:pPr>
    </w:p>
    <w:p w:rsidR="00C26E77" w:rsidRPr="00CD0D75" w:rsidRDefault="00C26E77" w:rsidP="00CD0D75">
      <w:pPr>
        <w:spacing w:after="0"/>
        <w:rPr>
          <w:rFonts w:ascii="Arial" w:hAnsi="Arial" w:cs="Arial"/>
        </w:rPr>
      </w:pPr>
    </w:p>
    <w:p w:rsidR="00C26E77" w:rsidRPr="00CD0D75" w:rsidRDefault="00C26E77" w:rsidP="00CD0D75">
      <w:pPr>
        <w:spacing w:after="0"/>
        <w:rPr>
          <w:rFonts w:ascii="Arial" w:hAnsi="Arial" w:cs="Arial"/>
        </w:rPr>
      </w:pPr>
    </w:p>
    <w:p w:rsidR="00C26E77" w:rsidRDefault="00C26E77" w:rsidP="00CD0D75">
      <w:pPr>
        <w:spacing w:after="0"/>
        <w:rPr>
          <w:rFonts w:ascii="Arial" w:hAnsi="Arial" w:cs="Arial"/>
        </w:rPr>
      </w:pPr>
    </w:p>
    <w:p w:rsidR="00881468" w:rsidRDefault="00881468" w:rsidP="00CD0D75">
      <w:pPr>
        <w:spacing w:after="0"/>
        <w:rPr>
          <w:rFonts w:ascii="Arial" w:hAnsi="Arial" w:cs="Arial"/>
        </w:rPr>
      </w:pPr>
    </w:p>
    <w:p w:rsidR="00881468" w:rsidRDefault="00881468" w:rsidP="00CD0D75">
      <w:pPr>
        <w:spacing w:after="0"/>
        <w:rPr>
          <w:rFonts w:ascii="Arial" w:hAnsi="Arial" w:cs="Arial"/>
        </w:rPr>
      </w:pPr>
    </w:p>
    <w:p w:rsidR="00881468" w:rsidRPr="00CD0D75" w:rsidRDefault="00881468" w:rsidP="00CD0D75">
      <w:pPr>
        <w:spacing w:after="0"/>
        <w:rPr>
          <w:rFonts w:ascii="Arial" w:hAnsi="Arial" w:cs="Arial"/>
        </w:rPr>
      </w:pPr>
    </w:p>
    <w:p w:rsidR="00C26E77" w:rsidRPr="00CD0D75" w:rsidRDefault="00C26E77" w:rsidP="00CD0D75">
      <w:pPr>
        <w:spacing w:after="0"/>
        <w:rPr>
          <w:rFonts w:ascii="Arial" w:hAnsi="Arial" w:cs="Arial"/>
        </w:rPr>
      </w:pPr>
    </w:p>
    <w:p w:rsidR="00C26E77" w:rsidRPr="00CD0D75" w:rsidRDefault="00C26E77" w:rsidP="00CD0D75">
      <w:pPr>
        <w:spacing w:after="0"/>
        <w:rPr>
          <w:rFonts w:ascii="Arial" w:hAnsi="Arial" w:cs="Arial"/>
        </w:rPr>
      </w:pPr>
    </w:p>
    <w:p w:rsidR="00C26E77" w:rsidRPr="00CD0D75" w:rsidRDefault="00C26E77" w:rsidP="00CD0D75">
      <w:pPr>
        <w:spacing w:after="0"/>
        <w:rPr>
          <w:rFonts w:ascii="Arial" w:hAnsi="Arial" w:cs="Arial"/>
        </w:rPr>
      </w:pPr>
    </w:p>
    <w:p w:rsidR="008A63CC" w:rsidRPr="00CD0D75" w:rsidRDefault="008A63CC" w:rsidP="008A63CC">
      <w:pPr>
        <w:spacing w:after="0"/>
        <w:jc w:val="both"/>
        <w:rPr>
          <w:rFonts w:ascii="Arial" w:hAnsi="Arial" w:cs="Arial"/>
          <w:b/>
          <w:u w:val="single"/>
        </w:rPr>
      </w:pPr>
      <w:r w:rsidRPr="00CD0D75">
        <w:rPr>
          <w:rFonts w:ascii="Arial" w:hAnsi="Arial" w:cs="Arial"/>
          <w:b/>
          <w:u w:val="single"/>
        </w:rPr>
        <w:lastRenderedPageBreak/>
        <w:t>2.1.  Predmet koncesije</w:t>
      </w:r>
    </w:p>
    <w:p w:rsidR="008A63CC" w:rsidRPr="00CD0D75" w:rsidRDefault="008A63CC" w:rsidP="008A63CC">
      <w:pPr>
        <w:spacing w:after="0"/>
        <w:jc w:val="both"/>
        <w:rPr>
          <w:rFonts w:ascii="Arial" w:hAnsi="Arial" w:cs="Arial"/>
          <w:b/>
        </w:rPr>
      </w:pPr>
    </w:p>
    <w:p w:rsidR="008A63CC" w:rsidRPr="00CD0D75" w:rsidRDefault="008A63CC" w:rsidP="008A63CC">
      <w:pPr>
        <w:spacing w:after="0"/>
        <w:jc w:val="both"/>
        <w:rPr>
          <w:rFonts w:ascii="Arial" w:hAnsi="Arial" w:cs="Arial"/>
        </w:rPr>
      </w:pPr>
      <w:r w:rsidRPr="00CD0D75">
        <w:rPr>
          <w:rFonts w:ascii="Arial" w:hAnsi="Arial" w:cs="Arial"/>
        </w:rPr>
        <w:t>Predmet ovog Koncesionog akta je nemetalična mineralna sirovina tehničko-građevinski kamen ležišta  “Otilovići”, opština Pljevlja.</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Rješenjem Ministar</w:t>
      </w:r>
      <w:r>
        <w:rPr>
          <w:rFonts w:ascii="Arial" w:hAnsi="Arial" w:cs="Arial"/>
        </w:rPr>
        <w:t>stva broj: 970-365/2017-8 od od 27.11.</w:t>
      </w:r>
      <w:r w:rsidRPr="00CD0D75">
        <w:rPr>
          <w:rFonts w:ascii="Arial" w:hAnsi="Arial" w:cs="Arial"/>
        </w:rPr>
        <w:t>2017. godine, obrazovana je stručna Radna grupa za izradu Koncesionog akta za dodjelu koncesije za  eksploataciju mineralne sirovine tehničko-građevinskog kamena na ležištu „Otilovići“, opština Pljevlja.</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b/>
          <w:u w:val="single"/>
        </w:rPr>
      </w:pPr>
      <w:r w:rsidRPr="00CD0D75">
        <w:rPr>
          <w:rFonts w:ascii="Arial" w:hAnsi="Arial" w:cs="Arial"/>
          <w:b/>
          <w:u w:val="single"/>
        </w:rPr>
        <w:t>2.2. Položaj i opis lokacije istražno-eksploatacionog prostora</w:t>
      </w:r>
    </w:p>
    <w:p w:rsidR="008A63CC" w:rsidRPr="00CD0D75" w:rsidRDefault="008A63CC" w:rsidP="008A63CC">
      <w:pPr>
        <w:spacing w:after="0"/>
        <w:jc w:val="both"/>
        <w:rPr>
          <w:rFonts w:ascii="Arial" w:hAnsi="Arial" w:cs="Arial"/>
          <w:b/>
        </w:rPr>
      </w:pPr>
    </w:p>
    <w:p w:rsidR="008A63CC" w:rsidRPr="00CD0D75" w:rsidRDefault="008A63CC" w:rsidP="008A63CC">
      <w:pPr>
        <w:spacing w:after="0"/>
        <w:jc w:val="both"/>
        <w:rPr>
          <w:rFonts w:ascii="Arial" w:hAnsi="Arial" w:cs="Arial"/>
        </w:rPr>
      </w:pPr>
      <w:r>
        <w:rPr>
          <w:rFonts w:ascii="Arial" w:hAnsi="Arial" w:cs="Arial"/>
        </w:rPr>
        <w:t>Istražno-eksploatacioni prostor</w:t>
      </w:r>
      <w:r w:rsidRPr="00CD0D75">
        <w:rPr>
          <w:rFonts w:ascii="Arial" w:hAnsi="Arial" w:cs="Arial"/>
        </w:rPr>
        <w:t>“</w:t>
      </w:r>
      <w:r>
        <w:rPr>
          <w:rFonts w:ascii="Arial" w:hAnsi="Arial" w:cs="Arial"/>
        </w:rPr>
        <w:t xml:space="preserve"> </w:t>
      </w:r>
      <w:r w:rsidRPr="00CD0D75">
        <w:rPr>
          <w:rFonts w:ascii="Arial" w:hAnsi="Arial" w:cs="Arial"/>
        </w:rPr>
        <w:t>Otilovići” nalazi se u blizini Pljevalja na udaljenosti  od oko 4 km vazdušne linije u pravcu istok-jugoistok, na obodu otilovićkog ugljenog basena. Lociran je neposredno uz regionalni put Pljevlja-Slijepač</w:t>
      </w:r>
      <w:r>
        <w:rPr>
          <w:rFonts w:ascii="Arial" w:hAnsi="Arial" w:cs="Arial"/>
        </w:rPr>
        <w:t xml:space="preserve"> most, koji se u mjestu Jagnjilo</w:t>
      </w:r>
      <w:r w:rsidRPr="00CD0D75">
        <w:rPr>
          <w:rFonts w:ascii="Arial" w:hAnsi="Arial" w:cs="Arial"/>
        </w:rPr>
        <w:t xml:space="preserve"> odvaja od magistralnog puta Pljevlja-Prijepolje i dalje preko Otilovića i Ma</w:t>
      </w:r>
      <w:r>
        <w:rPr>
          <w:rFonts w:ascii="Arial" w:hAnsi="Arial" w:cs="Arial"/>
        </w:rPr>
        <w:t xml:space="preserve">taruga vodi ka Slijepač mostu.  </w:t>
      </w:r>
      <w:r w:rsidRPr="00CD0D75">
        <w:rPr>
          <w:rFonts w:ascii="Arial" w:hAnsi="Arial" w:cs="Arial"/>
        </w:rPr>
        <w:t>Administrativno pripada Opštini Pljevlja.</w:t>
      </w:r>
    </w:p>
    <w:p w:rsidR="008A63CC" w:rsidRPr="00CD0D75" w:rsidRDefault="008A63CC" w:rsidP="008A63CC">
      <w:pPr>
        <w:spacing w:after="0"/>
        <w:jc w:val="both"/>
        <w:rPr>
          <w:rFonts w:ascii="Arial" w:hAnsi="Arial" w:cs="Arial"/>
        </w:rPr>
      </w:pPr>
    </w:p>
    <w:p w:rsidR="008A63CC" w:rsidRDefault="008A63CC" w:rsidP="008A63CC">
      <w:pPr>
        <w:spacing w:after="0"/>
        <w:jc w:val="both"/>
        <w:rPr>
          <w:rFonts w:ascii="Arial" w:hAnsi="Arial" w:cs="Arial"/>
        </w:rPr>
      </w:pPr>
      <w:r w:rsidRPr="00CD0D75">
        <w:rPr>
          <w:rFonts w:ascii="Arial" w:hAnsi="Arial" w:cs="Arial"/>
        </w:rPr>
        <w:t>Istražno-eksploatacioni prostor „Otilovići“ pripada geografskom listu „Pljevlja“, 1:100 000, odnosno sekciji Otilovići, 1:25 000.</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Koordinate i kote konturnih tačaka i površina  istražno-eksploatacionog prostora ‘Otilovići’’ dati su u slijedećoj tabeli:</w:t>
      </w:r>
    </w:p>
    <w:tbl>
      <w:tblPr>
        <w:tblStyle w:val="TableGrid"/>
        <w:tblW w:w="0" w:type="auto"/>
        <w:tblLook w:val="01E0"/>
      </w:tblPr>
      <w:tblGrid>
        <w:gridCol w:w="2302"/>
        <w:gridCol w:w="2303"/>
        <w:gridCol w:w="2303"/>
        <w:gridCol w:w="2303"/>
      </w:tblGrid>
      <w:tr w:rsidR="008A63CC" w:rsidRPr="00CD0D75" w:rsidTr="008A63CC">
        <w:tc>
          <w:tcPr>
            <w:tcW w:w="2302" w:type="dxa"/>
            <w:vMerge w:val="restart"/>
            <w:tcBorders>
              <w:top w:val="single" w:sz="12" w:space="0" w:color="auto"/>
              <w:left w:val="single" w:sz="12" w:space="0" w:color="auto"/>
              <w:right w:val="single" w:sz="12" w:space="0" w:color="auto"/>
            </w:tcBorders>
          </w:tcPr>
          <w:p w:rsidR="008A63CC" w:rsidRPr="00CD0D75" w:rsidRDefault="008A63CC" w:rsidP="008A63CC">
            <w:pPr>
              <w:spacing w:line="276" w:lineRule="auto"/>
              <w:jc w:val="center"/>
              <w:rPr>
                <w:rFonts w:ascii="Arial" w:hAnsi="Arial" w:cs="Arial"/>
                <w:sz w:val="22"/>
                <w:szCs w:val="22"/>
              </w:rPr>
            </w:pPr>
          </w:p>
          <w:p w:rsidR="008A63CC" w:rsidRPr="00CD0D75" w:rsidRDefault="008A63CC" w:rsidP="008A63CC">
            <w:pPr>
              <w:spacing w:line="276" w:lineRule="auto"/>
              <w:jc w:val="center"/>
              <w:rPr>
                <w:rFonts w:ascii="Arial" w:hAnsi="Arial" w:cs="Arial"/>
                <w:b/>
                <w:sz w:val="22"/>
                <w:szCs w:val="22"/>
              </w:rPr>
            </w:pPr>
            <w:r w:rsidRPr="00CD0D75">
              <w:rPr>
                <w:rFonts w:ascii="Arial" w:hAnsi="Arial" w:cs="Arial"/>
                <w:b/>
                <w:sz w:val="22"/>
                <w:szCs w:val="22"/>
              </w:rPr>
              <w:t>T A Č K A</w:t>
            </w:r>
          </w:p>
        </w:tc>
        <w:tc>
          <w:tcPr>
            <w:tcW w:w="4606" w:type="dxa"/>
            <w:gridSpan w:val="2"/>
            <w:tcBorders>
              <w:top w:val="single" w:sz="12" w:space="0" w:color="auto"/>
              <w:left w:val="single" w:sz="12" w:space="0" w:color="auto"/>
              <w:bottom w:val="single" w:sz="12" w:space="0" w:color="auto"/>
              <w:right w:val="single" w:sz="12" w:space="0" w:color="auto"/>
            </w:tcBorders>
          </w:tcPr>
          <w:p w:rsidR="008A63CC" w:rsidRPr="00CD0D75" w:rsidRDefault="008A63CC" w:rsidP="008A63CC">
            <w:pPr>
              <w:spacing w:line="276" w:lineRule="auto"/>
              <w:jc w:val="center"/>
              <w:rPr>
                <w:rFonts w:ascii="Arial" w:hAnsi="Arial" w:cs="Arial"/>
                <w:b/>
                <w:sz w:val="22"/>
                <w:szCs w:val="22"/>
                <w:lang w:val="sr-Latn-CS"/>
              </w:rPr>
            </w:pPr>
            <w:r w:rsidRPr="00CD0D75">
              <w:rPr>
                <w:rFonts w:ascii="Arial" w:hAnsi="Arial" w:cs="Arial"/>
                <w:b/>
                <w:sz w:val="22"/>
                <w:szCs w:val="22"/>
                <w:lang w:val="sr-Latn-CS"/>
              </w:rPr>
              <w:t>K O O R D I N A T E</w:t>
            </w:r>
          </w:p>
        </w:tc>
        <w:tc>
          <w:tcPr>
            <w:tcW w:w="2303" w:type="dxa"/>
            <w:vMerge w:val="restart"/>
            <w:tcBorders>
              <w:top w:val="single" w:sz="12" w:space="0" w:color="auto"/>
              <w:left w:val="single" w:sz="12" w:space="0" w:color="auto"/>
              <w:right w:val="single" w:sz="12" w:space="0" w:color="auto"/>
            </w:tcBorders>
          </w:tcPr>
          <w:p w:rsidR="008A63CC" w:rsidRPr="00CD0D75" w:rsidRDefault="008A63CC" w:rsidP="008A63CC">
            <w:pPr>
              <w:spacing w:line="276" w:lineRule="auto"/>
              <w:jc w:val="center"/>
              <w:rPr>
                <w:rFonts w:ascii="Arial" w:hAnsi="Arial" w:cs="Arial"/>
                <w:sz w:val="22"/>
                <w:szCs w:val="22"/>
                <w:lang w:val="sr-Latn-CS"/>
              </w:rPr>
            </w:pPr>
          </w:p>
          <w:p w:rsidR="008A63CC" w:rsidRPr="00CD0D75" w:rsidRDefault="008A63CC" w:rsidP="008A63CC">
            <w:pPr>
              <w:spacing w:line="276" w:lineRule="auto"/>
              <w:jc w:val="center"/>
              <w:rPr>
                <w:rFonts w:ascii="Arial" w:hAnsi="Arial" w:cs="Arial"/>
                <w:sz w:val="22"/>
                <w:szCs w:val="22"/>
                <w:lang w:val="sr-Latn-CS"/>
              </w:rPr>
            </w:pPr>
            <w:r w:rsidRPr="00CD0D75">
              <w:rPr>
                <w:rFonts w:ascii="Arial" w:hAnsi="Arial" w:cs="Arial"/>
                <w:b/>
                <w:sz w:val="22"/>
                <w:szCs w:val="22"/>
                <w:lang w:val="sr-Latn-CS"/>
              </w:rPr>
              <w:t>POVRŠINA (ha)</w:t>
            </w:r>
          </w:p>
        </w:tc>
      </w:tr>
      <w:tr w:rsidR="008A63CC" w:rsidRPr="00CD0D75" w:rsidTr="008A63CC">
        <w:tc>
          <w:tcPr>
            <w:tcW w:w="2302" w:type="dxa"/>
            <w:vMerge/>
            <w:tcBorders>
              <w:left w:val="single" w:sz="12" w:space="0" w:color="auto"/>
              <w:bottom w:val="single" w:sz="12" w:space="0" w:color="auto"/>
              <w:right w:val="single" w:sz="12" w:space="0" w:color="auto"/>
            </w:tcBorders>
          </w:tcPr>
          <w:p w:rsidR="008A63CC" w:rsidRPr="00CD0D75" w:rsidRDefault="008A63CC" w:rsidP="008A63CC">
            <w:pPr>
              <w:spacing w:line="276" w:lineRule="auto"/>
              <w:jc w:val="center"/>
              <w:rPr>
                <w:rFonts w:ascii="Arial" w:hAnsi="Arial" w:cs="Arial"/>
                <w:sz w:val="22"/>
                <w:szCs w:val="22"/>
                <w:lang w:val="sr-Latn-CS"/>
              </w:rPr>
            </w:pPr>
          </w:p>
        </w:tc>
        <w:tc>
          <w:tcPr>
            <w:tcW w:w="2303" w:type="dxa"/>
            <w:tcBorders>
              <w:top w:val="single" w:sz="12" w:space="0" w:color="auto"/>
              <w:left w:val="single" w:sz="12" w:space="0" w:color="auto"/>
              <w:bottom w:val="single" w:sz="12" w:space="0" w:color="auto"/>
              <w:right w:val="single" w:sz="12" w:space="0" w:color="auto"/>
            </w:tcBorders>
          </w:tcPr>
          <w:p w:rsidR="008A63CC" w:rsidRPr="00CD0D75" w:rsidRDefault="008A63CC" w:rsidP="008A63CC">
            <w:pPr>
              <w:spacing w:line="276" w:lineRule="auto"/>
              <w:jc w:val="center"/>
              <w:rPr>
                <w:rFonts w:ascii="Arial" w:hAnsi="Arial" w:cs="Arial"/>
                <w:b/>
                <w:sz w:val="22"/>
                <w:szCs w:val="22"/>
                <w:lang w:val="sr-Latn-CS"/>
              </w:rPr>
            </w:pPr>
            <w:r w:rsidRPr="00CD0D75">
              <w:rPr>
                <w:rFonts w:ascii="Arial" w:hAnsi="Arial" w:cs="Arial"/>
                <w:b/>
                <w:sz w:val="22"/>
                <w:szCs w:val="22"/>
                <w:lang w:val="sr-Latn-CS"/>
              </w:rPr>
              <w:t>X</w:t>
            </w:r>
          </w:p>
        </w:tc>
        <w:tc>
          <w:tcPr>
            <w:tcW w:w="2303" w:type="dxa"/>
            <w:tcBorders>
              <w:top w:val="single" w:sz="12" w:space="0" w:color="auto"/>
              <w:left w:val="single" w:sz="12" w:space="0" w:color="auto"/>
              <w:bottom w:val="single" w:sz="12" w:space="0" w:color="auto"/>
              <w:right w:val="single" w:sz="12" w:space="0" w:color="auto"/>
            </w:tcBorders>
          </w:tcPr>
          <w:p w:rsidR="008A63CC" w:rsidRPr="00CD0D75" w:rsidRDefault="008A63CC" w:rsidP="008A63CC">
            <w:pPr>
              <w:spacing w:line="276" w:lineRule="auto"/>
              <w:jc w:val="center"/>
              <w:rPr>
                <w:rFonts w:ascii="Arial" w:hAnsi="Arial" w:cs="Arial"/>
                <w:b/>
                <w:sz w:val="22"/>
                <w:szCs w:val="22"/>
                <w:lang w:val="sr-Latn-CS"/>
              </w:rPr>
            </w:pPr>
            <w:r w:rsidRPr="00CD0D75">
              <w:rPr>
                <w:rFonts w:ascii="Arial" w:hAnsi="Arial" w:cs="Arial"/>
                <w:b/>
                <w:sz w:val="22"/>
                <w:szCs w:val="22"/>
                <w:lang w:val="sr-Latn-CS"/>
              </w:rPr>
              <w:t>Y</w:t>
            </w:r>
          </w:p>
        </w:tc>
        <w:tc>
          <w:tcPr>
            <w:tcW w:w="2303" w:type="dxa"/>
            <w:vMerge/>
            <w:tcBorders>
              <w:left w:val="single" w:sz="12" w:space="0" w:color="auto"/>
              <w:bottom w:val="single" w:sz="12" w:space="0" w:color="auto"/>
              <w:right w:val="single" w:sz="12" w:space="0" w:color="auto"/>
            </w:tcBorders>
          </w:tcPr>
          <w:p w:rsidR="008A63CC" w:rsidRPr="00CD0D75" w:rsidRDefault="008A63CC" w:rsidP="008A63CC">
            <w:pPr>
              <w:spacing w:line="276" w:lineRule="auto"/>
              <w:jc w:val="center"/>
              <w:rPr>
                <w:rFonts w:ascii="Arial" w:hAnsi="Arial" w:cs="Arial"/>
                <w:sz w:val="22"/>
                <w:szCs w:val="22"/>
                <w:lang w:val="sr-Latn-CS"/>
              </w:rPr>
            </w:pPr>
          </w:p>
        </w:tc>
      </w:tr>
      <w:tr w:rsidR="008A63CC" w:rsidRPr="00CD0D75" w:rsidTr="008A63CC">
        <w:tc>
          <w:tcPr>
            <w:tcW w:w="2302" w:type="dxa"/>
            <w:tcBorders>
              <w:top w:val="single" w:sz="12" w:space="0" w:color="auto"/>
              <w:left w:val="single" w:sz="12" w:space="0" w:color="auto"/>
              <w:right w:val="single" w:sz="12" w:space="0" w:color="auto"/>
            </w:tcBorders>
          </w:tcPr>
          <w:p w:rsidR="008A63CC" w:rsidRPr="00CD0D75" w:rsidRDefault="008A63CC" w:rsidP="008A63CC">
            <w:pPr>
              <w:spacing w:line="276" w:lineRule="auto"/>
              <w:jc w:val="center"/>
              <w:rPr>
                <w:rFonts w:ascii="Arial" w:hAnsi="Arial" w:cs="Arial"/>
                <w:b/>
                <w:sz w:val="22"/>
                <w:szCs w:val="22"/>
                <w:lang w:val="sr-Latn-CS"/>
              </w:rPr>
            </w:pPr>
            <w:r w:rsidRPr="00CD0D75">
              <w:rPr>
                <w:rFonts w:ascii="Arial" w:hAnsi="Arial" w:cs="Arial"/>
                <w:b/>
                <w:sz w:val="22"/>
                <w:szCs w:val="22"/>
                <w:lang w:val="sr-Latn-CS"/>
              </w:rPr>
              <w:t>A</w:t>
            </w:r>
          </w:p>
        </w:tc>
        <w:tc>
          <w:tcPr>
            <w:tcW w:w="2303" w:type="dxa"/>
            <w:tcBorders>
              <w:top w:val="single" w:sz="12" w:space="0" w:color="auto"/>
              <w:left w:val="single" w:sz="12" w:space="0" w:color="auto"/>
              <w:right w:val="single" w:sz="12" w:space="0" w:color="auto"/>
            </w:tcBorders>
          </w:tcPr>
          <w:p w:rsidR="008A63CC" w:rsidRPr="00CD0D75" w:rsidRDefault="008A63CC" w:rsidP="008A63CC">
            <w:pPr>
              <w:spacing w:line="276" w:lineRule="auto"/>
              <w:jc w:val="center"/>
              <w:rPr>
                <w:rFonts w:ascii="Arial" w:hAnsi="Arial" w:cs="Arial"/>
                <w:sz w:val="22"/>
                <w:szCs w:val="22"/>
                <w:lang w:val="sr-Latn-CS"/>
              </w:rPr>
            </w:pPr>
            <w:r w:rsidRPr="00CD0D75">
              <w:rPr>
                <w:rFonts w:ascii="Arial" w:hAnsi="Arial" w:cs="Arial"/>
                <w:sz w:val="22"/>
                <w:szCs w:val="22"/>
                <w:lang w:val="sr-Latn-CS"/>
              </w:rPr>
              <w:t>4 800 743</w:t>
            </w:r>
          </w:p>
        </w:tc>
        <w:tc>
          <w:tcPr>
            <w:tcW w:w="2303" w:type="dxa"/>
            <w:tcBorders>
              <w:top w:val="single" w:sz="12" w:space="0" w:color="auto"/>
              <w:left w:val="single" w:sz="12" w:space="0" w:color="auto"/>
              <w:right w:val="single" w:sz="12" w:space="0" w:color="auto"/>
            </w:tcBorders>
          </w:tcPr>
          <w:p w:rsidR="008A63CC" w:rsidRPr="00CD0D75" w:rsidRDefault="008A63CC" w:rsidP="008A63CC">
            <w:pPr>
              <w:spacing w:line="276" w:lineRule="auto"/>
              <w:jc w:val="center"/>
              <w:rPr>
                <w:rFonts w:ascii="Arial" w:hAnsi="Arial" w:cs="Arial"/>
                <w:sz w:val="22"/>
                <w:szCs w:val="22"/>
                <w:lang w:val="sr-Latn-CS"/>
              </w:rPr>
            </w:pPr>
            <w:r w:rsidRPr="00CD0D75">
              <w:rPr>
                <w:rFonts w:ascii="Arial" w:hAnsi="Arial" w:cs="Arial"/>
                <w:sz w:val="22"/>
                <w:szCs w:val="22"/>
                <w:lang w:val="sr-Latn-CS"/>
              </w:rPr>
              <w:t>6 614 127</w:t>
            </w:r>
          </w:p>
        </w:tc>
        <w:tc>
          <w:tcPr>
            <w:tcW w:w="2303" w:type="dxa"/>
            <w:vMerge w:val="restart"/>
            <w:tcBorders>
              <w:top w:val="single" w:sz="12" w:space="0" w:color="auto"/>
              <w:left w:val="single" w:sz="12" w:space="0" w:color="auto"/>
              <w:right w:val="single" w:sz="12" w:space="0" w:color="auto"/>
            </w:tcBorders>
          </w:tcPr>
          <w:p w:rsidR="008A63CC" w:rsidRPr="00CD0D75" w:rsidRDefault="008A63CC" w:rsidP="008A63CC">
            <w:pPr>
              <w:spacing w:line="276" w:lineRule="auto"/>
              <w:jc w:val="center"/>
              <w:rPr>
                <w:rFonts w:ascii="Arial" w:hAnsi="Arial" w:cs="Arial"/>
                <w:sz w:val="22"/>
                <w:szCs w:val="22"/>
                <w:lang w:val="sr-Latn-CS"/>
              </w:rPr>
            </w:pPr>
          </w:p>
          <w:p w:rsidR="008A63CC" w:rsidRPr="00CD0D75" w:rsidRDefault="008A63CC" w:rsidP="008A63CC">
            <w:pPr>
              <w:spacing w:line="276" w:lineRule="auto"/>
              <w:jc w:val="center"/>
              <w:rPr>
                <w:rFonts w:ascii="Arial" w:hAnsi="Arial" w:cs="Arial"/>
                <w:sz w:val="22"/>
                <w:szCs w:val="22"/>
                <w:lang w:val="sr-Latn-CS"/>
              </w:rPr>
            </w:pPr>
          </w:p>
          <w:p w:rsidR="008A63CC" w:rsidRPr="00CD0D75" w:rsidRDefault="008A63CC" w:rsidP="008A63CC">
            <w:pPr>
              <w:spacing w:line="276" w:lineRule="auto"/>
              <w:jc w:val="center"/>
              <w:rPr>
                <w:rFonts w:ascii="Arial" w:hAnsi="Arial" w:cs="Arial"/>
                <w:b/>
                <w:sz w:val="22"/>
                <w:szCs w:val="22"/>
                <w:lang w:val="sr-Latn-CS"/>
              </w:rPr>
            </w:pPr>
            <w:r w:rsidRPr="00CD0D75">
              <w:rPr>
                <w:rFonts w:ascii="Arial" w:hAnsi="Arial" w:cs="Arial"/>
                <w:b/>
                <w:sz w:val="22"/>
                <w:szCs w:val="22"/>
                <w:lang w:val="sr-Latn-CS"/>
              </w:rPr>
              <w:t>7,03</w:t>
            </w:r>
          </w:p>
        </w:tc>
      </w:tr>
      <w:tr w:rsidR="008A63CC" w:rsidRPr="00CD0D75" w:rsidTr="008A63CC">
        <w:tc>
          <w:tcPr>
            <w:tcW w:w="2302" w:type="dxa"/>
            <w:tcBorders>
              <w:left w:val="single" w:sz="12" w:space="0" w:color="auto"/>
              <w:right w:val="single" w:sz="12" w:space="0" w:color="auto"/>
            </w:tcBorders>
          </w:tcPr>
          <w:p w:rsidR="008A63CC" w:rsidRPr="00CD0D75" w:rsidRDefault="008A63CC" w:rsidP="008A63CC">
            <w:pPr>
              <w:spacing w:line="276" w:lineRule="auto"/>
              <w:jc w:val="center"/>
              <w:rPr>
                <w:rFonts w:ascii="Arial" w:hAnsi="Arial" w:cs="Arial"/>
                <w:b/>
                <w:sz w:val="22"/>
                <w:szCs w:val="22"/>
                <w:lang w:val="sr-Latn-CS"/>
              </w:rPr>
            </w:pPr>
            <w:r w:rsidRPr="00CD0D75">
              <w:rPr>
                <w:rFonts w:ascii="Arial" w:hAnsi="Arial" w:cs="Arial"/>
                <w:b/>
                <w:sz w:val="22"/>
                <w:szCs w:val="22"/>
                <w:lang w:val="sr-Latn-CS"/>
              </w:rPr>
              <w:t>B</w:t>
            </w:r>
          </w:p>
        </w:tc>
        <w:tc>
          <w:tcPr>
            <w:tcW w:w="2303" w:type="dxa"/>
            <w:tcBorders>
              <w:left w:val="single" w:sz="12" w:space="0" w:color="auto"/>
              <w:right w:val="single" w:sz="12" w:space="0" w:color="auto"/>
            </w:tcBorders>
          </w:tcPr>
          <w:p w:rsidR="008A63CC" w:rsidRPr="00CD0D75" w:rsidRDefault="008A63CC" w:rsidP="008A63CC">
            <w:pPr>
              <w:spacing w:line="276" w:lineRule="auto"/>
              <w:jc w:val="center"/>
              <w:rPr>
                <w:rFonts w:ascii="Arial" w:hAnsi="Arial" w:cs="Arial"/>
                <w:sz w:val="22"/>
                <w:szCs w:val="22"/>
                <w:lang w:val="sr-Latn-CS"/>
              </w:rPr>
            </w:pPr>
            <w:r w:rsidRPr="00CD0D75">
              <w:rPr>
                <w:rFonts w:ascii="Arial" w:hAnsi="Arial" w:cs="Arial"/>
                <w:sz w:val="22"/>
                <w:szCs w:val="22"/>
                <w:lang w:val="sr-Latn-CS"/>
              </w:rPr>
              <w:t>4 800 785</w:t>
            </w:r>
          </w:p>
        </w:tc>
        <w:tc>
          <w:tcPr>
            <w:tcW w:w="2303" w:type="dxa"/>
            <w:tcBorders>
              <w:left w:val="single" w:sz="12" w:space="0" w:color="auto"/>
              <w:right w:val="single" w:sz="12" w:space="0" w:color="auto"/>
            </w:tcBorders>
          </w:tcPr>
          <w:p w:rsidR="008A63CC" w:rsidRPr="00CD0D75" w:rsidRDefault="008A63CC" w:rsidP="008A63CC">
            <w:pPr>
              <w:spacing w:line="276" w:lineRule="auto"/>
              <w:jc w:val="center"/>
              <w:rPr>
                <w:rFonts w:ascii="Arial" w:hAnsi="Arial" w:cs="Arial"/>
                <w:sz w:val="22"/>
                <w:szCs w:val="22"/>
                <w:lang w:val="sr-Latn-CS"/>
              </w:rPr>
            </w:pPr>
            <w:r w:rsidRPr="00CD0D75">
              <w:rPr>
                <w:rFonts w:ascii="Arial" w:hAnsi="Arial" w:cs="Arial"/>
                <w:sz w:val="22"/>
                <w:szCs w:val="22"/>
                <w:lang w:val="sr-Latn-CS"/>
              </w:rPr>
              <w:t>6 614 203</w:t>
            </w:r>
          </w:p>
        </w:tc>
        <w:tc>
          <w:tcPr>
            <w:tcW w:w="2303" w:type="dxa"/>
            <w:vMerge/>
            <w:tcBorders>
              <w:left w:val="single" w:sz="12" w:space="0" w:color="auto"/>
              <w:right w:val="single" w:sz="12" w:space="0" w:color="auto"/>
            </w:tcBorders>
          </w:tcPr>
          <w:p w:rsidR="008A63CC" w:rsidRPr="00CD0D75" w:rsidRDefault="008A63CC" w:rsidP="008A63CC">
            <w:pPr>
              <w:spacing w:line="276" w:lineRule="auto"/>
              <w:jc w:val="center"/>
              <w:rPr>
                <w:rFonts w:ascii="Arial" w:hAnsi="Arial" w:cs="Arial"/>
                <w:sz w:val="22"/>
                <w:szCs w:val="22"/>
                <w:lang w:val="sr-Latn-CS"/>
              </w:rPr>
            </w:pPr>
          </w:p>
        </w:tc>
      </w:tr>
      <w:tr w:rsidR="008A63CC" w:rsidRPr="00CD0D75" w:rsidTr="008A63CC">
        <w:tc>
          <w:tcPr>
            <w:tcW w:w="2302" w:type="dxa"/>
            <w:tcBorders>
              <w:left w:val="single" w:sz="12" w:space="0" w:color="auto"/>
              <w:right w:val="single" w:sz="12" w:space="0" w:color="auto"/>
            </w:tcBorders>
          </w:tcPr>
          <w:p w:rsidR="008A63CC" w:rsidRPr="00CD0D75" w:rsidRDefault="008A63CC" w:rsidP="008A63CC">
            <w:pPr>
              <w:spacing w:line="276" w:lineRule="auto"/>
              <w:jc w:val="center"/>
              <w:rPr>
                <w:rFonts w:ascii="Arial" w:hAnsi="Arial" w:cs="Arial"/>
                <w:b/>
                <w:sz w:val="22"/>
                <w:szCs w:val="22"/>
                <w:lang w:val="sr-Latn-CS"/>
              </w:rPr>
            </w:pPr>
            <w:r w:rsidRPr="00CD0D75">
              <w:rPr>
                <w:rFonts w:ascii="Arial" w:hAnsi="Arial" w:cs="Arial"/>
                <w:b/>
                <w:sz w:val="22"/>
                <w:szCs w:val="22"/>
                <w:lang w:val="sr-Latn-CS"/>
              </w:rPr>
              <w:t>C</w:t>
            </w:r>
          </w:p>
        </w:tc>
        <w:tc>
          <w:tcPr>
            <w:tcW w:w="2303" w:type="dxa"/>
            <w:tcBorders>
              <w:left w:val="single" w:sz="12" w:space="0" w:color="auto"/>
              <w:right w:val="single" w:sz="12" w:space="0" w:color="auto"/>
            </w:tcBorders>
          </w:tcPr>
          <w:p w:rsidR="008A63CC" w:rsidRPr="00CD0D75" w:rsidRDefault="008A63CC" w:rsidP="008A63CC">
            <w:pPr>
              <w:spacing w:line="276" w:lineRule="auto"/>
              <w:jc w:val="center"/>
              <w:rPr>
                <w:rFonts w:ascii="Arial" w:hAnsi="Arial" w:cs="Arial"/>
                <w:sz w:val="22"/>
                <w:szCs w:val="22"/>
                <w:lang w:val="sr-Latn-CS"/>
              </w:rPr>
            </w:pPr>
            <w:r w:rsidRPr="00CD0D75">
              <w:rPr>
                <w:rFonts w:ascii="Arial" w:hAnsi="Arial" w:cs="Arial"/>
                <w:sz w:val="22"/>
                <w:szCs w:val="22"/>
                <w:lang w:val="sr-Latn-CS"/>
              </w:rPr>
              <w:t>4 800 535</w:t>
            </w:r>
          </w:p>
        </w:tc>
        <w:tc>
          <w:tcPr>
            <w:tcW w:w="2303" w:type="dxa"/>
            <w:tcBorders>
              <w:left w:val="single" w:sz="12" w:space="0" w:color="auto"/>
              <w:right w:val="single" w:sz="12" w:space="0" w:color="auto"/>
            </w:tcBorders>
          </w:tcPr>
          <w:p w:rsidR="008A63CC" w:rsidRPr="00CD0D75" w:rsidRDefault="008A63CC" w:rsidP="008A63CC">
            <w:pPr>
              <w:spacing w:line="276" w:lineRule="auto"/>
              <w:jc w:val="center"/>
              <w:rPr>
                <w:rFonts w:ascii="Arial" w:hAnsi="Arial" w:cs="Arial"/>
                <w:sz w:val="22"/>
                <w:szCs w:val="22"/>
                <w:lang w:val="sr-Latn-CS"/>
              </w:rPr>
            </w:pPr>
            <w:r w:rsidRPr="00CD0D75">
              <w:rPr>
                <w:rFonts w:ascii="Arial" w:hAnsi="Arial" w:cs="Arial"/>
                <w:sz w:val="22"/>
                <w:szCs w:val="22"/>
                <w:lang w:val="sr-Latn-CS"/>
              </w:rPr>
              <w:t>6 614 532</w:t>
            </w:r>
          </w:p>
        </w:tc>
        <w:tc>
          <w:tcPr>
            <w:tcW w:w="2303" w:type="dxa"/>
            <w:vMerge/>
            <w:tcBorders>
              <w:left w:val="single" w:sz="12" w:space="0" w:color="auto"/>
              <w:right w:val="single" w:sz="12" w:space="0" w:color="auto"/>
            </w:tcBorders>
          </w:tcPr>
          <w:p w:rsidR="008A63CC" w:rsidRPr="00CD0D75" w:rsidRDefault="008A63CC" w:rsidP="008A63CC">
            <w:pPr>
              <w:spacing w:line="276" w:lineRule="auto"/>
              <w:jc w:val="center"/>
              <w:rPr>
                <w:rFonts w:ascii="Arial" w:hAnsi="Arial" w:cs="Arial"/>
                <w:sz w:val="22"/>
                <w:szCs w:val="22"/>
                <w:lang w:val="sr-Latn-CS"/>
              </w:rPr>
            </w:pPr>
          </w:p>
        </w:tc>
      </w:tr>
      <w:tr w:rsidR="008A63CC" w:rsidRPr="00CD0D75" w:rsidTr="008A63CC">
        <w:tc>
          <w:tcPr>
            <w:tcW w:w="2302" w:type="dxa"/>
            <w:tcBorders>
              <w:left w:val="single" w:sz="12" w:space="0" w:color="auto"/>
              <w:right w:val="single" w:sz="12" w:space="0" w:color="auto"/>
            </w:tcBorders>
          </w:tcPr>
          <w:p w:rsidR="008A63CC" w:rsidRPr="00CD0D75" w:rsidRDefault="008A63CC" w:rsidP="008A63CC">
            <w:pPr>
              <w:spacing w:line="276" w:lineRule="auto"/>
              <w:jc w:val="center"/>
              <w:rPr>
                <w:rFonts w:ascii="Arial" w:hAnsi="Arial" w:cs="Arial"/>
                <w:b/>
                <w:sz w:val="22"/>
                <w:szCs w:val="22"/>
                <w:lang w:val="sr-Latn-CS"/>
              </w:rPr>
            </w:pPr>
            <w:r w:rsidRPr="00CD0D75">
              <w:rPr>
                <w:rFonts w:ascii="Arial" w:hAnsi="Arial" w:cs="Arial"/>
                <w:b/>
                <w:sz w:val="22"/>
                <w:szCs w:val="22"/>
                <w:lang w:val="sr-Latn-CS"/>
              </w:rPr>
              <w:t>D</w:t>
            </w:r>
          </w:p>
        </w:tc>
        <w:tc>
          <w:tcPr>
            <w:tcW w:w="2303" w:type="dxa"/>
            <w:tcBorders>
              <w:left w:val="single" w:sz="12" w:space="0" w:color="auto"/>
              <w:right w:val="single" w:sz="12" w:space="0" w:color="auto"/>
            </w:tcBorders>
          </w:tcPr>
          <w:p w:rsidR="008A63CC" w:rsidRPr="00CD0D75" w:rsidRDefault="008A63CC" w:rsidP="008A63CC">
            <w:pPr>
              <w:spacing w:line="276" w:lineRule="auto"/>
              <w:jc w:val="center"/>
              <w:rPr>
                <w:rFonts w:ascii="Arial" w:hAnsi="Arial" w:cs="Arial"/>
                <w:sz w:val="22"/>
                <w:szCs w:val="22"/>
                <w:lang w:val="sr-Latn-CS"/>
              </w:rPr>
            </w:pPr>
            <w:r w:rsidRPr="00CD0D75">
              <w:rPr>
                <w:rFonts w:ascii="Arial" w:hAnsi="Arial" w:cs="Arial"/>
                <w:sz w:val="22"/>
                <w:szCs w:val="22"/>
                <w:lang w:val="sr-Latn-CS"/>
              </w:rPr>
              <w:t>4 800 424</w:t>
            </w:r>
          </w:p>
        </w:tc>
        <w:tc>
          <w:tcPr>
            <w:tcW w:w="2303" w:type="dxa"/>
            <w:tcBorders>
              <w:left w:val="single" w:sz="12" w:space="0" w:color="auto"/>
              <w:right w:val="single" w:sz="12" w:space="0" w:color="auto"/>
            </w:tcBorders>
          </w:tcPr>
          <w:p w:rsidR="008A63CC" w:rsidRPr="00CD0D75" w:rsidRDefault="008A63CC" w:rsidP="008A63CC">
            <w:pPr>
              <w:spacing w:line="276" w:lineRule="auto"/>
              <w:jc w:val="center"/>
              <w:rPr>
                <w:rFonts w:ascii="Arial" w:hAnsi="Arial" w:cs="Arial"/>
                <w:sz w:val="22"/>
                <w:szCs w:val="22"/>
                <w:lang w:val="sr-Latn-CS"/>
              </w:rPr>
            </w:pPr>
            <w:r w:rsidRPr="00CD0D75">
              <w:rPr>
                <w:rFonts w:ascii="Arial" w:hAnsi="Arial" w:cs="Arial"/>
                <w:sz w:val="22"/>
                <w:szCs w:val="22"/>
                <w:lang w:val="sr-Latn-CS"/>
              </w:rPr>
              <w:t>6 614 459</w:t>
            </w:r>
          </w:p>
        </w:tc>
        <w:tc>
          <w:tcPr>
            <w:tcW w:w="2303" w:type="dxa"/>
            <w:vMerge/>
            <w:tcBorders>
              <w:left w:val="single" w:sz="12" w:space="0" w:color="auto"/>
              <w:right w:val="single" w:sz="12" w:space="0" w:color="auto"/>
            </w:tcBorders>
          </w:tcPr>
          <w:p w:rsidR="008A63CC" w:rsidRPr="00CD0D75" w:rsidRDefault="008A63CC" w:rsidP="008A63CC">
            <w:pPr>
              <w:spacing w:line="276" w:lineRule="auto"/>
              <w:jc w:val="center"/>
              <w:rPr>
                <w:rFonts w:ascii="Arial" w:hAnsi="Arial" w:cs="Arial"/>
                <w:sz w:val="22"/>
                <w:szCs w:val="22"/>
                <w:lang w:val="sr-Latn-CS"/>
              </w:rPr>
            </w:pPr>
          </w:p>
        </w:tc>
      </w:tr>
      <w:tr w:rsidR="008A63CC" w:rsidRPr="00CD0D75" w:rsidTr="008A63CC">
        <w:tc>
          <w:tcPr>
            <w:tcW w:w="2302" w:type="dxa"/>
            <w:tcBorders>
              <w:left w:val="single" w:sz="12" w:space="0" w:color="auto"/>
              <w:right w:val="single" w:sz="12" w:space="0" w:color="auto"/>
            </w:tcBorders>
          </w:tcPr>
          <w:p w:rsidR="008A63CC" w:rsidRPr="00CD0D75" w:rsidRDefault="008A63CC" w:rsidP="008A63CC">
            <w:pPr>
              <w:spacing w:line="276" w:lineRule="auto"/>
              <w:jc w:val="center"/>
              <w:rPr>
                <w:rFonts w:ascii="Arial" w:hAnsi="Arial" w:cs="Arial"/>
                <w:b/>
                <w:sz w:val="22"/>
                <w:szCs w:val="22"/>
                <w:lang w:val="sr-Latn-CS"/>
              </w:rPr>
            </w:pPr>
            <w:r w:rsidRPr="00CD0D75">
              <w:rPr>
                <w:rFonts w:ascii="Arial" w:hAnsi="Arial" w:cs="Arial"/>
                <w:b/>
                <w:sz w:val="22"/>
                <w:szCs w:val="22"/>
                <w:lang w:val="sr-Latn-CS"/>
              </w:rPr>
              <w:t>E</w:t>
            </w:r>
          </w:p>
        </w:tc>
        <w:tc>
          <w:tcPr>
            <w:tcW w:w="2303" w:type="dxa"/>
            <w:tcBorders>
              <w:left w:val="single" w:sz="12" w:space="0" w:color="auto"/>
              <w:right w:val="single" w:sz="12" w:space="0" w:color="auto"/>
            </w:tcBorders>
          </w:tcPr>
          <w:p w:rsidR="008A63CC" w:rsidRPr="00CD0D75" w:rsidRDefault="008A63CC" w:rsidP="008A63CC">
            <w:pPr>
              <w:spacing w:line="276" w:lineRule="auto"/>
              <w:jc w:val="center"/>
              <w:rPr>
                <w:rFonts w:ascii="Arial" w:hAnsi="Arial" w:cs="Arial"/>
                <w:sz w:val="22"/>
                <w:szCs w:val="22"/>
                <w:lang w:val="sr-Latn-CS"/>
              </w:rPr>
            </w:pPr>
            <w:r w:rsidRPr="00CD0D75">
              <w:rPr>
                <w:rFonts w:ascii="Arial" w:hAnsi="Arial" w:cs="Arial"/>
                <w:sz w:val="22"/>
                <w:szCs w:val="22"/>
                <w:lang w:val="sr-Latn-CS"/>
              </w:rPr>
              <w:t>4 800 489</w:t>
            </w:r>
          </w:p>
        </w:tc>
        <w:tc>
          <w:tcPr>
            <w:tcW w:w="2303" w:type="dxa"/>
            <w:tcBorders>
              <w:left w:val="single" w:sz="12" w:space="0" w:color="auto"/>
              <w:right w:val="single" w:sz="12" w:space="0" w:color="auto"/>
            </w:tcBorders>
          </w:tcPr>
          <w:p w:rsidR="008A63CC" w:rsidRPr="00CD0D75" w:rsidRDefault="008A63CC" w:rsidP="008A63CC">
            <w:pPr>
              <w:spacing w:line="276" w:lineRule="auto"/>
              <w:jc w:val="center"/>
              <w:rPr>
                <w:rFonts w:ascii="Arial" w:hAnsi="Arial" w:cs="Arial"/>
                <w:sz w:val="22"/>
                <w:szCs w:val="22"/>
                <w:lang w:val="sr-Latn-CS"/>
              </w:rPr>
            </w:pPr>
            <w:r w:rsidRPr="00CD0D75">
              <w:rPr>
                <w:rFonts w:ascii="Arial" w:hAnsi="Arial" w:cs="Arial"/>
                <w:sz w:val="22"/>
                <w:szCs w:val="22"/>
                <w:lang w:val="sr-Latn-CS"/>
              </w:rPr>
              <w:t>6 614 327</w:t>
            </w:r>
          </w:p>
        </w:tc>
        <w:tc>
          <w:tcPr>
            <w:tcW w:w="2303" w:type="dxa"/>
            <w:vMerge/>
            <w:tcBorders>
              <w:left w:val="single" w:sz="12" w:space="0" w:color="auto"/>
              <w:right w:val="single" w:sz="12" w:space="0" w:color="auto"/>
            </w:tcBorders>
          </w:tcPr>
          <w:p w:rsidR="008A63CC" w:rsidRPr="00CD0D75" w:rsidRDefault="008A63CC" w:rsidP="008A63CC">
            <w:pPr>
              <w:spacing w:line="276" w:lineRule="auto"/>
              <w:jc w:val="center"/>
              <w:rPr>
                <w:rFonts w:ascii="Arial" w:hAnsi="Arial" w:cs="Arial"/>
                <w:sz w:val="22"/>
                <w:szCs w:val="22"/>
                <w:lang w:val="sr-Latn-CS"/>
              </w:rPr>
            </w:pPr>
          </w:p>
        </w:tc>
      </w:tr>
      <w:tr w:rsidR="008A63CC" w:rsidRPr="00CD0D75" w:rsidTr="008A63CC">
        <w:tc>
          <w:tcPr>
            <w:tcW w:w="2302" w:type="dxa"/>
            <w:tcBorders>
              <w:left w:val="single" w:sz="12" w:space="0" w:color="auto"/>
              <w:right w:val="single" w:sz="12" w:space="0" w:color="auto"/>
            </w:tcBorders>
          </w:tcPr>
          <w:p w:rsidR="008A63CC" w:rsidRPr="00CD0D75" w:rsidRDefault="008A63CC" w:rsidP="008A63CC">
            <w:pPr>
              <w:spacing w:line="276" w:lineRule="auto"/>
              <w:jc w:val="center"/>
              <w:rPr>
                <w:rFonts w:ascii="Arial" w:hAnsi="Arial" w:cs="Arial"/>
                <w:b/>
                <w:sz w:val="22"/>
                <w:szCs w:val="22"/>
                <w:lang w:val="sr-Latn-CS"/>
              </w:rPr>
            </w:pPr>
            <w:r w:rsidRPr="00CD0D75">
              <w:rPr>
                <w:rFonts w:ascii="Arial" w:hAnsi="Arial" w:cs="Arial"/>
                <w:b/>
                <w:sz w:val="22"/>
                <w:szCs w:val="22"/>
                <w:lang w:val="sr-Latn-CS"/>
              </w:rPr>
              <w:t>F</w:t>
            </w:r>
          </w:p>
        </w:tc>
        <w:tc>
          <w:tcPr>
            <w:tcW w:w="2303" w:type="dxa"/>
            <w:tcBorders>
              <w:left w:val="single" w:sz="12" w:space="0" w:color="auto"/>
              <w:right w:val="single" w:sz="12" w:space="0" w:color="auto"/>
            </w:tcBorders>
          </w:tcPr>
          <w:p w:rsidR="008A63CC" w:rsidRPr="00CD0D75" w:rsidRDefault="008A63CC" w:rsidP="008A63CC">
            <w:pPr>
              <w:spacing w:line="276" w:lineRule="auto"/>
              <w:jc w:val="center"/>
              <w:rPr>
                <w:rFonts w:ascii="Arial" w:hAnsi="Arial" w:cs="Arial"/>
                <w:sz w:val="22"/>
                <w:szCs w:val="22"/>
                <w:lang w:val="sr-Latn-CS"/>
              </w:rPr>
            </w:pPr>
            <w:r w:rsidRPr="00CD0D75">
              <w:rPr>
                <w:rFonts w:ascii="Arial" w:hAnsi="Arial" w:cs="Arial"/>
                <w:sz w:val="22"/>
                <w:szCs w:val="22"/>
                <w:lang w:val="sr-Latn-CS"/>
              </w:rPr>
              <w:t>4 800 573</w:t>
            </w:r>
          </w:p>
        </w:tc>
        <w:tc>
          <w:tcPr>
            <w:tcW w:w="2303" w:type="dxa"/>
            <w:tcBorders>
              <w:left w:val="single" w:sz="12" w:space="0" w:color="auto"/>
              <w:right w:val="single" w:sz="12" w:space="0" w:color="auto"/>
            </w:tcBorders>
          </w:tcPr>
          <w:p w:rsidR="008A63CC" w:rsidRPr="00CD0D75" w:rsidRDefault="008A63CC" w:rsidP="008A63CC">
            <w:pPr>
              <w:spacing w:line="276" w:lineRule="auto"/>
              <w:jc w:val="center"/>
              <w:rPr>
                <w:rFonts w:ascii="Arial" w:hAnsi="Arial" w:cs="Arial"/>
                <w:sz w:val="22"/>
                <w:szCs w:val="22"/>
                <w:lang w:val="sr-Latn-CS"/>
              </w:rPr>
            </w:pPr>
            <w:r w:rsidRPr="00CD0D75">
              <w:rPr>
                <w:rFonts w:ascii="Arial" w:hAnsi="Arial" w:cs="Arial"/>
                <w:sz w:val="22"/>
                <w:szCs w:val="22"/>
                <w:lang w:val="sr-Latn-CS"/>
              </w:rPr>
              <w:t>6 614 180</w:t>
            </w:r>
          </w:p>
        </w:tc>
        <w:tc>
          <w:tcPr>
            <w:tcW w:w="2303" w:type="dxa"/>
            <w:vMerge/>
            <w:tcBorders>
              <w:left w:val="single" w:sz="12" w:space="0" w:color="auto"/>
              <w:right w:val="single" w:sz="12" w:space="0" w:color="auto"/>
            </w:tcBorders>
          </w:tcPr>
          <w:p w:rsidR="008A63CC" w:rsidRPr="00CD0D75" w:rsidRDefault="008A63CC" w:rsidP="008A63CC">
            <w:pPr>
              <w:spacing w:line="276" w:lineRule="auto"/>
              <w:jc w:val="center"/>
              <w:rPr>
                <w:rFonts w:ascii="Arial" w:hAnsi="Arial" w:cs="Arial"/>
                <w:sz w:val="22"/>
                <w:szCs w:val="22"/>
                <w:lang w:val="sr-Latn-CS"/>
              </w:rPr>
            </w:pPr>
          </w:p>
        </w:tc>
      </w:tr>
      <w:tr w:rsidR="008A63CC" w:rsidRPr="00CD0D75" w:rsidTr="008A63CC">
        <w:tc>
          <w:tcPr>
            <w:tcW w:w="2302" w:type="dxa"/>
            <w:tcBorders>
              <w:left w:val="single" w:sz="12" w:space="0" w:color="auto"/>
              <w:bottom w:val="single" w:sz="12" w:space="0" w:color="auto"/>
              <w:right w:val="single" w:sz="12" w:space="0" w:color="auto"/>
            </w:tcBorders>
          </w:tcPr>
          <w:p w:rsidR="008A63CC" w:rsidRPr="00CD0D75" w:rsidRDefault="008A63CC" w:rsidP="008A63CC">
            <w:pPr>
              <w:spacing w:line="276" w:lineRule="auto"/>
              <w:jc w:val="center"/>
              <w:rPr>
                <w:rFonts w:ascii="Arial" w:hAnsi="Arial" w:cs="Arial"/>
                <w:b/>
                <w:sz w:val="22"/>
                <w:szCs w:val="22"/>
                <w:lang w:val="sr-Latn-CS"/>
              </w:rPr>
            </w:pPr>
            <w:r w:rsidRPr="00CD0D75">
              <w:rPr>
                <w:rFonts w:ascii="Arial" w:hAnsi="Arial" w:cs="Arial"/>
                <w:b/>
                <w:sz w:val="22"/>
                <w:szCs w:val="22"/>
                <w:lang w:val="sr-Latn-CS"/>
              </w:rPr>
              <w:t>G</w:t>
            </w:r>
          </w:p>
        </w:tc>
        <w:tc>
          <w:tcPr>
            <w:tcW w:w="2303" w:type="dxa"/>
            <w:tcBorders>
              <w:left w:val="single" w:sz="12" w:space="0" w:color="auto"/>
              <w:bottom w:val="single" w:sz="12" w:space="0" w:color="auto"/>
            </w:tcBorders>
          </w:tcPr>
          <w:p w:rsidR="008A63CC" w:rsidRPr="00F82D91" w:rsidRDefault="008A63CC" w:rsidP="008A63CC">
            <w:pPr>
              <w:spacing w:line="276" w:lineRule="auto"/>
              <w:jc w:val="center"/>
              <w:rPr>
                <w:rFonts w:ascii="Arial" w:hAnsi="Arial" w:cs="Arial"/>
                <w:sz w:val="22"/>
                <w:szCs w:val="22"/>
                <w:lang w:val="sr-Latn-CS"/>
              </w:rPr>
            </w:pPr>
            <w:r w:rsidRPr="00F82D91">
              <w:rPr>
                <w:rFonts w:ascii="Arial" w:hAnsi="Arial" w:cs="Arial"/>
                <w:sz w:val="22"/>
                <w:szCs w:val="22"/>
                <w:lang w:val="sr-Latn-CS"/>
              </w:rPr>
              <w:t>4 802 664</w:t>
            </w:r>
          </w:p>
        </w:tc>
        <w:tc>
          <w:tcPr>
            <w:tcW w:w="2303" w:type="dxa"/>
            <w:tcBorders>
              <w:bottom w:val="single" w:sz="12" w:space="0" w:color="auto"/>
              <w:right w:val="single" w:sz="12" w:space="0" w:color="auto"/>
            </w:tcBorders>
          </w:tcPr>
          <w:p w:rsidR="008A63CC" w:rsidRPr="00CD0D75" w:rsidRDefault="008A63CC" w:rsidP="008A63CC">
            <w:pPr>
              <w:spacing w:line="276" w:lineRule="auto"/>
              <w:jc w:val="center"/>
              <w:rPr>
                <w:rFonts w:ascii="Arial" w:hAnsi="Arial" w:cs="Arial"/>
                <w:sz w:val="22"/>
                <w:szCs w:val="22"/>
                <w:lang w:val="sr-Latn-CS"/>
              </w:rPr>
            </w:pPr>
            <w:r w:rsidRPr="00CD0D75">
              <w:rPr>
                <w:rFonts w:ascii="Arial" w:hAnsi="Arial" w:cs="Arial"/>
                <w:sz w:val="22"/>
                <w:szCs w:val="22"/>
                <w:lang w:val="sr-Latn-CS"/>
              </w:rPr>
              <w:t>6 614 119</w:t>
            </w:r>
          </w:p>
        </w:tc>
        <w:tc>
          <w:tcPr>
            <w:tcW w:w="2303" w:type="dxa"/>
            <w:vMerge/>
            <w:tcBorders>
              <w:left w:val="single" w:sz="12" w:space="0" w:color="auto"/>
              <w:bottom w:val="single" w:sz="12" w:space="0" w:color="auto"/>
              <w:right w:val="single" w:sz="12" w:space="0" w:color="auto"/>
            </w:tcBorders>
          </w:tcPr>
          <w:p w:rsidR="008A63CC" w:rsidRPr="00CD0D75" w:rsidRDefault="008A63CC" w:rsidP="008A63CC">
            <w:pPr>
              <w:spacing w:line="276" w:lineRule="auto"/>
              <w:jc w:val="center"/>
              <w:rPr>
                <w:rFonts w:ascii="Arial" w:hAnsi="Arial" w:cs="Arial"/>
                <w:sz w:val="22"/>
                <w:szCs w:val="22"/>
                <w:lang w:val="sr-Latn-CS"/>
              </w:rPr>
            </w:pPr>
          </w:p>
        </w:tc>
      </w:tr>
      <w:tr w:rsidR="008A63CC" w:rsidRPr="00CD0D75" w:rsidTr="008A63CC">
        <w:tblPrEx>
          <w:tblCellMar>
            <w:left w:w="70" w:type="dxa"/>
            <w:right w:w="70" w:type="dxa"/>
          </w:tblCellMar>
          <w:tblLook w:val="0000"/>
        </w:tblPrEx>
        <w:trPr>
          <w:trHeight w:val="210"/>
        </w:trPr>
        <w:tc>
          <w:tcPr>
            <w:tcW w:w="9211" w:type="dxa"/>
            <w:gridSpan w:val="4"/>
            <w:tcBorders>
              <w:top w:val="single" w:sz="12" w:space="0" w:color="auto"/>
              <w:left w:val="nil"/>
              <w:bottom w:val="nil"/>
              <w:right w:val="nil"/>
            </w:tcBorders>
          </w:tcPr>
          <w:p w:rsidR="008A63CC" w:rsidRPr="00CD0D75" w:rsidRDefault="008A63CC" w:rsidP="008A63CC">
            <w:pPr>
              <w:spacing w:line="276" w:lineRule="auto"/>
              <w:jc w:val="center"/>
              <w:rPr>
                <w:rFonts w:ascii="Arial" w:hAnsi="Arial" w:cs="Arial"/>
                <w:sz w:val="22"/>
                <w:szCs w:val="22"/>
                <w:lang w:val="sr-Latn-CS"/>
              </w:rPr>
            </w:pPr>
          </w:p>
        </w:tc>
      </w:tr>
    </w:tbl>
    <w:p w:rsidR="008A63CC" w:rsidRPr="00CD0D75" w:rsidRDefault="008A63CC" w:rsidP="008A63CC">
      <w:pPr>
        <w:spacing w:after="0"/>
        <w:jc w:val="center"/>
        <w:rPr>
          <w:rFonts w:ascii="Arial" w:hAnsi="Arial" w:cs="Arial"/>
          <w:u w:val="single"/>
        </w:rPr>
      </w:pPr>
    </w:p>
    <w:p w:rsidR="008A63CC" w:rsidRPr="00CD0D75" w:rsidRDefault="008A63CC" w:rsidP="008A63CC">
      <w:pPr>
        <w:spacing w:after="0"/>
        <w:jc w:val="both"/>
        <w:rPr>
          <w:rFonts w:ascii="Arial" w:hAnsi="Arial" w:cs="Arial"/>
          <w:b/>
          <w:u w:val="single"/>
        </w:rPr>
      </w:pPr>
      <w:r w:rsidRPr="00CD0D75">
        <w:rPr>
          <w:rFonts w:ascii="Arial" w:hAnsi="Arial" w:cs="Arial"/>
          <w:b/>
          <w:u w:val="single"/>
        </w:rPr>
        <w:t xml:space="preserve">2.3. Podaci o imovinsko-pravnim odnosima </w:t>
      </w:r>
    </w:p>
    <w:p w:rsidR="008A63CC" w:rsidRPr="00CD0D75" w:rsidRDefault="008A63CC" w:rsidP="008A63CC">
      <w:pPr>
        <w:spacing w:after="0"/>
        <w:jc w:val="both"/>
        <w:rPr>
          <w:rFonts w:ascii="Arial" w:hAnsi="Arial" w:cs="Arial"/>
          <w:b/>
        </w:rPr>
      </w:pPr>
    </w:p>
    <w:p w:rsidR="008A63CC" w:rsidRPr="00CD0D75" w:rsidRDefault="008A63CC" w:rsidP="008A63CC">
      <w:pPr>
        <w:spacing w:after="0"/>
        <w:jc w:val="both"/>
        <w:rPr>
          <w:rFonts w:ascii="Arial" w:hAnsi="Arial" w:cs="Arial"/>
        </w:rPr>
      </w:pPr>
      <w:r w:rsidRPr="00CD0D75">
        <w:rPr>
          <w:rFonts w:ascii="Arial" w:hAnsi="Arial" w:cs="Arial"/>
        </w:rPr>
        <w:t>Prema katastarskoj podjeli istražno-eksploatacioni prostor “Otilovići” pripada KO Otilovići, LN 29, kat. parc. br. 97, 98/2, 99/2, 103/3 (izdat od Uprave za nekretnine-Područna jedinica Pljevlja, br. 107-956-4173/2017 od  10.10.2017. godine) i u državnom  je vlasništvu.</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b/>
          <w:u w:val="single"/>
        </w:rPr>
      </w:pPr>
      <w:r>
        <w:rPr>
          <w:rFonts w:ascii="Arial" w:hAnsi="Arial" w:cs="Arial"/>
          <w:b/>
          <w:u w:val="single"/>
        </w:rPr>
        <w:t>2.4. Podaci iz prostorno–urbanističke</w:t>
      </w:r>
      <w:r w:rsidRPr="00CD0D75">
        <w:rPr>
          <w:rFonts w:ascii="Arial" w:hAnsi="Arial" w:cs="Arial"/>
          <w:b/>
          <w:u w:val="single"/>
        </w:rPr>
        <w:t xml:space="preserve"> dokumentacije </w:t>
      </w:r>
    </w:p>
    <w:p w:rsidR="008A63CC" w:rsidRPr="00CD0D75" w:rsidRDefault="008A63CC" w:rsidP="008A63CC">
      <w:pPr>
        <w:spacing w:after="0"/>
        <w:jc w:val="both"/>
        <w:rPr>
          <w:rFonts w:ascii="Arial" w:hAnsi="Arial" w:cs="Arial"/>
          <w:b/>
        </w:rPr>
      </w:pPr>
    </w:p>
    <w:p w:rsidR="008A63CC" w:rsidRPr="00CD0D75" w:rsidRDefault="008A63CC" w:rsidP="008A63CC">
      <w:pPr>
        <w:spacing w:after="0"/>
        <w:jc w:val="both"/>
        <w:rPr>
          <w:rFonts w:ascii="Arial" w:hAnsi="Arial" w:cs="Arial"/>
        </w:rPr>
      </w:pPr>
      <w:r w:rsidRPr="00CD0D75">
        <w:rPr>
          <w:rFonts w:ascii="Arial" w:hAnsi="Arial" w:cs="Arial"/>
        </w:rPr>
        <w:t xml:space="preserve">Na osnovu akta Sekretarijata za uređenje prostora  Opštine Pljevlja, br. 351-155/2017-2 od 19.10. 2017. godine, istražno-eksploatacioni prostor “Otilovići” se nalazi u Prostorno-urbanističkom planu Opštine Pljevlja (“Sl.list CG-opštinski propisi, br. 11/11)  i definisan je kao koncesiono područje, odnosno da je </w:t>
      </w:r>
      <w:r w:rsidRPr="00CD0D75">
        <w:rPr>
          <w:rFonts w:ascii="Arial" w:hAnsi="Arial" w:cs="Arial"/>
        </w:rPr>
        <w:lastRenderedPageBreak/>
        <w:t>planirana namjena predmetnog područja istražno-eksploatacionog prostora “Otilovići” – eksploatacija  tehničko-građevinskog kamena.</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b/>
          <w:u w:val="single"/>
        </w:rPr>
      </w:pPr>
      <w:r w:rsidRPr="00CD0D75">
        <w:rPr>
          <w:rFonts w:ascii="Arial" w:hAnsi="Arial" w:cs="Arial"/>
          <w:b/>
          <w:u w:val="single"/>
        </w:rPr>
        <w:t>2.5. Infrastrukturni objekti na istražno-eksplatacionom prostoru</w:t>
      </w:r>
    </w:p>
    <w:p w:rsidR="008A63CC" w:rsidRPr="00CD0D75" w:rsidRDefault="008A63CC" w:rsidP="008A63CC">
      <w:pPr>
        <w:spacing w:after="0"/>
        <w:jc w:val="both"/>
        <w:rPr>
          <w:rFonts w:ascii="Arial" w:hAnsi="Arial" w:cs="Arial"/>
          <w:b/>
        </w:rPr>
      </w:pPr>
    </w:p>
    <w:p w:rsidR="008A63CC" w:rsidRPr="00CD0D75" w:rsidRDefault="008A63CC" w:rsidP="008A63CC">
      <w:pPr>
        <w:spacing w:after="0"/>
        <w:jc w:val="both"/>
        <w:rPr>
          <w:rFonts w:ascii="Arial" w:hAnsi="Arial" w:cs="Arial"/>
        </w:rPr>
      </w:pPr>
      <w:r w:rsidRPr="00CD0D75">
        <w:rPr>
          <w:rFonts w:ascii="Arial" w:hAnsi="Arial" w:cs="Arial"/>
        </w:rPr>
        <w:t xml:space="preserve">Saobraćajne veze u širem i užem području istražno-eksploatacionog prostora „Otilovići“ su veoma dobre. Do istražno-eksploatacionog prostora postoji pristupni lokalni makadamski put kojim je povezan sa regionalnim putem Pljevlja-Slijepač most. </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Pr>
          <w:rFonts w:ascii="Arial" w:hAnsi="Arial" w:cs="Arial"/>
        </w:rPr>
        <w:t xml:space="preserve">Šire područje ležišta </w:t>
      </w:r>
      <w:r w:rsidRPr="00CD0D75">
        <w:rPr>
          <w:rFonts w:ascii="Arial" w:hAnsi="Arial" w:cs="Arial"/>
        </w:rPr>
        <w:t xml:space="preserve">relativno je dobro naseljeno, sela i zaseoci su: Otilovići, Jagnjilo, Mramor, Podkrš, Lagatov do, Irino brdo i dr. Najbliže kuće se nalaze neposredno ispod puta, južno od ležišta „Otilovići“. </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 xml:space="preserve">Osnovna privredna grana ovog kraja jeste poljoprivreda. </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b/>
          <w:u w:val="single"/>
        </w:rPr>
      </w:pPr>
      <w:r w:rsidRPr="00CD0D75">
        <w:rPr>
          <w:rFonts w:ascii="Arial" w:hAnsi="Arial" w:cs="Arial"/>
          <w:b/>
          <w:u w:val="single"/>
        </w:rPr>
        <w:t xml:space="preserve">2.6. Geomorfološke karakteristike </w:t>
      </w:r>
    </w:p>
    <w:p w:rsidR="008A63CC" w:rsidRPr="00CD0D75" w:rsidRDefault="008A63CC" w:rsidP="008A63CC">
      <w:pPr>
        <w:spacing w:after="0"/>
        <w:jc w:val="both"/>
        <w:rPr>
          <w:rFonts w:ascii="Arial" w:hAnsi="Arial" w:cs="Arial"/>
          <w:b/>
        </w:rPr>
      </w:pPr>
    </w:p>
    <w:p w:rsidR="008A63CC" w:rsidRPr="00CD0D75" w:rsidRDefault="008A63CC" w:rsidP="008A63CC">
      <w:pPr>
        <w:spacing w:after="0"/>
        <w:jc w:val="both"/>
        <w:rPr>
          <w:rFonts w:ascii="Arial" w:hAnsi="Arial" w:cs="Arial"/>
        </w:rPr>
      </w:pPr>
      <w:r w:rsidRPr="00CD0D75">
        <w:rPr>
          <w:rFonts w:ascii="Arial" w:hAnsi="Arial" w:cs="Arial"/>
        </w:rPr>
        <w:t>Reljef ovog područja je u direktnoj zavisnosti od litološkog sastava i strukturnog sklopa terena. Karakteristična uzvišenja su: Mediljen (1148 m.n.m.), Bukovik (1136 m.n.m.), Vis (1151 m.n.m.), Karaćica (1133 m.n.m.) i dr.</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Značajani morfološki oblici koji se pojavljuju u ovom kraju su vrtače, rjeđe jame i pećine, tipični predstavnici morfologije karsta. Teren je brdski i brdsko-planinski od 900 do 1120 m.n.m., sa strmim padinama duž kojih se, mjestimično, zapažaju i strmi do vertikalni odsjeci.</w:t>
      </w:r>
    </w:p>
    <w:p w:rsidR="008A63CC" w:rsidRPr="00CD0D75" w:rsidRDefault="008A63CC" w:rsidP="008A63CC">
      <w:pPr>
        <w:spacing w:after="0"/>
        <w:jc w:val="both"/>
        <w:rPr>
          <w:rFonts w:ascii="Arial" w:hAnsi="Arial" w:cs="Arial"/>
        </w:rPr>
      </w:pPr>
      <w:r w:rsidRPr="00CD0D75">
        <w:rPr>
          <w:rFonts w:ascii="Arial" w:hAnsi="Arial" w:cs="Arial"/>
        </w:rPr>
        <w:t xml:space="preserve">Područje ležišta „Otilovići“ pripada padinskom tipu reljefa. </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b/>
          <w:u w:val="single"/>
        </w:rPr>
      </w:pPr>
      <w:r w:rsidRPr="00CD0D75">
        <w:rPr>
          <w:rFonts w:ascii="Arial" w:hAnsi="Arial" w:cs="Arial"/>
          <w:b/>
          <w:u w:val="single"/>
        </w:rPr>
        <w:t>2.7.  Hidrografske karakteristike</w:t>
      </w:r>
    </w:p>
    <w:p w:rsidR="008A63CC" w:rsidRPr="00CD0D75" w:rsidRDefault="008A63CC" w:rsidP="008A63CC">
      <w:pPr>
        <w:spacing w:after="0"/>
        <w:jc w:val="both"/>
        <w:rPr>
          <w:rFonts w:ascii="Arial" w:hAnsi="Arial" w:cs="Arial"/>
        </w:rPr>
      </w:pPr>
      <w:r w:rsidRPr="00CD0D75">
        <w:rPr>
          <w:rFonts w:ascii="Arial" w:hAnsi="Arial" w:cs="Arial"/>
        </w:rPr>
        <w:t xml:space="preserve"> </w:t>
      </w:r>
    </w:p>
    <w:p w:rsidR="008A63CC" w:rsidRPr="00CD0D75" w:rsidRDefault="008A63CC" w:rsidP="008A63CC">
      <w:pPr>
        <w:spacing w:after="0"/>
        <w:jc w:val="both"/>
        <w:rPr>
          <w:rFonts w:ascii="Arial" w:hAnsi="Arial" w:cs="Arial"/>
        </w:rPr>
      </w:pPr>
      <w:r w:rsidRPr="00CD0D75">
        <w:rPr>
          <w:rFonts w:ascii="Arial" w:hAnsi="Arial" w:cs="Arial"/>
        </w:rPr>
        <w:t>Sa hidrološkog aspekta odlike područja u kojem se nalazi ležište su, relativno, jednostavne. U neposrednoj blizini ležišta nalazi se rijeka Ćehotina i vještačka akumulacija Otilovići, a u istražno-eksploatacionom prostoru nema stalni</w:t>
      </w:r>
      <w:r>
        <w:rPr>
          <w:rFonts w:ascii="Arial" w:hAnsi="Arial" w:cs="Arial"/>
        </w:rPr>
        <w:t>h</w:t>
      </w:r>
      <w:r w:rsidRPr="00CD0D75">
        <w:rPr>
          <w:rFonts w:ascii="Arial" w:hAnsi="Arial" w:cs="Arial"/>
        </w:rPr>
        <w:t xml:space="preserve"> riječnih tokova, k</w:t>
      </w:r>
      <w:r>
        <w:rPr>
          <w:rFonts w:ascii="Arial" w:hAnsi="Arial" w:cs="Arial"/>
        </w:rPr>
        <w:t xml:space="preserve">ao ni izvora. Područje obiluje </w:t>
      </w:r>
      <w:r w:rsidRPr="00CD0D75">
        <w:rPr>
          <w:rFonts w:ascii="Arial" w:hAnsi="Arial" w:cs="Arial"/>
        </w:rPr>
        <w:t>relativno malim količinama padavina, a njihov najveći dio, zbog krečnjačkog sastava, ponire stvarajući podzemne tokove i izdani. Krečnjačko-dolomitski kompleks ovog područja ima pukotinskokaveroznu poroznost, a podzemne vode ovog kraja gravitiraju ka Otilovićkom polju.</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b/>
          <w:u w:val="single"/>
        </w:rPr>
      </w:pPr>
      <w:r w:rsidRPr="00CD0D75">
        <w:rPr>
          <w:rFonts w:ascii="Arial" w:hAnsi="Arial" w:cs="Arial"/>
          <w:b/>
          <w:u w:val="single"/>
        </w:rPr>
        <w:t>2.8. Klimatske odlike</w:t>
      </w:r>
    </w:p>
    <w:p w:rsidR="008A63CC" w:rsidRPr="00CD0D75" w:rsidRDefault="008A63CC" w:rsidP="008A63CC">
      <w:pPr>
        <w:spacing w:after="0"/>
        <w:jc w:val="both"/>
        <w:rPr>
          <w:rFonts w:ascii="Arial" w:hAnsi="Arial" w:cs="Arial"/>
          <w:b/>
        </w:rPr>
      </w:pPr>
    </w:p>
    <w:p w:rsidR="008A63CC" w:rsidRDefault="008A63CC" w:rsidP="008A63CC">
      <w:pPr>
        <w:spacing w:after="0"/>
        <w:jc w:val="both"/>
        <w:rPr>
          <w:rFonts w:ascii="Arial" w:hAnsi="Arial" w:cs="Arial"/>
          <w:color w:val="333333"/>
        </w:rPr>
      </w:pPr>
      <w:r w:rsidRPr="00CD0D75">
        <w:rPr>
          <w:rFonts w:ascii="Arial" w:hAnsi="Arial" w:cs="Arial"/>
        </w:rPr>
        <w:t>Područje Pljevalja karakteriše se kontinentalnom i planinskom klimom, sa dugim i oštrim zimama i umjereno toplim ljetnjim periodima (srednja januarska temperatura iznosi -2,6</w:t>
      </w:r>
      <w:r w:rsidRPr="00CD0D75">
        <w:rPr>
          <w:rFonts w:ascii="Arial" w:hAnsi="Arial" w:cs="Arial"/>
          <w:vertAlign w:val="superscript"/>
        </w:rPr>
        <w:t xml:space="preserve">0 </w:t>
      </w:r>
      <w:r w:rsidRPr="00CD0D75">
        <w:rPr>
          <w:rFonts w:ascii="Arial" w:hAnsi="Arial" w:cs="Arial"/>
        </w:rPr>
        <w:t>C, a srednja julska temperatura iznosi 17,5</w:t>
      </w:r>
      <w:r w:rsidRPr="00CD0D75">
        <w:rPr>
          <w:rFonts w:ascii="Arial" w:hAnsi="Arial" w:cs="Arial"/>
          <w:vertAlign w:val="superscript"/>
        </w:rPr>
        <w:t xml:space="preserve">0 </w:t>
      </w:r>
      <w:r w:rsidRPr="00CD0D75">
        <w:rPr>
          <w:rFonts w:ascii="Arial" w:hAnsi="Arial" w:cs="Arial"/>
        </w:rPr>
        <w:t xml:space="preserve">C).  </w:t>
      </w:r>
      <w:r w:rsidRPr="00CD0D75">
        <w:rPr>
          <w:rFonts w:ascii="Arial" w:hAnsi="Arial" w:cs="Arial"/>
          <w:color w:val="333333"/>
        </w:rPr>
        <w:t>Prosječni godišnji atmosferski talog je oko 780 milimetara. Pljevlja su grad sa najvećom oblačnošću u Crnoj Gori, koja u decembru iznosi i do 80 odsto. Oko 200 dana u godini Pljevlja su zahvaćena maglom.</w:t>
      </w:r>
    </w:p>
    <w:p w:rsidR="00881468" w:rsidRDefault="00881468" w:rsidP="008A63CC">
      <w:pPr>
        <w:spacing w:after="0"/>
        <w:jc w:val="both"/>
        <w:rPr>
          <w:rFonts w:ascii="Arial" w:hAnsi="Arial" w:cs="Arial"/>
          <w:color w:val="333333"/>
        </w:rPr>
      </w:pPr>
    </w:p>
    <w:p w:rsidR="00881468" w:rsidRDefault="00881468" w:rsidP="008A63CC">
      <w:pPr>
        <w:spacing w:after="0"/>
        <w:jc w:val="both"/>
        <w:rPr>
          <w:rFonts w:ascii="Arial" w:hAnsi="Arial" w:cs="Arial"/>
          <w:color w:val="333333"/>
        </w:rPr>
      </w:pPr>
    </w:p>
    <w:p w:rsidR="00881468" w:rsidRDefault="00881468" w:rsidP="008A63CC">
      <w:pPr>
        <w:spacing w:after="0"/>
        <w:jc w:val="both"/>
        <w:rPr>
          <w:rFonts w:ascii="Arial" w:hAnsi="Arial" w:cs="Arial"/>
          <w:color w:val="333333"/>
        </w:rPr>
      </w:pPr>
    </w:p>
    <w:p w:rsidR="00881468" w:rsidRDefault="00881468" w:rsidP="008A63CC">
      <w:pPr>
        <w:spacing w:after="0"/>
        <w:jc w:val="both"/>
        <w:rPr>
          <w:rFonts w:ascii="Arial" w:hAnsi="Arial" w:cs="Arial"/>
          <w:color w:val="333333"/>
        </w:rPr>
      </w:pPr>
    </w:p>
    <w:p w:rsidR="008A63CC" w:rsidRPr="00CD0D75" w:rsidRDefault="008A63CC" w:rsidP="008A63CC">
      <w:pPr>
        <w:spacing w:after="0"/>
        <w:jc w:val="both"/>
        <w:rPr>
          <w:rFonts w:ascii="Arial" w:hAnsi="Arial" w:cs="Arial"/>
          <w:color w:val="333333"/>
        </w:rPr>
      </w:pPr>
    </w:p>
    <w:p w:rsidR="008A63CC" w:rsidRPr="00CD0D75" w:rsidRDefault="008A63CC" w:rsidP="008A63CC">
      <w:pPr>
        <w:spacing w:after="0"/>
        <w:jc w:val="both"/>
        <w:rPr>
          <w:rFonts w:ascii="Arial" w:hAnsi="Arial" w:cs="Arial"/>
          <w:b/>
          <w:color w:val="333333"/>
          <w:u w:val="single"/>
        </w:rPr>
      </w:pPr>
      <w:r w:rsidRPr="00CD0D75">
        <w:rPr>
          <w:rFonts w:ascii="Arial" w:hAnsi="Arial" w:cs="Arial"/>
          <w:b/>
          <w:color w:val="333333"/>
          <w:u w:val="single"/>
        </w:rPr>
        <w:lastRenderedPageBreak/>
        <w:t>2.9. Geološke karakteristike ležišta “Otilovići”</w:t>
      </w:r>
    </w:p>
    <w:p w:rsidR="008A63CC" w:rsidRPr="00CD0D75" w:rsidRDefault="008A63CC" w:rsidP="008A63CC">
      <w:pPr>
        <w:spacing w:after="0"/>
        <w:jc w:val="both"/>
        <w:rPr>
          <w:rFonts w:ascii="Arial" w:hAnsi="Arial" w:cs="Arial"/>
          <w:color w:val="333333"/>
        </w:rPr>
      </w:pPr>
    </w:p>
    <w:p w:rsidR="008A63CC" w:rsidRPr="00CD0D75" w:rsidRDefault="008A63CC" w:rsidP="008A63CC">
      <w:pPr>
        <w:spacing w:after="0"/>
        <w:jc w:val="both"/>
        <w:rPr>
          <w:rFonts w:ascii="Arial" w:hAnsi="Arial" w:cs="Arial"/>
          <w:i/>
          <w:color w:val="333333"/>
          <w:u w:val="single"/>
        </w:rPr>
      </w:pPr>
      <w:r w:rsidRPr="00CD0D75">
        <w:rPr>
          <w:rFonts w:ascii="Arial" w:hAnsi="Arial" w:cs="Arial"/>
          <w:i/>
          <w:color w:val="333333"/>
          <w:u w:val="single"/>
        </w:rPr>
        <w:t>Geološka građa ležišta</w:t>
      </w:r>
    </w:p>
    <w:p w:rsidR="008A63CC" w:rsidRPr="00CD0D75" w:rsidRDefault="008A63CC" w:rsidP="008A63CC">
      <w:pPr>
        <w:spacing w:after="0"/>
        <w:jc w:val="both"/>
        <w:rPr>
          <w:rFonts w:ascii="Arial" w:hAnsi="Arial" w:cs="Arial"/>
          <w:i/>
          <w:color w:val="333333"/>
          <w:u w:val="single"/>
        </w:rPr>
      </w:pPr>
    </w:p>
    <w:p w:rsidR="008A63CC" w:rsidRPr="00CD0D75" w:rsidRDefault="008A63CC" w:rsidP="008A63CC">
      <w:pPr>
        <w:spacing w:after="0"/>
        <w:jc w:val="both"/>
        <w:rPr>
          <w:rFonts w:ascii="Arial" w:hAnsi="Arial" w:cs="Arial"/>
        </w:rPr>
      </w:pPr>
      <w:r w:rsidRPr="00CD0D75">
        <w:rPr>
          <w:rFonts w:ascii="Arial" w:hAnsi="Arial" w:cs="Arial"/>
        </w:rPr>
        <w:t>Ležište tehničko-građevinskog kamena izgrađuju karbonatne tvorevine gornjeg trijasa (karnik-norik T</w:t>
      </w:r>
      <w:r w:rsidRPr="00CD0D75">
        <w:rPr>
          <w:rFonts w:ascii="Arial" w:hAnsi="Arial" w:cs="Arial"/>
          <w:vertAlign w:val="subscript"/>
        </w:rPr>
        <w:t xml:space="preserve">3 </w:t>
      </w:r>
      <w:r w:rsidRPr="00CD0D75">
        <w:rPr>
          <w:rFonts w:ascii="Arial" w:hAnsi="Arial" w:cs="Arial"/>
          <w:vertAlign w:val="superscript"/>
        </w:rPr>
        <w:t>1,2</w:t>
      </w:r>
      <w:r w:rsidRPr="00CD0D75">
        <w:rPr>
          <w:rFonts w:ascii="Arial" w:hAnsi="Arial" w:cs="Arial"/>
        </w:rPr>
        <w:t xml:space="preserve">) predstavljene sivim, svijetlosivim, tamnosivim i smeđesivim, slojevitim (0,2 – 0,5 m) i bankovitim (0,6 – 1,0 m) krečnjacima sa čestim korozionim šupljinama i rekristalisali, stukturnog tipa: M, M_W i W, rjeđe P. Dolomitični krečnjaci se javljaju veoma rijetko. </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i/>
          <w:u w:val="single"/>
        </w:rPr>
      </w:pPr>
      <w:r w:rsidRPr="00CD0D75">
        <w:rPr>
          <w:rFonts w:ascii="Arial" w:hAnsi="Arial" w:cs="Arial"/>
          <w:i/>
          <w:u w:val="single"/>
        </w:rPr>
        <w:t>Geneza ležišta</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U genetskom pogleddu ležište „Otilovići“ pripada grupi sedimentnih ležišta marinskog tipa, pri čemu se sedimentacija karbonatnih naslaga odvijala na karbonatnoj platformi u uslovima plićeg subtajdala. Karbonatne stijene ležišta nastale su u mirnim uslovima sedimentacije gdje doloazi do brzog obaranja CaCO</w:t>
      </w:r>
      <w:r w:rsidRPr="00CD0D75">
        <w:rPr>
          <w:rFonts w:ascii="Arial" w:hAnsi="Arial" w:cs="Arial"/>
          <w:vertAlign w:val="subscript"/>
        </w:rPr>
        <w:t xml:space="preserve">3 </w:t>
      </w:r>
      <w:r w:rsidRPr="00CD0D75">
        <w:rPr>
          <w:rFonts w:ascii="Arial" w:hAnsi="Arial" w:cs="Arial"/>
        </w:rPr>
        <w:t>iz rastvora i stvaranja karbonatnog mulja. Primarni karbonatni talog je naknadno izmijenjen procesima kasnodijagenetske dolomitizacije, koja je izvršena samo djelimično, tako da su u ležištu rjeđe zastupljeni slabodolomitični krečnjaci, a dolomit nije konstatovan.</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i/>
          <w:u w:val="single"/>
        </w:rPr>
      </w:pPr>
      <w:r w:rsidRPr="00CD0D75">
        <w:rPr>
          <w:rFonts w:ascii="Arial" w:hAnsi="Arial" w:cs="Arial"/>
          <w:i/>
          <w:u w:val="single"/>
        </w:rPr>
        <w:t>Tektonika ležišta</w:t>
      </w:r>
    </w:p>
    <w:p w:rsidR="008A63CC" w:rsidRPr="00CD0D75" w:rsidRDefault="008A63CC" w:rsidP="008A63CC">
      <w:pPr>
        <w:spacing w:after="0"/>
        <w:jc w:val="both"/>
        <w:rPr>
          <w:rFonts w:ascii="Arial" w:hAnsi="Arial" w:cs="Arial"/>
          <w:i/>
          <w:u w:val="single"/>
        </w:rPr>
      </w:pPr>
    </w:p>
    <w:p w:rsidR="008A63CC" w:rsidRPr="00CD0D75" w:rsidRDefault="008A63CC" w:rsidP="008A63CC">
      <w:pPr>
        <w:spacing w:after="0"/>
        <w:jc w:val="both"/>
        <w:rPr>
          <w:rFonts w:ascii="Arial" w:hAnsi="Arial" w:cs="Arial"/>
        </w:rPr>
      </w:pPr>
      <w:r w:rsidRPr="00CD0D75">
        <w:rPr>
          <w:rFonts w:ascii="Arial" w:hAnsi="Arial" w:cs="Arial"/>
        </w:rPr>
        <w:t>Za strukturni sklop ležišta naročito su značajni poprečni i dijagonalni subvertikalni rasjedi i pukotine većih dimenzija, a tektonska poremećenost ležišta ogleda se u razlomljenosti-uškriljenosti stijenske mase, kao posljedice bočnih pritisaka i ubiranja sedimenata. U okviru ležišta konstatovana su dva značajna rasjedna oblika, duž kojih je stijenska masa intezivno ispucala i uškriljena, a često se duž njih zapaža škriljavi, glinoviti i brečizirani materijal, žute do žutosmeđe boje i crvenkasti silt.</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i/>
          <w:u w:val="single"/>
        </w:rPr>
      </w:pPr>
      <w:r w:rsidRPr="00CD0D75">
        <w:rPr>
          <w:rFonts w:ascii="Arial" w:hAnsi="Arial" w:cs="Arial"/>
          <w:i/>
          <w:u w:val="single"/>
        </w:rPr>
        <w:t>Hidrogeološke karakteristike ležišta</w:t>
      </w:r>
    </w:p>
    <w:p w:rsidR="008A63CC" w:rsidRPr="00CD0D75" w:rsidRDefault="008A63CC" w:rsidP="008A63CC">
      <w:pPr>
        <w:spacing w:after="0"/>
        <w:jc w:val="both"/>
        <w:rPr>
          <w:rFonts w:ascii="Arial" w:hAnsi="Arial" w:cs="Arial"/>
          <w:i/>
          <w:u w:val="single"/>
        </w:rPr>
      </w:pPr>
    </w:p>
    <w:p w:rsidR="008A63CC" w:rsidRPr="00CD0D75" w:rsidRDefault="008A63CC" w:rsidP="008A63CC">
      <w:pPr>
        <w:spacing w:after="0"/>
        <w:jc w:val="both"/>
        <w:rPr>
          <w:rFonts w:ascii="Arial" w:hAnsi="Arial" w:cs="Arial"/>
        </w:rPr>
      </w:pPr>
      <w:r w:rsidRPr="00CD0D75">
        <w:rPr>
          <w:rFonts w:ascii="Arial" w:hAnsi="Arial" w:cs="Arial"/>
        </w:rPr>
        <w:t>Karbonatni sedimenti ležišta „Otilovići“ pripadaju dobro vodopropusnim stijenama, koje se odlikuju visokom poroznošću pukotinsko-kaveroznog tipa. U okviru ležišta ne postoje stalni vodeni tokovi, kao ni izvori, a postoji mogićnost formiranja manjih vodenih tokova za vrijeme dužih kišnih perioda, koji bi se slivali niz padinu i kratkotrajno zadržavali na najnižem platou, a zatim oticali prema Otilovićkom polju. Na osnovu ovoga može se konstatovati da, u toku rada na budućoj eksploataciji i preradi tehničko-građevinskog kamena, režim podzemnih voda neće bitnije uticati na samu eksploataciju, a moguće proble pri eksploataciji mogu izazvati atmosferske padavine u vidu kiša jačeg inteziteta.</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i/>
          <w:u w:val="single"/>
        </w:rPr>
      </w:pPr>
      <w:r w:rsidRPr="00CD0D75">
        <w:rPr>
          <w:rFonts w:ascii="Arial" w:hAnsi="Arial" w:cs="Arial"/>
          <w:i/>
          <w:u w:val="single"/>
        </w:rPr>
        <w:t>Inženjersko-geološke karakteristike ležišta</w:t>
      </w:r>
    </w:p>
    <w:p w:rsidR="008A63CC" w:rsidRPr="00CD0D75" w:rsidRDefault="008A63CC" w:rsidP="008A63CC">
      <w:pPr>
        <w:spacing w:after="0"/>
        <w:jc w:val="both"/>
        <w:rPr>
          <w:rFonts w:ascii="Arial" w:hAnsi="Arial" w:cs="Arial"/>
          <w:i/>
          <w:u w:val="single"/>
        </w:rPr>
      </w:pPr>
    </w:p>
    <w:p w:rsidR="008A63CC" w:rsidRPr="00CD0D75" w:rsidRDefault="008A63CC" w:rsidP="008A63CC">
      <w:pPr>
        <w:spacing w:after="0"/>
        <w:jc w:val="both"/>
        <w:rPr>
          <w:rFonts w:ascii="Arial" w:hAnsi="Arial" w:cs="Arial"/>
        </w:rPr>
      </w:pPr>
      <w:r w:rsidRPr="00CD0D75">
        <w:rPr>
          <w:rFonts w:ascii="Arial" w:hAnsi="Arial" w:cs="Arial"/>
        </w:rPr>
        <w:t>Karbonatni sedimenti ležišta „Otilovići“ u inženjersko.geološkom pogledu pripadaju grupi vezanih, krutih, dobrookamenjenih stijena, odnosno podgrupi kamenitih stijena. Na bazi fizičko-mehaničkih karakteristika stijena, može se konstatovati da stijenska masa posjeduje takva fizičko-mehanička svojstva koja omogućavaju stabilnost i u uslovima subvertikalnih i vertikalnih zasjeka.</w:t>
      </w:r>
    </w:p>
    <w:p w:rsidR="008A63CC" w:rsidRPr="00CD0D75" w:rsidRDefault="008A63CC" w:rsidP="008A63CC">
      <w:pPr>
        <w:spacing w:after="0"/>
        <w:rPr>
          <w:rFonts w:ascii="Arial" w:hAnsi="Arial" w:cs="Arial"/>
        </w:rPr>
      </w:pPr>
    </w:p>
    <w:p w:rsidR="008A63CC" w:rsidRDefault="008A63CC" w:rsidP="008A63CC">
      <w:pPr>
        <w:spacing w:after="0"/>
        <w:jc w:val="both"/>
        <w:rPr>
          <w:rFonts w:ascii="Arial" w:hAnsi="Arial" w:cs="Arial"/>
          <w:b/>
          <w:u w:val="single"/>
        </w:rPr>
      </w:pPr>
      <w:r w:rsidRPr="00CD0D75">
        <w:rPr>
          <w:rFonts w:ascii="Arial" w:hAnsi="Arial" w:cs="Arial"/>
          <w:b/>
          <w:u w:val="single"/>
        </w:rPr>
        <w:t>2.10. Podaci o izvršenim geološkim istraživanjima, rezervama i kvalitetu mineralne sirovine</w:t>
      </w:r>
    </w:p>
    <w:p w:rsidR="008A63CC" w:rsidRPr="00B5031A" w:rsidRDefault="008A63CC" w:rsidP="008A63CC">
      <w:pPr>
        <w:spacing w:after="0"/>
        <w:jc w:val="both"/>
        <w:rPr>
          <w:rFonts w:ascii="Arial" w:hAnsi="Arial" w:cs="Arial"/>
          <w:b/>
          <w:u w:val="single"/>
        </w:rPr>
      </w:pPr>
    </w:p>
    <w:p w:rsidR="008A63CC" w:rsidRDefault="008A63CC" w:rsidP="008A63CC">
      <w:pPr>
        <w:spacing w:after="0"/>
        <w:jc w:val="both"/>
        <w:rPr>
          <w:rFonts w:ascii="Arial" w:hAnsi="Arial" w:cs="Arial"/>
        </w:rPr>
      </w:pPr>
      <w:r w:rsidRPr="00CD0D75">
        <w:rPr>
          <w:rFonts w:ascii="Arial" w:hAnsi="Arial" w:cs="Arial"/>
        </w:rPr>
        <w:t xml:space="preserve">Geološkim istraživanjima ovog dijela Crne Gore bavili su se mnogi domaći i strani istraživači </w:t>
      </w:r>
    </w:p>
    <w:p w:rsidR="008A63CC" w:rsidRPr="00CD0D75" w:rsidRDefault="008A63CC" w:rsidP="008A63CC">
      <w:pPr>
        <w:spacing w:after="0"/>
        <w:jc w:val="both"/>
        <w:rPr>
          <w:rFonts w:ascii="Arial" w:hAnsi="Arial" w:cs="Arial"/>
        </w:rPr>
      </w:pPr>
      <w:r w:rsidRPr="00CD0D75">
        <w:rPr>
          <w:rFonts w:ascii="Arial" w:hAnsi="Arial" w:cs="Arial"/>
        </w:rPr>
        <w:lastRenderedPageBreak/>
        <w:t>proučavajući pri tome, uglavnom, geomorfološke, stratigrafske i tektonske odnose na terenu, dok istraživanja sa ciljem upoznavanja ovog terena kao potencijalnog prostora za eksploataciju tehničko-građevinskog kamena nijesu vršena do 2010. Godine. Za ovaj prostor urađena je Geološka karta, 1:25 000, (list Crljenice) u okviru Osnovne geološke karte za list Pljevlja, 1:100 000. U periodu 2005. – 2008. Godine, u okviru Geološke karte lista Pljevlja-2, 1:50 000, urađena je Geološka karta, 1:25 000, za list Otilovići.</w:t>
      </w:r>
    </w:p>
    <w:p w:rsidR="008A63CC" w:rsidRPr="00CD0D75" w:rsidRDefault="008A63CC" w:rsidP="008A63CC">
      <w:pPr>
        <w:spacing w:after="0"/>
        <w:jc w:val="both"/>
        <w:rPr>
          <w:rFonts w:ascii="Arial" w:hAnsi="Arial" w:cs="Arial"/>
        </w:rPr>
      </w:pPr>
      <w:r w:rsidRPr="00CD0D75">
        <w:rPr>
          <w:rFonts w:ascii="Arial" w:hAnsi="Arial" w:cs="Arial"/>
        </w:rPr>
        <w:t>U toku 2010. godine izvršena su detaljna geološka istraživanja na ležištu „Otilovići“, u skladu sa Projektom. Nakon izvedenih istraživanja urađen je „Elaborat o klasifikaciji, kategorizaciji i proračunu rezervi tehničko-građevinskog kamena ležišta „Otilovići“ kod Pljevalja, stanje 31.12.2009.godine“. Nadležno ministarstvo je ovjerilo isti.</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b/>
        </w:rPr>
      </w:pPr>
      <w:r w:rsidRPr="00CD0D75">
        <w:rPr>
          <w:rFonts w:ascii="Arial" w:hAnsi="Arial" w:cs="Arial"/>
          <w:b/>
        </w:rPr>
        <w:t>Ovjerene ukupne geološke, bilansne i eksploatacione rezerve tehničko-građevinskog kamena:</w:t>
      </w:r>
    </w:p>
    <w:p w:rsidR="008A63CC" w:rsidRPr="00CD0D75" w:rsidRDefault="008A63CC" w:rsidP="008A63CC">
      <w:pPr>
        <w:spacing w:after="0"/>
        <w:jc w:val="both"/>
        <w:rPr>
          <w:rFonts w:ascii="Arial" w:hAnsi="Arial" w:cs="Arial"/>
          <w:b/>
        </w:rPr>
      </w:pP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
        <w:gridCol w:w="1870"/>
        <w:gridCol w:w="2025"/>
        <w:gridCol w:w="1750"/>
        <w:gridCol w:w="2658"/>
      </w:tblGrid>
      <w:tr w:rsidR="008A63CC" w:rsidRPr="00CD0D75" w:rsidTr="008A63CC">
        <w:trPr>
          <w:trHeight w:val="449"/>
          <w:jc w:val="center"/>
        </w:trPr>
        <w:tc>
          <w:tcPr>
            <w:tcW w:w="2206" w:type="dxa"/>
            <w:gridSpan w:val="2"/>
            <w:vMerge w:val="restart"/>
            <w:tcBorders>
              <w:top w:val="single" w:sz="12" w:space="0" w:color="auto"/>
              <w:left w:val="single" w:sz="12" w:space="0" w:color="auto"/>
              <w:right w:val="single" w:sz="12" w:space="0" w:color="auto"/>
            </w:tcBorders>
            <w:shd w:val="clear" w:color="auto" w:fill="auto"/>
            <w:vAlign w:val="center"/>
          </w:tcPr>
          <w:p w:rsidR="008A63CC" w:rsidRPr="00CD0D75" w:rsidRDefault="008A63CC" w:rsidP="008A63CC">
            <w:pPr>
              <w:spacing w:after="0"/>
              <w:jc w:val="both"/>
              <w:rPr>
                <w:rFonts w:ascii="Arial" w:hAnsi="Arial" w:cs="Arial"/>
                <w:i/>
              </w:rPr>
            </w:pPr>
            <w:r w:rsidRPr="00CD0D75">
              <w:rPr>
                <w:rFonts w:ascii="Arial" w:hAnsi="Arial" w:cs="Arial"/>
                <w:b/>
                <w:i/>
              </w:rPr>
              <w:t>Rezerve</w:t>
            </w:r>
          </w:p>
        </w:tc>
        <w:tc>
          <w:tcPr>
            <w:tcW w:w="377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A63CC" w:rsidRPr="00CD0D75" w:rsidRDefault="008A63CC" w:rsidP="008A63CC">
            <w:pPr>
              <w:spacing w:after="0"/>
              <w:jc w:val="both"/>
              <w:rPr>
                <w:rFonts w:ascii="Arial" w:hAnsi="Arial" w:cs="Arial"/>
                <w:i/>
              </w:rPr>
            </w:pPr>
            <w:r w:rsidRPr="00CD0D75">
              <w:rPr>
                <w:rFonts w:ascii="Arial" w:hAnsi="Arial" w:cs="Arial"/>
                <w:b/>
                <w:i/>
              </w:rPr>
              <w:t>Kategorija</w:t>
            </w:r>
          </w:p>
        </w:tc>
        <w:tc>
          <w:tcPr>
            <w:tcW w:w="2660" w:type="dxa"/>
            <w:vMerge w:val="restart"/>
            <w:tcBorders>
              <w:top w:val="single" w:sz="12" w:space="0" w:color="auto"/>
              <w:left w:val="single" w:sz="12" w:space="0" w:color="auto"/>
              <w:right w:val="single" w:sz="12" w:space="0" w:color="auto"/>
            </w:tcBorders>
            <w:shd w:val="clear" w:color="auto" w:fill="auto"/>
            <w:vAlign w:val="center"/>
          </w:tcPr>
          <w:p w:rsidR="008A63CC" w:rsidRPr="00CD0D75" w:rsidRDefault="008A63CC" w:rsidP="008A63CC">
            <w:pPr>
              <w:spacing w:after="0"/>
              <w:jc w:val="both"/>
              <w:rPr>
                <w:rFonts w:ascii="Arial" w:hAnsi="Arial" w:cs="Arial"/>
                <w:b/>
                <w:i/>
              </w:rPr>
            </w:pPr>
            <w:r w:rsidRPr="00CD0D75">
              <w:rPr>
                <w:rFonts w:ascii="Arial" w:hAnsi="Arial" w:cs="Arial"/>
                <w:b/>
                <w:i/>
              </w:rPr>
              <w:t>Ukupne rezerve tehničko-građevinskog kamena (m</w:t>
            </w:r>
            <w:r w:rsidRPr="00CD0D75">
              <w:rPr>
                <w:rFonts w:ascii="Arial" w:hAnsi="Arial" w:cs="Arial"/>
                <w:b/>
                <w:i/>
                <w:vertAlign w:val="superscript"/>
              </w:rPr>
              <w:t>3</w:t>
            </w:r>
            <w:r w:rsidRPr="00CD0D75">
              <w:rPr>
                <w:rFonts w:ascii="Arial" w:hAnsi="Arial" w:cs="Arial"/>
                <w:b/>
                <w:i/>
              </w:rPr>
              <w:t>)</w:t>
            </w:r>
          </w:p>
        </w:tc>
      </w:tr>
      <w:tr w:rsidR="008A63CC" w:rsidRPr="00CD0D75" w:rsidTr="008A63CC">
        <w:trPr>
          <w:trHeight w:val="288"/>
          <w:jc w:val="center"/>
        </w:trPr>
        <w:tc>
          <w:tcPr>
            <w:tcW w:w="2206" w:type="dxa"/>
            <w:gridSpan w:val="2"/>
            <w:vMerge/>
            <w:tcBorders>
              <w:left w:val="single" w:sz="12" w:space="0" w:color="auto"/>
              <w:bottom w:val="single" w:sz="12" w:space="0" w:color="auto"/>
              <w:right w:val="single" w:sz="12" w:space="0" w:color="auto"/>
            </w:tcBorders>
            <w:shd w:val="clear" w:color="auto" w:fill="auto"/>
          </w:tcPr>
          <w:p w:rsidR="008A63CC" w:rsidRPr="00CD0D75" w:rsidRDefault="008A63CC" w:rsidP="008A63CC">
            <w:pPr>
              <w:spacing w:after="0"/>
              <w:jc w:val="both"/>
              <w:rPr>
                <w:rFonts w:ascii="Arial" w:hAnsi="Arial" w:cs="Arial"/>
                <w:b/>
                <w:i/>
              </w:rPr>
            </w:pPr>
          </w:p>
        </w:tc>
        <w:tc>
          <w:tcPr>
            <w:tcW w:w="2026" w:type="dxa"/>
            <w:tcBorders>
              <w:top w:val="single" w:sz="12" w:space="0" w:color="auto"/>
              <w:left w:val="single" w:sz="12" w:space="0" w:color="auto"/>
              <w:bottom w:val="single" w:sz="12" w:space="0" w:color="auto"/>
              <w:right w:val="single" w:sz="12" w:space="0" w:color="auto"/>
            </w:tcBorders>
            <w:shd w:val="clear" w:color="auto" w:fill="auto"/>
            <w:vAlign w:val="center"/>
          </w:tcPr>
          <w:p w:rsidR="008A63CC" w:rsidRPr="00CD0D75" w:rsidRDefault="008A63CC" w:rsidP="008A63CC">
            <w:pPr>
              <w:spacing w:after="0"/>
              <w:jc w:val="both"/>
              <w:rPr>
                <w:rFonts w:ascii="Arial" w:hAnsi="Arial" w:cs="Arial"/>
                <w:b/>
                <w:i/>
              </w:rPr>
            </w:pPr>
            <w:r w:rsidRPr="00CD0D75">
              <w:rPr>
                <w:rFonts w:ascii="Arial" w:hAnsi="Arial" w:cs="Arial"/>
                <w:b/>
                <w:i/>
              </w:rPr>
              <w:t>B</w:t>
            </w:r>
          </w:p>
        </w:tc>
        <w:tc>
          <w:tcPr>
            <w:tcW w:w="1751" w:type="dxa"/>
            <w:tcBorders>
              <w:top w:val="single" w:sz="12" w:space="0" w:color="auto"/>
              <w:left w:val="single" w:sz="12" w:space="0" w:color="auto"/>
              <w:bottom w:val="single" w:sz="12" w:space="0" w:color="auto"/>
              <w:right w:val="single" w:sz="12" w:space="0" w:color="auto"/>
            </w:tcBorders>
            <w:shd w:val="clear" w:color="auto" w:fill="auto"/>
            <w:vAlign w:val="center"/>
          </w:tcPr>
          <w:p w:rsidR="008A63CC" w:rsidRPr="00CD0D75" w:rsidRDefault="008A63CC" w:rsidP="008A63CC">
            <w:pPr>
              <w:spacing w:after="0"/>
              <w:jc w:val="both"/>
              <w:rPr>
                <w:rFonts w:ascii="Arial" w:hAnsi="Arial" w:cs="Arial"/>
                <w:b/>
                <w:i/>
                <w:vertAlign w:val="subscript"/>
              </w:rPr>
            </w:pPr>
            <w:r w:rsidRPr="00CD0D75">
              <w:rPr>
                <w:rFonts w:ascii="Arial" w:hAnsi="Arial" w:cs="Arial"/>
                <w:b/>
                <w:i/>
              </w:rPr>
              <w:t>C</w:t>
            </w:r>
            <w:r w:rsidRPr="00CD0D75">
              <w:rPr>
                <w:rFonts w:ascii="Arial" w:hAnsi="Arial" w:cs="Arial"/>
                <w:b/>
                <w:i/>
                <w:vertAlign w:val="subscript"/>
              </w:rPr>
              <w:t>1</w:t>
            </w:r>
          </w:p>
        </w:tc>
        <w:tc>
          <w:tcPr>
            <w:tcW w:w="2660" w:type="dxa"/>
            <w:vMerge/>
            <w:tcBorders>
              <w:left w:val="single" w:sz="12" w:space="0" w:color="auto"/>
              <w:bottom w:val="single" w:sz="12" w:space="0" w:color="auto"/>
              <w:right w:val="single" w:sz="12" w:space="0" w:color="auto"/>
            </w:tcBorders>
            <w:shd w:val="clear" w:color="auto" w:fill="auto"/>
          </w:tcPr>
          <w:p w:rsidR="008A63CC" w:rsidRPr="00CD0D75" w:rsidRDefault="008A63CC" w:rsidP="008A63CC">
            <w:pPr>
              <w:spacing w:after="0"/>
              <w:jc w:val="both"/>
              <w:rPr>
                <w:rFonts w:ascii="Arial" w:hAnsi="Arial" w:cs="Arial"/>
                <w:b/>
                <w:i/>
              </w:rPr>
            </w:pPr>
          </w:p>
        </w:tc>
      </w:tr>
      <w:tr w:rsidR="008A63CC" w:rsidRPr="00CD0D75" w:rsidTr="008A63CC">
        <w:trPr>
          <w:trHeight w:val="288"/>
          <w:jc w:val="center"/>
        </w:trPr>
        <w:tc>
          <w:tcPr>
            <w:tcW w:w="336" w:type="dxa"/>
            <w:tcBorders>
              <w:top w:val="single" w:sz="12" w:space="0" w:color="auto"/>
              <w:left w:val="single" w:sz="12" w:space="0" w:color="auto"/>
              <w:bottom w:val="single" w:sz="8" w:space="0" w:color="auto"/>
              <w:right w:val="single" w:sz="12" w:space="0" w:color="auto"/>
            </w:tcBorders>
            <w:shd w:val="clear" w:color="auto" w:fill="auto"/>
            <w:vAlign w:val="center"/>
          </w:tcPr>
          <w:p w:rsidR="008A63CC" w:rsidRPr="00CD0D75" w:rsidRDefault="008A63CC" w:rsidP="008A63CC">
            <w:pPr>
              <w:spacing w:after="0"/>
              <w:jc w:val="both"/>
              <w:rPr>
                <w:rFonts w:ascii="Arial" w:hAnsi="Arial" w:cs="Arial"/>
                <w:b/>
                <w:i/>
              </w:rPr>
            </w:pPr>
            <w:r w:rsidRPr="00CD0D75">
              <w:rPr>
                <w:rFonts w:ascii="Arial" w:hAnsi="Arial" w:cs="Arial"/>
                <w:b/>
                <w:i/>
              </w:rPr>
              <w:t>1</w:t>
            </w:r>
          </w:p>
        </w:tc>
        <w:tc>
          <w:tcPr>
            <w:tcW w:w="1870" w:type="dxa"/>
            <w:tcBorders>
              <w:top w:val="single" w:sz="12" w:space="0" w:color="auto"/>
              <w:left w:val="single" w:sz="12" w:space="0" w:color="auto"/>
              <w:bottom w:val="single" w:sz="8" w:space="0" w:color="auto"/>
              <w:right w:val="single" w:sz="12" w:space="0" w:color="auto"/>
            </w:tcBorders>
            <w:shd w:val="clear" w:color="auto" w:fill="auto"/>
            <w:vAlign w:val="center"/>
          </w:tcPr>
          <w:p w:rsidR="008A63CC" w:rsidRPr="00CD0D75" w:rsidRDefault="008A63CC" w:rsidP="008A63CC">
            <w:pPr>
              <w:spacing w:after="0"/>
              <w:jc w:val="both"/>
              <w:rPr>
                <w:rFonts w:ascii="Arial" w:hAnsi="Arial" w:cs="Arial"/>
                <w:b/>
                <w:i/>
              </w:rPr>
            </w:pPr>
            <w:r w:rsidRPr="00CD0D75">
              <w:rPr>
                <w:rFonts w:ascii="Arial" w:hAnsi="Arial" w:cs="Arial"/>
                <w:b/>
                <w:i/>
              </w:rPr>
              <w:t>Geološke</w:t>
            </w:r>
          </w:p>
        </w:tc>
        <w:tc>
          <w:tcPr>
            <w:tcW w:w="2026" w:type="dxa"/>
            <w:tcBorders>
              <w:top w:val="single" w:sz="12" w:space="0" w:color="auto"/>
              <w:left w:val="single" w:sz="12" w:space="0" w:color="auto"/>
              <w:bottom w:val="single" w:sz="8" w:space="0" w:color="auto"/>
              <w:right w:val="single" w:sz="12" w:space="0" w:color="auto"/>
            </w:tcBorders>
            <w:shd w:val="clear" w:color="auto" w:fill="auto"/>
            <w:vAlign w:val="center"/>
          </w:tcPr>
          <w:p w:rsidR="008A63CC" w:rsidRPr="00CD0D75" w:rsidRDefault="008A63CC" w:rsidP="008A63CC">
            <w:pPr>
              <w:spacing w:after="0"/>
              <w:jc w:val="both"/>
              <w:rPr>
                <w:rFonts w:ascii="Arial" w:hAnsi="Arial" w:cs="Arial"/>
                <w:b/>
                <w:bCs/>
                <w:i/>
                <w:iCs/>
              </w:rPr>
            </w:pPr>
            <w:r w:rsidRPr="00CD0D75">
              <w:rPr>
                <w:rFonts w:ascii="Arial" w:hAnsi="Arial" w:cs="Arial"/>
                <w:b/>
                <w:bCs/>
                <w:i/>
                <w:iCs/>
              </w:rPr>
              <w:t>1.342.556,00</w:t>
            </w:r>
          </w:p>
        </w:tc>
        <w:tc>
          <w:tcPr>
            <w:tcW w:w="1751" w:type="dxa"/>
            <w:tcBorders>
              <w:top w:val="single" w:sz="12" w:space="0" w:color="auto"/>
              <w:left w:val="single" w:sz="12" w:space="0" w:color="auto"/>
              <w:bottom w:val="single" w:sz="8" w:space="0" w:color="auto"/>
              <w:right w:val="single" w:sz="12" w:space="0" w:color="auto"/>
            </w:tcBorders>
            <w:shd w:val="clear" w:color="auto" w:fill="auto"/>
            <w:vAlign w:val="center"/>
          </w:tcPr>
          <w:p w:rsidR="008A63CC" w:rsidRPr="00CD0D75" w:rsidRDefault="008A63CC" w:rsidP="008A63CC">
            <w:pPr>
              <w:spacing w:after="0"/>
              <w:jc w:val="both"/>
              <w:rPr>
                <w:rFonts w:ascii="Arial" w:hAnsi="Arial" w:cs="Arial"/>
                <w:b/>
                <w:bCs/>
                <w:i/>
                <w:iCs/>
              </w:rPr>
            </w:pPr>
            <w:r w:rsidRPr="00CD0D75">
              <w:rPr>
                <w:rFonts w:ascii="Arial" w:hAnsi="Arial" w:cs="Arial"/>
                <w:b/>
                <w:bCs/>
                <w:i/>
                <w:iCs/>
              </w:rPr>
              <w:t>730.459,00</w:t>
            </w:r>
          </w:p>
        </w:tc>
        <w:tc>
          <w:tcPr>
            <w:tcW w:w="2660" w:type="dxa"/>
            <w:tcBorders>
              <w:top w:val="single" w:sz="12" w:space="0" w:color="auto"/>
              <w:left w:val="single" w:sz="12" w:space="0" w:color="auto"/>
              <w:bottom w:val="single" w:sz="8" w:space="0" w:color="auto"/>
              <w:right w:val="single" w:sz="12" w:space="0" w:color="auto"/>
            </w:tcBorders>
            <w:shd w:val="clear" w:color="auto" w:fill="auto"/>
            <w:vAlign w:val="center"/>
          </w:tcPr>
          <w:p w:rsidR="008A63CC" w:rsidRPr="00CD0D75" w:rsidRDefault="008A63CC" w:rsidP="008A63CC">
            <w:pPr>
              <w:spacing w:after="0"/>
              <w:jc w:val="both"/>
              <w:rPr>
                <w:rFonts w:ascii="Arial" w:hAnsi="Arial" w:cs="Arial"/>
                <w:b/>
                <w:bCs/>
                <w:i/>
                <w:iCs/>
              </w:rPr>
            </w:pPr>
            <w:r w:rsidRPr="00CD0D75">
              <w:rPr>
                <w:rFonts w:ascii="Arial" w:hAnsi="Arial" w:cs="Arial"/>
                <w:b/>
                <w:bCs/>
                <w:i/>
                <w:iCs/>
              </w:rPr>
              <w:t>2.073.015,00</w:t>
            </w:r>
          </w:p>
        </w:tc>
      </w:tr>
      <w:tr w:rsidR="008A63CC" w:rsidRPr="00CD0D75" w:rsidTr="008A63CC">
        <w:trPr>
          <w:trHeight w:val="288"/>
          <w:jc w:val="center"/>
        </w:trPr>
        <w:tc>
          <w:tcPr>
            <w:tcW w:w="336" w:type="dxa"/>
            <w:tcBorders>
              <w:top w:val="single" w:sz="8" w:space="0" w:color="auto"/>
              <w:left w:val="single" w:sz="12" w:space="0" w:color="auto"/>
              <w:bottom w:val="single" w:sz="8" w:space="0" w:color="auto"/>
              <w:right w:val="single" w:sz="12" w:space="0" w:color="auto"/>
            </w:tcBorders>
            <w:shd w:val="clear" w:color="auto" w:fill="auto"/>
            <w:vAlign w:val="center"/>
          </w:tcPr>
          <w:p w:rsidR="008A63CC" w:rsidRPr="00CD0D75" w:rsidRDefault="008A63CC" w:rsidP="008A63CC">
            <w:pPr>
              <w:spacing w:after="0"/>
              <w:jc w:val="both"/>
              <w:rPr>
                <w:rFonts w:ascii="Arial" w:hAnsi="Arial" w:cs="Arial"/>
                <w:b/>
                <w:i/>
              </w:rPr>
            </w:pPr>
            <w:r w:rsidRPr="00CD0D75">
              <w:rPr>
                <w:rFonts w:ascii="Arial" w:hAnsi="Arial" w:cs="Arial"/>
                <w:b/>
                <w:i/>
              </w:rPr>
              <w:t>2</w:t>
            </w:r>
          </w:p>
        </w:tc>
        <w:tc>
          <w:tcPr>
            <w:tcW w:w="1870" w:type="dxa"/>
            <w:tcBorders>
              <w:top w:val="single" w:sz="8" w:space="0" w:color="auto"/>
              <w:left w:val="single" w:sz="12" w:space="0" w:color="auto"/>
              <w:bottom w:val="single" w:sz="8" w:space="0" w:color="auto"/>
              <w:right w:val="single" w:sz="12" w:space="0" w:color="auto"/>
            </w:tcBorders>
            <w:shd w:val="clear" w:color="auto" w:fill="auto"/>
            <w:vAlign w:val="center"/>
          </w:tcPr>
          <w:p w:rsidR="008A63CC" w:rsidRPr="00CD0D75" w:rsidRDefault="008A63CC" w:rsidP="008A63CC">
            <w:pPr>
              <w:spacing w:after="0"/>
              <w:jc w:val="both"/>
              <w:rPr>
                <w:rFonts w:ascii="Arial" w:hAnsi="Arial" w:cs="Arial"/>
                <w:b/>
                <w:i/>
              </w:rPr>
            </w:pPr>
            <w:r w:rsidRPr="00CD0D75">
              <w:rPr>
                <w:rFonts w:ascii="Arial" w:hAnsi="Arial" w:cs="Arial"/>
                <w:b/>
                <w:i/>
              </w:rPr>
              <w:t>Bilansne</w:t>
            </w:r>
          </w:p>
        </w:tc>
        <w:tc>
          <w:tcPr>
            <w:tcW w:w="2026" w:type="dxa"/>
            <w:tcBorders>
              <w:top w:val="single" w:sz="8" w:space="0" w:color="auto"/>
              <w:left w:val="single" w:sz="12" w:space="0" w:color="auto"/>
              <w:bottom w:val="single" w:sz="8" w:space="0" w:color="auto"/>
              <w:right w:val="single" w:sz="12" w:space="0" w:color="auto"/>
            </w:tcBorders>
            <w:shd w:val="clear" w:color="auto" w:fill="auto"/>
            <w:vAlign w:val="center"/>
          </w:tcPr>
          <w:p w:rsidR="008A63CC" w:rsidRPr="00CD0D75" w:rsidRDefault="008A63CC" w:rsidP="008A63CC">
            <w:pPr>
              <w:spacing w:after="0"/>
              <w:jc w:val="both"/>
              <w:rPr>
                <w:rFonts w:ascii="Arial" w:hAnsi="Arial" w:cs="Arial"/>
                <w:b/>
                <w:bCs/>
                <w:i/>
                <w:iCs/>
              </w:rPr>
            </w:pPr>
            <w:r w:rsidRPr="00CD0D75">
              <w:rPr>
                <w:rFonts w:ascii="Arial" w:hAnsi="Arial" w:cs="Arial"/>
                <w:b/>
                <w:bCs/>
                <w:i/>
                <w:iCs/>
              </w:rPr>
              <w:t>1.342.556,00</w:t>
            </w:r>
          </w:p>
        </w:tc>
        <w:tc>
          <w:tcPr>
            <w:tcW w:w="1751" w:type="dxa"/>
            <w:tcBorders>
              <w:top w:val="single" w:sz="8" w:space="0" w:color="auto"/>
              <w:left w:val="single" w:sz="12" w:space="0" w:color="auto"/>
              <w:bottom w:val="single" w:sz="8" w:space="0" w:color="auto"/>
              <w:right w:val="single" w:sz="12" w:space="0" w:color="auto"/>
            </w:tcBorders>
            <w:shd w:val="clear" w:color="auto" w:fill="auto"/>
            <w:vAlign w:val="center"/>
          </w:tcPr>
          <w:p w:rsidR="008A63CC" w:rsidRPr="00CD0D75" w:rsidRDefault="008A63CC" w:rsidP="008A63CC">
            <w:pPr>
              <w:spacing w:after="0"/>
              <w:jc w:val="both"/>
              <w:rPr>
                <w:rFonts w:ascii="Arial" w:hAnsi="Arial" w:cs="Arial"/>
                <w:b/>
                <w:bCs/>
                <w:i/>
                <w:iCs/>
              </w:rPr>
            </w:pPr>
            <w:r w:rsidRPr="00CD0D75">
              <w:rPr>
                <w:rFonts w:ascii="Arial" w:hAnsi="Arial" w:cs="Arial"/>
                <w:b/>
                <w:bCs/>
                <w:i/>
                <w:iCs/>
              </w:rPr>
              <w:t>730.459,00</w:t>
            </w:r>
          </w:p>
        </w:tc>
        <w:tc>
          <w:tcPr>
            <w:tcW w:w="2660" w:type="dxa"/>
            <w:tcBorders>
              <w:top w:val="single" w:sz="8" w:space="0" w:color="auto"/>
              <w:left w:val="single" w:sz="12" w:space="0" w:color="auto"/>
              <w:bottom w:val="single" w:sz="8" w:space="0" w:color="auto"/>
              <w:right w:val="single" w:sz="12" w:space="0" w:color="auto"/>
            </w:tcBorders>
            <w:shd w:val="clear" w:color="auto" w:fill="auto"/>
            <w:vAlign w:val="center"/>
          </w:tcPr>
          <w:p w:rsidR="008A63CC" w:rsidRPr="00CD0D75" w:rsidRDefault="008A63CC" w:rsidP="008A63CC">
            <w:pPr>
              <w:spacing w:after="0"/>
              <w:jc w:val="both"/>
              <w:rPr>
                <w:rFonts w:ascii="Arial" w:hAnsi="Arial" w:cs="Arial"/>
                <w:b/>
                <w:bCs/>
                <w:i/>
                <w:iCs/>
              </w:rPr>
            </w:pPr>
            <w:r w:rsidRPr="00CD0D75">
              <w:rPr>
                <w:rFonts w:ascii="Arial" w:hAnsi="Arial" w:cs="Arial"/>
                <w:b/>
                <w:bCs/>
                <w:i/>
                <w:iCs/>
              </w:rPr>
              <w:t>2.073.015,00</w:t>
            </w:r>
          </w:p>
        </w:tc>
      </w:tr>
      <w:tr w:rsidR="008A63CC" w:rsidRPr="00CD0D75" w:rsidTr="008A63CC">
        <w:trPr>
          <w:trHeight w:val="288"/>
          <w:jc w:val="center"/>
        </w:trPr>
        <w:tc>
          <w:tcPr>
            <w:tcW w:w="336" w:type="dxa"/>
            <w:tcBorders>
              <w:top w:val="single" w:sz="8" w:space="0" w:color="auto"/>
              <w:left w:val="single" w:sz="12" w:space="0" w:color="auto"/>
              <w:bottom w:val="single" w:sz="12" w:space="0" w:color="auto"/>
              <w:right w:val="single" w:sz="12" w:space="0" w:color="auto"/>
            </w:tcBorders>
            <w:shd w:val="clear" w:color="auto" w:fill="auto"/>
            <w:vAlign w:val="center"/>
          </w:tcPr>
          <w:p w:rsidR="008A63CC" w:rsidRPr="00CD0D75" w:rsidRDefault="008A63CC" w:rsidP="008A63CC">
            <w:pPr>
              <w:spacing w:after="0"/>
              <w:jc w:val="both"/>
              <w:rPr>
                <w:rFonts w:ascii="Arial" w:hAnsi="Arial" w:cs="Arial"/>
                <w:b/>
                <w:i/>
              </w:rPr>
            </w:pPr>
            <w:r w:rsidRPr="00CD0D75">
              <w:rPr>
                <w:rFonts w:ascii="Arial" w:hAnsi="Arial" w:cs="Arial"/>
                <w:b/>
                <w:i/>
              </w:rPr>
              <w:t>3</w:t>
            </w:r>
          </w:p>
        </w:tc>
        <w:tc>
          <w:tcPr>
            <w:tcW w:w="1870" w:type="dxa"/>
            <w:tcBorders>
              <w:top w:val="single" w:sz="8" w:space="0" w:color="auto"/>
              <w:left w:val="single" w:sz="12" w:space="0" w:color="auto"/>
              <w:bottom w:val="single" w:sz="12" w:space="0" w:color="auto"/>
              <w:right w:val="single" w:sz="12" w:space="0" w:color="auto"/>
            </w:tcBorders>
            <w:shd w:val="clear" w:color="auto" w:fill="auto"/>
            <w:vAlign w:val="center"/>
          </w:tcPr>
          <w:p w:rsidR="008A63CC" w:rsidRPr="00CD0D75" w:rsidRDefault="008A63CC" w:rsidP="008A63CC">
            <w:pPr>
              <w:spacing w:after="0"/>
              <w:jc w:val="both"/>
              <w:rPr>
                <w:rFonts w:ascii="Arial" w:hAnsi="Arial" w:cs="Arial"/>
                <w:b/>
                <w:i/>
              </w:rPr>
            </w:pPr>
            <w:r w:rsidRPr="00CD0D75">
              <w:rPr>
                <w:rFonts w:ascii="Arial" w:hAnsi="Arial" w:cs="Arial"/>
                <w:b/>
                <w:i/>
              </w:rPr>
              <w:t>Eksploatacione</w:t>
            </w:r>
          </w:p>
        </w:tc>
        <w:tc>
          <w:tcPr>
            <w:tcW w:w="2026" w:type="dxa"/>
            <w:tcBorders>
              <w:top w:val="single" w:sz="8" w:space="0" w:color="auto"/>
              <w:left w:val="single" w:sz="12" w:space="0" w:color="auto"/>
              <w:bottom w:val="single" w:sz="12" w:space="0" w:color="auto"/>
              <w:right w:val="single" w:sz="12" w:space="0" w:color="auto"/>
            </w:tcBorders>
            <w:shd w:val="clear" w:color="auto" w:fill="auto"/>
            <w:vAlign w:val="center"/>
          </w:tcPr>
          <w:p w:rsidR="008A63CC" w:rsidRPr="00CD0D75" w:rsidRDefault="008A63CC" w:rsidP="008A63CC">
            <w:pPr>
              <w:spacing w:after="0"/>
              <w:jc w:val="both"/>
              <w:rPr>
                <w:rFonts w:ascii="Arial" w:hAnsi="Arial" w:cs="Arial"/>
                <w:b/>
                <w:bCs/>
                <w:i/>
                <w:iCs/>
              </w:rPr>
            </w:pPr>
            <w:r w:rsidRPr="00CD0D75">
              <w:rPr>
                <w:rFonts w:ascii="Arial" w:hAnsi="Arial" w:cs="Arial"/>
                <w:b/>
                <w:bCs/>
                <w:i/>
                <w:iCs/>
              </w:rPr>
              <w:t>1.208.300,40</w:t>
            </w:r>
          </w:p>
        </w:tc>
        <w:tc>
          <w:tcPr>
            <w:tcW w:w="1751" w:type="dxa"/>
            <w:tcBorders>
              <w:top w:val="single" w:sz="8" w:space="0" w:color="auto"/>
              <w:left w:val="single" w:sz="12" w:space="0" w:color="auto"/>
              <w:bottom w:val="single" w:sz="12" w:space="0" w:color="auto"/>
              <w:right w:val="single" w:sz="12" w:space="0" w:color="auto"/>
            </w:tcBorders>
            <w:shd w:val="clear" w:color="auto" w:fill="auto"/>
            <w:vAlign w:val="center"/>
          </w:tcPr>
          <w:p w:rsidR="008A63CC" w:rsidRPr="00CD0D75" w:rsidRDefault="008A63CC" w:rsidP="008A63CC">
            <w:pPr>
              <w:spacing w:after="0"/>
              <w:jc w:val="both"/>
              <w:rPr>
                <w:rFonts w:ascii="Arial" w:hAnsi="Arial" w:cs="Arial"/>
                <w:b/>
                <w:bCs/>
                <w:i/>
                <w:iCs/>
              </w:rPr>
            </w:pPr>
            <w:r w:rsidRPr="00CD0D75">
              <w:rPr>
                <w:rFonts w:ascii="Arial" w:hAnsi="Arial" w:cs="Arial"/>
                <w:b/>
                <w:bCs/>
                <w:i/>
                <w:iCs/>
              </w:rPr>
              <w:t>657.413,00</w:t>
            </w:r>
          </w:p>
        </w:tc>
        <w:tc>
          <w:tcPr>
            <w:tcW w:w="2660" w:type="dxa"/>
            <w:tcBorders>
              <w:top w:val="single" w:sz="8" w:space="0" w:color="auto"/>
              <w:left w:val="single" w:sz="12" w:space="0" w:color="auto"/>
              <w:bottom w:val="single" w:sz="12" w:space="0" w:color="auto"/>
              <w:right w:val="single" w:sz="12" w:space="0" w:color="auto"/>
            </w:tcBorders>
            <w:shd w:val="clear" w:color="auto" w:fill="auto"/>
            <w:vAlign w:val="center"/>
          </w:tcPr>
          <w:p w:rsidR="008A63CC" w:rsidRPr="00CD0D75" w:rsidRDefault="008A63CC" w:rsidP="008A63CC">
            <w:pPr>
              <w:spacing w:after="0"/>
              <w:jc w:val="both"/>
              <w:rPr>
                <w:rFonts w:ascii="Arial" w:hAnsi="Arial" w:cs="Arial"/>
                <w:b/>
                <w:bCs/>
                <w:i/>
                <w:iCs/>
              </w:rPr>
            </w:pPr>
            <w:r w:rsidRPr="00CD0D75">
              <w:rPr>
                <w:rFonts w:ascii="Arial" w:hAnsi="Arial" w:cs="Arial"/>
                <w:b/>
                <w:bCs/>
                <w:i/>
                <w:iCs/>
              </w:rPr>
              <w:t>1.865.714,00</w:t>
            </w:r>
          </w:p>
        </w:tc>
      </w:tr>
    </w:tbl>
    <w:p w:rsidR="008A63CC" w:rsidRPr="00CD0D75" w:rsidRDefault="008A63CC" w:rsidP="008A63CC">
      <w:pPr>
        <w:spacing w:after="0"/>
        <w:jc w:val="both"/>
        <w:rPr>
          <w:rFonts w:ascii="Arial" w:hAnsi="Arial" w:cs="Arial"/>
          <w:b/>
        </w:rPr>
      </w:pPr>
    </w:p>
    <w:p w:rsidR="008A63CC" w:rsidRPr="00CD0D75" w:rsidRDefault="008A63CC" w:rsidP="008A63CC">
      <w:pPr>
        <w:spacing w:after="0"/>
        <w:jc w:val="both"/>
        <w:rPr>
          <w:rFonts w:ascii="Arial" w:hAnsi="Arial" w:cs="Arial"/>
          <w:b/>
        </w:rPr>
      </w:pPr>
    </w:p>
    <w:p w:rsidR="008A63CC" w:rsidRPr="00CD0D75" w:rsidRDefault="008A63CC" w:rsidP="008A63CC">
      <w:pPr>
        <w:spacing w:after="0"/>
        <w:jc w:val="both"/>
        <w:rPr>
          <w:rFonts w:ascii="Arial" w:hAnsi="Arial" w:cs="Arial"/>
          <w:b/>
        </w:rPr>
      </w:pPr>
      <w:r w:rsidRPr="00CD0D75">
        <w:rPr>
          <w:rFonts w:ascii="Arial" w:hAnsi="Arial" w:cs="Arial"/>
          <w:b/>
        </w:rPr>
        <w:t>Na osnovu rezultata laboratorijskih ispitivanja</w:t>
      </w:r>
      <w:r w:rsidRPr="00CD0D75">
        <w:rPr>
          <w:rFonts w:ascii="Arial" w:hAnsi="Arial" w:cs="Arial"/>
        </w:rPr>
        <w:t xml:space="preserve">, a saglasno odredbama odgovarajućih standarda, tehničko-građevinski kamen ležišta „Otilovići“ </w:t>
      </w:r>
      <w:r w:rsidRPr="00CD0D75">
        <w:rPr>
          <w:rFonts w:ascii="Arial" w:hAnsi="Arial" w:cs="Arial"/>
          <w:b/>
        </w:rPr>
        <w:t>se može upotrijebiti:</w:t>
      </w:r>
    </w:p>
    <w:p w:rsidR="008A63CC" w:rsidRPr="00CD0D75" w:rsidRDefault="008A63CC" w:rsidP="008A63CC">
      <w:pPr>
        <w:spacing w:after="0"/>
        <w:jc w:val="both"/>
        <w:rPr>
          <w:rFonts w:ascii="Arial" w:hAnsi="Arial" w:cs="Arial"/>
        </w:rPr>
      </w:pPr>
    </w:p>
    <w:p w:rsidR="008A63CC" w:rsidRPr="00CD0D75" w:rsidRDefault="008A63CC" w:rsidP="008A63CC">
      <w:pPr>
        <w:numPr>
          <w:ilvl w:val="1"/>
          <w:numId w:val="36"/>
        </w:numPr>
        <w:tabs>
          <w:tab w:val="clear" w:pos="1440"/>
          <w:tab w:val="num" w:pos="360"/>
        </w:tabs>
        <w:spacing w:after="0"/>
        <w:ind w:left="0" w:firstLine="0"/>
        <w:jc w:val="both"/>
        <w:rPr>
          <w:rFonts w:ascii="Arial" w:hAnsi="Arial" w:cs="Arial"/>
        </w:rPr>
      </w:pPr>
      <w:r w:rsidRPr="00CD0D75">
        <w:rPr>
          <w:rFonts w:ascii="Arial" w:hAnsi="Arial" w:cs="Arial"/>
        </w:rPr>
        <w:t>kao sirovina za proizvodnju agregata za izradu betona koji nijesu izloženi habanju i eroziji (SRPS B.B2.009),</w:t>
      </w:r>
    </w:p>
    <w:p w:rsidR="008A63CC" w:rsidRPr="00CD0D75" w:rsidRDefault="008A63CC" w:rsidP="008A63CC">
      <w:pPr>
        <w:numPr>
          <w:ilvl w:val="1"/>
          <w:numId w:val="36"/>
        </w:numPr>
        <w:tabs>
          <w:tab w:val="clear" w:pos="1440"/>
          <w:tab w:val="num" w:pos="360"/>
        </w:tabs>
        <w:spacing w:after="0"/>
        <w:ind w:left="0" w:firstLine="0"/>
        <w:jc w:val="both"/>
        <w:rPr>
          <w:rFonts w:ascii="Arial" w:hAnsi="Arial" w:cs="Arial"/>
        </w:rPr>
      </w:pPr>
      <w:r w:rsidRPr="00CD0D75">
        <w:rPr>
          <w:rFonts w:ascii="Arial" w:hAnsi="Arial" w:cs="Arial"/>
        </w:rPr>
        <w:t>kao sirovina za proizvodnju agregata za klasične i savremene podloge za puteve za lak i srednji saobraćaj (SRPS U.E9.020),</w:t>
      </w:r>
    </w:p>
    <w:p w:rsidR="008A63CC" w:rsidRPr="00CD0D75" w:rsidRDefault="008A63CC" w:rsidP="008A63CC">
      <w:pPr>
        <w:numPr>
          <w:ilvl w:val="1"/>
          <w:numId w:val="36"/>
        </w:numPr>
        <w:tabs>
          <w:tab w:val="clear" w:pos="1440"/>
          <w:tab w:val="num" w:pos="360"/>
        </w:tabs>
        <w:spacing w:after="0"/>
        <w:ind w:left="0" w:firstLine="0"/>
        <w:jc w:val="both"/>
        <w:rPr>
          <w:rFonts w:ascii="Arial" w:hAnsi="Arial" w:cs="Arial"/>
        </w:rPr>
      </w:pPr>
      <w:r w:rsidRPr="00CD0D75">
        <w:rPr>
          <w:rFonts w:ascii="Arial" w:hAnsi="Arial" w:cs="Arial"/>
        </w:rPr>
        <w:t>kao sirovina za proizvodnju agregata za gornje i donje noseće slojeve od bituminiziranog materijala po vrućem postupku (SRPS U.E9.021 i SRPS U.E9.028), i</w:t>
      </w:r>
    </w:p>
    <w:p w:rsidR="008A63CC" w:rsidRPr="00CD0D75" w:rsidRDefault="008A63CC" w:rsidP="008A63CC">
      <w:pPr>
        <w:numPr>
          <w:ilvl w:val="1"/>
          <w:numId w:val="36"/>
        </w:numPr>
        <w:tabs>
          <w:tab w:val="clear" w:pos="1440"/>
          <w:tab w:val="num" w:pos="360"/>
        </w:tabs>
        <w:spacing w:after="0"/>
        <w:ind w:left="0" w:firstLine="0"/>
        <w:jc w:val="both"/>
        <w:rPr>
          <w:rFonts w:ascii="Arial" w:hAnsi="Arial" w:cs="Arial"/>
        </w:rPr>
      </w:pPr>
      <w:r w:rsidRPr="00CD0D75">
        <w:rPr>
          <w:rFonts w:ascii="Arial" w:hAnsi="Arial" w:cs="Arial"/>
        </w:rPr>
        <w:t xml:space="preserve"> kao sirovina za proizvodnju lomljenog kamena i tesanika za gruba zidanja u niskogradnji i hidrogradnji.</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b/>
        </w:rPr>
      </w:pPr>
      <w:r w:rsidRPr="00CD0D75">
        <w:rPr>
          <w:rFonts w:ascii="Arial" w:hAnsi="Arial" w:cs="Arial"/>
          <w:b/>
        </w:rPr>
        <w:t xml:space="preserve">2.11. Mišljenje Uprave za zaštitu kulturnih dobara </w:t>
      </w:r>
    </w:p>
    <w:p w:rsidR="008A63CC" w:rsidRPr="00CD0D75" w:rsidRDefault="008A63CC" w:rsidP="008A63CC">
      <w:pPr>
        <w:spacing w:after="0"/>
        <w:jc w:val="both"/>
        <w:rPr>
          <w:rFonts w:ascii="Arial" w:hAnsi="Arial" w:cs="Arial"/>
        </w:rPr>
      </w:pPr>
    </w:p>
    <w:p w:rsidR="008A63CC" w:rsidRDefault="008A63CC" w:rsidP="008A63CC">
      <w:pPr>
        <w:spacing w:after="0"/>
        <w:jc w:val="both"/>
        <w:rPr>
          <w:rFonts w:ascii="Arial" w:hAnsi="Arial" w:cs="Arial"/>
        </w:rPr>
      </w:pPr>
      <w:r w:rsidRPr="00CD0D75">
        <w:rPr>
          <w:rFonts w:ascii="Arial" w:hAnsi="Arial" w:cs="Arial"/>
        </w:rPr>
        <w:t>U aktu Uprave za zaštitu kulturnih dobara, br. 03-418/2017-2 od 16.10.2017. godine, navedeno je da je, provjerom koordinata tačaka i katastarskih parcela u KO Otilovići i uvidom u dokumentaciju,  konstatovano da u predmetnom zahvatu nema kulturnih dobara, kao ni dobra sa potencijalnim kulturnim vrijednostima. Na osnovu navedenog, sa stanovišta zaštite kulturnih dobara, nema smetnji za realizaciju predmetne koncesije.</w:t>
      </w:r>
    </w:p>
    <w:p w:rsidR="00C26E77" w:rsidRPr="00CD0D75" w:rsidRDefault="00C26E77" w:rsidP="00CD0D75">
      <w:pPr>
        <w:spacing w:after="0"/>
        <w:rPr>
          <w:rFonts w:ascii="Arial" w:hAnsi="Arial" w:cs="Arial"/>
        </w:rPr>
      </w:pPr>
    </w:p>
    <w:p w:rsidR="00C26E77" w:rsidRPr="00CD0D75" w:rsidRDefault="00C26E77" w:rsidP="00772217">
      <w:pPr>
        <w:spacing w:after="0"/>
        <w:jc w:val="both"/>
        <w:rPr>
          <w:rFonts w:ascii="Arial" w:hAnsi="Arial" w:cs="Arial"/>
          <w:b/>
        </w:rPr>
      </w:pPr>
      <w:r w:rsidRPr="00CD0D75">
        <w:rPr>
          <w:rFonts w:ascii="Arial" w:hAnsi="Arial" w:cs="Arial"/>
          <w:b/>
        </w:rPr>
        <w:t>3. ROK TRAJANJA KONCESIJE</w:t>
      </w:r>
    </w:p>
    <w:p w:rsidR="00C26E77" w:rsidRPr="00CD0D75" w:rsidRDefault="00C26E77" w:rsidP="00772217">
      <w:pPr>
        <w:shd w:val="clear" w:color="auto" w:fill="FFFFFF" w:themeFill="background1"/>
        <w:spacing w:after="0"/>
        <w:jc w:val="both"/>
        <w:rPr>
          <w:rFonts w:ascii="Arial" w:hAnsi="Arial" w:cs="Arial"/>
        </w:rPr>
      </w:pPr>
    </w:p>
    <w:p w:rsidR="00C26E77" w:rsidRPr="00CD0D75" w:rsidRDefault="00C26E77" w:rsidP="00772217">
      <w:pPr>
        <w:shd w:val="clear" w:color="auto" w:fill="FFFFFF" w:themeFill="background1"/>
        <w:spacing w:after="0"/>
        <w:jc w:val="both"/>
        <w:rPr>
          <w:rFonts w:ascii="Arial" w:hAnsi="Arial" w:cs="Arial"/>
        </w:rPr>
      </w:pPr>
      <w:r w:rsidRPr="00CD0D75">
        <w:rPr>
          <w:rFonts w:ascii="Arial" w:hAnsi="Arial" w:cs="Arial"/>
        </w:rPr>
        <w:t>Rok trajanja eksploatacije mineralne sirovine (vijek eksploatacije) zavisi od utvrđenih rezervi istih, godišnjeg kapaciteta ekosploatacije i od zahtjeva tržišta.</w:t>
      </w:r>
    </w:p>
    <w:p w:rsidR="00C26E77" w:rsidRPr="003E16FA" w:rsidRDefault="00C26E77" w:rsidP="00772217">
      <w:pPr>
        <w:shd w:val="clear" w:color="auto" w:fill="FFFFFF" w:themeFill="background1"/>
        <w:spacing w:after="0"/>
        <w:jc w:val="both"/>
        <w:rPr>
          <w:rFonts w:ascii="Arial" w:hAnsi="Arial" w:cs="Arial"/>
        </w:rPr>
      </w:pPr>
      <w:r w:rsidRPr="003E16FA">
        <w:rPr>
          <w:rFonts w:ascii="Arial" w:hAnsi="Arial" w:cs="Arial"/>
        </w:rPr>
        <w:lastRenderedPageBreak/>
        <w:t xml:space="preserve">Ovim Koncesionim aktom daje se </w:t>
      </w:r>
      <w:r w:rsidR="008A63CC">
        <w:rPr>
          <w:rFonts w:ascii="Arial" w:hAnsi="Arial" w:cs="Arial"/>
        </w:rPr>
        <w:t>minimalni</w:t>
      </w:r>
      <w:r w:rsidRPr="003E16FA">
        <w:rPr>
          <w:rFonts w:ascii="Arial" w:hAnsi="Arial" w:cs="Arial"/>
        </w:rPr>
        <w:t xml:space="preserve"> rok koncesije  za eksploataciju tehničko-građevinskog</w:t>
      </w:r>
      <w:r w:rsidR="009F7BDE" w:rsidRPr="003E16FA">
        <w:rPr>
          <w:rFonts w:ascii="Arial" w:hAnsi="Arial" w:cs="Arial"/>
        </w:rPr>
        <w:t xml:space="preserve"> kamena iz ležišta „Otilovići</w:t>
      </w:r>
      <w:r w:rsidRPr="003E16FA">
        <w:rPr>
          <w:rFonts w:ascii="Arial" w:hAnsi="Arial" w:cs="Arial"/>
        </w:rPr>
        <w:t xml:space="preserve">“ na period od </w:t>
      </w:r>
      <w:r w:rsidR="00973E75" w:rsidRPr="003E16FA">
        <w:rPr>
          <w:rFonts w:ascii="Arial" w:hAnsi="Arial" w:cs="Arial"/>
        </w:rPr>
        <w:t>21</w:t>
      </w:r>
      <w:r w:rsidRPr="003E16FA">
        <w:rPr>
          <w:rFonts w:ascii="Arial" w:hAnsi="Arial" w:cs="Arial"/>
        </w:rPr>
        <w:t xml:space="preserve"> godin</w:t>
      </w:r>
      <w:r w:rsidR="00973E75" w:rsidRPr="003E16FA">
        <w:rPr>
          <w:rFonts w:ascii="Arial" w:hAnsi="Arial" w:cs="Arial"/>
        </w:rPr>
        <w:t>e</w:t>
      </w:r>
      <w:r w:rsidRPr="003E16FA">
        <w:rPr>
          <w:rFonts w:ascii="Arial" w:hAnsi="Arial" w:cs="Arial"/>
        </w:rPr>
        <w:t>, sa  minimalnom g</w:t>
      </w:r>
      <w:r w:rsidR="00424A61" w:rsidRPr="003E16FA">
        <w:rPr>
          <w:rFonts w:ascii="Arial" w:hAnsi="Arial" w:cs="Arial"/>
        </w:rPr>
        <w:t>odišnjom proizvodnjom od 10.000</w:t>
      </w:r>
      <w:r w:rsidRPr="003E16FA">
        <w:rPr>
          <w:rFonts w:ascii="Arial" w:hAnsi="Arial" w:cs="Arial"/>
        </w:rPr>
        <w:t xml:space="preserve">  m</w:t>
      </w:r>
      <w:r w:rsidRPr="003E16FA">
        <w:rPr>
          <w:rFonts w:ascii="Arial" w:hAnsi="Arial" w:cs="Arial"/>
          <w:vertAlign w:val="superscript"/>
        </w:rPr>
        <w:t xml:space="preserve">3 </w:t>
      </w:r>
      <w:r w:rsidRPr="003E16FA">
        <w:rPr>
          <w:rFonts w:ascii="Arial" w:hAnsi="Arial" w:cs="Arial"/>
        </w:rPr>
        <w:t xml:space="preserve"> č.s.m. </w:t>
      </w:r>
    </w:p>
    <w:p w:rsidR="00C26E77" w:rsidRPr="003E16FA" w:rsidRDefault="00C26E77" w:rsidP="00772217">
      <w:pPr>
        <w:shd w:val="clear" w:color="auto" w:fill="FFFFFF" w:themeFill="background1"/>
        <w:spacing w:after="0"/>
        <w:jc w:val="both"/>
        <w:rPr>
          <w:rFonts w:ascii="Arial" w:hAnsi="Arial" w:cs="Arial"/>
        </w:rPr>
      </w:pPr>
    </w:p>
    <w:p w:rsidR="00C26E77" w:rsidRPr="003E16FA" w:rsidRDefault="00C26E77" w:rsidP="00772217">
      <w:pPr>
        <w:shd w:val="clear" w:color="auto" w:fill="FFFFFF" w:themeFill="background1"/>
        <w:spacing w:after="0"/>
        <w:jc w:val="both"/>
        <w:rPr>
          <w:rFonts w:ascii="Arial" w:eastAsia="Times New Roman" w:hAnsi="Arial" w:cs="Arial"/>
        </w:rPr>
      </w:pPr>
      <w:r w:rsidRPr="003E16FA">
        <w:rPr>
          <w:rFonts w:ascii="Arial" w:eastAsia="Times New Roman" w:hAnsi="Arial" w:cs="Arial"/>
        </w:rPr>
        <w:t xml:space="preserve">Koncesija za eksploataciju  tehničko-građevinskog </w:t>
      </w:r>
      <w:r w:rsidR="009F7BDE" w:rsidRPr="003E16FA">
        <w:rPr>
          <w:rFonts w:ascii="Arial" w:eastAsia="Times New Roman" w:hAnsi="Arial" w:cs="Arial"/>
        </w:rPr>
        <w:t xml:space="preserve"> kamena iz ležišta ”Otilovići</w:t>
      </w:r>
      <w:r w:rsidRPr="003E16FA">
        <w:rPr>
          <w:rFonts w:ascii="Arial" w:eastAsia="Times New Roman" w:hAnsi="Arial" w:cs="Arial"/>
        </w:rPr>
        <w:t xml:space="preserve">“ daje se na </w:t>
      </w:r>
      <w:r w:rsidR="008A63CC">
        <w:rPr>
          <w:rFonts w:ascii="Arial" w:eastAsia="Times New Roman" w:hAnsi="Arial" w:cs="Arial"/>
        </w:rPr>
        <w:t xml:space="preserve">minimalni </w:t>
      </w:r>
      <w:r w:rsidRPr="003E16FA">
        <w:rPr>
          <w:rFonts w:ascii="Arial" w:eastAsia="Times New Roman" w:hAnsi="Arial" w:cs="Arial"/>
        </w:rPr>
        <w:t xml:space="preserve">period od </w:t>
      </w:r>
      <w:r w:rsidR="008A63CC">
        <w:rPr>
          <w:rFonts w:ascii="Arial" w:eastAsia="Times New Roman" w:hAnsi="Arial" w:cs="Arial"/>
        </w:rPr>
        <w:t>21 godinu</w:t>
      </w:r>
      <w:r w:rsidRPr="003E16FA">
        <w:rPr>
          <w:rFonts w:ascii="Arial" w:eastAsia="Times New Roman" w:hAnsi="Arial" w:cs="Arial"/>
        </w:rPr>
        <w:t xml:space="preserve">, od čega: </w:t>
      </w:r>
    </w:p>
    <w:p w:rsidR="00C26E77" w:rsidRPr="003E16FA" w:rsidRDefault="00C26E77" w:rsidP="00772217">
      <w:pPr>
        <w:shd w:val="clear" w:color="auto" w:fill="FFFFFF" w:themeFill="background1"/>
        <w:spacing w:after="0"/>
        <w:jc w:val="both"/>
        <w:rPr>
          <w:rFonts w:ascii="Arial" w:eastAsia="Times New Roman" w:hAnsi="Arial" w:cs="Arial"/>
        </w:rPr>
      </w:pPr>
    </w:p>
    <w:p w:rsidR="00C26E77" w:rsidRPr="003E16FA" w:rsidRDefault="00973E75" w:rsidP="00772217">
      <w:pPr>
        <w:pStyle w:val="ListParagraph"/>
        <w:numPr>
          <w:ilvl w:val="0"/>
          <w:numId w:val="18"/>
        </w:numPr>
        <w:shd w:val="clear" w:color="auto" w:fill="FFFFFF" w:themeFill="background1"/>
        <w:spacing w:after="0"/>
        <w:ind w:left="0" w:firstLine="0"/>
        <w:contextualSpacing w:val="0"/>
        <w:jc w:val="both"/>
        <w:rPr>
          <w:rFonts w:ascii="Arial" w:eastAsia="Times New Roman" w:hAnsi="Arial" w:cs="Arial"/>
        </w:rPr>
      </w:pPr>
      <w:r w:rsidRPr="003E16FA">
        <w:rPr>
          <w:rFonts w:ascii="Arial" w:eastAsia="Times New Roman" w:hAnsi="Arial" w:cs="Arial"/>
        </w:rPr>
        <w:t>1 (</w:t>
      </w:r>
      <w:r w:rsidR="00C26E77" w:rsidRPr="003E16FA">
        <w:rPr>
          <w:rFonts w:ascii="Arial" w:eastAsia="Times New Roman" w:hAnsi="Arial" w:cs="Arial"/>
        </w:rPr>
        <w:t>jedna</w:t>
      </w:r>
      <w:r w:rsidRPr="003E16FA">
        <w:rPr>
          <w:rFonts w:ascii="Arial" w:eastAsia="Times New Roman" w:hAnsi="Arial" w:cs="Arial"/>
        </w:rPr>
        <w:t>)</w:t>
      </w:r>
      <w:r w:rsidR="00C26E77" w:rsidRPr="003E16FA">
        <w:rPr>
          <w:rFonts w:ascii="Arial" w:eastAsia="Times New Roman" w:hAnsi="Arial" w:cs="Arial"/>
        </w:rPr>
        <w:t xml:space="preserve"> godina za izradu rudarske i tehničke dokumentacije i pripremne radove i</w:t>
      </w:r>
    </w:p>
    <w:p w:rsidR="00C26E77" w:rsidRDefault="00C26E77" w:rsidP="00772217">
      <w:pPr>
        <w:pStyle w:val="ListParagraph"/>
        <w:numPr>
          <w:ilvl w:val="0"/>
          <w:numId w:val="18"/>
        </w:numPr>
        <w:shd w:val="clear" w:color="auto" w:fill="FFFFFF" w:themeFill="background1"/>
        <w:spacing w:after="0"/>
        <w:ind w:left="0" w:firstLine="0"/>
        <w:contextualSpacing w:val="0"/>
        <w:jc w:val="both"/>
        <w:rPr>
          <w:rFonts w:ascii="Arial" w:eastAsia="Times New Roman" w:hAnsi="Arial" w:cs="Arial"/>
        </w:rPr>
      </w:pPr>
      <w:r w:rsidRPr="003E16FA">
        <w:rPr>
          <w:rFonts w:ascii="Arial" w:eastAsia="Times New Roman" w:hAnsi="Arial" w:cs="Arial"/>
        </w:rPr>
        <w:t>2</w:t>
      </w:r>
      <w:r w:rsidR="00973E75" w:rsidRPr="003E16FA">
        <w:rPr>
          <w:rFonts w:ascii="Arial" w:eastAsia="Times New Roman" w:hAnsi="Arial" w:cs="Arial"/>
        </w:rPr>
        <w:t>0</w:t>
      </w:r>
      <w:r w:rsidRPr="003E16FA">
        <w:rPr>
          <w:rFonts w:ascii="Arial" w:eastAsia="Times New Roman" w:hAnsi="Arial" w:cs="Arial"/>
        </w:rPr>
        <w:t xml:space="preserve"> (dvadeset) godina za eksploataciju mineralne sirovine.</w:t>
      </w:r>
    </w:p>
    <w:p w:rsidR="00745686" w:rsidRPr="003E16FA" w:rsidRDefault="00745686" w:rsidP="00745686">
      <w:pPr>
        <w:pStyle w:val="ListParagraph"/>
        <w:shd w:val="clear" w:color="auto" w:fill="FFFFFF" w:themeFill="background1"/>
        <w:spacing w:after="0"/>
        <w:ind w:left="0"/>
        <w:contextualSpacing w:val="0"/>
        <w:jc w:val="both"/>
        <w:rPr>
          <w:rFonts w:ascii="Arial" w:eastAsia="Times New Roman" w:hAnsi="Arial" w:cs="Arial"/>
        </w:rPr>
      </w:pPr>
    </w:p>
    <w:p w:rsidR="00C26E77" w:rsidRPr="003E16FA" w:rsidRDefault="00745686" w:rsidP="00745686">
      <w:pPr>
        <w:spacing w:after="0"/>
        <w:jc w:val="both"/>
        <w:rPr>
          <w:rFonts w:ascii="Arial" w:eastAsia="Times New Roman" w:hAnsi="Arial" w:cs="Arial"/>
        </w:rPr>
      </w:pPr>
      <w:r w:rsidRPr="00745686">
        <w:rPr>
          <w:rFonts w:ascii="Arial" w:eastAsia="Times New Roman" w:hAnsi="Arial" w:cs="Arial"/>
        </w:rPr>
        <w:t>Ponuđač može ponuditi  ukupan rok koncesije koji je duži od roka utvrđenog Koncesionim aktom, jer je zakonom definisan rok trajanja koncesije od 30 godina. Rok trajanja faze izrade rudarske i tehničke dokumentacije i pripremnih radova se ne može mijenjati.</w:t>
      </w:r>
    </w:p>
    <w:p w:rsidR="00C26E77" w:rsidRPr="003E16FA" w:rsidRDefault="00C26E77" w:rsidP="00772217">
      <w:pPr>
        <w:spacing w:after="0"/>
        <w:jc w:val="both"/>
        <w:rPr>
          <w:rFonts w:ascii="Arial" w:eastAsia="Times New Roman" w:hAnsi="Arial" w:cs="Arial"/>
        </w:rPr>
      </w:pPr>
    </w:p>
    <w:p w:rsidR="00C26E77" w:rsidRPr="003E16FA" w:rsidRDefault="00C26E77" w:rsidP="00772217">
      <w:pPr>
        <w:pStyle w:val="Heading1"/>
        <w:spacing w:before="0" w:after="0"/>
        <w:jc w:val="both"/>
        <w:rPr>
          <w:sz w:val="22"/>
          <w:szCs w:val="22"/>
        </w:rPr>
      </w:pPr>
      <w:bookmarkStart w:id="4" w:name="_Toc402262934"/>
      <w:r w:rsidRPr="003E16FA">
        <w:rPr>
          <w:sz w:val="22"/>
          <w:szCs w:val="22"/>
        </w:rPr>
        <w:t>4</w:t>
      </w:r>
      <w:r w:rsidR="00772217" w:rsidRPr="003E16FA">
        <w:rPr>
          <w:sz w:val="22"/>
          <w:szCs w:val="22"/>
        </w:rPr>
        <w:t>.</w:t>
      </w:r>
      <w:r w:rsidRPr="003E16FA">
        <w:rPr>
          <w:sz w:val="22"/>
          <w:szCs w:val="22"/>
        </w:rPr>
        <w:t xml:space="preserve">  OSNOVNI PARAMETRI ZA OCJENU EKONOMSKE OPRAVDANOSTI INVESTICIJE</w:t>
      </w:r>
      <w:bookmarkEnd w:id="4"/>
    </w:p>
    <w:p w:rsidR="00C26E77" w:rsidRPr="003E16FA" w:rsidRDefault="00C26E77" w:rsidP="00772217">
      <w:pPr>
        <w:spacing w:after="0"/>
        <w:jc w:val="both"/>
        <w:rPr>
          <w:rFonts w:ascii="Arial" w:hAnsi="Arial" w:cs="Arial"/>
        </w:rPr>
      </w:pPr>
    </w:p>
    <w:p w:rsidR="00C26E77" w:rsidRPr="003E16FA" w:rsidRDefault="00C26E77" w:rsidP="00772217">
      <w:pPr>
        <w:pStyle w:val="ListParagraph"/>
        <w:spacing w:after="0"/>
        <w:ind w:left="0"/>
        <w:contextualSpacing w:val="0"/>
        <w:jc w:val="both"/>
        <w:rPr>
          <w:rFonts w:ascii="Arial" w:hAnsi="Arial" w:cs="Arial"/>
          <w:b/>
          <w:u w:val="single"/>
        </w:rPr>
      </w:pPr>
      <w:r w:rsidRPr="003E16FA">
        <w:rPr>
          <w:rFonts w:ascii="Arial" w:hAnsi="Arial" w:cs="Arial"/>
          <w:b/>
          <w:u w:val="single"/>
        </w:rPr>
        <w:t>Opis tehničko-tehnološkog procesa eksploatacije</w:t>
      </w:r>
    </w:p>
    <w:p w:rsidR="00C26E77" w:rsidRPr="003E16FA" w:rsidRDefault="00C26E77" w:rsidP="00772217">
      <w:pPr>
        <w:spacing w:after="0"/>
        <w:jc w:val="both"/>
        <w:rPr>
          <w:rFonts w:ascii="Arial" w:hAnsi="Arial" w:cs="Arial"/>
        </w:rPr>
      </w:pPr>
      <w:r w:rsidRPr="003E16FA">
        <w:rPr>
          <w:rFonts w:ascii="Arial" w:hAnsi="Arial" w:cs="Arial"/>
        </w:rPr>
        <w:t>U ovom poglavlju daju se osnovni parametri koji treba da posluže ponuđačima, odnosno potencijalnim investitorima pri obradi proizvodnog i ekon</w:t>
      </w:r>
      <w:r w:rsidR="008A63CC">
        <w:rPr>
          <w:rFonts w:ascii="Arial" w:hAnsi="Arial" w:cs="Arial"/>
        </w:rPr>
        <w:t xml:space="preserve">omskog aspekta </w:t>
      </w:r>
      <w:r w:rsidRPr="003E16FA">
        <w:rPr>
          <w:rFonts w:ascii="Arial" w:hAnsi="Arial" w:cs="Arial"/>
        </w:rPr>
        <w:t>ponude i tehno-ekonomske ocjene opravdanosti ove investicije.</w:t>
      </w:r>
    </w:p>
    <w:p w:rsidR="00C26E77" w:rsidRPr="003E16FA" w:rsidRDefault="00C26E77" w:rsidP="00772217">
      <w:pPr>
        <w:spacing w:after="0"/>
        <w:jc w:val="both"/>
        <w:rPr>
          <w:rFonts w:ascii="Arial" w:hAnsi="Arial" w:cs="Arial"/>
        </w:rPr>
      </w:pPr>
    </w:p>
    <w:p w:rsidR="00C26E77" w:rsidRPr="003E16FA" w:rsidRDefault="00C26E77" w:rsidP="00772217">
      <w:pPr>
        <w:pStyle w:val="Heading2"/>
        <w:spacing w:before="0" w:after="0"/>
        <w:jc w:val="both"/>
        <w:rPr>
          <w:i w:val="0"/>
          <w:sz w:val="22"/>
          <w:szCs w:val="22"/>
          <w:u w:val="single"/>
        </w:rPr>
      </w:pPr>
      <w:bookmarkStart w:id="5" w:name="_Toc402262936"/>
      <w:r w:rsidRPr="003E16FA">
        <w:rPr>
          <w:i w:val="0"/>
          <w:sz w:val="22"/>
          <w:szCs w:val="22"/>
          <w:u w:val="single"/>
        </w:rPr>
        <w:t>4.1  Ocjena mogućnosti korišćenja mineralne sirovine</w:t>
      </w:r>
      <w:bookmarkEnd w:id="5"/>
    </w:p>
    <w:p w:rsidR="00C26E77" w:rsidRPr="003E16FA" w:rsidRDefault="00C26E77" w:rsidP="00772217">
      <w:pPr>
        <w:spacing w:after="0"/>
        <w:jc w:val="both"/>
        <w:rPr>
          <w:rFonts w:ascii="Arial" w:hAnsi="Arial" w:cs="Arial"/>
        </w:rPr>
      </w:pPr>
    </w:p>
    <w:p w:rsidR="00C26E77" w:rsidRPr="003E16FA" w:rsidRDefault="00C26E77" w:rsidP="00772217">
      <w:pPr>
        <w:shd w:val="clear" w:color="auto" w:fill="FFFFFF" w:themeFill="background1"/>
        <w:spacing w:after="0"/>
        <w:jc w:val="both"/>
        <w:rPr>
          <w:rFonts w:ascii="Arial" w:hAnsi="Arial" w:cs="Arial"/>
        </w:rPr>
      </w:pPr>
      <w:r w:rsidRPr="003E16FA">
        <w:rPr>
          <w:rFonts w:ascii="Arial" w:hAnsi="Arial" w:cs="Arial"/>
        </w:rPr>
        <w:t xml:space="preserve">U poglavlju 2.10. ovog akta date su utvrđene rezerve i kvalitet mineralne sirovine, kao i upotreba iste u građevinarstvu. </w:t>
      </w:r>
    </w:p>
    <w:p w:rsidR="00C26E77" w:rsidRPr="003E16FA" w:rsidRDefault="00C26E77" w:rsidP="00772217">
      <w:pPr>
        <w:shd w:val="clear" w:color="auto" w:fill="FFFFFF" w:themeFill="background1"/>
        <w:spacing w:after="0"/>
        <w:jc w:val="both"/>
        <w:rPr>
          <w:rFonts w:ascii="Arial" w:hAnsi="Arial" w:cs="Arial"/>
        </w:rPr>
      </w:pPr>
    </w:p>
    <w:p w:rsidR="00C26E77" w:rsidRPr="003E16FA" w:rsidRDefault="00C26E77" w:rsidP="00772217">
      <w:pPr>
        <w:pStyle w:val="Heading2"/>
        <w:shd w:val="clear" w:color="auto" w:fill="FFFFFF" w:themeFill="background1"/>
        <w:spacing w:before="0" w:after="0"/>
        <w:jc w:val="both"/>
        <w:rPr>
          <w:i w:val="0"/>
          <w:sz w:val="22"/>
          <w:szCs w:val="22"/>
          <w:u w:val="single"/>
        </w:rPr>
      </w:pPr>
      <w:bookmarkStart w:id="6" w:name="_Toc402262937"/>
      <w:r w:rsidRPr="003E16FA">
        <w:rPr>
          <w:i w:val="0"/>
          <w:sz w:val="22"/>
          <w:szCs w:val="22"/>
          <w:u w:val="single"/>
        </w:rPr>
        <w:t>4.2  Proizvodni kapacitet i vijek eksploatacije</w:t>
      </w:r>
      <w:bookmarkEnd w:id="6"/>
    </w:p>
    <w:p w:rsidR="00C26E77" w:rsidRPr="003E16FA" w:rsidRDefault="00C26E77" w:rsidP="00772217">
      <w:pPr>
        <w:shd w:val="clear" w:color="auto" w:fill="FFFFFF" w:themeFill="background1"/>
        <w:spacing w:after="0"/>
        <w:jc w:val="both"/>
        <w:rPr>
          <w:rFonts w:ascii="Arial" w:hAnsi="Arial" w:cs="Arial"/>
        </w:rPr>
      </w:pPr>
    </w:p>
    <w:p w:rsidR="00C26E77" w:rsidRPr="003E16FA" w:rsidRDefault="00C26E77" w:rsidP="00772217">
      <w:pPr>
        <w:shd w:val="clear" w:color="auto" w:fill="FFFFFF" w:themeFill="background1"/>
        <w:spacing w:after="0"/>
        <w:jc w:val="both"/>
        <w:rPr>
          <w:rFonts w:ascii="Arial" w:hAnsi="Arial" w:cs="Arial"/>
        </w:rPr>
      </w:pPr>
      <w:r w:rsidRPr="003E16FA">
        <w:rPr>
          <w:rFonts w:ascii="Arial" w:hAnsi="Arial" w:cs="Arial"/>
        </w:rPr>
        <w:t xml:space="preserve">Eksploatacione rezerve tehničko-građevinskog kamena </w:t>
      </w:r>
      <w:r w:rsidRPr="003E16FA">
        <w:rPr>
          <w:rFonts w:ascii="Arial" w:hAnsi="Arial" w:cs="Arial"/>
          <w:b/>
        </w:rPr>
        <w:t>B+ C</w:t>
      </w:r>
      <w:r w:rsidRPr="003E16FA">
        <w:rPr>
          <w:rFonts w:ascii="Arial" w:hAnsi="Arial" w:cs="Arial"/>
          <w:b/>
          <w:vertAlign w:val="subscript"/>
        </w:rPr>
        <w:t>1</w:t>
      </w:r>
      <w:r w:rsidRPr="003E16FA">
        <w:rPr>
          <w:rFonts w:ascii="Arial" w:hAnsi="Arial" w:cs="Arial"/>
        </w:rPr>
        <w:t xml:space="preserve"> kategorije</w:t>
      </w:r>
      <w:r w:rsidRPr="003E16FA">
        <w:rPr>
          <w:rFonts w:ascii="Arial" w:hAnsi="Arial" w:cs="Arial"/>
          <w:b/>
          <w:vertAlign w:val="subscript"/>
        </w:rPr>
        <w:t xml:space="preserve"> </w:t>
      </w:r>
      <w:r w:rsidRPr="003E16FA">
        <w:rPr>
          <w:rFonts w:ascii="Arial" w:hAnsi="Arial" w:cs="Arial"/>
        </w:rPr>
        <w:t xml:space="preserve">iznose  </w:t>
      </w:r>
      <w:r w:rsidR="009F7BDE" w:rsidRPr="003E16FA">
        <w:rPr>
          <w:rFonts w:ascii="Arial" w:hAnsi="Arial" w:cs="Arial"/>
          <w:bCs/>
          <w:iCs/>
        </w:rPr>
        <w:t>1.865.714,00</w:t>
      </w:r>
      <w:r w:rsidR="009F7BDE" w:rsidRPr="003E16FA">
        <w:rPr>
          <w:rFonts w:ascii="Arial" w:hAnsi="Arial" w:cs="Arial"/>
          <w:b/>
          <w:bCs/>
          <w:i/>
          <w:iCs/>
        </w:rPr>
        <w:t xml:space="preserve"> </w:t>
      </w:r>
      <w:r w:rsidRPr="003E16FA">
        <w:rPr>
          <w:rFonts w:ascii="Arial" w:hAnsi="Arial" w:cs="Arial"/>
        </w:rPr>
        <w:t>m</w:t>
      </w:r>
      <w:r w:rsidRPr="003E16FA">
        <w:rPr>
          <w:rFonts w:ascii="Arial" w:hAnsi="Arial" w:cs="Arial"/>
          <w:vertAlign w:val="superscript"/>
        </w:rPr>
        <w:t xml:space="preserve">3 </w:t>
      </w:r>
      <w:r w:rsidRPr="003E16FA">
        <w:rPr>
          <w:rFonts w:ascii="Arial" w:hAnsi="Arial" w:cs="Arial"/>
        </w:rPr>
        <w:t>č.s.m., koje će biti zahvaćene konturama površinskog kopa, a za predloženi period trajanja koncesije od 2</w:t>
      </w:r>
      <w:r w:rsidR="00973E75" w:rsidRPr="003E16FA">
        <w:rPr>
          <w:rFonts w:ascii="Arial" w:hAnsi="Arial" w:cs="Arial"/>
        </w:rPr>
        <w:t>0</w:t>
      </w:r>
      <w:r w:rsidRPr="003E16FA">
        <w:rPr>
          <w:rFonts w:ascii="Arial" w:hAnsi="Arial" w:cs="Arial"/>
        </w:rPr>
        <w:t xml:space="preserve"> godina (za eksploataciju) </w:t>
      </w:r>
      <w:r w:rsidR="00424A61" w:rsidRPr="003E16FA">
        <w:rPr>
          <w:rFonts w:ascii="Arial" w:hAnsi="Arial" w:cs="Arial"/>
        </w:rPr>
        <w:t xml:space="preserve">minimalni </w:t>
      </w:r>
      <w:r w:rsidRPr="003E16FA">
        <w:rPr>
          <w:rFonts w:ascii="Arial" w:hAnsi="Arial" w:cs="Arial"/>
        </w:rPr>
        <w:t>proi</w:t>
      </w:r>
      <w:r w:rsidR="00424A61" w:rsidRPr="003E16FA">
        <w:rPr>
          <w:rFonts w:ascii="Arial" w:hAnsi="Arial" w:cs="Arial"/>
        </w:rPr>
        <w:t>zvodni kapacitet će iznositi  2</w:t>
      </w:r>
      <w:r w:rsidR="00973E75" w:rsidRPr="003E16FA">
        <w:rPr>
          <w:rFonts w:ascii="Arial" w:hAnsi="Arial" w:cs="Arial"/>
        </w:rPr>
        <w:t>0</w:t>
      </w:r>
      <w:r w:rsidR="00424A61" w:rsidRPr="003E16FA">
        <w:rPr>
          <w:rFonts w:ascii="Arial" w:hAnsi="Arial" w:cs="Arial"/>
        </w:rPr>
        <w:t>0.000</w:t>
      </w:r>
      <w:r w:rsidRPr="003E16FA">
        <w:rPr>
          <w:rFonts w:ascii="Arial" w:hAnsi="Arial" w:cs="Arial"/>
        </w:rPr>
        <w:t xml:space="preserve">  m</w:t>
      </w:r>
      <w:r w:rsidRPr="003E16FA">
        <w:rPr>
          <w:rFonts w:ascii="Arial" w:hAnsi="Arial" w:cs="Arial"/>
          <w:vertAlign w:val="superscript"/>
        </w:rPr>
        <w:t xml:space="preserve">3 </w:t>
      </w:r>
      <w:r w:rsidR="00424A61" w:rsidRPr="003E16FA">
        <w:rPr>
          <w:rFonts w:ascii="Arial" w:hAnsi="Arial" w:cs="Arial"/>
        </w:rPr>
        <w:t xml:space="preserve">č.s.m. ili </w:t>
      </w:r>
      <w:r w:rsidR="00973E75" w:rsidRPr="003E16FA">
        <w:rPr>
          <w:rFonts w:ascii="Arial" w:hAnsi="Arial" w:cs="Arial"/>
        </w:rPr>
        <w:t>300</w:t>
      </w:r>
      <w:r w:rsidR="00424A61" w:rsidRPr="003E16FA">
        <w:rPr>
          <w:rFonts w:ascii="Arial" w:hAnsi="Arial" w:cs="Arial"/>
        </w:rPr>
        <w:t xml:space="preserve">.000 </w:t>
      </w:r>
      <w:r w:rsidRPr="003E16FA">
        <w:rPr>
          <w:rFonts w:ascii="Arial" w:hAnsi="Arial" w:cs="Arial"/>
        </w:rPr>
        <w:t>m</w:t>
      </w:r>
      <w:r w:rsidRPr="003E16FA">
        <w:rPr>
          <w:rFonts w:ascii="Arial" w:hAnsi="Arial" w:cs="Arial"/>
          <w:vertAlign w:val="superscript"/>
        </w:rPr>
        <w:t>3</w:t>
      </w:r>
      <w:r w:rsidR="00424A61" w:rsidRPr="003E16FA">
        <w:rPr>
          <w:rFonts w:ascii="Arial" w:hAnsi="Arial" w:cs="Arial"/>
        </w:rPr>
        <w:t xml:space="preserve"> agregata </w:t>
      </w:r>
      <w:r w:rsidRPr="003E16FA">
        <w:rPr>
          <w:rFonts w:ascii="Arial" w:hAnsi="Arial" w:cs="Arial"/>
        </w:rPr>
        <w:t xml:space="preserve">svih </w:t>
      </w:r>
      <w:r w:rsidR="00424A61" w:rsidRPr="003E16FA">
        <w:rPr>
          <w:rFonts w:ascii="Arial" w:hAnsi="Arial" w:cs="Arial"/>
        </w:rPr>
        <w:t xml:space="preserve">frakcija </w:t>
      </w:r>
      <w:r w:rsidRPr="003E16FA">
        <w:rPr>
          <w:rFonts w:ascii="Arial" w:hAnsi="Arial" w:cs="Arial"/>
        </w:rPr>
        <w:t>(K</w:t>
      </w:r>
      <w:r w:rsidRPr="003E16FA">
        <w:rPr>
          <w:rFonts w:ascii="Arial" w:hAnsi="Arial" w:cs="Arial"/>
          <w:vertAlign w:val="subscript"/>
        </w:rPr>
        <w:t>r</w:t>
      </w:r>
      <w:r w:rsidRPr="003E16FA">
        <w:rPr>
          <w:rFonts w:ascii="Arial" w:hAnsi="Arial" w:cs="Arial"/>
        </w:rPr>
        <w:t>=1,50)</w:t>
      </w:r>
      <w:r w:rsidR="00424A61" w:rsidRPr="003E16FA">
        <w:rPr>
          <w:rFonts w:ascii="Arial" w:hAnsi="Arial" w:cs="Arial"/>
        </w:rPr>
        <w:t>, a na godišnjem nivou minimalni proizvodni kapacitet će iznositi 10.000 m</w:t>
      </w:r>
      <w:r w:rsidR="00424A61" w:rsidRPr="003E16FA">
        <w:rPr>
          <w:rFonts w:ascii="Arial" w:hAnsi="Arial" w:cs="Arial"/>
          <w:vertAlign w:val="superscript"/>
        </w:rPr>
        <w:t xml:space="preserve">3 </w:t>
      </w:r>
      <w:r w:rsidR="00424A61" w:rsidRPr="003E16FA">
        <w:rPr>
          <w:rFonts w:ascii="Arial" w:hAnsi="Arial" w:cs="Arial"/>
        </w:rPr>
        <w:t>čs.m. ili 15.000 m</w:t>
      </w:r>
      <w:r w:rsidR="00424A61" w:rsidRPr="003E16FA">
        <w:rPr>
          <w:rFonts w:ascii="Arial" w:hAnsi="Arial" w:cs="Arial"/>
          <w:vertAlign w:val="superscript"/>
        </w:rPr>
        <w:t xml:space="preserve">3 </w:t>
      </w:r>
      <w:r w:rsidR="00424A61" w:rsidRPr="003E16FA">
        <w:rPr>
          <w:rFonts w:ascii="Arial" w:hAnsi="Arial" w:cs="Arial"/>
        </w:rPr>
        <w:t>agregata svih frakcija</w:t>
      </w:r>
      <w:r w:rsidRPr="003E16FA">
        <w:rPr>
          <w:rFonts w:ascii="Arial" w:hAnsi="Arial" w:cs="Arial"/>
        </w:rPr>
        <w:t xml:space="preserve">. </w:t>
      </w:r>
    </w:p>
    <w:p w:rsidR="00C26E77" w:rsidRPr="003E16FA" w:rsidRDefault="00C26E77" w:rsidP="00772217">
      <w:pPr>
        <w:shd w:val="clear" w:color="auto" w:fill="FFFFFF" w:themeFill="background1"/>
        <w:spacing w:after="0"/>
        <w:jc w:val="both"/>
        <w:rPr>
          <w:rFonts w:ascii="Arial" w:hAnsi="Arial" w:cs="Arial"/>
        </w:rPr>
      </w:pPr>
    </w:p>
    <w:p w:rsidR="00772217" w:rsidRPr="003E16FA" w:rsidRDefault="00C26E77" w:rsidP="00772217">
      <w:pPr>
        <w:shd w:val="clear" w:color="auto" w:fill="FFFFFF" w:themeFill="background1"/>
        <w:spacing w:after="0"/>
        <w:jc w:val="both"/>
        <w:rPr>
          <w:rFonts w:ascii="Arial" w:hAnsi="Arial" w:cs="Arial"/>
        </w:rPr>
      </w:pPr>
      <w:r w:rsidRPr="003E16FA">
        <w:rPr>
          <w:rFonts w:ascii="Arial" w:hAnsi="Arial" w:cs="Arial"/>
        </w:rPr>
        <w:t>Za godišnji kapac</w:t>
      </w:r>
      <w:r w:rsidR="00424A61" w:rsidRPr="003E16FA">
        <w:rPr>
          <w:rFonts w:ascii="Arial" w:hAnsi="Arial" w:cs="Arial"/>
        </w:rPr>
        <w:t xml:space="preserve">itet površinskog kopa od 10.000 </w:t>
      </w:r>
      <w:r w:rsidRPr="003E16FA">
        <w:rPr>
          <w:rFonts w:ascii="Arial" w:hAnsi="Arial" w:cs="Arial"/>
        </w:rPr>
        <w:t>m</w:t>
      </w:r>
      <w:r w:rsidRPr="003E16FA">
        <w:rPr>
          <w:rFonts w:ascii="Arial" w:hAnsi="Arial" w:cs="Arial"/>
          <w:vertAlign w:val="superscript"/>
        </w:rPr>
        <w:t xml:space="preserve">3 </w:t>
      </w:r>
      <w:r w:rsidRPr="003E16FA">
        <w:rPr>
          <w:rFonts w:ascii="Arial" w:hAnsi="Arial" w:cs="Arial"/>
        </w:rPr>
        <w:t>č.s.m., u predviđenom periodu eksploatacije od</w:t>
      </w:r>
      <w:r w:rsidR="00424A61" w:rsidRPr="003E16FA">
        <w:rPr>
          <w:rFonts w:ascii="Arial" w:hAnsi="Arial" w:cs="Arial"/>
        </w:rPr>
        <w:t xml:space="preserve"> 2</w:t>
      </w:r>
      <w:r w:rsidR="00973E75" w:rsidRPr="003E16FA">
        <w:rPr>
          <w:rFonts w:ascii="Arial" w:hAnsi="Arial" w:cs="Arial"/>
        </w:rPr>
        <w:t>0</w:t>
      </w:r>
      <w:r w:rsidR="00424A61" w:rsidRPr="003E16FA">
        <w:rPr>
          <w:rFonts w:ascii="Arial" w:hAnsi="Arial" w:cs="Arial"/>
        </w:rPr>
        <w:t xml:space="preserve"> godina, potrebno je 2</w:t>
      </w:r>
      <w:r w:rsidR="00973E75" w:rsidRPr="003E16FA">
        <w:rPr>
          <w:rFonts w:ascii="Arial" w:hAnsi="Arial" w:cs="Arial"/>
        </w:rPr>
        <w:t>0</w:t>
      </w:r>
      <w:r w:rsidR="00424A61" w:rsidRPr="003E16FA">
        <w:rPr>
          <w:rFonts w:ascii="Arial" w:hAnsi="Arial" w:cs="Arial"/>
        </w:rPr>
        <w:t>0.000</w:t>
      </w:r>
      <w:r w:rsidRPr="003E16FA">
        <w:rPr>
          <w:rFonts w:ascii="Arial" w:hAnsi="Arial" w:cs="Arial"/>
        </w:rPr>
        <w:t xml:space="preserve"> m</w:t>
      </w:r>
      <w:r w:rsidRPr="003E16FA">
        <w:rPr>
          <w:rFonts w:ascii="Arial" w:hAnsi="Arial" w:cs="Arial"/>
          <w:vertAlign w:val="superscript"/>
        </w:rPr>
        <w:t xml:space="preserve">3 </w:t>
      </w:r>
      <w:r w:rsidR="00602B54" w:rsidRPr="003E16FA">
        <w:rPr>
          <w:rFonts w:ascii="Arial" w:hAnsi="Arial" w:cs="Arial"/>
        </w:rPr>
        <w:t xml:space="preserve">č.s.m ili </w:t>
      </w:r>
      <w:r w:rsidR="00973E75" w:rsidRPr="003E16FA">
        <w:rPr>
          <w:rFonts w:ascii="Arial" w:hAnsi="Arial" w:cs="Arial"/>
        </w:rPr>
        <w:t>10</w:t>
      </w:r>
      <w:r w:rsidR="00602B54" w:rsidRPr="003E16FA">
        <w:rPr>
          <w:rFonts w:ascii="Arial" w:hAnsi="Arial" w:cs="Arial"/>
        </w:rPr>
        <w:t>,</w:t>
      </w:r>
      <w:r w:rsidR="00973E75" w:rsidRPr="003E16FA">
        <w:rPr>
          <w:rFonts w:ascii="Arial" w:hAnsi="Arial" w:cs="Arial"/>
        </w:rPr>
        <w:t>72</w:t>
      </w:r>
      <w:r w:rsidRPr="003E16FA">
        <w:rPr>
          <w:rFonts w:ascii="Arial" w:hAnsi="Arial" w:cs="Arial"/>
        </w:rPr>
        <w:t xml:space="preserve"> % od rezervi. To znači, da  rezerve daju mogućnost rada na ovom lokalitetu ne samo za predviđeni period trajanja koncesije nego i znatno duže. </w:t>
      </w:r>
    </w:p>
    <w:p w:rsidR="00772217" w:rsidRPr="003E16FA" w:rsidRDefault="00772217" w:rsidP="00772217">
      <w:pPr>
        <w:shd w:val="clear" w:color="auto" w:fill="FFFFFF" w:themeFill="background1"/>
        <w:spacing w:after="0"/>
        <w:jc w:val="both"/>
        <w:rPr>
          <w:rFonts w:ascii="Arial" w:hAnsi="Arial" w:cs="Arial"/>
        </w:rPr>
      </w:pPr>
    </w:p>
    <w:p w:rsidR="00772217" w:rsidRPr="003E16FA" w:rsidRDefault="00C26E77" w:rsidP="00772217">
      <w:pPr>
        <w:shd w:val="clear" w:color="auto" w:fill="FFFFFF" w:themeFill="background1"/>
        <w:spacing w:after="0"/>
        <w:jc w:val="both"/>
        <w:rPr>
          <w:rFonts w:ascii="Arial" w:hAnsi="Arial" w:cs="Arial"/>
        </w:rPr>
      </w:pPr>
      <w:r w:rsidRPr="003E16FA">
        <w:rPr>
          <w:rFonts w:ascii="Arial" w:hAnsi="Arial" w:cs="Arial"/>
        </w:rPr>
        <w:t xml:space="preserve">S obzirom na utvrđene rezerve, konfiguraciju terena, mogući razvoj kopa i druge povoljnosti, godišnji </w:t>
      </w:r>
    </w:p>
    <w:p w:rsidR="00B5031A" w:rsidRDefault="00C26E77" w:rsidP="004A25A4">
      <w:pPr>
        <w:shd w:val="clear" w:color="auto" w:fill="FFFFFF" w:themeFill="background1"/>
        <w:spacing w:after="0"/>
        <w:jc w:val="both"/>
        <w:rPr>
          <w:rFonts w:ascii="Arial" w:hAnsi="Arial" w:cs="Arial"/>
        </w:rPr>
      </w:pPr>
      <w:r w:rsidRPr="003E16FA">
        <w:rPr>
          <w:rFonts w:ascii="Arial" w:hAnsi="Arial" w:cs="Arial"/>
        </w:rPr>
        <w:t>kapacitet se može povećati u odnosu na početni - minimalni godišnji kapacitet. To predstavlja značajnu povoljnost za ponuđače.</w:t>
      </w:r>
    </w:p>
    <w:p w:rsidR="008A63CC" w:rsidRDefault="008A63CC" w:rsidP="004A25A4">
      <w:pPr>
        <w:shd w:val="clear" w:color="auto" w:fill="FFFFFF" w:themeFill="background1"/>
        <w:spacing w:after="0"/>
        <w:jc w:val="both"/>
        <w:rPr>
          <w:rFonts w:ascii="Arial" w:hAnsi="Arial" w:cs="Arial"/>
        </w:rPr>
      </w:pPr>
    </w:p>
    <w:p w:rsidR="008A63CC" w:rsidRDefault="008A63CC" w:rsidP="004A25A4">
      <w:pPr>
        <w:shd w:val="clear" w:color="auto" w:fill="FFFFFF" w:themeFill="background1"/>
        <w:spacing w:after="0"/>
        <w:jc w:val="both"/>
        <w:rPr>
          <w:rFonts w:ascii="Arial" w:hAnsi="Arial" w:cs="Arial"/>
        </w:rPr>
      </w:pPr>
    </w:p>
    <w:p w:rsidR="008A63CC" w:rsidRPr="003E16FA" w:rsidRDefault="008A63CC" w:rsidP="004A25A4">
      <w:pPr>
        <w:shd w:val="clear" w:color="auto" w:fill="FFFFFF" w:themeFill="background1"/>
        <w:spacing w:after="0"/>
        <w:jc w:val="both"/>
        <w:rPr>
          <w:rFonts w:ascii="Arial" w:hAnsi="Arial" w:cs="Arial"/>
        </w:rPr>
      </w:pPr>
    </w:p>
    <w:p w:rsidR="00B5031A" w:rsidRPr="00B5031A" w:rsidRDefault="00B5031A" w:rsidP="004A25A4">
      <w:pPr>
        <w:shd w:val="clear" w:color="auto" w:fill="FFFFFF" w:themeFill="background1"/>
        <w:spacing w:after="0"/>
        <w:jc w:val="both"/>
        <w:rPr>
          <w:rFonts w:ascii="Arial" w:hAnsi="Arial" w:cs="Arial"/>
        </w:rPr>
      </w:pPr>
    </w:p>
    <w:p w:rsidR="008A63CC" w:rsidRDefault="008A63CC" w:rsidP="008A63CC">
      <w:pPr>
        <w:pStyle w:val="Heading2"/>
        <w:shd w:val="clear" w:color="auto" w:fill="FFFFFF" w:themeFill="background1"/>
        <w:spacing w:before="0" w:after="0"/>
        <w:jc w:val="both"/>
        <w:rPr>
          <w:i w:val="0"/>
          <w:sz w:val="22"/>
          <w:szCs w:val="22"/>
          <w:u w:val="single"/>
        </w:rPr>
      </w:pPr>
      <w:bookmarkStart w:id="7" w:name="_Toc402262938"/>
      <w:r w:rsidRPr="00CD0D75">
        <w:rPr>
          <w:i w:val="0"/>
          <w:sz w:val="22"/>
          <w:szCs w:val="22"/>
          <w:u w:val="single"/>
        </w:rPr>
        <w:lastRenderedPageBreak/>
        <w:t>4.3  Opis tehničko-tehnološkog procesa eksploatacije</w:t>
      </w:r>
      <w:bookmarkEnd w:id="7"/>
    </w:p>
    <w:p w:rsidR="008A63CC" w:rsidRDefault="008A63CC" w:rsidP="008A63CC">
      <w:pPr>
        <w:spacing w:after="0"/>
      </w:pPr>
    </w:p>
    <w:p w:rsidR="008A63CC" w:rsidRPr="00B5031A" w:rsidRDefault="008A63CC" w:rsidP="008A63CC">
      <w:pPr>
        <w:spacing w:after="0"/>
      </w:pPr>
    </w:p>
    <w:p w:rsidR="008A63CC" w:rsidRPr="00CD0D75" w:rsidRDefault="008A63CC" w:rsidP="008A63CC">
      <w:pPr>
        <w:pStyle w:val="Default"/>
        <w:shd w:val="clear" w:color="auto" w:fill="FFFFFF" w:themeFill="background1"/>
        <w:spacing w:line="276" w:lineRule="auto"/>
        <w:jc w:val="both"/>
        <w:rPr>
          <w:rFonts w:ascii="Arial" w:hAnsi="Arial" w:cs="Arial"/>
          <w:color w:val="auto"/>
          <w:sz w:val="22"/>
          <w:szCs w:val="22"/>
        </w:rPr>
      </w:pPr>
      <w:r w:rsidRPr="00CD0D75">
        <w:rPr>
          <w:rFonts w:ascii="Arial" w:hAnsi="Arial" w:cs="Arial"/>
          <w:color w:val="auto"/>
          <w:sz w:val="22"/>
          <w:szCs w:val="22"/>
        </w:rPr>
        <w:t xml:space="preserve">Na ovom ležištu  </w:t>
      </w:r>
      <w:r>
        <w:rPr>
          <w:rFonts w:ascii="Arial" w:hAnsi="Arial" w:cs="Arial"/>
          <w:color w:val="auto"/>
          <w:sz w:val="22"/>
          <w:szCs w:val="22"/>
        </w:rPr>
        <w:t xml:space="preserve">tip površinskog kopa će biti  </w:t>
      </w:r>
      <w:r w:rsidRPr="00CD0D75">
        <w:rPr>
          <w:rFonts w:ascii="Arial" w:hAnsi="Arial" w:cs="Arial"/>
          <w:color w:val="auto"/>
          <w:sz w:val="22"/>
          <w:szCs w:val="22"/>
        </w:rPr>
        <w:t xml:space="preserve">tipično brdski  </w:t>
      </w:r>
      <w:r>
        <w:rPr>
          <w:rFonts w:ascii="Arial" w:hAnsi="Arial" w:cs="Arial"/>
          <w:color w:val="auto"/>
          <w:sz w:val="22"/>
          <w:szCs w:val="22"/>
        </w:rPr>
        <w:t>što</w:t>
      </w:r>
      <w:r w:rsidRPr="00CD0D75">
        <w:rPr>
          <w:rFonts w:ascii="Arial" w:hAnsi="Arial" w:cs="Arial"/>
          <w:color w:val="auto"/>
          <w:sz w:val="22"/>
          <w:szCs w:val="22"/>
        </w:rPr>
        <w:t xml:space="preserve"> omogućuje primjenu klasične tehnologije na istom, eksploatacija tehničko-građevinskog kamena  vršiće se od najvisočije etaže prema najnižoj.</w:t>
      </w:r>
    </w:p>
    <w:p w:rsidR="008A63CC" w:rsidRPr="00CD0D75" w:rsidRDefault="008A63CC" w:rsidP="008A63CC">
      <w:pPr>
        <w:pStyle w:val="Default"/>
        <w:shd w:val="clear" w:color="auto" w:fill="FFFFFF" w:themeFill="background1"/>
        <w:spacing w:line="276" w:lineRule="auto"/>
        <w:jc w:val="both"/>
        <w:rPr>
          <w:rFonts w:ascii="Arial" w:hAnsi="Arial" w:cs="Arial"/>
          <w:color w:val="auto"/>
          <w:sz w:val="22"/>
          <w:szCs w:val="22"/>
        </w:rPr>
      </w:pPr>
    </w:p>
    <w:p w:rsidR="008A63CC" w:rsidRPr="00CD0D75" w:rsidRDefault="008A63CC" w:rsidP="008A63CC">
      <w:pPr>
        <w:pStyle w:val="Default"/>
        <w:shd w:val="clear" w:color="auto" w:fill="FFFFFF" w:themeFill="background1"/>
        <w:spacing w:line="276" w:lineRule="auto"/>
        <w:jc w:val="both"/>
        <w:rPr>
          <w:rFonts w:ascii="Arial" w:hAnsi="Arial" w:cs="Arial"/>
          <w:color w:val="auto"/>
          <w:sz w:val="22"/>
          <w:szCs w:val="22"/>
        </w:rPr>
      </w:pPr>
      <w:r w:rsidRPr="00CD0D75">
        <w:rPr>
          <w:rFonts w:ascii="Arial" w:hAnsi="Arial" w:cs="Arial"/>
          <w:color w:val="auto"/>
          <w:sz w:val="22"/>
          <w:szCs w:val="22"/>
        </w:rPr>
        <w:t xml:space="preserve">Tehnološki proces rada na površinskom kopu sastoji se od radnih operacija: </w:t>
      </w:r>
    </w:p>
    <w:p w:rsidR="008A63CC" w:rsidRPr="00CD0D75" w:rsidRDefault="008A63CC" w:rsidP="008A63CC">
      <w:pPr>
        <w:pStyle w:val="Default"/>
        <w:shd w:val="clear" w:color="auto" w:fill="FFFFFF" w:themeFill="background1"/>
        <w:spacing w:line="276" w:lineRule="auto"/>
        <w:jc w:val="both"/>
        <w:rPr>
          <w:rFonts w:ascii="Arial" w:hAnsi="Arial" w:cs="Arial"/>
          <w:color w:val="auto"/>
          <w:sz w:val="22"/>
          <w:szCs w:val="22"/>
        </w:rPr>
      </w:pPr>
    </w:p>
    <w:p w:rsidR="008A63CC" w:rsidRPr="00CD0D75" w:rsidRDefault="008A63CC" w:rsidP="008A63CC">
      <w:pPr>
        <w:pStyle w:val="Default"/>
        <w:numPr>
          <w:ilvl w:val="0"/>
          <w:numId w:val="18"/>
        </w:numPr>
        <w:shd w:val="clear" w:color="auto" w:fill="FFFFFF" w:themeFill="background1"/>
        <w:spacing w:line="276" w:lineRule="auto"/>
        <w:ind w:left="0" w:firstLine="0"/>
        <w:jc w:val="both"/>
        <w:rPr>
          <w:rFonts w:ascii="Arial" w:hAnsi="Arial" w:cs="Arial"/>
          <w:color w:val="auto"/>
          <w:sz w:val="22"/>
          <w:szCs w:val="22"/>
        </w:rPr>
      </w:pPr>
      <w:r w:rsidRPr="00CD0D75">
        <w:rPr>
          <w:rFonts w:ascii="Arial" w:hAnsi="Arial" w:cs="Arial"/>
          <w:color w:val="auto"/>
          <w:sz w:val="22"/>
          <w:szCs w:val="22"/>
        </w:rPr>
        <w:t xml:space="preserve">pripremni radovi, </w:t>
      </w:r>
    </w:p>
    <w:p w:rsidR="008A63CC" w:rsidRPr="00CD0D75" w:rsidRDefault="008A63CC" w:rsidP="008A63CC">
      <w:pPr>
        <w:pStyle w:val="Default"/>
        <w:numPr>
          <w:ilvl w:val="0"/>
          <w:numId w:val="18"/>
        </w:numPr>
        <w:shd w:val="clear" w:color="auto" w:fill="FFFFFF" w:themeFill="background1"/>
        <w:spacing w:line="276" w:lineRule="auto"/>
        <w:ind w:left="0" w:firstLine="0"/>
        <w:jc w:val="both"/>
        <w:rPr>
          <w:rFonts w:ascii="Arial" w:hAnsi="Arial" w:cs="Arial"/>
          <w:color w:val="auto"/>
          <w:sz w:val="22"/>
          <w:szCs w:val="22"/>
        </w:rPr>
      </w:pPr>
      <w:r w:rsidRPr="00CD0D75">
        <w:rPr>
          <w:rFonts w:ascii="Arial" w:hAnsi="Arial" w:cs="Arial"/>
          <w:color w:val="auto"/>
          <w:sz w:val="22"/>
          <w:szCs w:val="22"/>
        </w:rPr>
        <w:t xml:space="preserve">bušenje, </w:t>
      </w:r>
    </w:p>
    <w:p w:rsidR="008A63CC" w:rsidRPr="00CD0D75" w:rsidRDefault="008A63CC" w:rsidP="008A63CC">
      <w:pPr>
        <w:pStyle w:val="Default"/>
        <w:numPr>
          <w:ilvl w:val="0"/>
          <w:numId w:val="18"/>
        </w:numPr>
        <w:shd w:val="clear" w:color="auto" w:fill="FFFFFF" w:themeFill="background1"/>
        <w:spacing w:line="276" w:lineRule="auto"/>
        <w:ind w:left="0" w:firstLine="0"/>
        <w:jc w:val="both"/>
        <w:rPr>
          <w:rFonts w:ascii="Arial" w:hAnsi="Arial" w:cs="Arial"/>
          <w:color w:val="auto"/>
          <w:sz w:val="22"/>
          <w:szCs w:val="22"/>
        </w:rPr>
      </w:pPr>
      <w:r w:rsidRPr="00CD0D75">
        <w:rPr>
          <w:rFonts w:ascii="Arial" w:hAnsi="Arial" w:cs="Arial"/>
          <w:color w:val="auto"/>
          <w:sz w:val="22"/>
          <w:szCs w:val="22"/>
        </w:rPr>
        <w:t xml:space="preserve">miniranje, </w:t>
      </w:r>
    </w:p>
    <w:p w:rsidR="008A63CC" w:rsidRPr="00CD0D75" w:rsidRDefault="008A63CC" w:rsidP="008A63CC">
      <w:pPr>
        <w:pStyle w:val="Default"/>
        <w:numPr>
          <w:ilvl w:val="0"/>
          <w:numId w:val="18"/>
        </w:numPr>
        <w:shd w:val="clear" w:color="auto" w:fill="FFFFFF" w:themeFill="background1"/>
        <w:spacing w:line="276" w:lineRule="auto"/>
        <w:ind w:left="0" w:firstLine="0"/>
        <w:jc w:val="both"/>
        <w:rPr>
          <w:rFonts w:ascii="Arial" w:hAnsi="Arial" w:cs="Arial"/>
          <w:color w:val="auto"/>
          <w:sz w:val="22"/>
          <w:szCs w:val="22"/>
        </w:rPr>
      </w:pPr>
      <w:r w:rsidRPr="00CD0D75">
        <w:rPr>
          <w:rFonts w:ascii="Arial" w:hAnsi="Arial" w:cs="Arial"/>
          <w:color w:val="auto"/>
          <w:sz w:val="22"/>
          <w:szCs w:val="22"/>
        </w:rPr>
        <w:t xml:space="preserve">utovar, </w:t>
      </w:r>
    </w:p>
    <w:p w:rsidR="008A63CC" w:rsidRPr="00CD0D75" w:rsidRDefault="008A63CC" w:rsidP="008A63CC">
      <w:pPr>
        <w:pStyle w:val="Default"/>
        <w:numPr>
          <w:ilvl w:val="0"/>
          <w:numId w:val="18"/>
        </w:numPr>
        <w:shd w:val="clear" w:color="auto" w:fill="FFFFFF" w:themeFill="background1"/>
        <w:spacing w:line="276" w:lineRule="auto"/>
        <w:ind w:left="0" w:firstLine="0"/>
        <w:jc w:val="both"/>
        <w:rPr>
          <w:rFonts w:ascii="Arial" w:hAnsi="Arial" w:cs="Arial"/>
          <w:color w:val="auto"/>
          <w:sz w:val="22"/>
          <w:szCs w:val="22"/>
        </w:rPr>
      </w:pPr>
      <w:r w:rsidRPr="00CD0D75">
        <w:rPr>
          <w:rFonts w:ascii="Arial" w:hAnsi="Arial" w:cs="Arial"/>
          <w:color w:val="auto"/>
          <w:sz w:val="22"/>
          <w:szCs w:val="22"/>
        </w:rPr>
        <w:t xml:space="preserve">transport, </w:t>
      </w:r>
    </w:p>
    <w:p w:rsidR="008A63CC" w:rsidRPr="00CD0D75" w:rsidRDefault="008A63CC" w:rsidP="008A63CC">
      <w:pPr>
        <w:pStyle w:val="Default"/>
        <w:numPr>
          <w:ilvl w:val="0"/>
          <w:numId w:val="18"/>
        </w:numPr>
        <w:shd w:val="clear" w:color="auto" w:fill="FFFFFF" w:themeFill="background1"/>
        <w:spacing w:line="276" w:lineRule="auto"/>
        <w:ind w:left="0" w:firstLine="0"/>
        <w:jc w:val="both"/>
        <w:rPr>
          <w:rFonts w:ascii="Arial" w:hAnsi="Arial" w:cs="Arial"/>
          <w:color w:val="auto"/>
          <w:sz w:val="22"/>
          <w:szCs w:val="22"/>
        </w:rPr>
      </w:pPr>
      <w:r w:rsidRPr="00CD0D75">
        <w:rPr>
          <w:rFonts w:ascii="Arial" w:hAnsi="Arial" w:cs="Arial"/>
          <w:color w:val="auto"/>
          <w:sz w:val="22"/>
          <w:szCs w:val="22"/>
        </w:rPr>
        <w:t xml:space="preserve">drobljenje i klasiranje. </w:t>
      </w:r>
    </w:p>
    <w:p w:rsidR="008A63CC" w:rsidRPr="00CD0D75" w:rsidRDefault="008A63CC" w:rsidP="008A63CC">
      <w:pPr>
        <w:pStyle w:val="Default"/>
        <w:shd w:val="clear" w:color="auto" w:fill="FFFFFF" w:themeFill="background1"/>
        <w:spacing w:line="276" w:lineRule="auto"/>
        <w:jc w:val="both"/>
        <w:rPr>
          <w:rFonts w:ascii="Arial" w:hAnsi="Arial" w:cs="Arial"/>
          <w:color w:val="auto"/>
          <w:sz w:val="22"/>
          <w:szCs w:val="22"/>
        </w:rPr>
      </w:pPr>
    </w:p>
    <w:p w:rsidR="008A63CC" w:rsidRPr="00CD0D75" w:rsidRDefault="008A63CC" w:rsidP="008A63CC">
      <w:pPr>
        <w:pStyle w:val="Default"/>
        <w:shd w:val="clear" w:color="auto" w:fill="FFFFFF" w:themeFill="background1"/>
        <w:spacing w:line="276" w:lineRule="auto"/>
        <w:jc w:val="both"/>
        <w:rPr>
          <w:rFonts w:ascii="Arial" w:hAnsi="Arial" w:cs="Arial"/>
          <w:b/>
          <w:bCs/>
          <w:i/>
          <w:iCs/>
          <w:color w:val="auto"/>
          <w:sz w:val="22"/>
          <w:szCs w:val="22"/>
        </w:rPr>
      </w:pPr>
      <w:r w:rsidRPr="00CD0D75">
        <w:rPr>
          <w:rFonts w:ascii="Arial" w:hAnsi="Arial" w:cs="Arial"/>
          <w:b/>
          <w:bCs/>
          <w:i/>
          <w:iCs/>
          <w:color w:val="auto"/>
          <w:sz w:val="22"/>
          <w:szCs w:val="22"/>
        </w:rPr>
        <w:t>Pripremni radovi</w:t>
      </w:r>
    </w:p>
    <w:p w:rsidR="008A63CC" w:rsidRPr="00CD0D75" w:rsidRDefault="008A63CC" w:rsidP="008A63CC">
      <w:pPr>
        <w:pStyle w:val="Default"/>
        <w:shd w:val="clear" w:color="auto" w:fill="FFFFFF" w:themeFill="background1"/>
        <w:spacing w:line="276" w:lineRule="auto"/>
        <w:jc w:val="both"/>
        <w:rPr>
          <w:rFonts w:ascii="Arial" w:hAnsi="Arial" w:cs="Arial"/>
          <w:color w:val="auto"/>
          <w:sz w:val="22"/>
          <w:szCs w:val="22"/>
        </w:rPr>
      </w:pPr>
    </w:p>
    <w:p w:rsidR="008A63CC" w:rsidRPr="00CD0D75" w:rsidRDefault="008A63CC" w:rsidP="008A63CC">
      <w:pPr>
        <w:pStyle w:val="Default"/>
        <w:shd w:val="clear" w:color="auto" w:fill="FFFFFF" w:themeFill="background1"/>
        <w:spacing w:line="276" w:lineRule="auto"/>
        <w:jc w:val="both"/>
        <w:rPr>
          <w:rFonts w:ascii="Arial" w:hAnsi="Arial" w:cs="Arial"/>
          <w:color w:val="auto"/>
          <w:sz w:val="22"/>
          <w:szCs w:val="22"/>
        </w:rPr>
      </w:pPr>
      <w:r w:rsidRPr="00CD0D75">
        <w:rPr>
          <w:rFonts w:ascii="Arial" w:hAnsi="Arial" w:cs="Arial"/>
          <w:color w:val="auto"/>
          <w:sz w:val="22"/>
          <w:szCs w:val="22"/>
        </w:rPr>
        <w:t xml:space="preserve">Pripremni radovi obuhvataju čišćenje i ravnanje terena, čišćenje etažnih ravni i pripremu istih za potrebe bušenja, miniranja i druge pomoćne radove. Pripremni </w:t>
      </w:r>
      <w:r>
        <w:rPr>
          <w:rFonts w:ascii="Arial" w:hAnsi="Arial" w:cs="Arial"/>
          <w:color w:val="auto"/>
          <w:sz w:val="22"/>
          <w:szCs w:val="22"/>
        </w:rPr>
        <w:t xml:space="preserve">radovi izvodiće se buldozerom i </w:t>
      </w:r>
      <w:r w:rsidRPr="00CD0D75">
        <w:rPr>
          <w:rFonts w:ascii="Arial" w:hAnsi="Arial" w:cs="Arial"/>
          <w:color w:val="auto"/>
          <w:sz w:val="22"/>
          <w:szCs w:val="22"/>
        </w:rPr>
        <w:t>bagerom sa dubinskom korpom uz povremenu upotrebu hidrauličnog čekića.</w:t>
      </w:r>
    </w:p>
    <w:p w:rsidR="008A63CC" w:rsidRPr="00CD0D75" w:rsidRDefault="008A63CC" w:rsidP="008A63CC">
      <w:pPr>
        <w:pStyle w:val="Default"/>
        <w:shd w:val="clear" w:color="auto" w:fill="FFFFFF" w:themeFill="background1"/>
        <w:spacing w:line="276" w:lineRule="auto"/>
        <w:jc w:val="both"/>
        <w:rPr>
          <w:rFonts w:ascii="Arial" w:hAnsi="Arial" w:cs="Arial"/>
          <w:color w:val="auto"/>
          <w:sz w:val="22"/>
          <w:szCs w:val="22"/>
        </w:rPr>
      </w:pPr>
    </w:p>
    <w:p w:rsidR="008A63CC" w:rsidRPr="00CD0D75" w:rsidRDefault="008A63CC" w:rsidP="008A63CC">
      <w:pPr>
        <w:pStyle w:val="Default"/>
        <w:shd w:val="clear" w:color="auto" w:fill="FFFFFF" w:themeFill="background1"/>
        <w:spacing w:line="276" w:lineRule="auto"/>
        <w:jc w:val="both"/>
        <w:rPr>
          <w:rFonts w:ascii="Arial" w:hAnsi="Arial" w:cs="Arial"/>
          <w:b/>
          <w:bCs/>
          <w:i/>
          <w:iCs/>
          <w:color w:val="auto"/>
          <w:sz w:val="22"/>
          <w:szCs w:val="22"/>
        </w:rPr>
      </w:pPr>
      <w:r>
        <w:rPr>
          <w:rFonts w:ascii="Arial" w:hAnsi="Arial" w:cs="Arial"/>
          <w:b/>
          <w:bCs/>
          <w:i/>
          <w:iCs/>
          <w:color w:val="auto"/>
          <w:sz w:val="22"/>
          <w:szCs w:val="22"/>
        </w:rPr>
        <w:t xml:space="preserve">      </w:t>
      </w:r>
      <w:r w:rsidRPr="00CD0D75">
        <w:rPr>
          <w:rFonts w:ascii="Arial" w:hAnsi="Arial" w:cs="Arial"/>
          <w:b/>
          <w:bCs/>
          <w:i/>
          <w:iCs/>
          <w:color w:val="auto"/>
          <w:sz w:val="22"/>
          <w:szCs w:val="22"/>
        </w:rPr>
        <w:t xml:space="preserve">Bušenje </w:t>
      </w:r>
    </w:p>
    <w:p w:rsidR="008A63CC" w:rsidRPr="00CD0D75" w:rsidRDefault="008A63CC" w:rsidP="008A63CC">
      <w:pPr>
        <w:pStyle w:val="Default"/>
        <w:shd w:val="clear" w:color="auto" w:fill="FFFFFF" w:themeFill="background1"/>
        <w:spacing w:line="276" w:lineRule="auto"/>
        <w:jc w:val="both"/>
        <w:rPr>
          <w:rFonts w:ascii="Arial" w:hAnsi="Arial" w:cs="Arial"/>
          <w:color w:val="auto"/>
          <w:sz w:val="22"/>
          <w:szCs w:val="22"/>
        </w:rPr>
      </w:pPr>
    </w:p>
    <w:p w:rsidR="008A63CC" w:rsidRPr="00CD0D75" w:rsidRDefault="008A63CC" w:rsidP="008A63CC">
      <w:pPr>
        <w:pStyle w:val="Default"/>
        <w:shd w:val="clear" w:color="auto" w:fill="FFFFFF" w:themeFill="background1"/>
        <w:spacing w:line="276" w:lineRule="auto"/>
        <w:jc w:val="both"/>
        <w:rPr>
          <w:rFonts w:ascii="Arial" w:hAnsi="Arial" w:cs="Arial"/>
          <w:color w:val="auto"/>
          <w:sz w:val="22"/>
          <w:szCs w:val="22"/>
        </w:rPr>
      </w:pPr>
      <w:r w:rsidRPr="00CD0D75">
        <w:rPr>
          <w:rFonts w:ascii="Arial" w:hAnsi="Arial" w:cs="Arial"/>
          <w:color w:val="auto"/>
          <w:sz w:val="22"/>
          <w:szCs w:val="22"/>
        </w:rPr>
        <w:t>Bušenje minskih b</w:t>
      </w:r>
      <w:r>
        <w:rPr>
          <w:rFonts w:ascii="Arial" w:hAnsi="Arial" w:cs="Arial"/>
          <w:color w:val="auto"/>
          <w:sz w:val="22"/>
          <w:szCs w:val="22"/>
        </w:rPr>
        <w:t>ušotina vršilo bi se sa udarno</w:t>
      </w:r>
      <w:r w:rsidRPr="00CD0D75">
        <w:rPr>
          <w:rFonts w:ascii="Arial" w:hAnsi="Arial" w:cs="Arial"/>
          <w:color w:val="auto"/>
          <w:sz w:val="22"/>
          <w:szCs w:val="22"/>
        </w:rPr>
        <w:t>-</w:t>
      </w:r>
      <w:r>
        <w:rPr>
          <w:rFonts w:ascii="Arial" w:hAnsi="Arial" w:cs="Arial"/>
          <w:color w:val="auto"/>
          <w:sz w:val="22"/>
          <w:szCs w:val="22"/>
        </w:rPr>
        <w:t>ro</w:t>
      </w:r>
      <w:r w:rsidRPr="00CD0D75">
        <w:rPr>
          <w:rFonts w:ascii="Arial" w:hAnsi="Arial" w:cs="Arial"/>
          <w:color w:val="auto"/>
          <w:sz w:val="22"/>
          <w:szCs w:val="22"/>
        </w:rPr>
        <w:t xml:space="preserve">tacionom bušilicom prečnika  Ø 76 mm. </w:t>
      </w:r>
    </w:p>
    <w:p w:rsidR="008A63CC" w:rsidRPr="00CD0D75" w:rsidRDefault="008A63CC" w:rsidP="008A63CC">
      <w:pPr>
        <w:pStyle w:val="Default"/>
        <w:shd w:val="clear" w:color="auto" w:fill="FFFFFF" w:themeFill="background1"/>
        <w:spacing w:line="276" w:lineRule="auto"/>
        <w:jc w:val="both"/>
        <w:rPr>
          <w:rFonts w:ascii="Arial" w:hAnsi="Arial" w:cs="Arial"/>
          <w:color w:val="auto"/>
          <w:sz w:val="22"/>
          <w:szCs w:val="22"/>
        </w:rPr>
      </w:pPr>
    </w:p>
    <w:p w:rsidR="008A63CC" w:rsidRPr="00CD0D75" w:rsidRDefault="008A63CC" w:rsidP="008A63CC">
      <w:pPr>
        <w:pStyle w:val="Default"/>
        <w:shd w:val="clear" w:color="auto" w:fill="FFFFFF" w:themeFill="background1"/>
        <w:spacing w:line="276" w:lineRule="auto"/>
        <w:jc w:val="both"/>
        <w:rPr>
          <w:rFonts w:ascii="Arial" w:hAnsi="Arial" w:cs="Arial"/>
          <w:b/>
          <w:bCs/>
          <w:i/>
          <w:iCs/>
          <w:color w:val="auto"/>
          <w:sz w:val="22"/>
          <w:szCs w:val="22"/>
        </w:rPr>
      </w:pPr>
      <w:r w:rsidRPr="00CD0D75">
        <w:rPr>
          <w:rFonts w:ascii="Arial" w:hAnsi="Arial" w:cs="Arial"/>
          <w:b/>
          <w:bCs/>
          <w:i/>
          <w:iCs/>
          <w:color w:val="auto"/>
          <w:sz w:val="22"/>
          <w:szCs w:val="22"/>
        </w:rPr>
        <w:t xml:space="preserve">      Miniranje</w:t>
      </w:r>
    </w:p>
    <w:p w:rsidR="008A63CC" w:rsidRPr="00CD0D75" w:rsidRDefault="008A63CC" w:rsidP="008A63CC">
      <w:pPr>
        <w:pStyle w:val="Default"/>
        <w:shd w:val="clear" w:color="auto" w:fill="FFFFFF" w:themeFill="background1"/>
        <w:spacing w:line="276" w:lineRule="auto"/>
        <w:jc w:val="both"/>
        <w:rPr>
          <w:rFonts w:ascii="Arial" w:hAnsi="Arial" w:cs="Arial"/>
          <w:color w:val="auto"/>
          <w:sz w:val="22"/>
          <w:szCs w:val="22"/>
        </w:rPr>
      </w:pPr>
    </w:p>
    <w:p w:rsidR="008A63CC" w:rsidRPr="00CD0D75" w:rsidRDefault="008A63CC" w:rsidP="008A63CC">
      <w:pPr>
        <w:pStyle w:val="Default"/>
        <w:shd w:val="clear" w:color="auto" w:fill="FFFFFF" w:themeFill="background1"/>
        <w:spacing w:line="276" w:lineRule="auto"/>
        <w:jc w:val="both"/>
        <w:rPr>
          <w:rFonts w:ascii="Arial" w:hAnsi="Arial" w:cs="Arial"/>
          <w:color w:val="auto"/>
          <w:sz w:val="22"/>
          <w:szCs w:val="22"/>
        </w:rPr>
      </w:pPr>
      <w:r w:rsidRPr="00CD0D75">
        <w:rPr>
          <w:rFonts w:ascii="Arial" w:hAnsi="Arial" w:cs="Arial"/>
          <w:color w:val="auto"/>
          <w:sz w:val="22"/>
          <w:szCs w:val="22"/>
        </w:rPr>
        <w:t xml:space="preserve">Miniranje krečnjaka  vršilo bi se praškastim eksplozivom, prečnika patrone Ø 60mm. </w:t>
      </w:r>
    </w:p>
    <w:p w:rsidR="008A63CC" w:rsidRPr="00CD0D75" w:rsidRDefault="008A63CC" w:rsidP="008A63CC">
      <w:pPr>
        <w:pStyle w:val="Default"/>
        <w:shd w:val="clear" w:color="auto" w:fill="FFFFFF" w:themeFill="background1"/>
        <w:spacing w:line="276" w:lineRule="auto"/>
        <w:jc w:val="both"/>
        <w:rPr>
          <w:rFonts w:ascii="Arial" w:hAnsi="Arial" w:cs="Arial"/>
          <w:color w:val="auto"/>
          <w:sz w:val="22"/>
          <w:szCs w:val="22"/>
        </w:rPr>
      </w:pPr>
      <w:r w:rsidRPr="00CD0D75">
        <w:rPr>
          <w:rFonts w:ascii="Arial" w:hAnsi="Arial" w:cs="Arial"/>
          <w:color w:val="auto"/>
          <w:sz w:val="22"/>
          <w:szCs w:val="22"/>
        </w:rPr>
        <w:t xml:space="preserve">              </w:t>
      </w:r>
    </w:p>
    <w:p w:rsidR="008A63CC" w:rsidRPr="00CD0D75" w:rsidRDefault="008A63CC" w:rsidP="008A63CC">
      <w:pPr>
        <w:pStyle w:val="Default"/>
        <w:shd w:val="clear" w:color="auto" w:fill="FFFFFF" w:themeFill="background1"/>
        <w:spacing w:line="276" w:lineRule="auto"/>
        <w:jc w:val="both"/>
        <w:rPr>
          <w:rFonts w:ascii="Arial" w:hAnsi="Arial" w:cs="Arial"/>
          <w:b/>
          <w:bCs/>
          <w:i/>
          <w:iCs/>
          <w:color w:val="auto"/>
          <w:sz w:val="22"/>
          <w:szCs w:val="22"/>
        </w:rPr>
      </w:pPr>
      <w:r>
        <w:rPr>
          <w:rFonts w:ascii="Arial" w:hAnsi="Arial" w:cs="Arial"/>
          <w:b/>
          <w:bCs/>
          <w:i/>
          <w:iCs/>
          <w:color w:val="auto"/>
          <w:sz w:val="22"/>
          <w:szCs w:val="22"/>
        </w:rPr>
        <w:t xml:space="preserve">       </w:t>
      </w:r>
      <w:r w:rsidRPr="00CD0D75">
        <w:rPr>
          <w:rFonts w:ascii="Arial" w:hAnsi="Arial" w:cs="Arial"/>
          <w:b/>
          <w:bCs/>
          <w:i/>
          <w:iCs/>
          <w:color w:val="auto"/>
          <w:sz w:val="22"/>
          <w:szCs w:val="22"/>
        </w:rPr>
        <w:t>Utovar</w:t>
      </w:r>
    </w:p>
    <w:p w:rsidR="008A63CC" w:rsidRPr="00CD0D75" w:rsidRDefault="008A63CC" w:rsidP="008A63CC">
      <w:pPr>
        <w:pStyle w:val="Default"/>
        <w:shd w:val="clear" w:color="auto" w:fill="FFFFFF" w:themeFill="background1"/>
        <w:spacing w:line="276" w:lineRule="auto"/>
        <w:jc w:val="both"/>
        <w:rPr>
          <w:rFonts w:ascii="Arial" w:hAnsi="Arial" w:cs="Arial"/>
          <w:color w:val="auto"/>
          <w:sz w:val="22"/>
          <w:szCs w:val="22"/>
        </w:rPr>
      </w:pPr>
    </w:p>
    <w:p w:rsidR="008A63CC" w:rsidRPr="00CD0D75" w:rsidRDefault="008A63CC" w:rsidP="008A63CC">
      <w:pPr>
        <w:pStyle w:val="Default"/>
        <w:shd w:val="clear" w:color="auto" w:fill="FFFFFF" w:themeFill="background1"/>
        <w:spacing w:line="276" w:lineRule="auto"/>
        <w:jc w:val="both"/>
        <w:rPr>
          <w:rFonts w:ascii="Arial" w:hAnsi="Arial" w:cs="Arial"/>
          <w:color w:val="auto"/>
          <w:sz w:val="22"/>
          <w:szCs w:val="22"/>
        </w:rPr>
      </w:pPr>
      <w:r w:rsidRPr="00CD0D75">
        <w:rPr>
          <w:rFonts w:ascii="Arial" w:hAnsi="Arial" w:cs="Arial"/>
          <w:color w:val="auto"/>
          <w:sz w:val="22"/>
          <w:szCs w:val="22"/>
        </w:rPr>
        <w:t>Utovar odminiranog krečnjaka vršio bi se bagerom kašikarom, zapremine kašike od 1,5 m</w:t>
      </w:r>
      <w:r w:rsidRPr="00CD0D75">
        <w:rPr>
          <w:rFonts w:ascii="Arial" w:hAnsi="Arial" w:cs="Arial"/>
          <w:color w:val="auto"/>
          <w:sz w:val="22"/>
          <w:szCs w:val="22"/>
          <w:vertAlign w:val="superscript"/>
        </w:rPr>
        <w:t>3</w:t>
      </w:r>
      <w:r w:rsidRPr="00CD0D75">
        <w:rPr>
          <w:rFonts w:ascii="Arial" w:hAnsi="Arial" w:cs="Arial"/>
          <w:color w:val="auto"/>
          <w:sz w:val="22"/>
          <w:szCs w:val="22"/>
        </w:rPr>
        <w:t>,a utovar gotovog proizvoda utovarivačem zapremine korpe 3m</w:t>
      </w:r>
      <w:r w:rsidRPr="00CD0D75">
        <w:rPr>
          <w:rFonts w:ascii="Arial" w:hAnsi="Arial" w:cs="Arial"/>
          <w:color w:val="auto"/>
          <w:sz w:val="22"/>
          <w:szCs w:val="22"/>
          <w:vertAlign w:val="superscript"/>
        </w:rPr>
        <w:t>3</w:t>
      </w:r>
    </w:p>
    <w:p w:rsidR="008A63CC" w:rsidRPr="00CD0D75" w:rsidRDefault="008A63CC" w:rsidP="008A63CC">
      <w:pPr>
        <w:pStyle w:val="Default"/>
        <w:shd w:val="clear" w:color="auto" w:fill="FFFFFF" w:themeFill="background1"/>
        <w:spacing w:line="276" w:lineRule="auto"/>
        <w:jc w:val="both"/>
        <w:rPr>
          <w:rFonts w:ascii="Arial" w:hAnsi="Arial" w:cs="Arial"/>
          <w:color w:val="auto"/>
          <w:sz w:val="22"/>
          <w:szCs w:val="22"/>
        </w:rPr>
      </w:pPr>
      <w:r w:rsidRPr="00CD0D75">
        <w:rPr>
          <w:rFonts w:ascii="Arial" w:hAnsi="Arial" w:cs="Arial"/>
          <w:color w:val="auto"/>
          <w:sz w:val="22"/>
          <w:szCs w:val="22"/>
        </w:rPr>
        <w:t xml:space="preserve"> </w:t>
      </w:r>
    </w:p>
    <w:p w:rsidR="008A63CC" w:rsidRPr="00CD0D75" w:rsidRDefault="008A63CC" w:rsidP="008A63CC">
      <w:pPr>
        <w:pStyle w:val="Default"/>
        <w:shd w:val="clear" w:color="auto" w:fill="FFFFFF" w:themeFill="background1"/>
        <w:spacing w:line="276" w:lineRule="auto"/>
        <w:jc w:val="both"/>
        <w:rPr>
          <w:rFonts w:ascii="Arial" w:hAnsi="Arial" w:cs="Arial"/>
          <w:b/>
          <w:bCs/>
          <w:i/>
          <w:iCs/>
          <w:color w:val="auto"/>
          <w:sz w:val="22"/>
          <w:szCs w:val="22"/>
        </w:rPr>
      </w:pPr>
      <w:r w:rsidRPr="00CD0D75">
        <w:rPr>
          <w:rFonts w:ascii="Arial" w:hAnsi="Arial" w:cs="Arial"/>
          <w:color w:val="auto"/>
          <w:sz w:val="22"/>
          <w:szCs w:val="22"/>
        </w:rPr>
        <w:t xml:space="preserve">         </w:t>
      </w:r>
      <w:r w:rsidRPr="00CD0D75">
        <w:rPr>
          <w:rFonts w:ascii="Arial" w:hAnsi="Arial" w:cs="Arial"/>
          <w:b/>
          <w:bCs/>
          <w:i/>
          <w:iCs/>
          <w:color w:val="auto"/>
          <w:sz w:val="22"/>
          <w:szCs w:val="22"/>
        </w:rPr>
        <w:t xml:space="preserve">Transport </w:t>
      </w:r>
    </w:p>
    <w:p w:rsidR="008A63CC" w:rsidRPr="00CD0D75" w:rsidRDefault="008A63CC" w:rsidP="008A63CC">
      <w:pPr>
        <w:pStyle w:val="Default"/>
        <w:shd w:val="clear" w:color="auto" w:fill="FFFFFF" w:themeFill="background1"/>
        <w:spacing w:line="276" w:lineRule="auto"/>
        <w:jc w:val="both"/>
        <w:rPr>
          <w:rFonts w:ascii="Arial" w:hAnsi="Arial" w:cs="Arial"/>
          <w:color w:val="auto"/>
          <w:sz w:val="22"/>
          <w:szCs w:val="22"/>
        </w:rPr>
      </w:pPr>
    </w:p>
    <w:p w:rsidR="008A63CC" w:rsidRPr="00CD0D75" w:rsidRDefault="008A63CC" w:rsidP="008A63CC">
      <w:pPr>
        <w:pStyle w:val="Default"/>
        <w:shd w:val="clear" w:color="auto" w:fill="FFFFFF" w:themeFill="background1"/>
        <w:spacing w:line="276" w:lineRule="auto"/>
        <w:jc w:val="both"/>
        <w:rPr>
          <w:rFonts w:ascii="Arial" w:hAnsi="Arial" w:cs="Arial"/>
          <w:color w:val="auto"/>
          <w:sz w:val="22"/>
          <w:szCs w:val="22"/>
        </w:rPr>
      </w:pPr>
      <w:r w:rsidRPr="00CD0D75">
        <w:rPr>
          <w:rFonts w:ascii="Arial" w:hAnsi="Arial" w:cs="Arial"/>
          <w:color w:val="auto"/>
          <w:sz w:val="22"/>
          <w:szCs w:val="22"/>
        </w:rPr>
        <w:t xml:space="preserve">Transport krečnjaka će biti gravitacijski, a mobilno drobilično postojenje će se postavljati </w:t>
      </w:r>
      <w:r>
        <w:rPr>
          <w:rFonts w:ascii="Arial" w:hAnsi="Arial" w:cs="Arial"/>
          <w:color w:val="auto"/>
          <w:sz w:val="22"/>
          <w:szCs w:val="22"/>
        </w:rPr>
        <w:t>i</w:t>
      </w:r>
      <w:r w:rsidRPr="00CD0D75">
        <w:rPr>
          <w:rFonts w:ascii="Arial" w:hAnsi="Arial" w:cs="Arial"/>
          <w:color w:val="auto"/>
          <w:sz w:val="22"/>
          <w:szCs w:val="22"/>
        </w:rPr>
        <w:t xml:space="preserve"> raditi do odminiranog ili naguranog tehničko-građevinskog kamena.</w:t>
      </w:r>
    </w:p>
    <w:p w:rsidR="008A63CC" w:rsidRPr="00CD0D75" w:rsidRDefault="008A63CC" w:rsidP="008A63CC">
      <w:pPr>
        <w:pStyle w:val="Default"/>
        <w:shd w:val="clear" w:color="auto" w:fill="FFFFFF" w:themeFill="background1"/>
        <w:spacing w:line="276" w:lineRule="auto"/>
        <w:jc w:val="both"/>
        <w:rPr>
          <w:rFonts w:ascii="Arial" w:hAnsi="Arial" w:cs="Arial"/>
          <w:color w:val="auto"/>
          <w:sz w:val="22"/>
          <w:szCs w:val="22"/>
        </w:rPr>
      </w:pPr>
    </w:p>
    <w:p w:rsidR="008A63CC" w:rsidRDefault="008A63CC" w:rsidP="008A63CC">
      <w:pPr>
        <w:pStyle w:val="Default"/>
        <w:shd w:val="clear" w:color="auto" w:fill="FFFFFF" w:themeFill="background1"/>
        <w:spacing w:line="276" w:lineRule="auto"/>
        <w:jc w:val="both"/>
        <w:rPr>
          <w:rFonts w:ascii="Arial" w:hAnsi="Arial" w:cs="Arial"/>
          <w:b/>
          <w:bCs/>
          <w:i/>
          <w:iCs/>
          <w:color w:val="auto"/>
          <w:sz w:val="22"/>
          <w:szCs w:val="22"/>
        </w:rPr>
      </w:pPr>
      <w:r w:rsidRPr="00CD0D75">
        <w:rPr>
          <w:rFonts w:ascii="Arial" w:hAnsi="Arial" w:cs="Arial"/>
          <w:color w:val="auto"/>
          <w:sz w:val="22"/>
          <w:szCs w:val="22"/>
        </w:rPr>
        <w:t xml:space="preserve">         </w:t>
      </w:r>
      <w:r w:rsidRPr="00CD0D75">
        <w:rPr>
          <w:rFonts w:ascii="Arial" w:hAnsi="Arial" w:cs="Arial"/>
          <w:b/>
          <w:bCs/>
          <w:i/>
          <w:iCs/>
          <w:color w:val="auto"/>
          <w:sz w:val="22"/>
          <w:szCs w:val="22"/>
        </w:rPr>
        <w:t xml:space="preserve">Drobljenje i klasiranje </w:t>
      </w:r>
    </w:p>
    <w:p w:rsidR="008A63CC" w:rsidRPr="004A25A4" w:rsidRDefault="008A63CC" w:rsidP="008A63CC">
      <w:pPr>
        <w:pStyle w:val="Default"/>
        <w:shd w:val="clear" w:color="auto" w:fill="FFFFFF" w:themeFill="background1"/>
        <w:spacing w:line="276" w:lineRule="auto"/>
        <w:jc w:val="both"/>
        <w:rPr>
          <w:rFonts w:ascii="Arial" w:hAnsi="Arial" w:cs="Arial"/>
          <w:b/>
          <w:bCs/>
          <w:i/>
          <w:iCs/>
          <w:color w:val="auto"/>
          <w:sz w:val="22"/>
          <w:szCs w:val="22"/>
        </w:rPr>
      </w:pPr>
    </w:p>
    <w:p w:rsidR="008A63CC" w:rsidRDefault="008A63CC" w:rsidP="008A63CC">
      <w:pPr>
        <w:pStyle w:val="Default"/>
        <w:shd w:val="clear" w:color="auto" w:fill="FFFFFF" w:themeFill="background1"/>
        <w:spacing w:line="276" w:lineRule="auto"/>
        <w:jc w:val="both"/>
        <w:rPr>
          <w:rFonts w:ascii="Arial" w:hAnsi="Arial" w:cs="Arial"/>
          <w:color w:val="auto"/>
          <w:sz w:val="22"/>
          <w:szCs w:val="22"/>
        </w:rPr>
      </w:pPr>
      <w:r w:rsidRPr="00CD0D75">
        <w:rPr>
          <w:rFonts w:ascii="Arial" w:hAnsi="Arial" w:cs="Arial"/>
          <w:color w:val="auto"/>
          <w:sz w:val="22"/>
          <w:szCs w:val="22"/>
        </w:rPr>
        <w:t>Za drobljenje materijala potrebno je  mobilno  postrojenje kapaciteta od 15 m</w:t>
      </w:r>
      <w:r w:rsidRPr="00CD0D75">
        <w:rPr>
          <w:rFonts w:ascii="Arial" w:hAnsi="Arial" w:cs="Arial"/>
          <w:color w:val="auto"/>
          <w:sz w:val="22"/>
          <w:szCs w:val="22"/>
          <w:vertAlign w:val="superscript"/>
        </w:rPr>
        <w:t>3</w:t>
      </w:r>
      <w:r w:rsidRPr="00CD0D75">
        <w:rPr>
          <w:rFonts w:ascii="Arial" w:hAnsi="Arial" w:cs="Arial"/>
          <w:color w:val="auto"/>
          <w:sz w:val="22"/>
          <w:szCs w:val="22"/>
        </w:rPr>
        <w:t xml:space="preserve">/h, a za klasiranje mobilna </w:t>
      </w:r>
    </w:p>
    <w:p w:rsidR="008A63CC" w:rsidRPr="00CD0D75" w:rsidRDefault="008A63CC" w:rsidP="008A63CC">
      <w:pPr>
        <w:pStyle w:val="Default"/>
        <w:shd w:val="clear" w:color="auto" w:fill="FFFFFF" w:themeFill="background1"/>
        <w:spacing w:line="276" w:lineRule="auto"/>
        <w:rPr>
          <w:rFonts w:ascii="Arial" w:hAnsi="Arial" w:cs="Arial"/>
          <w:color w:val="auto"/>
          <w:sz w:val="22"/>
          <w:szCs w:val="22"/>
        </w:rPr>
      </w:pPr>
      <w:r w:rsidRPr="00CD0D75">
        <w:rPr>
          <w:rFonts w:ascii="Arial" w:hAnsi="Arial" w:cs="Arial"/>
          <w:color w:val="auto"/>
          <w:sz w:val="22"/>
          <w:szCs w:val="22"/>
        </w:rPr>
        <w:t>sijačica is</w:t>
      </w:r>
      <w:r>
        <w:rPr>
          <w:rFonts w:ascii="Arial" w:hAnsi="Arial" w:cs="Arial"/>
          <w:color w:val="auto"/>
          <w:sz w:val="22"/>
          <w:szCs w:val="22"/>
        </w:rPr>
        <w:t>t</w:t>
      </w:r>
      <w:r w:rsidRPr="00CD0D75">
        <w:rPr>
          <w:rFonts w:ascii="Arial" w:hAnsi="Arial" w:cs="Arial"/>
          <w:color w:val="auto"/>
          <w:sz w:val="22"/>
          <w:szCs w:val="22"/>
        </w:rPr>
        <w:t>og kapacie</w:t>
      </w:r>
      <w:r>
        <w:rPr>
          <w:rFonts w:ascii="Arial" w:hAnsi="Arial" w:cs="Arial"/>
          <w:color w:val="auto"/>
          <w:sz w:val="22"/>
          <w:szCs w:val="22"/>
        </w:rPr>
        <w:t>te</w:t>
      </w:r>
      <w:r w:rsidRPr="00CD0D75">
        <w:rPr>
          <w:rFonts w:ascii="Arial" w:hAnsi="Arial" w:cs="Arial"/>
          <w:color w:val="auto"/>
          <w:sz w:val="22"/>
          <w:szCs w:val="22"/>
        </w:rPr>
        <w:t>ta.</w:t>
      </w:r>
    </w:p>
    <w:p w:rsidR="008A63CC" w:rsidRPr="00CD0D75" w:rsidRDefault="008A63CC" w:rsidP="008A63CC">
      <w:pPr>
        <w:pStyle w:val="Default"/>
        <w:shd w:val="clear" w:color="auto" w:fill="FFFFFF" w:themeFill="background1"/>
        <w:spacing w:line="276" w:lineRule="auto"/>
        <w:rPr>
          <w:rFonts w:ascii="Arial" w:hAnsi="Arial" w:cs="Arial"/>
          <w:color w:val="auto"/>
          <w:sz w:val="22"/>
          <w:szCs w:val="22"/>
        </w:rPr>
      </w:pPr>
    </w:p>
    <w:p w:rsidR="008A63CC" w:rsidRPr="00CD0D75" w:rsidRDefault="008A63CC" w:rsidP="008A63CC">
      <w:pPr>
        <w:pStyle w:val="Heading2"/>
        <w:shd w:val="clear" w:color="auto" w:fill="FFFFFF" w:themeFill="background1"/>
        <w:spacing w:before="0" w:after="0"/>
        <w:rPr>
          <w:i w:val="0"/>
          <w:sz w:val="22"/>
          <w:szCs w:val="22"/>
        </w:rPr>
      </w:pPr>
      <w:bookmarkStart w:id="8" w:name="_Toc402262939"/>
      <w:r w:rsidRPr="00CD0D75">
        <w:rPr>
          <w:i w:val="0"/>
          <w:sz w:val="22"/>
          <w:szCs w:val="22"/>
        </w:rPr>
        <w:lastRenderedPageBreak/>
        <w:t>4.3.1  Snabdijevanje električnom energijom, gorivom, vodom i eksplozivom i eksplozivnim sredstvima</w:t>
      </w:r>
      <w:bookmarkEnd w:id="8"/>
    </w:p>
    <w:p w:rsidR="008A63CC" w:rsidRPr="00CD0D75" w:rsidRDefault="008A63CC" w:rsidP="008A63CC">
      <w:pPr>
        <w:spacing w:after="0"/>
        <w:rPr>
          <w:rFonts w:ascii="Arial" w:hAnsi="Arial" w:cs="Arial"/>
        </w:rPr>
      </w:pPr>
    </w:p>
    <w:p w:rsidR="008A63CC" w:rsidRDefault="008A63CC" w:rsidP="008A63CC">
      <w:pPr>
        <w:shd w:val="clear" w:color="auto" w:fill="FFFFFF" w:themeFill="background1"/>
        <w:spacing w:after="0"/>
        <w:rPr>
          <w:rFonts w:ascii="Arial" w:hAnsi="Arial" w:cs="Arial"/>
        </w:rPr>
      </w:pPr>
      <w:r w:rsidRPr="00CD0D75">
        <w:rPr>
          <w:rFonts w:ascii="Arial" w:hAnsi="Arial" w:cs="Arial"/>
        </w:rPr>
        <w:t xml:space="preserve">Snabdijevanje električnom energijom je </w:t>
      </w:r>
      <w:bookmarkStart w:id="9" w:name="_Toc402262940"/>
      <w:r w:rsidRPr="00CD0D75">
        <w:rPr>
          <w:rFonts w:ascii="Arial" w:hAnsi="Arial" w:cs="Arial"/>
        </w:rPr>
        <w:t>moguće regulisati na zadovoljavajući način s obzirom da postoji mreža za postojeća naselja.</w:t>
      </w:r>
    </w:p>
    <w:p w:rsidR="008A63CC" w:rsidRPr="00CD0D75" w:rsidRDefault="008A63CC" w:rsidP="008A63CC">
      <w:pPr>
        <w:shd w:val="clear" w:color="auto" w:fill="FFFFFF" w:themeFill="background1"/>
        <w:spacing w:after="0"/>
        <w:rPr>
          <w:rFonts w:ascii="Arial" w:hAnsi="Arial" w:cs="Arial"/>
        </w:rPr>
      </w:pPr>
    </w:p>
    <w:p w:rsidR="008A63CC" w:rsidRDefault="008A63CC" w:rsidP="008A63CC">
      <w:pPr>
        <w:shd w:val="clear" w:color="auto" w:fill="FFFFFF" w:themeFill="background1"/>
        <w:spacing w:after="0"/>
        <w:rPr>
          <w:rFonts w:ascii="Arial" w:hAnsi="Arial" w:cs="Arial"/>
          <w:b/>
        </w:rPr>
      </w:pPr>
      <w:r w:rsidRPr="00CD0D75">
        <w:rPr>
          <w:rFonts w:ascii="Arial" w:hAnsi="Arial" w:cs="Arial"/>
          <w:b/>
        </w:rPr>
        <w:t>4.3.2  Potrebna oprema i mehanizacija</w:t>
      </w:r>
      <w:bookmarkEnd w:id="9"/>
    </w:p>
    <w:p w:rsidR="008A63CC" w:rsidRPr="00CD0D75" w:rsidRDefault="008A63CC" w:rsidP="008A63CC">
      <w:pPr>
        <w:shd w:val="clear" w:color="auto" w:fill="FFFFFF" w:themeFill="background1"/>
        <w:spacing w:after="0"/>
        <w:rPr>
          <w:rFonts w:ascii="Arial" w:hAnsi="Arial" w:cs="Arial"/>
          <w:b/>
        </w:rPr>
      </w:pPr>
    </w:p>
    <w:tbl>
      <w:tblPr>
        <w:tblStyle w:val="TableGrid2"/>
        <w:tblW w:w="0" w:type="auto"/>
        <w:tblLook w:val="04A0"/>
      </w:tblPr>
      <w:tblGrid>
        <w:gridCol w:w="1134"/>
        <w:gridCol w:w="2610"/>
        <w:gridCol w:w="1072"/>
      </w:tblGrid>
      <w:tr w:rsidR="008A63CC" w:rsidRPr="00CD0D75" w:rsidTr="008A63CC">
        <w:tc>
          <w:tcPr>
            <w:tcW w:w="1134" w:type="dxa"/>
            <w:tcBorders>
              <w:top w:val="single" w:sz="12" w:space="0" w:color="auto"/>
              <w:left w:val="single" w:sz="12" w:space="0" w:color="auto"/>
              <w:bottom w:val="single" w:sz="12" w:space="0" w:color="auto"/>
              <w:right w:val="single" w:sz="12" w:space="0" w:color="auto"/>
            </w:tcBorders>
          </w:tcPr>
          <w:p w:rsidR="008A63CC" w:rsidRPr="00CD0D75" w:rsidRDefault="008A63CC" w:rsidP="008A63CC">
            <w:pPr>
              <w:shd w:val="clear" w:color="auto" w:fill="FFFFFF" w:themeFill="background1"/>
              <w:spacing w:line="276" w:lineRule="auto"/>
              <w:jc w:val="center"/>
              <w:rPr>
                <w:rFonts w:ascii="Arial" w:hAnsi="Arial" w:cs="Arial"/>
                <w:b/>
              </w:rPr>
            </w:pPr>
            <w:r w:rsidRPr="00CD0D75">
              <w:rPr>
                <w:rFonts w:ascii="Arial" w:hAnsi="Arial" w:cs="Arial"/>
                <w:b/>
              </w:rPr>
              <w:t>Redni broj</w:t>
            </w:r>
          </w:p>
        </w:tc>
        <w:tc>
          <w:tcPr>
            <w:tcW w:w="2610" w:type="dxa"/>
            <w:tcBorders>
              <w:top w:val="single" w:sz="12" w:space="0" w:color="auto"/>
              <w:left w:val="single" w:sz="12" w:space="0" w:color="auto"/>
              <w:bottom w:val="single" w:sz="12" w:space="0" w:color="auto"/>
              <w:right w:val="single" w:sz="12" w:space="0" w:color="auto"/>
            </w:tcBorders>
          </w:tcPr>
          <w:p w:rsidR="008A63CC" w:rsidRPr="00CD0D75" w:rsidRDefault="008A63CC" w:rsidP="008A63CC">
            <w:pPr>
              <w:shd w:val="clear" w:color="auto" w:fill="FFFFFF" w:themeFill="background1"/>
              <w:spacing w:line="276" w:lineRule="auto"/>
              <w:jc w:val="center"/>
              <w:rPr>
                <w:rFonts w:ascii="Arial" w:hAnsi="Arial" w:cs="Arial"/>
                <w:b/>
              </w:rPr>
            </w:pPr>
            <w:r w:rsidRPr="00CD0D75">
              <w:rPr>
                <w:rFonts w:ascii="Arial" w:hAnsi="Arial" w:cs="Arial"/>
                <w:b/>
              </w:rPr>
              <w:t>Naziv</w:t>
            </w:r>
          </w:p>
        </w:tc>
        <w:tc>
          <w:tcPr>
            <w:tcW w:w="1044" w:type="dxa"/>
            <w:tcBorders>
              <w:top w:val="single" w:sz="12" w:space="0" w:color="auto"/>
              <w:left w:val="single" w:sz="12" w:space="0" w:color="auto"/>
              <w:bottom w:val="single" w:sz="12" w:space="0" w:color="auto"/>
              <w:right w:val="single" w:sz="12" w:space="0" w:color="auto"/>
            </w:tcBorders>
          </w:tcPr>
          <w:p w:rsidR="008A63CC" w:rsidRPr="00CD0D75" w:rsidRDefault="008A63CC" w:rsidP="008A63CC">
            <w:pPr>
              <w:shd w:val="clear" w:color="auto" w:fill="FFFFFF" w:themeFill="background1"/>
              <w:spacing w:line="276" w:lineRule="auto"/>
              <w:rPr>
                <w:rFonts w:ascii="Arial" w:hAnsi="Arial" w:cs="Arial"/>
                <w:b/>
              </w:rPr>
            </w:pPr>
            <w:r w:rsidRPr="00CD0D75">
              <w:rPr>
                <w:rFonts w:ascii="Arial" w:hAnsi="Arial" w:cs="Arial"/>
                <w:b/>
              </w:rPr>
              <w:t>Količina</w:t>
            </w:r>
          </w:p>
        </w:tc>
      </w:tr>
      <w:tr w:rsidR="008A63CC" w:rsidRPr="00CD0D75" w:rsidTr="008A63CC">
        <w:tc>
          <w:tcPr>
            <w:tcW w:w="1134" w:type="dxa"/>
            <w:tcBorders>
              <w:top w:val="single" w:sz="12" w:space="0" w:color="auto"/>
              <w:left w:val="single" w:sz="12" w:space="0" w:color="auto"/>
              <w:right w:val="single" w:sz="12" w:space="0" w:color="auto"/>
            </w:tcBorders>
          </w:tcPr>
          <w:p w:rsidR="008A63CC" w:rsidRPr="00CD0D75" w:rsidRDefault="008A63CC" w:rsidP="008A63CC">
            <w:pPr>
              <w:shd w:val="clear" w:color="auto" w:fill="FFFFFF" w:themeFill="background1"/>
              <w:spacing w:line="276" w:lineRule="auto"/>
              <w:jc w:val="center"/>
              <w:rPr>
                <w:rFonts w:ascii="Arial" w:hAnsi="Arial" w:cs="Arial"/>
              </w:rPr>
            </w:pPr>
            <w:r w:rsidRPr="00CD0D75">
              <w:rPr>
                <w:rFonts w:ascii="Arial" w:hAnsi="Arial" w:cs="Arial"/>
              </w:rPr>
              <w:t>1</w:t>
            </w:r>
          </w:p>
        </w:tc>
        <w:tc>
          <w:tcPr>
            <w:tcW w:w="2610" w:type="dxa"/>
            <w:tcBorders>
              <w:top w:val="single" w:sz="12" w:space="0" w:color="auto"/>
              <w:left w:val="single" w:sz="12" w:space="0" w:color="auto"/>
              <w:right w:val="single" w:sz="12" w:space="0" w:color="auto"/>
            </w:tcBorders>
          </w:tcPr>
          <w:p w:rsidR="008A63CC" w:rsidRPr="00CD0D75" w:rsidRDefault="008A63CC" w:rsidP="008A63CC">
            <w:pPr>
              <w:shd w:val="clear" w:color="auto" w:fill="FFFFFF" w:themeFill="background1"/>
              <w:spacing w:line="276" w:lineRule="auto"/>
              <w:jc w:val="center"/>
              <w:rPr>
                <w:rFonts w:ascii="Arial" w:hAnsi="Arial" w:cs="Arial"/>
              </w:rPr>
            </w:pPr>
            <w:r w:rsidRPr="00CD0D75">
              <w:rPr>
                <w:rFonts w:ascii="Arial" w:hAnsi="Arial" w:cs="Arial"/>
              </w:rPr>
              <w:t>Utovarivač</w:t>
            </w:r>
          </w:p>
        </w:tc>
        <w:tc>
          <w:tcPr>
            <w:tcW w:w="1044" w:type="dxa"/>
            <w:tcBorders>
              <w:top w:val="single" w:sz="12" w:space="0" w:color="auto"/>
              <w:left w:val="single" w:sz="12" w:space="0" w:color="auto"/>
              <w:right w:val="single" w:sz="12" w:space="0" w:color="auto"/>
            </w:tcBorders>
          </w:tcPr>
          <w:p w:rsidR="008A63CC" w:rsidRPr="00CD0D75" w:rsidRDefault="008A63CC" w:rsidP="008A63CC">
            <w:pPr>
              <w:shd w:val="clear" w:color="auto" w:fill="FFFFFF" w:themeFill="background1"/>
              <w:spacing w:line="276" w:lineRule="auto"/>
              <w:jc w:val="center"/>
              <w:rPr>
                <w:rFonts w:ascii="Arial" w:hAnsi="Arial" w:cs="Arial"/>
              </w:rPr>
            </w:pPr>
            <w:r w:rsidRPr="00CD0D75">
              <w:rPr>
                <w:rFonts w:ascii="Arial" w:hAnsi="Arial" w:cs="Arial"/>
              </w:rPr>
              <w:t>1</w:t>
            </w:r>
          </w:p>
        </w:tc>
      </w:tr>
      <w:tr w:rsidR="008A63CC" w:rsidRPr="00CD0D75" w:rsidTr="008A63CC">
        <w:tc>
          <w:tcPr>
            <w:tcW w:w="1134" w:type="dxa"/>
            <w:tcBorders>
              <w:left w:val="single" w:sz="12" w:space="0" w:color="auto"/>
              <w:right w:val="single" w:sz="12" w:space="0" w:color="auto"/>
            </w:tcBorders>
          </w:tcPr>
          <w:p w:rsidR="008A63CC" w:rsidRPr="00CD0D75" w:rsidRDefault="008A63CC" w:rsidP="008A63CC">
            <w:pPr>
              <w:shd w:val="clear" w:color="auto" w:fill="FFFFFF" w:themeFill="background1"/>
              <w:spacing w:line="276" w:lineRule="auto"/>
              <w:jc w:val="center"/>
              <w:rPr>
                <w:rFonts w:ascii="Arial" w:hAnsi="Arial" w:cs="Arial"/>
              </w:rPr>
            </w:pPr>
            <w:r w:rsidRPr="00CD0D75">
              <w:rPr>
                <w:rFonts w:ascii="Arial" w:hAnsi="Arial" w:cs="Arial"/>
              </w:rPr>
              <w:t>2</w:t>
            </w:r>
          </w:p>
        </w:tc>
        <w:tc>
          <w:tcPr>
            <w:tcW w:w="2610" w:type="dxa"/>
            <w:tcBorders>
              <w:left w:val="single" w:sz="12" w:space="0" w:color="auto"/>
              <w:right w:val="single" w:sz="12" w:space="0" w:color="auto"/>
            </w:tcBorders>
          </w:tcPr>
          <w:p w:rsidR="008A63CC" w:rsidRPr="00CD0D75" w:rsidRDefault="008A63CC" w:rsidP="008A63CC">
            <w:pPr>
              <w:shd w:val="clear" w:color="auto" w:fill="FFFFFF" w:themeFill="background1"/>
              <w:spacing w:line="276" w:lineRule="auto"/>
              <w:jc w:val="center"/>
              <w:rPr>
                <w:rFonts w:ascii="Arial" w:hAnsi="Arial" w:cs="Arial"/>
              </w:rPr>
            </w:pPr>
            <w:r w:rsidRPr="00CD0D75">
              <w:rPr>
                <w:rFonts w:ascii="Arial" w:hAnsi="Arial" w:cs="Arial"/>
              </w:rPr>
              <w:t>Bušilica</w:t>
            </w:r>
          </w:p>
        </w:tc>
        <w:tc>
          <w:tcPr>
            <w:tcW w:w="1044" w:type="dxa"/>
            <w:tcBorders>
              <w:left w:val="single" w:sz="12" w:space="0" w:color="auto"/>
              <w:right w:val="single" w:sz="12" w:space="0" w:color="auto"/>
            </w:tcBorders>
          </w:tcPr>
          <w:p w:rsidR="008A63CC" w:rsidRPr="00CD0D75" w:rsidRDefault="008A63CC" w:rsidP="008A63CC">
            <w:pPr>
              <w:shd w:val="clear" w:color="auto" w:fill="FFFFFF" w:themeFill="background1"/>
              <w:spacing w:line="276" w:lineRule="auto"/>
              <w:jc w:val="center"/>
              <w:rPr>
                <w:rFonts w:ascii="Arial" w:hAnsi="Arial" w:cs="Arial"/>
              </w:rPr>
            </w:pPr>
            <w:r w:rsidRPr="00CD0D75">
              <w:rPr>
                <w:rFonts w:ascii="Arial" w:hAnsi="Arial" w:cs="Arial"/>
              </w:rPr>
              <w:t>1</w:t>
            </w:r>
          </w:p>
        </w:tc>
      </w:tr>
      <w:tr w:rsidR="008A63CC" w:rsidRPr="00CD0D75" w:rsidTr="008A63CC">
        <w:tc>
          <w:tcPr>
            <w:tcW w:w="1134" w:type="dxa"/>
            <w:tcBorders>
              <w:left w:val="single" w:sz="12" w:space="0" w:color="auto"/>
              <w:right w:val="single" w:sz="12" w:space="0" w:color="auto"/>
            </w:tcBorders>
          </w:tcPr>
          <w:p w:rsidR="008A63CC" w:rsidRPr="00CD0D75" w:rsidRDefault="008A63CC" w:rsidP="008A63CC">
            <w:pPr>
              <w:shd w:val="clear" w:color="auto" w:fill="FFFFFF" w:themeFill="background1"/>
              <w:spacing w:line="276" w:lineRule="auto"/>
              <w:jc w:val="center"/>
              <w:rPr>
                <w:rFonts w:ascii="Arial" w:hAnsi="Arial" w:cs="Arial"/>
              </w:rPr>
            </w:pPr>
            <w:r w:rsidRPr="00CD0D75">
              <w:rPr>
                <w:rFonts w:ascii="Arial" w:hAnsi="Arial" w:cs="Arial"/>
              </w:rPr>
              <w:t>3</w:t>
            </w:r>
          </w:p>
        </w:tc>
        <w:tc>
          <w:tcPr>
            <w:tcW w:w="2610" w:type="dxa"/>
            <w:tcBorders>
              <w:left w:val="single" w:sz="12" w:space="0" w:color="auto"/>
              <w:right w:val="single" w:sz="12" w:space="0" w:color="auto"/>
            </w:tcBorders>
          </w:tcPr>
          <w:p w:rsidR="008A63CC" w:rsidRPr="00CD0D75" w:rsidRDefault="008A63CC" w:rsidP="008A63CC">
            <w:pPr>
              <w:shd w:val="clear" w:color="auto" w:fill="FFFFFF" w:themeFill="background1"/>
              <w:spacing w:line="276" w:lineRule="auto"/>
              <w:jc w:val="center"/>
              <w:rPr>
                <w:rFonts w:ascii="Arial" w:hAnsi="Arial" w:cs="Arial"/>
              </w:rPr>
            </w:pPr>
            <w:r w:rsidRPr="00CD0D75">
              <w:rPr>
                <w:rFonts w:ascii="Arial" w:hAnsi="Arial" w:cs="Arial"/>
              </w:rPr>
              <w:t>Drobilično postrojenje sa separacijom</w:t>
            </w:r>
          </w:p>
        </w:tc>
        <w:tc>
          <w:tcPr>
            <w:tcW w:w="1044" w:type="dxa"/>
            <w:tcBorders>
              <w:left w:val="single" w:sz="12" w:space="0" w:color="auto"/>
              <w:right w:val="single" w:sz="12" w:space="0" w:color="auto"/>
            </w:tcBorders>
          </w:tcPr>
          <w:p w:rsidR="008A63CC" w:rsidRPr="00CD0D75" w:rsidRDefault="008A63CC" w:rsidP="008A63CC">
            <w:pPr>
              <w:shd w:val="clear" w:color="auto" w:fill="FFFFFF" w:themeFill="background1"/>
              <w:spacing w:line="276" w:lineRule="auto"/>
              <w:jc w:val="center"/>
              <w:rPr>
                <w:rFonts w:ascii="Arial" w:hAnsi="Arial" w:cs="Arial"/>
              </w:rPr>
            </w:pPr>
            <w:r w:rsidRPr="00CD0D75">
              <w:rPr>
                <w:rFonts w:ascii="Arial" w:hAnsi="Arial" w:cs="Arial"/>
              </w:rPr>
              <w:t>1</w:t>
            </w:r>
          </w:p>
        </w:tc>
      </w:tr>
      <w:tr w:rsidR="008A63CC" w:rsidRPr="00CD0D75" w:rsidTr="008A63CC">
        <w:tc>
          <w:tcPr>
            <w:tcW w:w="1134" w:type="dxa"/>
            <w:tcBorders>
              <w:left w:val="single" w:sz="12" w:space="0" w:color="auto"/>
              <w:right w:val="single" w:sz="12" w:space="0" w:color="auto"/>
            </w:tcBorders>
          </w:tcPr>
          <w:p w:rsidR="008A63CC" w:rsidRPr="00CD0D75" w:rsidRDefault="008A63CC" w:rsidP="008A63CC">
            <w:pPr>
              <w:shd w:val="clear" w:color="auto" w:fill="FFFFFF" w:themeFill="background1"/>
              <w:spacing w:line="276" w:lineRule="auto"/>
              <w:jc w:val="center"/>
              <w:rPr>
                <w:rFonts w:ascii="Arial" w:hAnsi="Arial" w:cs="Arial"/>
              </w:rPr>
            </w:pPr>
            <w:r w:rsidRPr="00CD0D75">
              <w:rPr>
                <w:rFonts w:ascii="Arial" w:hAnsi="Arial" w:cs="Arial"/>
              </w:rPr>
              <w:t>4</w:t>
            </w:r>
          </w:p>
        </w:tc>
        <w:tc>
          <w:tcPr>
            <w:tcW w:w="2610" w:type="dxa"/>
            <w:tcBorders>
              <w:left w:val="single" w:sz="12" w:space="0" w:color="auto"/>
              <w:right w:val="single" w:sz="12" w:space="0" w:color="auto"/>
            </w:tcBorders>
          </w:tcPr>
          <w:p w:rsidR="008A63CC" w:rsidRPr="00CD0D75" w:rsidRDefault="008A63CC" w:rsidP="008A63CC">
            <w:pPr>
              <w:shd w:val="clear" w:color="auto" w:fill="FFFFFF" w:themeFill="background1"/>
              <w:spacing w:line="276" w:lineRule="auto"/>
              <w:jc w:val="center"/>
              <w:rPr>
                <w:rFonts w:ascii="Arial" w:hAnsi="Arial" w:cs="Arial"/>
              </w:rPr>
            </w:pPr>
            <w:r w:rsidRPr="00CD0D75">
              <w:rPr>
                <w:rFonts w:ascii="Arial" w:hAnsi="Arial" w:cs="Arial"/>
              </w:rPr>
              <w:t>Buldozer</w:t>
            </w:r>
          </w:p>
        </w:tc>
        <w:tc>
          <w:tcPr>
            <w:tcW w:w="1044" w:type="dxa"/>
            <w:tcBorders>
              <w:left w:val="single" w:sz="12" w:space="0" w:color="auto"/>
              <w:right w:val="single" w:sz="12" w:space="0" w:color="auto"/>
            </w:tcBorders>
          </w:tcPr>
          <w:p w:rsidR="008A63CC" w:rsidRPr="00CD0D75" w:rsidRDefault="008A63CC" w:rsidP="008A63CC">
            <w:pPr>
              <w:shd w:val="clear" w:color="auto" w:fill="FFFFFF" w:themeFill="background1"/>
              <w:spacing w:line="276" w:lineRule="auto"/>
              <w:jc w:val="center"/>
              <w:rPr>
                <w:rFonts w:ascii="Arial" w:hAnsi="Arial" w:cs="Arial"/>
              </w:rPr>
            </w:pPr>
            <w:r w:rsidRPr="00CD0D75">
              <w:rPr>
                <w:rFonts w:ascii="Arial" w:hAnsi="Arial" w:cs="Arial"/>
              </w:rPr>
              <w:t>1</w:t>
            </w:r>
          </w:p>
        </w:tc>
      </w:tr>
      <w:tr w:rsidR="008A63CC" w:rsidRPr="00CD0D75" w:rsidTr="008A63CC">
        <w:tc>
          <w:tcPr>
            <w:tcW w:w="1134" w:type="dxa"/>
            <w:tcBorders>
              <w:left w:val="single" w:sz="12" w:space="0" w:color="auto"/>
              <w:right w:val="single" w:sz="12" w:space="0" w:color="auto"/>
            </w:tcBorders>
          </w:tcPr>
          <w:p w:rsidR="008A63CC" w:rsidRPr="00CD0D75" w:rsidRDefault="008A63CC" w:rsidP="008A63CC">
            <w:pPr>
              <w:shd w:val="clear" w:color="auto" w:fill="FFFFFF" w:themeFill="background1"/>
              <w:spacing w:line="276" w:lineRule="auto"/>
              <w:jc w:val="center"/>
              <w:rPr>
                <w:rFonts w:ascii="Arial" w:hAnsi="Arial" w:cs="Arial"/>
              </w:rPr>
            </w:pPr>
            <w:r w:rsidRPr="00CD0D75">
              <w:rPr>
                <w:rFonts w:ascii="Arial" w:hAnsi="Arial" w:cs="Arial"/>
              </w:rPr>
              <w:t>5</w:t>
            </w:r>
          </w:p>
        </w:tc>
        <w:tc>
          <w:tcPr>
            <w:tcW w:w="2610" w:type="dxa"/>
            <w:tcBorders>
              <w:left w:val="single" w:sz="12" w:space="0" w:color="auto"/>
              <w:right w:val="single" w:sz="12" w:space="0" w:color="auto"/>
            </w:tcBorders>
          </w:tcPr>
          <w:p w:rsidR="008A63CC" w:rsidRPr="00CD0D75" w:rsidRDefault="008A63CC" w:rsidP="008A63CC">
            <w:pPr>
              <w:shd w:val="clear" w:color="auto" w:fill="FFFFFF" w:themeFill="background1"/>
              <w:spacing w:line="276" w:lineRule="auto"/>
              <w:jc w:val="center"/>
              <w:rPr>
                <w:rFonts w:ascii="Arial" w:hAnsi="Arial" w:cs="Arial"/>
              </w:rPr>
            </w:pPr>
            <w:r w:rsidRPr="00CD0D75">
              <w:rPr>
                <w:rFonts w:ascii="Arial" w:hAnsi="Arial" w:cs="Arial"/>
              </w:rPr>
              <w:t>Bager</w:t>
            </w:r>
          </w:p>
        </w:tc>
        <w:tc>
          <w:tcPr>
            <w:tcW w:w="1044" w:type="dxa"/>
            <w:tcBorders>
              <w:left w:val="single" w:sz="12" w:space="0" w:color="auto"/>
              <w:right w:val="single" w:sz="12" w:space="0" w:color="auto"/>
            </w:tcBorders>
          </w:tcPr>
          <w:p w:rsidR="008A63CC" w:rsidRPr="00CD0D75" w:rsidRDefault="008A63CC" w:rsidP="008A63CC">
            <w:pPr>
              <w:shd w:val="clear" w:color="auto" w:fill="FFFFFF" w:themeFill="background1"/>
              <w:spacing w:line="276" w:lineRule="auto"/>
              <w:jc w:val="center"/>
              <w:rPr>
                <w:rFonts w:ascii="Arial" w:hAnsi="Arial" w:cs="Arial"/>
              </w:rPr>
            </w:pPr>
            <w:r w:rsidRPr="00CD0D75">
              <w:rPr>
                <w:rFonts w:ascii="Arial" w:hAnsi="Arial" w:cs="Arial"/>
              </w:rPr>
              <w:t>1</w:t>
            </w:r>
          </w:p>
        </w:tc>
      </w:tr>
      <w:tr w:rsidR="008A63CC" w:rsidRPr="00CD0D75" w:rsidTr="008A63CC">
        <w:tc>
          <w:tcPr>
            <w:tcW w:w="1134" w:type="dxa"/>
            <w:tcBorders>
              <w:left w:val="single" w:sz="12" w:space="0" w:color="auto"/>
              <w:bottom w:val="single" w:sz="12" w:space="0" w:color="auto"/>
              <w:right w:val="single" w:sz="12" w:space="0" w:color="auto"/>
            </w:tcBorders>
          </w:tcPr>
          <w:p w:rsidR="008A63CC" w:rsidRPr="00CD0D75" w:rsidRDefault="008A63CC" w:rsidP="008A63CC">
            <w:pPr>
              <w:shd w:val="clear" w:color="auto" w:fill="FFFFFF" w:themeFill="background1"/>
              <w:spacing w:line="276" w:lineRule="auto"/>
              <w:jc w:val="center"/>
              <w:rPr>
                <w:rFonts w:ascii="Arial" w:hAnsi="Arial" w:cs="Arial"/>
              </w:rPr>
            </w:pPr>
            <w:r w:rsidRPr="00CD0D75">
              <w:rPr>
                <w:rFonts w:ascii="Arial" w:hAnsi="Arial" w:cs="Arial"/>
              </w:rPr>
              <w:t>6</w:t>
            </w:r>
          </w:p>
        </w:tc>
        <w:tc>
          <w:tcPr>
            <w:tcW w:w="2610" w:type="dxa"/>
            <w:tcBorders>
              <w:left w:val="single" w:sz="12" w:space="0" w:color="auto"/>
              <w:bottom w:val="single" w:sz="12" w:space="0" w:color="auto"/>
              <w:right w:val="single" w:sz="12" w:space="0" w:color="auto"/>
            </w:tcBorders>
          </w:tcPr>
          <w:p w:rsidR="008A63CC" w:rsidRPr="00CD0D75" w:rsidRDefault="008A63CC" w:rsidP="008A63CC">
            <w:pPr>
              <w:shd w:val="clear" w:color="auto" w:fill="FFFFFF" w:themeFill="background1"/>
              <w:spacing w:line="276" w:lineRule="auto"/>
              <w:jc w:val="center"/>
              <w:rPr>
                <w:rFonts w:ascii="Arial" w:hAnsi="Arial" w:cs="Arial"/>
              </w:rPr>
            </w:pPr>
            <w:r w:rsidRPr="00CD0D75">
              <w:rPr>
                <w:rFonts w:ascii="Arial" w:hAnsi="Arial" w:cs="Arial"/>
              </w:rPr>
              <w:t>Cistijerna za vodu</w:t>
            </w:r>
          </w:p>
        </w:tc>
        <w:tc>
          <w:tcPr>
            <w:tcW w:w="1044" w:type="dxa"/>
            <w:tcBorders>
              <w:left w:val="single" w:sz="12" w:space="0" w:color="auto"/>
              <w:bottom w:val="single" w:sz="12" w:space="0" w:color="auto"/>
              <w:right w:val="single" w:sz="12" w:space="0" w:color="auto"/>
            </w:tcBorders>
          </w:tcPr>
          <w:p w:rsidR="008A63CC" w:rsidRPr="00CD0D75" w:rsidRDefault="008A63CC" w:rsidP="008A63CC">
            <w:pPr>
              <w:shd w:val="clear" w:color="auto" w:fill="FFFFFF" w:themeFill="background1"/>
              <w:spacing w:line="276" w:lineRule="auto"/>
              <w:jc w:val="center"/>
              <w:rPr>
                <w:rFonts w:ascii="Arial" w:hAnsi="Arial" w:cs="Arial"/>
              </w:rPr>
            </w:pPr>
            <w:r w:rsidRPr="00CD0D75">
              <w:rPr>
                <w:rFonts w:ascii="Arial" w:hAnsi="Arial" w:cs="Arial"/>
              </w:rPr>
              <w:t>1</w:t>
            </w:r>
          </w:p>
        </w:tc>
      </w:tr>
      <w:tr w:rsidR="008A63CC" w:rsidRPr="00CD0D75" w:rsidTr="008A63CC">
        <w:tc>
          <w:tcPr>
            <w:tcW w:w="4788" w:type="dxa"/>
            <w:gridSpan w:val="3"/>
            <w:tcBorders>
              <w:top w:val="single" w:sz="12" w:space="0" w:color="auto"/>
              <w:left w:val="single" w:sz="12" w:space="0" w:color="auto"/>
              <w:bottom w:val="single" w:sz="12" w:space="0" w:color="auto"/>
              <w:right w:val="single" w:sz="12" w:space="0" w:color="auto"/>
            </w:tcBorders>
          </w:tcPr>
          <w:p w:rsidR="008A63CC" w:rsidRPr="00CD0D75" w:rsidRDefault="008A63CC" w:rsidP="008A63CC">
            <w:pPr>
              <w:shd w:val="clear" w:color="auto" w:fill="FFFFFF" w:themeFill="background1"/>
              <w:spacing w:line="276" w:lineRule="auto"/>
              <w:rPr>
                <w:rFonts w:ascii="Arial" w:hAnsi="Arial" w:cs="Arial"/>
                <w:b/>
              </w:rPr>
            </w:pPr>
            <w:r w:rsidRPr="00CD0D75">
              <w:rPr>
                <w:rFonts w:ascii="Arial" w:hAnsi="Arial" w:cs="Arial"/>
                <w:b/>
              </w:rPr>
              <w:t xml:space="preserve">UKUPNO:                                 </w:t>
            </w:r>
            <w:r>
              <w:rPr>
                <w:rFonts w:ascii="Arial" w:hAnsi="Arial" w:cs="Arial"/>
                <w:b/>
              </w:rPr>
              <w:t xml:space="preserve">                  6</w:t>
            </w:r>
          </w:p>
        </w:tc>
      </w:tr>
    </w:tbl>
    <w:p w:rsidR="008A63CC" w:rsidRDefault="008A63CC" w:rsidP="008A63CC">
      <w:pPr>
        <w:pStyle w:val="Heading2"/>
        <w:shd w:val="clear" w:color="auto" w:fill="FFFFFF" w:themeFill="background1"/>
        <w:spacing w:before="0" w:after="0"/>
        <w:rPr>
          <w:i w:val="0"/>
          <w:sz w:val="22"/>
          <w:szCs w:val="22"/>
        </w:rPr>
      </w:pPr>
      <w:bookmarkStart w:id="10" w:name="_Toc402262941"/>
    </w:p>
    <w:p w:rsidR="008A63CC" w:rsidRPr="00CD0D75" w:rsidRDefault="008A63CC" w:rsidP="008A63CC">
      <w:pPr>
        <w:pStyle w:val="Heading2"/>
        <w:shd w:val="clear" w:color="auto" w:fill="FFFFFF" w:themeFill="background1"/>
        <w:spacing w:before="0" w:after="0"/>
        <w:rPr>
          <w:i w:val="0"/>
          <w:sz w:val="22"/>
          <w:szCs w:val="22"/>
        </w:rPr>
      </w:pPr>
      <w:r w:rsidRPr="00CD0D75">
        <w:rPr>
          <w:i w:val="0"/>
          <w:sz w:val="22"/>
          <w:szCs w:val="22"/>
        </w:rPr>
        <w:t>4.3.3  Objekti</w:t>
      </w:r>
      <w:bookmarkEnd w:id="10"/>
    </w:p>
    <w:p w:rsidR="008A63CC" w:rsidRPr="00CD0D75" w:rsidRDefault="008A63CC" w:rsidP="008A63CC">
      <w:pPr>
        <w:shd w:val="clear" w:color="auto" w:fill="FFFFFF" w:themeFill="background1"/>
        <w:spacing w:after="0"/>
        <w:rPr>
          <w:rFonts w:ascii="Arial" w:hAnsi="Arial" w:cs="Arial"/>
        </w:rPr>
      </w:pPr>
    </w:p>
    <w:tbl>
      <w:tblPr>
        <w:tblStyle w:val="TableGrid2"/>
        <w:tblW w:w="0" w:type="auto"/>
        <w:tblLook w:val="04A0"/>
      </w:tblPr>
      <w:tblGrid>
        <w:gridCol w:w="1134"/>
        <w:gridCol w:w="2610"/>
        <w:gridCol w:w="1072"/>
      </w:tblGrid>
      <w:tr w:rsidR="008A63CC" w:rsidRPr="00CD0D75" w:rsidTr="008A63CC">
        <w:tc>
          <w:tcPr>
            <w:tcW w:w="1134" w:type="dxa"/>
            <w:tcBorders>
              <w:top w:val="single" w:sz="12" w:space="0" w:color="auto"/>
              <w:left w:val="single" w:sz="12" w:space="0" w:color="auto"/>
              <w:bottom w:val="single" w:sz="12" w:space="0" w:color="auto"/>
            </w:tcBorders>
          </w:tcPr>
          <w:p w:rsidR="008A63CC" w:rsidRPr="00CD0D75" w:rsidRDefault="008A63CC" w:rsidP="008A63CC">
            <w:pPr>
              <w:shd w:val="clear" w:color="auto" w:fill="FFFFFF" w:themeFill="background1"/>
              <w:spacing w:line="276" w:lineRule="auto"/>
              <w:jc w:val="center"/>
              <w:rPr>
                <w:rFonts w:ascii="Arial" w:hAnsi="Arial" w:cs="Arial"/>
                <w:b/>
              </w:rPr>
            </w:pPr>
            <w:r w:rsidRPr="00CD0D75">
              <w:rPr>
                <w:rFonts w:ascii="Arial" w:hAnsi="Arial" w:cs="Arial"/>
                <w:b/>
              </w:rPr>
              <w:t>Redni broj</w:t>
            </w:r>
          </w:p>
        </w:tc>
        <w:tc>
          <w:tcPr>
            <w:tcW w:w="2610" w:type="dxa"/>
            <w:tcBorders>
              <w:top w:val="single" w:sz="12" w:space="0" w:color="auto"/>
              <w:bottom w:val="single" w:sz="12" w:space="0" w:color="auto"/>
              <w:right w:val="single" w:sz="12" w:space="0" w:color="auto"/>
            </w:tcBorders>
          </w:tcPr>
          <w:p w:rsidR="008A63CC" w:rsidRPr="00CD0D75" w:rsidRDefault="008A63CC" w:rsidP="008A63CC">
            <w:pPr>
              <w:shd w:val="clear" w:color="auto" w:fill="FFFFFF" w:themeFill="background1"/>
              <w:spacing w:line="276" w:lineRule="auto"/>
              <w:jc w:val="center"/>
              <w:rPr>
                <w:rFonts w:ascii="Arial" w:hAnsi="Arial" w:cs="Arial"/>
                <w:b/>
              </w:rPr>
            </w:pPr>
            <w:r w:rsidRPr="00CD0D75">
              <w:rPr>
                <w:rFonts w:ascii="Arial" w:hAnsi="Arial" w:cs="Arial"/>
                <w:b/>
              </w:rPr>
              <w:t>Naziv</w:t>
            </w:r>
          </w:p>
        </w:tc>
        <w:tc>
          <w:tcPr>
            <w:tcW w:w="1044" w:type="dxa"/>
            <w:tcBorders>
              <w:top w:val="single" w:sz="12" w:space="0" w:color="auto"/>
              <w:left w:val="single" w:sz="12" w:space="0" w:color="auto"/>
              <w:bottom w:val="single" w:sz="12" w:space="0" w:color="auto"/>
              <w:right w:val="single" w:sz="12" w:space="0" w:color="auto"/>
            </w:tcBorders>
          </w:tcPr>
          <w:p w:rsidR="008A63CC" w:rsidRPr="00CD0D75" w:rsidRDefault="008A63CC" w:rsidP="008A63CC">
            <w:pPr>
              <w:shd w:val="clear" w:color="auto" w:fill="FFFFFF" w:themeFill="background1"/>
              <w:spacing w:line="276" w:lineRule="auto"/>
              <w:jc w:val="center"/>
              <w:rPr>
                <w:rFonts w:ascii="Arial" w:hAnsi="Arial" w:cs="Arial"/>
                <w:b/>
              </w:rPr>
            </w:pPr>
            <w:r w:rsidRPr="00CD0D75">
              <w:rPr>
                <w:rFonts w:ascii="Arial" w:hAnsi="Arial" w:cs="Arial"/>
                <w:b/>
              </w:rPr>
              <w:t>Količina</w:t>
            </w:r>
          </w:p>
        </w:tc>
      </w:tr>
      <w:tr w:rsidR="008A63CC" w:rsidRPr="00CD0D75" w:rsidTr="008A63CC">
        <w:tc>
          <w:tcPr>
            <w:tcW w:w="1134" w:type="dxa"/>
            <w:tcBorders>
              <w:top w:val="single" w:sz="12" w:space="0" w:color="auto"/>
              <w:left w:val="single" w:sz="12" w:space="0" w:color="auto"/>
            </w:tcBorders>
            <w:vAlign w:val="center"/>
          </w:tcPr>
          <w:p w:rsidR="008A63CC" w:rsidRPr="00CD0D75" w:rsidRDefault="008A63CC" w:rsidP="008A63CC">
            <w:pPr>
              <w:shd w:val="clear" w:color="auto" w:fill="FFFFFF" w:themeFill="background1"/>
              <w:spacing w:line="276" w:lineRule="auto"/>
              <w:jc w:val="center"/>
              <w:rPr>
                <w:rFonts w:ascii="Arial" w:hAnsi="Arial" w:cs="Arial"/>
              </w:rPr>
            </w:pPr>
            <w:r w:rsidRPr="00CD0D75">
              <w:rPr>
                <w:rFonts w:ascii="Arial" w:hAnsi="Arial" w:cs="Arial"/>
              </w:rPr>
              <w:t>1</w:t>
            </w:r>
          </w:p>
        </w:tc>
        <w:tc>
          <w:tcPr>
            <w:tcW w:w="2610" w:type="dxa"/>
            <w:tcBorders>
              <w:top w:val="single" w:sz="12" w:space="0" w:color="auto"/>
              <w:right w:val="single" w:sz="12" w:space="0" w:color="auto"/>
            </w:tcBorders>
          </w:tcPr>
          <w:p w:rsidR="008A63CC" w:rsidRPr="00CD0D75" w:rsidRDefault="008A63CC" w:rsidP="008A63CC">
            <w:pPr>
              <w:shd w:val="clear" w:color="auto" w:fill="FFFFFF" w:themeFill="background1"/>
              <w:spacing w:line="276" w:lineRule="auto"/>
              <w:jc w:val="center"/>
              <w:rPr>
                <w:rFonts w:ascii="Arial" w:hAnsi="Arial" w:cs="Arial"/>
              </w:rPr>
            </w:pPr>
            <w:r w:rsidRPr="00CD0D75">
              <w:rPr>
                <w:rFonts w:ascii="Arial" w:hAnsi="Arial" w:cs="Arial"/>
              </w:rPr>
              <w:t>Kontejner za kancelarije i magacin (40m</w:t>
            </w:r>
            <w:r w:rsidRPr="00CD0D75">
              <w:rPr>
                <w:rFonts w:ascii="Arial" w:hAnsi="Arial" w:cs="Arial"/>
                <w:vertAlign w:val="superscript"/>
              </w:rPr>
              <w:t>2</w:t>
            </w:r>
            <w:r w:rsidRPr="00CD0D75">
              <w:rPr>
                <w:rFonts w:ascii="Arial" w:hAnsi="Arial" w:cs="Arial"/>
              </w:rPr>
              <w:t>)</w:t>
            </w:r>
          </w:p>
        </w:tc>
        <w:tc>
          <w:tcPr>
            <w:tcW w:w="1044" w:type="dxa"/>
            <w:tcBorders>
              <w:top w:val="single" w:sz="12" w:space="0" w:color="auto"/>
              <w:left w:val="single" w:sz="12" w:space="0" w:color="auto"/>
              <w:right w:val="single" w:sz="12" w:space="0" w:color="auto"/>
            </w:tcBorders>
            <w:vAlign w:val="center"/>
          </w:tcPr>
          <w:p w:rsidR="008A63CC" w:rsidRPr="00CD0D75" w:rsidRDefault="008A63CC" w:rsidP="008A63CC">
            <w:pPr>
              <w:shd w:val="clear" w:color="auto" w:fill="FFFFFF" w:themeFill="background1"/>
              <w:spacing w:line="276" w:lineRule="auto"/>
              <w:jc w:val="center"/>
              <w:rPr>
                <w:rFonts w:ascii="Arial" w:hAnsi="Arial" w:cs="Arial"/>
              </w:rPr>
            </w:pPr>
            <w:r w:rsidRPr="00CD0D75">
              <w:rPr>
                <w:rFonts w:ascii="Arial" w:hAnsi="Arial" w:cs="Arial"/>
              </w:rPr>
              <w:t>1</w:t>
            </w:r>
          </w:p>
        </w:tc>
      </w:tr>
      <w:tr w:rsidR="008A63CC" w:rsidRPr="00CD0D75" w:rsidTr="008A63CC">
        <w:trPr>
          <w:trHeight w:val="285"/>
        </w:trPr>
        <w:tc>
          <w:tcPr>
            <w:tcW w:w="1134" w:type="dxa"/>
            <w:tcBorders>
              <w:left w:val="single" w:sz="12" w:space="0" w:color="auto"/>
              <w:bottom w:val="single" w:sz="4" w:space="0" w:color="auto"/>
            </w:tcBorders>
            <w:vAlign w:val="center"/>
          </w:tcPr>
          <w:p w:rsidR="008A63CC" w:rsidRPr="00CD0D75" w:rsidRDefault="008A63CC" w:rsidP="008A63CC">
            <w:pPr>
              <w:shd w:val="clear" w:color="auto" w:fill="FFFFFF" w:themeFill="background1"/>
              <w:spacing w:line="276" w:lineRule="auto"/>
              <w:jc w:val="center"/>
              <w:rPr>
                <w:rFonts w:ascii="Arial" w:hAnsi="Arial" w:cs="Arial"/>
              </w:rPr>
            </w:pPr>
            <w:r w:rsidRPr="00CD0D75">
              <w:rPr>
                <w:rFonts w:ascii="Arial" w:hAnsi="Arial" w:cs="Arial"/>
              </w:rPr>
              <w:t>2</w:t>
            </w:r>
          </w:p>
        </w:tc>
        <w:tc>
          <w:tcPr>
            <w:tcW w:w="2610" w:type="dxa"/>
            <w:tcBorders>
              <w:bottom w:val="single" w:sz="4" w:space="0" w:color="auto"/>
              <w:right w:val="single" w:sz="12" w:space="0" w:color="auto"/>
            </w:tcBorders>
          </w:tcPr>
          <w:p w:rsidR="008A63CC" w:rsidRPr="00CD0D75" w:rsidRDefault="008A63CC" w:rsidP="008A63CC">
            <w:pPr>
              <w:shd w:val="clear" w:color="auto" w:fill="FFFFFF" w:themeFill="background1"/>
              <w:spacing w:line="276" w:lineRule="auto"/>
              <w:jc w:val="center"/>
              <w:rPr>
                <w:rFonts w:ascii="Arial" w:hAnsi="Arial" w:cs="Arial"/>
              </w:rPr>
            </w:pPr>
            <w:r w:rsidRPr="00CD0D75">
              <w:rPr>
                <w:rFonts w:ascii="Arial" w:hAnsi="Arial" w:cs="Arial"/>
              </w:rPr>
              <w:t>Kontejner-stražara</w:t>
            </w:r>
          </w:p>
        </w:tc>
        <w:tc>
          <w:tcPr>
            <w:tcW w:w="1044" w:type="dxa"/>
            <w:tcBorders>
              <w:left w:val="single" w:sz="12" w:space="0" w:color="auto"/>
              <w:bottom w:val="single" w:sz="4" w:space="0" w:color="auto"/>
              <w:right w:val="single" w:sz="12" w:space="0" w:color="auto"/>
            </w:tcBorders>
            <w:vAlign w:val="center"/>
          </w:tcPr>
          <w:p w:rsidR="008A63CC" w:rsidRPr="00CD0D75" w:rsidRDefault="008A63CC" w:rsidP="008A63CC">
            <w:pPr>
              <w:shd w:val="clear" w:color="auto" w:fill="FFFFFF" w:themeFill="background1"/>
              <w:spacing w:line="276" w:lineRule="auto"/>
              <w:jc w:val="center"/>
              <w:rPr>
                <w:rFonts w:ascii="Arial" w:hAnsi="Arial" w:cs="Arial"/>
              </w:rPr>
            </w:pPr>
            <w:r w:rsidRPr="00CD0D75">
              <w:rPr>
                <w:rFonts w:ascii="Arial" w:hAnsi="Arial" w:cs="Arial"/>
              </w:rPr>
              <w:t>1</w:t>
            </w:r>
          </w:p>
        </w:tc>
      </w:tr>
      <w:tr w:rsidR="008A63CC" w:rsidRPr="00CD0D75" w:rsidTr="008A63CC">
        <w:trPr>
          <w:trHeight w:val="240"/>
        </w:trPr>
        <w:tc>
          <w:tcPr>
            <w:tcW w:w="1134" w:type="dxa"/>
            <w:tcBorders>
              <w:top w:val="single" w:sz="4" w:space="0" w:color="auto"/>
              <w:left w:val="single" w:sz="12" w:space="0" w:color="auto"/>
              <w:bottom w:val="single" w:sz="12" w:space="0" w:color="auto"/>
            </w:tcBorders>
            <w:vAlign w:val="center"/>
          </w:tcPr>
          <w:p w:rsidR="008A63CC" w:rsidRPr="00CD0D75" w:rsidRDefault="008A63CC" w:rsidP="008A63CC">
            <w:pPr>
              <w:shd w:val="clear" w:color="auto" w:fill="FFFFFF" w:themeFill="background1"/>
              <w:spacing w:line="276" w:lineRule="auto"/>
              <w:jc w:val="center"/>
              <w:rPr>
                <w:rFonts w:ascii="Arial" w:hAnsi="Arial" w:cs="Arial"/>
              </w:rPr>
            </w:pPr>
            <w:r w:rsidRPr="00CD0D75">
              <w:rPr>
                <w:rFonts w:ascii="Arial" w:hAnsi="Arial" w:cs="Arial"/>
              </w:rPr>
              <w:t>3</w:t>
            </w:r>
          </w:p>
        </w:tc>
        <w:tc>
          <w:tcPr>
            <w:tcW w:w="2610" w:type="dxa"/>
            <w:tcBorders>
              <w:top w:val="single" w:sz="4" w:space="0" w:color="auto"/>
              <w:bottom w:val="single" w:sz="12" w:space="0" w:color="auto"/>
              <w:right w:val="single" w:sz="12" w:space="0" w:color="auto"/>
            </w:tcBorders>
          </w:tcPr>
          <w:p w:rsidR="008A63CC" w:rsidRPr="00CD0D75" w:rsidRDefault="008A63CC" w:rsidP="008A63CC">
            <w:pPr>
              <w:shd w:val="clear" w:color="auto" w:fill="FFFFFF" w:themeFill="background1"/>
              <w:spacing w:line="276" w:lineRule="auto"/>
              <w:jc w:val="center"/>
              <w:rPr>
                <w:rFonts w:ascii="Arial" w:hAnsi="Arial" w:cs="Arial"/>
              </w:rPr>
            </w:pPr>
            <w:r w:rsidRPr="00CD0D75">
              <w:rPr>
                <w:rFonts w:ascii="Arial" w:hAnsi="Arial" w:cs="Arial"/>
              </w:rPr>
              <w:t>Priručni magacin eksploziva</w:t>
            </w:r>
          </w:p>
        </w:tc>
        <w:tc>
          <w:tcPr>
            <w:tcW w:w="1044" w:type="dxa"/>
            <w:tcBorders>
              <w:top w:val="single" w:sz="4" w:space="0" w:color="auto"/>
              <w:left w:val="single" w:sz="12" w:space="0" w:color="auto"/>
              <w:bottom w:val="single" w:sz="12" w:space="0" w:color="auto"/>
              <w:right w:val="single" w:sz="12" w:space="0" w:color="auto"/>
            </w:tcBorders>
            <w:vAlign w:val="center"/>
          </w:tcPr>
          <w:p w:rsidR="008A63CC" w:rsidRPr="00CD0D75" w:rsidRDefault="008A63CC" w:rsidP="008A63CC">
            <w:pPr>
              <w:shd w:val="clear" w:color="auto" w:fill="FFFFFF" w:themeFill="background1"/>
              <w:spacing w:line="276" w:lineRule="auto"/>
              <w:jc w:val="center"/>
              <w:rPr>
                <w:rFonts w:ascii="Arial" w:hAnsi="Arial" w:cs="Arial"/>
              </w:rPr>
            </w:pPr>
            <w:r w:rsidRPr="00CD0D75">
              <w:rPr>
                <w:rFonts w:ascii="Arial" w:hAnsi="Arial" w:cs="Arial"/>
              </w:rPr>
              <w:t>1</w:t>
            </w:r>
          </w:p>
        </w:tc>
      </w:tr>
      <w:tr w:rsidR="008A63CC" w:rsidRPr="00CD0D75" w:rsidTr="008A63CC">
        <w:tc>
          <w:tcPr>
            <w:tcW w:w="4788" w:type="dxa"/>
            <w:gridSpan w:val="3"/>
            <w:tcBorders>
              <w:top w:val="single" w:sz="12" w:space="0" w:color="auto"/>
              <w:left w:val="single" w:sz="12" w:space="0" w:color="auto"/>
              <w:bottom w:val="single" w:sz="12" w:space="0" w:color="auto"/>
              <w:right w:val="single" w:sz="12" w:space="0" w:color="auto"/>
            </w:tcBorders>
          </w:tcPr>
          <w:p w:rsidR="008A63CC" w:rsidRPr="00CD0D75" w:rsidRDefault="008A63CC" w:rsidP="008A63CC">
            <w:pPr>
              <w:shd w:val="clear" w:color="auto" w:fill="FFFFFF" w:themeFill="background1"/>
              <w:spacing w:line="276" w:lineRule="auto"/>
              <w:rPr>
                <w:rFonts w:ascii="Arial" w:hAnsi="Arial" w:cs="Arial"/>
                <w:b/>
              </w:rPr>
            </w:pPr>
            <w:r w:rsidRPr="00CD0D75">
              <w:rPr>
                <w:rFonts w:ascii="Arial" w:hAnsi="Arial" w:cs="Arial"/>
                <w:b/>
              </w:rPr>
              <w:t xml:space="preserve">UKUPNO:                     </w:t>
            </w:r>
            <w:r>
              <w:rPr>
                <w:rFonts w:ascii="Arial" w:hAnsi="Arial" w:cs="Arial"/>
                <w:b/>
              </w:rPr>
              <w:t xml:space="preserve">                              3</w:t>
            </w:r>
            <w:r w:rsidRPr="00CD0D75">
              <w:rPr>
                <w:rFonts w:ascii="Arial" w:hAnsi="Arial" w:cs="Arial"/>
                <w:b/>
              </w:rPr>
              <w:t xml:space="preserve">            </w:t>
            </w:r>
          </w:p>
        </w:tc>
      </w:tr>
    </w:tbl>
    <w:p w:rsidR="008A63CC" w:rsidRPr="00CD0D75" w:rsidRDefault="008A63CC" w:rsidP="008A63CC">
      <w:pPr>
        <w:shd w:val="clear" w:color="auto" w:fill="FFFFFF" w:themeFill="background1"/>
        <w:spacing w:after="0"/>
        <w:rPr>
          <w:rFonts w:ascii="Arial" w:hAnsi="Arial" w:cs="Arial"/>
        </w:rPr>
      </w:pPr>
    </w:p>
    <w:p w:rsidR="008A63CC" w:rsidRPr="00CD0D75" w:rsidRDefault="008A63CC" w:rsidP="008A63CC">
      <w:pPr>
        <w:pStyle w:val="Heading2"/>
        <w:shd w:val="clear" w:color="auto" w:fill="FFFFFF" w:themeFill="background1"/>
        <w:spacing w:before="0" w:after="0"/>
        <w:rPr>
          <w:i w:val="0"/>
          <w:sz w:val="22"/>
          <w:szCs w:val="22"/>
        </w:rPr>
      </w:pPr>
      <w:bookmarkStart w:id="11" w:name="_Toc402262942"/>
      <w:r w:rsidRPr="00CD0D75">
        <w:rPr>
          <w:rFonts w:eastAsia="Calibri"/>
          <w:bCs w:val="0"/>
          <w:i w:val="0"/>
          <w:iCs w:val="0"/>
          <w:sz w:val="22"/>
          <w:szCs w:val="22"/>
        </w:rPr>
        <w:t xml:space="preserve">4.3.4  </w:t>
      </w:r>
      <w:r w:rsidRPr="00CD0D75">
        <w:rPr>
          <w:i w:val="0"/>
          <w:sz w:val="22"/>
          <w:szCs w:val="22"/>
        </w:rPr>
        <w:t>Radna snaga</w:t>
      </w:r>
      <w:bookmarkEnd w:id="11"/>
    </w:p>
    <w:p w:rsidR="008A63CC" w:rsidRPr="00CD0D75" w:rsidRDefault="008A63CC" w:rsidP="008A63CC">
      <w:pPr>
        <w:shd w:val="clear" w:color="auto" w:fill="FFFFFF" w:themeFill="background1"/>
        <w:spacing w:after="0"/>
        <w:jc w:val="both"/>
        <w:rPr>
          <w:rFonts w:ascii="Arial" w:hAnsi="Arial" w:cs="Arial"/>
          <w:b/>
        </w:rPr>
      </w:pPr>
    </w:p>
    <w:p w:rsidR="008A63CC" w:rsidRPr="00CD0D75" w:rsidRDefault="008A63CC" w:rsidP="008A63CC">
      <w:pPr>
        <w:shd w:val="clear" w:color="auto" w:fill="FFFFFF" w:themeFill="background1"/>
        <w:spacing w:after="0"/>
        <w:jc w:val="both"/>
        <w:rPr>
          <w:rFonts w:ascii="Arial" w:hAnsi="Arial" w:cs="Arial"/>
        </w:rPr>
      </w:pPr>
      <w:r w:rsidRPr="00CD0D75">
        <w:rPr>
          <w:rFonts w:ascii="Arial" w:hAnsi="Arial" w:cs="Arial"/>
        </w:rPr>
        <w:t>Budući Koncesionar</w:t>
      </w:r>
      <w:r w:rsidRPr="00CD0D75">
        <w:rPr>
          <w:rFonts w:ascii="Arial" w:hAnsi="Arial" w:cs="Arial"/>
          <w:b/>
        </w:rPr>
        <w:t xml:space="preserve"> </w:t>
      </w:r>
      <w:r w:rsidRPr="00CD0D75">
        <w:rPr>
          <w:rFonts w:ascii="Arial" w:hAnsi="Arial" w:cs="Arial"/>
        </w:rPr>
        <w:t>je dužan</w:t>
      </w:r>
      <w:r w:rsidRPr="00CD0D75">
        <w:rPr>
          <w:rFonts w:ascii="Arial" w:hAnsi="Arial" w:cs="Arial"/>
          <w:b/>
        </w:rPr>
        <w:t xml:space="preserve"> </w:t>
      </w:r>
      <w:r w:rsidRPr="00CD0D75">
        <w:rPr>
          <w:rFonts w:ascii="Arial" w:hAnsi="Arial" w:cs="Arial"/>
        </w:rPr>
        <w:t xml:space="preserve">da zaposli radnu snagu koja  ispunjavaja uslove propisane čl. 93 Zakona o rudarstvu („Sl. list CG“, br. 65/08, 74/10 i 40/11). </w:t>
      </w:r>
    </w:p>
    <w:p w:rsidR="008A63CC" w:rsidRPr="00CD0D75" w:rsidRDefault="008A63CC" w:rsidP="008A63CC">
      <w:pPr>
        <w:shd w:val="clear" w:color="auto" w:fill="FFFFFF" w:themeFill="background1"/>
        <w:spacing w:after="0"/>
        <w:jc w:val="both"/>
        <w:rPr>
          <w:rFonts w:ascii="Arial" w:hAnsi="Arial" w:cs="Arial"/>
        </w:rPr>
      </w:pPr>
    </w:p>
    <w:p w:rsidR="008A63CC" w:rsidRPr="00CD0D75" w:rsidRDefault="008A63CC" w:rsidP="008A63CC">
      <w:pPr>
        <w:spacing w:after="0"/>
        <w:jc w:val="both"/>
        <w:rPr>
          <w:rFonts w:ascii="Arial" w:hAnsi="Arial" w:cs="Arial"/>
          <w:b/>
        </w:rPr>
      </w:pPr>
      <w:r w:rsidRPr="00CD0D75">
        <w:rPr>
          <w:rFonts w:ascii="Arial" w:hAnsi="Arial" w:cs="Arial"/>
          <w:b/>
        </w:rPr>
        <w:t xml:space="preserve">4.4. Rekultivacija i sanacija površina i sredstvo obezbjeđenja </w:t>
      </w:r>
    </w:p>
    <w:p w:rsidR="008A63CC" w:rsidRPr="00CD0D75" w:rsidRDefault="008A63CC" w:rsidP="008A63CC">
      <w:pPr>
        <w:autoSpaceDE w:val="0"/>
        <w:autoSpaceDN w:val="0"/>
        <w:adjustRightInd w:val="0"/>
        <w:spacing w:after="0"/>
        <w:jc w:val="both"/>
        <w:rPr>
          <w:rFonts w:ascii="Arial" w:hAnsi="Arial" w:cs="Arial"/>
          <w:b/>
        </w:rPr>
      </w:pPr>
    </w:p>
    <w:p w:rsidR="008A63CC" w:rsidRPr="00CD0D75" w:rsidRDefault="008A63CC" w:rsidP="008A63CC">
      <w:pPr>
        <w:autoSpaceDE w:val="0"/>
        <w:autoSpaceDN w:val="0"/>
        <w:adjustRightInd w:val="0"/>
        <w:spacing w:after="0"/>
        <w:jc w:val="both"/>
        <w:rPr>
          <w:rFonts w:ascii="Arial" w:hAnsi="Arial" w:cs="Arial"/>
          <w:color w:val="000000" w:themeColor="text1"/>
        </w:rPr>
      </w:pPr>
      <w:r w:rsidRPr="00CD0D75">
        <w:rPr>
          <w:rFonts w:ascii="Arial" w:hAnsi="Arial" w:cs="Arial"/>
        </w:rPr>
        <w:t xml:space="preserve">Budući Koncesionar je dužan da u toku i po završetku izvođenja rudarskih radova na eksploataciji </w:t>
      </w:r>
      <w:r>
        <w:rPr>
          <w:rFonts w:ascii="Arial" w:hAnsi="Arial" w:cs="Arial"/>
        </w:rPr>
        <w:t>m</w:t>
      </w:r>
      <w:r w:rsidRPr="00CD0D75">
        <w:rPr>
          <w:rFonts w:ascii="Arial" w:hAnsi="Arial" w:cs="Arial"/>
        </w:rPr>
        <w:t xml:space="preserve">ineralne sirovine, bez obzira na uzrok završetka izvođenja radova, izvrši sanaciju i </w:t>
      </w:r>
      <w:r w:rsidRPr="00CD0D75">
        <w:rPr>
          <w:rFonts w:ascii="Arial" w:hAnsi="Arial" w:cs="Arial"/>
          <w:color w:val="000000" w:themeColor="text1"/>
        </w:rPr>
        <w:t>rekultivaciju površina na kojima su izvođeni rudarski radovi,  u skladu sa zakonom.</w:t>
      </w:r>
    </w:p>
    <w:p w:rsidR="008A63CC" w:rsidRPr="00CD0D75" w:rsidRDefault="008A63CC" w:rsidP="008A63CC">
      <w:pPr>
        <w:autoSpaceDE w:val="0"/>
        <w:autoSpaceDN w:val="0"/>
        <w:adjustRightInd w:val="0"/>
        <w:spacing w:after="0"/>
        <w:jc w:val="both"/>
        <w:rPr>
          <w:rFonts w:ascii="Arial" w:hAnsi="Arial" w:cs="Arial"/>
          <w:color w:val="000000" w:themeColor="text1"/>
        </w:rPr>
      </w:pPr>
    </w:p>
    <w:p w:rsidR="008A63CC" w:rsidRPr="00CD0D75" w:rsidRDefault="008A63CC" w:rsidP="008A63CC">
      <w:pPr>
        <w:autoSpaceDE w:val="0"/>
        <w:autoSpaceDN w:val="0"/>
        <w:adjustRightInd w:val="0"/>
        <w:spacing w:after="0"/>
        <w:jc w:val="both"/>
        <w:rPr>
          <w:rFonts w:ascii="Arial" w:hAnsi="Arial" w:cs="Arial"/>
          <w:color w:val="000000" w:themeColor="text1"/>
        </w:rPr>
      </w:pPr>
      <w:r w:rsidRPr="00CD0D75">
        <w:rPr>
          <w:rFonts w:ascii="Arial" w:hAnsi="Arial" w:cs="Arial"/>
          <w:color w:val="000000" w:themeColor="text1"/>
        </w:rPr>
        <w:t xml:space="preserve">Budući Koncesionar je dužan da, nakon što otpočne sa eksploatacijom mineralne sirovine, na zahtjev Koncedenta dostavi u skladu sa zakonom Bankarsku garanciju za rekultivaciju, plativu na prvi poziv bez prava prigovora, u formi i sadržaju kao </w:t>
      </w:r>
      <w:r w:rsidRPr="00EE5972">
        <w:rPr>
          <w:rFonts w:ascii="Arial" w:hAnsi="Arial" w:cs="Arial"/>
        </w:rPr>
        <w:t>u Prilogu 2 Ugovora,</w:t>
      </w:r>
      <w:r w:rsidRPr="00CD0D75">
        <w:rPr>
          <w:rFonts w:ascii="Arial" w:hAnsi="Arial" w:cs="Arial"/>
          <w:color w:val="000000" w:themeColor="text1"/>
        </w:rPr>
        <w:t xml:space="preserve"> sa rokom važenja od 12 (slovima: dvanaest) </w:t>
      </w:r>
      <w:r w:rsidRPr="00CD0D75">
        <w:rPr>
          <w:rFonts w:ascii="Arial" w:hAnsi="Arial" w:cs="Arial"/>
          <w:color w:val="000000" w:themeColor="text1"/>
        </w:rPr>
        <w:lastRenderedPageBreak/>
        <w:t>mjeseci od datuma izdavanja, kao sredstvo obezbjeđenja izvršavanja obaveza rekultivacije i sanacije površina na kojima su izvođeni rudarski radovi.</w:t>
      </w:r>
    </w:p>
    <w:p w:rsidR="008A63CC" w:rsidRPr="00CD0D75" w:rsidRDefault="008A63CC" w:rsidP="008A63CC">
      <w:pPr>
        <w:spacing w:after="0"/>
        <w:jc w:val="both"/>
        <w:rPr>
          <w:rFonts w:ascii="Arial" w:hAnsi="Arial" w:cs="Arial"/>
        </w:rPr>
      </w:pPr>
      <w:r w:rsidRPr="00CD0D75">
        <w:rPr>
          <w:rFonts w:ascii="Arial" w:hAnsi="Arial" w:cs="Arial"/>
        </w:rPr>
        <w:t>Bankarska garancija se obnavlja svake godine.</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b/>
        </w:rPr>
      </w:pPr>
      <w:r w:rsidRPr="00CD0D75">
        <w:rPr>
          <w:rFonts w:ascii="Arial" w:hAnsi="Arial" w:cs="Arial"/>
          <w:b/>
        </w:rPr>
        <w:t>5</w:t>
      </w:r>
      <w:r>
        <w:rPr>
          <w:rFonts w:ascii="Arial" w:hAnsi="Arial" w:cs="Arial"/>
          <w:b/>
        </w:rPr>
        <w:t>.</w:t>
      </w:r>
      <w:r w:rsidRPr="00CD0D75">
        <w:rPr>
          <w:rFonts w:ascii="Arial" w:hAnsi="Arial" w:cs="Arial"/>
          <w:b/>
        </w:rPr>
        <w:t xml:space="preserve">  MJERE ZA ZAŠTITU ŽIVOTNE SREDINE</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Detaljna geološka istraživanja u manjoj mjeri mogu imati uticaj na životnu sredinu, dok eksploatacija i obrada mineralne sirovine, a time i tehničko-građevinskog kamena, je proces koji se, sa aspekta ekologije, smatra rizičnim.</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U zakonskim propisima koji</w:t>
      </w:r>
      <w:r>
        <w:rPr>
          <w:rFonts w:ascii="Arial" w:hAnsi="Arial" w:cs="Arial"/>
        </w:rPr>
        <w:t xml:space="preserve"> reguli</w:t>
      </w:r>
      <w:r w:rsidRPr="00CD0D75">
        <w:rPr>
          <w:rFonts w:ascii="Arial" w:hAnsi="Arial" w:cs="Arial"/>
        </w:rPr>
        <w:t>šu zaštitu životne sredine naglašeni su osnovni principi njene zaštite, i to: prirodnih vrijednosti zemljišta, vode i vazduha, kao i biodiverziteta (biljni i životinjski svijet).</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Shodno naprijed navedenom, Koncesinar je dužan da na istražno-eksploatacionom prostoru „Otilovići“, pri planiranju i sprovođenju investicionog zahvata, sprovode postupak prethodne procjene uticaja na životnu sredinu, u sladu sa zakonom.</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 xml:space="preserve">Rudarska aktivnost neminovno dovodi do nepovoljnih, odnosno, negativnih uticaja na životnu sredinu. U prvom redu, nepovoljni uticaji eksploatacije i obrade predmetne mineralne sirovine se odnose na značajniju promjenu reljefa, odnosno, značajniji uticaj na pejzaž, povećanu buku i neznatno zagađenje vazduha izduvnim gasovima i kamenom prašinom. </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Shodno ovome, ekološko-tehnički uslovi treba da obezbijede zaštitu od uticaja buke, vibracija, prašine i dugih štetnih uticaja po okolinu. Ove zahtjeve Koncesionar treba imati u vidu prilikom izbora opreme i mehanizacije, odnosno, da se od proizvođača istih posjeduje garancija za ispunjavanje zakonom propisanih standarda.</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Nadležni državni organ procjenjuje potrebu izrade Elaborata o procjeni uticaja zahvata na životnu sredinu, koji se radi u skladu sa Zakonom o procjeni uticaja zahvata na životnu sredinu („Sl. list RCG“, br. 80/05 i „Sl. list CG“, br. 40/10, 73/10, 40/11 i 27/13).</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S obzirom na značaj očuvanja životne sredine, Koncesionar je dužan da se pridržava svih mjera zaštite životne sredine u skladu sa zakonskim propisima.</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Zakonska regulativa koja uređuje ovu djelatnost je sljedeća:</w:t>
      </w:r>
    </w:p>
    <w:p w:rsidR="008A63CC" w:rsidRPr="00CD0D75" w:rsidRDefault="008A63CC" w:rsidP="008A63CC">
      <w:pPr>
        <w:spacing w:after="0"/>
        <w:jc w:val="both"/>
        <w:rPr>
          <w:rFonts w:ascii="Arial" w:hAnsi="Arial" w:cs="Arial"/>
        </w:rPr>
      </w:pPr>
    </w:p>
    <w:p w:rsidR="008A63CC" w:rsidRPr="00CD0D75" w:rsidRDefault="008A63CC" w:rsidP="008A63CC">
      <w:pPr>
        <w:pStyle w:val="ListParagraph"/>
        <w:suppressAutoHyphens/>
        <w:spacing w:after="0"/>
        <w:ind w:left="0"/>
        <w:contextualSpacing w:val="0"/>
        <w:jc w:val="both"/>
        <w:rPr>
          <w:rFonts w:ascii="Arial" w:hAnsi="Arial" w:cs="Arial"/>
        </w:rPr>
      </w:pPr>
      <w:r>
        <w:rPr>
          <w:rFonts w:ascii="Arial" w:hAnsi="Arial" w:cs="Arial"/>
        </w:rPr>
        <w:t>-</w:t>
      </w:r>
      <w:r w:rsidRPr="00CD0D75">
        <w:rPr>
          <w:rFonts w:ascii="Arial" w:hAnsi="Arial" w:cs="Arial"/>
        </w:rPr>
        <w:t>Zakon o procjeni uticaja zahvata na životnu sredinu („Sl. list RCG“, br. 80/05 i „Sl. list CG“, br. 40/10, 73/10, 40/11 i 27/13);</w:t>
      </w:r>
    </w:p>
    <w:p w:rsidR="008A63CC" w:rsidRPr="00CD0D75" w:rsidRDefault="008A63CC" w:rsidP="008A63CC">
      <w:pPr>
        <w:pStyle w:val="ListParagraph"/>
        <w:suppressAutoHyphens/>
        <w:spacing w:after="0"/>
        <w:ind w:left="0"/>
        <w:contextualSpacing w:val="0"/>
        <w:jc w:val="both"/>
        <w:rPr>
          <w:rFonts w:ascii="Arial" w:hAnsi="Arial" w:cs="Arial"/>
        </w:rPr>
      </w:pPr>
      <w:r>
        <w:rPr>
          <w:rFonts w:ascii="Arial" w:hAnsi="Arial" w:cs="Arial"/>
        </w:rPr>
        <w:t>-</w:t>
      </w:r>
      <w:r w:rsidRPr="00CD0D75">
        <w:rPr>
          <w:rFonts w:ascii="Arial" w:hAnsi="Arial" w:cs="Arial"/>
        </w:rPr>
        <w:t>Zakon o zaštiti prirode („Sl. list CG“, br. 51/08, 21/09, 40/11 i 62/13);</w:t>
      </w:r>
    </w:p>
    <w:p w:rsidR="008A63CC" w:rsidRPr="00CD0D75" w:rsidRDefault="008A63CC" w:rsidP="008A63CC">
      <w:pPr>
        <w:pStyle w:val="ListParagraph"/>
        <w:suppressAutoHyphens/>
        <w:spacing w:after="0"/>
        <w:ind w:left="0"/>
        <w:contextualSpacing w:val="0"/>
        <w:jc w:val="both"/>
        <w:rPr>
          <w:rFonts w:ascii="Arial" w:hAnsi="Arial" w:cs="Arial"/>
        </w:rPr>
      </w:pPr>
      <w:r>
        <w:rPr>
          <w:rFonts w:ascii="Arial" w:hAnsi="Arial" w:cs="Arial"/>
        </w:rPr>
        <w:t>-</w:t>
      </w:r>
      <w:r w:rsidRPr="00CD0D75">
        <w:rPr>
          <w:rFonts w:ascii="Arial" w:hAnsi="Arial" w:cs="Arial"/>
        </w:rPr>
        <w:t>Uredba o projektima za koje se vrši procjena uticaja na životnu sredinu („Sl. list RCG“, br. 20/07 i „Sl. list CG“, br. 47/13);</w:t>
      </w:r>
    </w:p>
    <w:p w:rsidR="008A63CC" w:rsidRPr="00CD0D75" w:rsidRDefault="008A63CC" w:rsidP="008A63CC">
      <w:pPr>
        <w:pStyle w:val="ListParagraph"/>
        <w:suppressAutoHyphens/>
        <w:spacing w:after="0"/>
        <w:ind w:left="0"/>
        <w:contextualSpacing w:val="0"/>
        <w:jc w:val="both"/>
        <w:rPr>
          <w:rFonts w:ascii="Arial" w:hAnsi="Arial" w:cs="Arial"/>
        </w:rPr>
      </w:pPr>
      <w:r>
        <w:rPr>
          <w:rFonts w:ascii="Arial" w:hAnsi="Arial" w:cs="Arial"/>
        </w:rPr>
        <w:t>-</w:t>
      </w:r>
      <w:r w:rsidRPr="00CD0D75">
        <w:rPr>
          <w:rFonts w:ascii="Arial" w:hAnsi="Arial" w:cs="Arial"/>
        </w:rPr>
        <w:t>Uredba o visini naknada, načinu obračuna i plaćanja naknada zbog zagađenja životne sredine („Sl. list RCG“, br. 26/97, 09/00 i 52/00 i „Sl. list CG“, br. 33/08, 05/09, 64/09, 40/11 i 49/11);</w:t>
      </w:r>
    </w:p>
    <w:p w:rsidR="008A63CC" w:rsidRPr="00CD0D75" w:rsidRDefault="008A63CC" w:rsidP="008A63CC">
      <w:pPr>
        <w:pStyle w:val="ListParagraph"/>
        <w:suppressAutoHyphens/>
        <w:spacing w:after="0"/>
        <w:ind w:left="0"/>
        <w:contextualSpacing w:val="0"/>
        <w:jc w:val="both"/>
        <w:rPr>
          <w:rFonts w:ascii="Arial" w:hAnsi="Arial" w:cs="Arial"/>
        </w:rPr>
      </w:pPr>
      <w:r>
        <w:rPr>
          <w:rFonts w:ascii="Arial" w:hAnsi="Arial" w:cs="Arial"/>
        </w:rPr>
        <w:t>-</w:t>
      </w:r>
      <w:r w:rsidRPr="00CD0D75">
        <w:rPr>
          <w:rFonts w:ascii="Arial" w:hAnsi="Arial" w:cs="Arial"/>
        </w:rPr>
        <w:t>Pravilnik o sadržaju dokumentacije koja se podnosi uz zahtjev za odlučivanje o potrebi procjene uticaja na životnu sredinu („Sl. list CG“, br. 14/07);</w:t>
      </w:r>
    </w:p>
    <w:p w:rsidR="008A63CC" w:rsidRPr="00CD0D75" w:rsidRDefault="008A63CC" w:rsidP="008A63CC">
      <w:pPr>
        <w:pStyle w:val="ListParagraph"/>
        <w:suppressAutoHyphens/>
        <w:spacing w:after="0"/>
        <w:ind w:left="0"/>
        <w:contextualSpacing w:val="0"/>
        <w:jc w:val="both"/>
        <w:rPr>
          <w:rFonts w:ascii="Arial" w:hAnsi="Arial" w:cs="Arial"/>
        </w:rPr>
      </w:pPr>
      <w:r>
        <w:rPr>
          <w:rFonts w:ascii="Arial" w:hAnsi="Arial" w:cs="Arial"/>
        </w:rPr>
        <w:lastRenderedPageBreak/>
        <w:t>-</w:t>
      </w:r>
      <w:r w:rsidRPr="00CD0D75">
        <w:rPr>
          <w:rFonts w:ascii="Arial" w:hAnsi="Arial" w:cs="Arial"/>
        </w:rPr>
        <w:t>Pravilnik o sadržaju dokumentacije koja se podnosi uz zahtjev za određivanje obima i sadržaja Elaborata o procjeni uticaja na životnu sredinu („Sl. list CG“, br. 14/07); i</w:t>
      </w:r>
    </w:p>
    <w:p w:rsidR="008A63CC" w:rsidRDefault="008A63CC" w:rsidP="008A63CC">
      <w:pPr>
        <w:pStyle w:val="ListParagraph"/>
        <w:suppressAutoHyphens/>
        <w:spacing w:after="0"/>
        <w:ind w:left="0"/>
        <w:contextualSpacing w:val="0"/>
        <w:jc w:val="both"/>
        <w:rPr>
          <w:rFonts w:ascii="Arial" w:hAnsi="Arial" w:cs="Arial"/>
        </w:rPr>
      </w:pPr>
      <w:r>
        <w:rPr>
          <w:rFonts w:ascii="Arial" w:hAnsi="Arial" w:cs="Arial"/>
        </w:rPr>
        <w:t>-</w:t>
      </w:r>
      <w:r w:rsidRPr="00CD0D75">
        <w:rPr>
          <w:rFonts w:ascii="Arial" w:hAnsi="Arial" w:cs="Arial"/>
        </w:rPr>
        <w:t>Pravilnik o sadržini Elaborata o procjeni uticaja na životnu sredinu („Sl. list CG“, br. 14/07).</w:t>
      </w:r>
    </w:p>
    <w:p w:rsidR="008A63CC" w:rsidRPr="00CD0D75" w:rsidRDefault="008A63CC" w:rsidP="008A63CC">
      <w:pPr>
        <w:pStyle w:val="ListParagraph"/>
        <w:suppressAutoHyphens/>
        <w:spacing w:after="0"/>
        <w:ind w:left="0"/>
        <w:contextualSpacing w:val="0"/>
        <w:jc w:val="both"/>
        <w:rPr>
          <w:rFonts w:ascii="Arial" w:hAnsi="Arial" w:cs="Arial"/>
        </w:rPr>
      </w:pPr>
    </w:p>
    <w:p w:rsidR="008A63CC" w:rsidRPr="00CD0D75" w:rsidRDefault="008A63CC" w:rsidP="008A63CC">
      <w:pPr>
        <w:pStyle w:val="Heading1"/>
        <w:spacing w:before="0" w:after="0"/>
        <w:jc w:val="both"/>
        <w:rPr>
          <w:sz w:val="22"/>
          <w:szCs w:val="22"/>
        </w:rPr>
      </w:pPr>
      <w:bookmarkStart w:id="12" w:name="_Toc402262949"/>
      <w:r w:rsidRPr="00CD0D75">
        <w:rPr>
          <w:sz w:val="22"/>
          <w:szCs w:val="22"/>
        </w:rPr>
        <w:t>6</w:t>
      </w:r>
      <w:r>
        <w:rPr>
          <w:sz w:val="22"/>
          <w:szCs w:val="22"/>
        </w:rPr>
        <w:t xml:space="preserve">.  </w:t>
      </w:r>
      <w:r w:rsidRPr="00CD0D75">
        <w:rPr>
          <w:sz w:val="22"/>
          <w:szCs w:val="22"/>
        </w:rPr>
        <w:t>REKULTIVACIJA ISTRAŽNO-EKSPLOATACIONOG PROSTORA “OTILOVIĆI”</w:t>
      </w:r>
      <w:bookmarkEnd w:id="12"/>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Negativni uticaji budućih rudarskih aktivnosti na površinskom kopu “Otilovići” sa kvalitativnom procjenom mogućih nepovoljnih uticaja na radnu i životnu sredinu, obrađeni su u poglavlju 5 Mjere za zaštitu životne sredine.</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U ovom poglavlju se obrađuje faza rekultivacije istražno-eksploatacionog prostora.</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Novi zakonski uslovi za eksploataciju zahtijevaju da se izvrši rekultivacija prostora koji će biti degradiran obavljanjem koncesione djelatnosti, a sve to u cilju poboljšanja ekoloških uslova na samom lokalitetu i neposrednoj okolini.</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Ako bi se degradirane površine ostavile, nakon izvođenja radova na eksploataciji, u istom stanju, mogu se očekivati neki od sljedećih negativnih uticaja:</w:t>
      </w:r>
    </w:p>
    <w:p w:rsidR="008A63CC" w:rsidRPr="00CD0D75" w:rsidRDefault="008A63CC" w:rsidP="008A63CC">
      <w:pPr>
        <w:spacing w:after="0"/>
        <w:jc w:val="both"/>
        <w:rPr>
          <w:rFonts w:ascii="Arial" w:hAnsi="Arial" w:cs="Arial"/>
        </w:rPr>
      </w:pPr>
    </w:p>
    <w:p w:rsidR="008A63CC" w:rsidRPr="00CD0D75" w:rsidRDefault="008A63CC" w:rsidP="008A63CC">
      <w:pPr>
        <w:pStyle w:val="ListParagraph"/>
        <w:numPr>
          <w:ilvl w:val="0"/>
          <w:numId w:val="4"/>
        </w:numPr>
        <w:suppressAutoHyphens/>
        <w:spacing w:after="0"/>
        <w:ind w:left="0" w:firstLine="0"/>
        <w:contextualSpacing w:val="0"/>
        <w:jc w:val="both"/>
        <w:rPr>
          <w:rFonts w:ascii="Arial" w:hAnsi="Arial" w:cs="Arial"/>
        </w:rPr>
      </w:pPr>
      <w:r w:rsidRPr="00CD0D75">
        <w:rPr>
          <w:rFonts w:ascii="Arial" w:hAnsi="Arial" w:cs="Arial"/>
        </w:rPr>
        <w:t>produžavanje nepovoljnog uticaja pejzažnog izgleda terena,</w:t>
      </w:r>
    </w:p>
    <w:p w:rsidR="008A63CC" w:rsidRPr="00CD0D75" w:rsidRDefault="008A63CC" w:rsidP="008A63CC">
      <w:pPr>
        <w:pStyle w:val="ListParagraph"/>
        <w:numPr>
          <w:ilvl w:val="0"/>
          <w:numId w:val="4"/>
        </w:numPr>
        <w:suppressAutoHyphens/>
        <w:spacing w:after="0"/>
        <w:ind w:left="0" w:firstLine="0"/>
        <w:contextualSpacing w:val="0"/>
        <w:jc w:val="both"/>
        <w:rPr>
          <w:rFonts w:ascii="Arial" w:hAnsi="Arial" w:cs="Arial"/>
        </w:rPr>
      </w:pPr>
      <w:r w:rsidRPr="00CD0D75">
        <w:rPr>
          <w:rFonts w:ascii="Arial" w:hAnsi="Arial" w:cs="Arial"/>
        </w:rPr>
        <w:t>pogoršavanje stanja degradiranih površina zbog pojave erozije, klizišta i sl.,</w:t>
      </w:r>
    </w:p>
    <w:p w:rsidR="008A63CC" w:rsidRPr="00CD0D75" w:rsidRDefault="008A63CC" w:rsidP="008A63CC">
      <w:pPr>
        <w:pStyle w:val="ListParagraph"/>
        <w:numPr>
          <w:ilvl w:val="0"/>
          <w:numId w:val="4"/>
        </w:numPr>
        <w:suppressAutoHyphens/>
        <w:spacing w:after="0"/>
        <w:ind w:left="0" w:firstLine="0"/>
        <w:contextualSpacing w:val="0"/>
        <w:jc w:val="both"/>
        <w:rPr>
          <w:rFonts w:ascii="Arial" w:hAnsi="Arial" w:cs="Arial"/>
        </w:rPr>
      </w:pPr>
      <w:r w:rsidRPr="00CD0D75">
        <w:rPr>
          <w:rFonts w:ascii="Arial" w:hAnsi="Arial" w:cs="Arial"/>
        </w:rPr>
        <w:t>produžavanje negativnih uticaja na vazduh i okolno zemljište (podizanje prašine izazvane vjetrom, odnošenje materijala površinskim – atmosferskim vodama).</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 xml:space="preserve">Osnovni cilj rekultivacije je da se prostoru, na kojem će biti vršena eksploatacija, da prirodna vrijednost slična ili bolja od prvobitne, što je, prema procijenjenim sadašnjim uslovima na ovom lokalitetu, sasvim moguće. </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Crna Gora ima zakonske propise usaglašene sa standardima Evropske unije koji tretiraju rudarsku djelatnost, a u sklopu toga i obaveze Koncesionara za pridržavanje mjera zaštite životne i radne sredine i rekultivacije degradiranog prostora (Zakon o koncesijama, Zakon o rudarstvu i propisi iz oblasti zaštite životne sredine).</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Zbog velike važnosti ove faze rada, zakonskim propisima utvrđena je obaveza izrade projektnih rješenja rekultivacije, izradom Glavnog rudarsko</w:t>
      </w:r>
      <w:r>
        <w:rPr>
          <w:rFonts w:ascii="Arial" w:hAnsi="Arial" w:cs="Arial"/>
        </w:rPr>
        <w:t>g projekta (Pravilnik o sadržini</w:t>
      </w:r>
      <w:r w:rsidRPr="00CD0D75">
        <w:rPr>
          <w:rFonts w:ascii="Arial" w:hAnsi="Arial" w:cs="Arial"/>
        </w:rPr>
        <w:t xml:space="preserve"> rudarskih projekata</w:t>
      </w:r>
      <w:r>
        <w:rPr>
          <w:rFonts w:ascii="Arial" w:hAnsi="Arial" w:cs="Arial"/>
        </w:rPr>
        <w:t xml:space="preserve"> (</w:t>
      </w:r>
      <w:r w:rsidRPr="00242D8A">
        <w:rPr>
          <w:rFonts w:ascii="Arial" w:hAnsi="Arial" w:cs="Arial"/>
        </w:rPr>
        <w:t>"Službeni list Crne Gore", br. 074/09 od 13.11.2009</w:t>
      </w:r>
      <w:r>
        <w:rPr>
          <w:rFonts w:ascii="Arial" w:hAnsi="Arial" w:cs="Arial"/>
        </w:rPr>
        <w:t>)) i</w:t>
      </w:r>
      <w:r w:rsidRPr="00CD0D75">
        <w:rPr>
          <w:rFonts w:ascii="Arial" w:hAnsi="Arial" w:cs="Arial"/>
        </w:rPr>
        <w:t>li izradom posebnog tehničkog projekta rekultivacije, koji je sastavni dio Glavnog rudarskog projekta.</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Projektima se daju rješenja rudarsko-tehničke i biološke rekultivacije površina degradiranih izvođenjem rudarskih radova, uz uvažavanje uslova koji su utvrđeni Elaboratom o procjeni uticaja na životnu sredinu, vodnih uslova i sl.</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Projekat se mora realizovati u fazama, odnosno radovi na rekultivaciji izvoditi sukcesivno, paralelno sa razvojem kopa. To znači da je sa radovima na rekultivaciji potrebno početi odmah po završetku svake etaže.</w:t>
      </w:r>
    </w:p>
    <w:p w:rsidR="008A63CC" w:rsidRPr="00CD0D75" w:rsidRDefault="008A63CC" w:rsidP="008A63CC">
      <w:pPr>
        <w:spacing w:after="0"/>
        <w:rPr>
          <w:rFonts w:ascii="Arial" w:hAnsi="Arial" w:cs="Arial"/>
        </w:rPr>
      </w:pPr>
    </w:p>
    <w:p w:rsidR="008A63CC" w:rsidRPr="00CD0D75" w:rsidRDefault="008A63CC" w:rsidP="008A63CC">
      <w:pPr>
        <w:pStyle w:val="Heading2"/>
        <w:numPr>
          <w:ilvl w:val="1"/>
          <w:numId w:val="0"/>
        </w:numPr>
        <w:spacing w:before="0" w:after="0"/>
        <w:jc w:val="both"/>
        <w:rPr>
          <w:sz w:val="22"/>
          <w:szCs w:val="22"/>
        </w:rPr>
      </w:pPr>
      <w:bookmarkStart w:id="13" w:name="_Toc402262950"/>
      <w:r w:rsidRPr="00CD0D75">
        <w:rPr>
          <w:sz w:val="22"/>
          <w:szCs w:val="22"/>
        </w:rPr>
        <w:lastRenderedPageBreak/>
        <w:t>Zaključak</w:t>
      </w:r>
      <w:bookmarkEnd w:id="13"/>
      <w:r w:rsidRPr="00CD0D75">
        <w:rPr>
          <w:sz w:val="22"/>
          <w:szCs w:val="22"/>
        </w:rPr>
        <w:t xml:space="preserve"> </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U skladu sa članom 71 Zakona o rudarstvu koncesionar je dužan da u toku i po završetku radova na eksploataciji predmetne mineralne sirovine, a najkasnije u roku od jedne godine od dana završetka radova, privede zemljište na eksploatacionom polju namjeni prema Projektu rekultivacije zemljišta, odnosno, da preduzme mjere zaštite životne sredine sadržane u Elaboratu o procjeni uticaja na životnu sredinu na koji je od strane organa državne uprave nadležnog za poslove zaštite životne sredine data saglasnost i mjere zaštite voda u skladu sa zakonom.</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O naprijed navedenim mjerama izvještavaju se nadležno ministarstvo za rudarstvo i ministarstva nadležna za poslove poljoprivrede, vodoprivrede, zaštite životne sredine i nadležni organ lokalne uprave.</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Za sanaciju i rekultivaciju, saglasno odredbi člana 73 Zakona o rudarstvu, koncesionar je dužan da od svake jedinice proizvoda mineralne sirovine mjesečno izdvaja sredstva za djelimičnu ili potpunu sanaciju zemljišta, a prema odobrenim projektima sanacije i rekultivacije.</w:t>
      </w:r>
    </w:p>
    <w:p w:rsidR="008A63CC" w:rsidRPr="00CD0D75" w:rsidRDefault="008A63CC" w:rsidP="008A63CC">
      <w:pPr>
        <w:spacing w:after="0"/>
        <w:jc w:val="both"/>
        <w:rPr>
          <w:rFonts w:ascii="Arial" w:hAnsi="Arial" w:cs="Arial"/>
        </w:rPr>
      </w:pPr>
    </w:p>
    <w:p w:rsidR="008A63CC" w:rsidRPr="00CD0D75" w:rsidRDefault="008A63CC" w:rsidP="008A63CC">
      <w:pPr>
        <w:pStyle w:val="Heading1"/>
        <w:spacing w:before="0" w:after="0"/>
        <w:jc w:val="both"/>
        <w:rPr>
          <w:sz w:val="22"/>
          <w:szCs w:val="22"/>
        </w:rPr>
      </w:pPr>
      <w:bookmarkStart w:id="14" w:name="_Toc402262951"/>
      <w:r w:rsidRPr="00CD0D75">
        <w:rPr>
          <w:sz w:val="22"/>
          <w:szCs w:val="22"/>
        </w:rPr>
        <w:t xml:space="preserve"> 7</w:t>
      </w:r>
      <w:r>
        <w:rPr>
          <w:sz w:val="22"/>
          <w:szCs w:val="22"/>
        </w:rPr>
        <w:t>.</w:t>
      </w:r>
      <w:r w:rsidRPr="00CD0D75">
        <w:rPr>
          <w:sz w:val="22"/>
          <w:szCs w:val="22"/>
        </w:rPr>
        <w:t xml:space="preserve">  UNAPRJEĐENJE ENERGETSKE EFIKASNOSTI</w:t>
      </w:r>
      <w:bookmarkEnd w:id="14"/>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Radi efikasnog korišćenja energije, u skladu sa odredbama Zakona o energetskoj efikasnosti (“Sl. list CG”, br. 29/10 i 40/11), koncesionar je dužan da preduzima mjere za poboljšanje energetske efikasnosti.</w:t>
      </w:r>
    </w:p>
    <w:p w:rsidR="008A63CC" w:rsidRPr="00CD0D75" w:rsidRDefault="008A63CC" w:rsidP="008A63CC">
      <w:pPr>
        <w:spacing w:after="0"/>
        <w:jc w:val="both"/>
        <w:rPr>
          <w:rFonts w:ascii="Arial" w:hAnsi="Arial" w:cs="Arial"/>
        </w:rPr>
      </w:pPr>
      <w:r w:rsidRPr="00CD0D75">
        <w:rPr>
          <w:rFonts w:ascii="Arial" w:hAnsi="Arial" w:cs="Arial"/>
        </w:rPr>
        <w:t xml:space="preserve">Koncesonar je dužan da kroz izradu tehničke i projektne dokumentacije predvidi sprovođenje mjera za poboljšanje energetske efikasnosti, odnosno, ostvarivanje uštede energije i njeno racionalno korišćenje primjenom provjerenih savremenih tehnologija, čije je korišćenje ekonomski opravdano. </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Sprovođenje mjera energetske efikasnosti utiče na kvalitet radne i životne sredine.</w:t>
      </w:r>
    </w:p>
    <w:p w:rsidR="008A63CC" w:rsidRPr="00CD0D75" w:rsidRDefault="008A63CC" w:rsidP="008A63CC">
      <w:pPr>
        <w:spacing w:after="0"/>
        <w:jc w:val="both"/>
        <w:rPr>
          <w:rFonts w:ascii="Arial" w:hAnsi="Arial" w:cs="Arial"/>
          <w:b/>
        </w:rPr>
      </w:pPr>
    </w:p>
    <w:p w:rsidR="008A63CC" w:rsidRPr="00CD0D75" w:rsidRDefault="008A63CC" w:rsidP="008A63CC">
      <w:pPr>
        <w:pStyle w:val="Heading1"/>
        <w:spacing w:before="0" w:after="0"/>
        <w:jc w:val="both"/>
        <w:rPr>
          <w:color w:val="000000"/>
          <w:sz w:val="22"/>
          <w:szCs w:val="22"/>
        </w:rPr>
      </w:pPr>
      <w:bookmarkStart w:id="15" w:name="_Toc390549906"/>
      <w:bookmarkStart w:id="16" w:name="_Toc402262952"/>
      <w:r w:rsidRPr="00CD0D75">
        <w:rPr>
          <w:sz w:val="22"/>
          <w:szCs w:val="22"/>
        </w:rPr>
        <w:t>8</w:t>
      </w:r>
      <w:r>
        <w:rPr>
          <w:sz w:val="22"/>
          <w:szCs w:val="22"/>
        </w:rPr>
        <w:t xml:space="preserve">. </w:t>
      </w:r>
      <w:r w:rsidRPr="00CD0D75">
        <w:rPr>
          <w:sz w:val="22"/>
          <w:szCs w:val="22"/>
        </w:rPr>
        <w:t>USLOVI KOJE JE DUŽAN DA ISPUNJAVA KONCESIONAR U POGLEDU TEHNIČKE OPREMLJENOSTI, FINANSIJSKE SPOSOBNOSTI I OSTALE REFER</w:t>
      </w:r>
      <w:r>
        <w:rPr>
          <w:sz w:val="22"/>
          <w:szCs w:val="22"/>
        </w:rPr>
        <w:t>E</w:t>
      </w:r>
      <w:r w:rsidRPr="00CD0D75">
        <w:rPr>
          <w:sz w:val="22"/>
          <w:szCs w:val="22"/>
        </w:rPr>
        <w:t xml:space="preserve">NCE I DOKAZE O ISPUNJAVANJU TIH USLOVA </w:t>
      </w:r>
      <w:bookmarkEnd w:id="15"/>
      <w:bookmarkEnd w:id="16"/>
    </w:p>
    <w:p w:rsidR="008A63CC" w:rsidRPr="00CD0D75" w:rsidRDefault="008A63CC" w:rsidP="008A63CC">
      <w:pPr>
        <w:spacing w:after="0"/>
        <w:jc w:val="both"/>
        <w:rPr>
          <w:rFonts w:ascii="Arial" w:hAnsi="Arial" w:cs="Arial"/>
          <w:b/>
        </w:rPr>
      </w:pPr>
    </w:p>
    <w:p w:rsidR="008A63CC" w:rsidRPr="00CD0D75" w:rsidRDefault="008A63CC" w:rsidP="008A63CC">
      <w:pPr>
        <w:spacing w:after="0"/>
        <w:jc w:val="both"/>
        <w:rPr>
          <w:rFonts w:ascii="Arial" w:hAnsi="Arial" w:cs="Arial"/>
        </w:rPr>
      </w:pPr>
      <w:r w:rsidRPr="00CD0D75">
        <w:rPr>
          <w:rFonts w:ascii="Arial" w:hAnsi="Arial" w:cs="Arial"/>
        </w:rPr>
        <w:t>Obaveze koncesionara u pogledu ispunjavanja uslova definisanih u ovom poglavlju su sljedeće:</w:t>
      </w:r>
    </w:p>
    <w:p w:rsidR="008A63CC" w:rsidRPr="00CD0D75" w:rsidRDefault="008A63CC" w:rsidP="008A63CC">
      <w:pPr>
        <w:spacing w:after="0"/>
        <w:jc w:val="both"/>
        <w:rPr>
          <w:rFonts w:ascii="Arial" w:hAnsi="Arial" w:cs="Arial"/>
          <w:b/>
        </w:rPr>
      </w:pPr>
    </w:p>
    <w:p w:rsidR="008A63CC" w:rsidRPr="004A25A4" w:rsidRDefault="008A63CC" w:rsidP="008A63CC">
      <w:pPr>
        <w:pStyle w:val="ListParagraph"/>
        <w:numPr>
          <w:ilvl w:val="0"/>
          <w:numId w:val="38"/>
        </w:numPr>
        <w:suppressAutoHyphens/>
        <w:spacing w:after="0"/>
        <w:jc w:val="both"/>
        <w:rPr>
          <w:rFonts w:ascii="Arial" w:hAnsi="Arial" w:cs="Arial"/>
          <w:b/>
        </w:rPr>
      </w:pPr>
      <w:r w:rsidRPr="004A25A4">
        <w:rPr>
          <w:rFonts w:ascii="Arial" w:hAnsi="Arial" w:cs="Arial"/>
        </w:rPr>
        <w:t>da, u skladu sa članom 51 stav 2 Zakona o koncesijama, u roku od 60 dana od dana zaključenja Ugovora o koncesiji, osnuje i registruje privredno društvo ili drugo pravno lice sa sjedištem u Crnoj Gori, koje će obavljati koncesionu djelatnost ili da proširi registraciju za vršenje koncesione djelatnosti;</w:t>
      </w:r>
    </w:p>
    <w:p w:rsidR="008A63CC" w:rsidRPr="00CD0D75" w:rsidRDefault="008A63CC" w:rsidP="008A63CC">
      <w:pPr>
        <w:suppressAutoHyphens/>
        <w:spacing w:after="0"/>
        <w:jc w:val="both"/>
        <w:rPr>
          <w:rFonts w:ascii="Arial" w:hAnsi="Arial" w:cs="Arial"/>
          <w:b/>
        </w:rPr>
      </w:pPr>
    </w:p>
    <w:p w:rsidR="008A63CC" w:rsidRPr="004A25A4" w:rsidRDefault="008A63CC" w:rsidP="008A63CC">
      <w:pPr>
        <w:pStyle w:val="ListParagraph"/>
        <w:numPr>
          <w:ilvl w:val="0"/>
          <w:numId w:val="38"/>
        </w:numPr>
        <w:suppressAutoHyphens/>
        <w:spacing w:after="0"/>
        <w:jc w:val="both"/>
        <w:rPr>
          <w:rFonts w:ascii="Arial" w:hAnsi="Arial" w:cs="Arial"/>
          <w:b/>
        </w:rPr>
      </w:pPr>
      <w:r w:rsidRPr="004A25A4">
        <w:rPr>
          <w:rFonts w:ascii="Arial" w:hAnsi="Arial" w:cs="Arial"/>
        </w:rPr>
        <w:t>da obezbijedi svu potrebnu geološku i rudarsku dokumentaciju, odobrenja i saglasnosti potrebnih za zakonito izvođenje radova;</w:t>
      </w:r>
    </w:p>
    <w:p w:rsidR="008A63CC" w:rsidRPr="00CD0D75" w:rsidRDefault="008A63CC" w:rsidP="008A63CC">
      <w:pPr>
        <w:suppressAutoHyphens/>
        <w:spacing w:after="0"/>
        <w:jc w:val="both"/>
        <w:rPr>
          <w:rFonts w:ascii="Arial" w:hAnsi="Arial" w:cs="Arial"/>
          <w:b/>
        </w:rPr>
      </w:pPr>
    </w:p>
    <w:p w:rsidR="008A63CC" w:rsidRPr="004A25A4" w:rsidRDefault="008A63CC" w:rsidP="008A63CC">
      <w:pPr>
        <w:pStyle w:val="ListParagraph"/>
        <w:numPr>
          <w:ilvl w:val="0"/>
          <w:numId w:val="38"/>
        </w:numPr>
        <w:suppressAutoHyphens/>
        <w:spacing w:after="0"/>
        <w:jc w:val="both"/>
        <w:rPr>
          <w:rFonts w:ascii="Arial" w:hAnsi="Arial" w:cs="Arial"/>
        </w:rPr>
      </w:pPr>
      <w:r w:rsidRPr="004A25A4">
        <w:rPr>
          <w:rFonts w:ascii="Arial" w:hAnsi="Arial" w:cs="Arial"/>
        </w:rPr>
        <w:t>da obezbijedi opremu i mehanizaciju saglasno verifikovanoj rudarskoj i tehničkoj dokumentaciji - oprema i mehanizacija treba da ispunjava uslove propisane pravilnicima o tehičkim normativima za izvođenje planirane vrste radova na predmetnom lokalitetu;</w:t>
      </w:r>
    </w:p>
    <w:p w:rsidR="008A63CC" w:rsidRPr="00CD0D75" w:rsidRDefault="008A63CC" w:rsidP="008A63CC">
      <w:pPr>
        <w:suppressAutoHyphens/>
        <w:spacing w:after="0"/>
        <w:jc w:val="both"/>
        <w:rPr>
          <w:rFonts w:ascii="Arial" w:hAnsi="Arial" w:cs="Arial"/>
        </w:rPr>
      </w:pPr>
    </w:p>
    <w:p w:rsidR="008A63CC" w:rsidRPr="004A25A4" w:rsidRDefault="008A63CC" w:rsidP="008A63CC">
      <w:pPr>
        <w:pStyle w:val="ListParagraph"/>
        <w:numPr>
          <w:ilvl w:val="0"/>
          <w:numId w:val="38"/>
        </w:numPr>
        <w:suppressAutoHyphens/>
        <w:spacing w:after="0"/>
        <w:jc w:val="both"/>
        <w:rPr>
          <w:rFonts w:ascii="Arial" w:hAnsi="Arial" w:cs="Arial"/>
        </w:rPr>
      </w:pPr>
      <w:r w:rsidRPr="004A25A4">
        <w:rPr>
          <w:rFonts w:ascii="Arial" w:hAnsi="Arial" w:cs="Arial"/>
        </w:rPr>
        <w:t xml:space="preserve">da obezbijedi radnu snagu saglasno ovom Koncesionom aktu i rudarskoj i tehničkoj dokumentaciji - zaposleni moraju da ispunjavaju uslove (u pogledu stepena stručne spreme, </w:t>
      </w:r>
      <w:r w:rsidRPr="004A25A4">
        <w:rPr>
          <w:rFonts w:ascii="Arial" w:hAnsi="Arial" w:cs="Arial"/>
        </w:rPr>
        <w:lastRenderedPageBreak/>
        <w:t>radnog iskustva, obučenosti i ovlašćenja za vršenje tih poslova) u skladu sa Zakonom o rudarstvu;</w:t>
      </w:r>
    </w:p>
    <w:p w:rsidR="008A63CC" w:rsidRPr="00CD0D75" w:rsidRDefault="008A63CC" w:rsidP="008A63CC">
      <w:pPr>
        <w:spacing w:after="0"/>
        <w:rPr>
          <w:rFonts w:ascii="Arial" w:hAnsi="Arial" w:cs="Arial"/>
        </w:rPr>
      </w:pPr>
    </w:p>
    <w:p w:rsidR="008A63CC" w:rsidRPr="004A25A4" w:rsidRDefault="008A63CC" w:rsidP="008A63CC">
      <w:pPr>
        <w:pStyle w:val="ListParagraph"/>
        <w:numPr>
          <w:ilvl w:val="0"/>
          <w:numId w:val="38"/>
        </w:numPr>
        <w:suppressAutoHyphens/>
        <w:spacing w:after="0"/>
        <w:rPr>
          <w:rFonts w:ascii="Arial" w:hAnsi="Arial" w:cs="Arial"/>
        </w:rPr>
      </w:pPr>
      <w:r w:rsidRPr="004A25A4">
        <w:rPr>
          <w:rFonts w:ascii="Arial" w:hAnsi="Arial" w:cs="Arial"/>
        </w:rPr>
        <w:t>da izvršava finansijski dio u pogledu obaveza utvrđenih Ugovorom o koncesiji, u smislu plaćanja koncesione naknade, dostavljanja obnovljive godišnje bankarske garancije, izdvajanja sredstava za rekultivaciju. Koncesionar mora da ostvaruje takve poslovne rezultate koji će mu omogućiti redovno poslovanje (redovno izmirivanje poreskih i drugih obaveza), a time i ispunjavanje ugovornih obaveza.</w:t>
      </w:r>
    </w:p>
    <w:p w:rsidR="00C26E77" w:rsidRPr="003E16FA" w:rsidRDefault="00C26E77" w:rsidP="00CD0D75">
      <w:pPr>
        <w:suppressAutoHyphens/>
        <w:spacing w:after="0"/>
        <w:rPr>
          <w:rFonts w:ascii="Arial" w:hAnsi="Arial" w:cs="Arial"/>
        </w:rPr>
      </w:pPr>
    </w:p>
    <w:p w:rsidR="00C26E77" w:rsidRPr="003E16FA" w:rsidRDefault="00C26E77" w:rsidP="004A25A4">
      <w:pPr>
        <w:pStyle w:val="Heading1"/>
        <w:spacing w:before="0" w:after="0"/>
        <w:jc w:val="both"/>
        <w:rPr>
          <w:sz w:val="22"/>
          <w:szCs w:val="22"/>
        </w:rPr>
      </w:pPr>
      <w:bookmarkStart w:id="17" w:name="_Toc402262953"/>
      <w:r w:rsidRPr="003E16FA">
        <w:rPr>
          <w:sz w:val="22"/>
          <w:szCs w:val="22"/>
        </w:rPr>
        <w:t>9  MINIMALNI – POČETNI  IZNOS KONCESIONE NAKNADE</w:t>
      </w:r>
      <w:bookmarkEnd w:id="17"/>
    </w:p>
    <w:p w:rsidR="00C26E77" w:rsidRPr="003E16FA" w:rsidRDefault="00C26E77" w:rsidP="004A25A4">
      <w:pPr>
        <w:spacing w:after="0"/>
        <w:jc w:val="both"/>
        <w:rPr>
          <w:rFonts w:ascii="Arial" w:hAnsi="Arial" w:cs="Arial"/>
        </w:rPr>
      </w:pPr>
    </w:p>
    <w:p w:rsidR="00C26E77" w:rsidRPr="003E16FA" w:rsidRDefault="00C26E77" w:rsidP="004A25A4">
      <w:pPr>
        <w:spacing w:after="0"/>
        <w:jc w:val="both"/>
        <w:rPr>
          <w:rFonts w:ascii="Arial" w:hAnsi="Arial" w:cs="Arial"/>
        </w:rPr>
      </w:pPr>
      <w:r w:rsidRPr="003E16FA">
        <w:rPr>
          <w:rFonts w:ascii="Arial" w:hAnsi="Arial" w:cs="Arial"/>
        </w:rPr>
        <w:t>Za korišćenje prava na eksploataciju mineralne sirovine, zakonskim propisima predviđeno je plaćanje koncesione naknade.</w:t>
      </w:r>
    </w:p>
    <w:p w:rsidR="00C26E77" w:rsidRPr="003E16FA" w:rsidRDefault="00C26E77" w:rsidP="004A25A4">
      <w:pPr>
        <w:spacing w:after="0"/>
        <w:jc w:val="both"/>
        <w:rPr>
          <w:rFonts w:ascii="Arial" w:hAnsi="Arial" w:cs="Arial"/>
        </w:rPr>
      </w:pPr>
    </w:p>
    <w:p w:rsidR="00C26E77" w:rsidRPr="003E16FA" w:rsidRDefault="00C26E77" w:rsidP="004A25A4">
      <w:pPr>
        <w:spacing w:after="0"/>
        <w:jc w:val="both"/>
        <w:rPr>
          <w:rFonts w:ascii="Arial" w:hAnsi="Arial" w:cs="Arial"/>
        </w:rPr>
      </w:pPr>
      <w:r w:rsidRPr="003E16FA">
        <w:rPr>
          <w:rFonts w:ascii="Arial" w:hAnsi="Arial" w:cs="Arial"/>
        </w:rPr>
        <w:t>Koncesionim aktom se utvrđuje minimalni - početni iznos koncesione naknade.</w:t>
      </w:r>
    </w:p>
    <w:p w:rsidR="00C26E77" w:rsidRPr="003E16FA" w:rsidRDefault="00C26E77" w:rsidP="004A25A4">
      <w:pPr>
        <w:spacing w:after="0"/>
        <w:jc w:val="both"/>
        <w:rPr>
          <w:rFonts w:ascii="Arial" w:hAnsi="Arial" w:cs="Arial"/>
        </w:rPr>
      </w:pPr>
      <w:r w:rsidRPr="003E16FA">
        <w:rPr>
          <w:rFonts w:ascii="Arial" w:hAnsi="Arial" w:cs="Arial"/>
        </w:rPr>
        <w:t>Minimalna  koncesiona naknada se utvrđuje na osnovu Uredbe o kriterijumima i načinu obračuna iznosa minimalne koncesione naknade za ustupanje prava na istraživanje i eksploataciju mineralnih siro</w:t>
      </w:r>
      <w:r w:rsidR="00FC3C4A" w:rsidRPr="003E16FA">
        <w:rPr>
          <w:rFonts w:ascii="Arial" w:hAnsi="Arial" w:cs="Arial"/>
        </w:rPr>
        <w:t>vina („Sl. list CG“, br. 37/11) (u daljem tekstu: Uredba).</w:t>
      </w:r>
    </w:p>
    <w:p w:rsidR="00C26E77" w:rsidRPr="003E16FA" w:rsidRDefault="00C26E77" w:rsidP="004A25A4">
      <w:pPr>
        <w:spacing w:after="0"/>
        <w:jc w:val="both"/>
        <w:rPr>
          <w:rFonts w:ascii="Arial" w:hAnsi="Arial" w:cs="Arial"/>
        </w:rPr>
      </w:pPr>
    </w:p>
    <w:p w:rsidR="00C26E77" w:rsidRPr="003E16FA" w:rsidRDefault="00C26E77" w:rsidP="004A25A4">
      <w:pPr>
        <w:spacing w:after="0"/>
        <w:jc w:val="both"/>
        <w:rPr>
          <w:rFonts w:ascii="Arial" w:hAnsi="Arial" w:cs="Arial"/>
        </w:rPr>
      </w:pPr>
      <w:r w:rsidRPr="003E16FA">
        <w:rPr>
          <w:rFonts w:ascii="Arial" w:hAnsi="Arial" w:cs="Arial"/>
        </w:rPr>
        <w:t>Navedenom Uredbom je utvrđeno da se minimalna koncesiona naknada određuje za eksploataciju mineralnih sirovina, tj. za period eksploatacije, a ne i za period koji je predviđen za detaljna geološka istraživanja.</w:t>
      </w:r>
    </w:p>
    <w:p w:rsidR="00C26E77" w:rsidRPr="003E16FA" w:rsidRDefault="00C26E77" w:rsidP="004A25A4">
      <w:pPr>
        <w:spacing w:after="0"/>
        <w:jc w:val="both"/>
        <w:rPr>
          <w:rFonts w:ascii="Arial" w:hAnsi="Arial" w:cs="Arial"/>
        </w:rPr>
      </w:pPr>
    </w:p>
    <w:p w:rsidR="00C26E77" w:rsidRPr="003E16FA" w:rsidRDefault="00C26E77" w:rsidP="004A25A4">
      <w:pPr>
        <w:pStyle w:val="Heading2"/>
        <w:numPr>
          <w:ilvl w:val="1"/>
          <w:numId w:val="0"/>
        </w:numPr>
        <w:spacing w:before="0" w:after="0"/>
        <w:jc w:val="both"/>
        <w:rPr>
          <w:i w:val="0"/>
          <w:sz w:val="22"/>
          <w:szCs w:val="22"/>
          <w:u w:val="single"/>
        </w:rPr>
      </w:pPr>
      <w:bookmarkStart w:id="18" w:name="_Toc402262954"/>
      <w:r w:rsidRPr="003E16FA">
        <w:rPr>
          <w:i w:val="0"/>
          <w:sz w:val="22"/>
          <w:szCs w:val="22"/>
          <w:u w:val="single"/>
        </w:rPr>
        <w:t>9.1  Minimalni - početni iznos koncesione naknade za eksploataciju</w:t>
      </w:r>
      <w:bookmarkEnd w:id="18"/>
    </w:p>
    <w:p w:rsidR="00C26E77" w:rsidRPr="003E16FA" w:rsidRDefault="00C26E77" w:rsidP="004A25A4">
      <w:pPr>
        <w:spacing w:after="0"/>
        <w:jc w:val="both"/>
        <w:rPr>
          <w:rFonts w:ascii="Arial" w:hAnsi="Arial" w:cs="Arial"/>
        </w:rPr>
      </w:pPr>
    </w:p>
    <w:p w:rsidR="00C26E77" w:rsidRPr="003E16FA" w:rsidRDefault="00C26E77" w:rsidP="004A25A4">
      <w:pPr>
        <w:spacing w:after="0"/>
        <w:jc w:val="both"/>
        <w:rPr>
          <w:rFonts w:ascii="Arial" w:hAnsi="Arial" w:cs="Arial"/>
        </w:rPr>
      </w:pPr>
      <w:r w:rsidRPr="003E16FA">
        <w:rPr>
          <w:rFonts w:ascii="Arial" w:hAnsi="Arial" w:cs="Arial"/>
        </w:rPr>
        <w:t>Minimalna koncesiona naknada za eksploataciju (čl. 3 Uredbe) određuje se na osnovu sljedećih kriterijuma:</w:t>
      </w:r>
    </w:p>
    <w:p w:rsidR="00C26E77" w:rsidRPr="003E16FA" w:rsidRDefault="00C26E77" w:rsidP="004A25A4">
      <w:pPr>
        <w:numPr>
          <w:ilvl w:val="0"/>
          <w:numId w:val="11"/>
        </w:numPr>
        <w:suppressAutoHyphens/>
        <w:spacing w:after="0"/>
        <w:ind w:left="0" w:firstLine="0"/>
        <w:jc w:val="both"/>
        <w:rPr>
          <w:rFonts w:ascii="Arial" w:hAnsi="Arial" w:cs="Arial"/>
        </w:rPr>
      </w:pPr>
      <w:r w:rsidRPr="003E16FA">
        <w:rPr>
          <w:rFonts w:ascii="Arial" w:hAnsi="Arial" w:cs="Arial"/>
        </w:rPr>
        <w:t>rezervi mineralne sirovine koja je predmet koncesije;</w:t>
      </w:r>
    </w:p>
    <w:p w:rsidR="00C26E77" w:rsidRPr="003E16FA" w:rsidRDefault="00C26E77" w:rsidP="004A25A4">
      <w:pPr>
        <w:numPr>
          <w:ilvl w:val="0"/>
          <w:numId w:val="11"/>
        </w:numPr>
        <w:suppressAutoHyphens/>
        <w:spacing w:after="0"/>
        <w:ind w:left="0" w:firstLine="0"/>
        <w:jc w:val="both"/>
        <w:rPr>
          <w:rFonts w:ascii="Arial" w:hAnsi="Arial" w:cs="Arial"/>
        </w:rPr>
      </w:pPr>
      <w:r w:rsidRPr="003E16FA">
        <w:rPr>
          <w:rFonts w:ascii="Arial" w:hAnsi="Arial" w:cs="Arial"/>
        </w:rPr>
        <w:t>pripadnosti grupi ležišta;</w:t>
      </w:r>
    </w:p>
    <w:p w:rsidR="00C26E77" w:rsidRPr="003E16FA" w:rsidRDefault="00C26E77" w:rsidP="004A25A4">
      <w:pPr>
        <w:numPr>
          <w:ilvl w:val="0"/>
          <w:numId w:val="11"/>
        </w:numPr>
        <w:suppressAutoHyphens/>
        <w:spacing w:after="0"/>
        <w:ind w:left="0" w:firstLine="0"/>
        <w:jc w:val="both"/>
        <w:rPr>
          <w:rFonts w:ascii="Arial" w:hAnsi="Arial" w:cs="Arial"/>
        </w:rPr>
      </w:pPr>
      <w:r w:rsidRPr="003E16FA">
        <w:rPr>
          <w:rFonts w:ascii="Arial" w:hAnsi="Arial" w:cs="Arial"/>
        </w:rPr>
        <w:t>kvaliteta mineralne sirovine; i</w:t>
      </w:r>
    </w:p>
    <w:p w:rsidR="00C26E77" w:rsidRPr="003E16FA" w:rsidRDefault="00C26E77" w:rsidP="004A25A4">
      <w:pPr>
        <w:numPr>
          <w:ilvl w:val="0"/>
          <w:numId w:val="11"/>
        </w:numPr>
        <w:suppressAutoHyphens/>
        <w:spacing w:after="0"/>
        <w:ind w:left="0" w:firstLine="0"/>
        <w:jc w:val="both"/>
        <w:rPr>
          <w:rFonts w:ascii="Arial" w:hAnsi="Arial" w:cs="Arial"/>
        </w:rPr>
      </w:pPr>
      <w:r w:rsidRPr="003E16FA">
        <w:rPr>
          <w:rFonts w:ascii="Arial" w:hAnsi="Arial" w:cs="Arial"/>
        </w:rPr>
        <w:t>tržišne cijene mineralne sirovine.</w:t>
      </w:r>
    </w:p>
    <w:p w:rsidR="00C26E77" w:rsidRPr="003E16FA" w:rsidRDefault="00C26E77" w:rsidP="004A25A4">
      <w:pPr>
        <w:spacing w:after="0"/>
        <w:jc w:val="both"/>
        <w:rPr>
          <w:rFonts w:ascii="Arial" w:hAnsi="Arial" w:cs="Arial"/>
        </w:rPr>
      </w:pPr>
    </w:p>
    <w:p w:rsidR="00C26E77" w:rsidRPr="003E16FA" w:rsidRDefault="00C26E77" w:rsidP="004A25A4">
      <w:pPr>
        <w:pStyle w:val="Heading3"/>
        <w:numPr>
          <w:ilvl w:val="2"/>
          <w:numId w:val="0"/>
        </w:numPr>
        <w:suppressAutoHyphens/>
        <w:spacing w:line="276" w:lineRule="auto"/>
        <w:jc w:val="both"/>
        <w:rPr>
          <w:rFonts w:ascii="Arial" w:hAnsi="Arial" w:cs="Arial"/>
          <w:b/>
          <w:sz w:val="22"/>
          <w:szCs w:val="22"/>
        </w:rPr>
      </w:pPr>
      <w:bookmarkStart w:id="19" w:name="_Toc402262955"/>
      <w:r w:rsidRPr="003E16FA">
        <w:rPr>
          <w:rFonts w:ascii="Arial" w:hAnsi="Arial" w:cs="Arial"/>
          <w:b/>
          <w:sz w:val="22"/>
          <w:szCs w:val="22"/>
        </w:rPr>
        <w:t>9.1.1  Rezerve mineralne sirovine</w:t>
      </w:r>
      <w:bookmarkEnd w:id="19"/>
    </w:p>
    <w:p w:rsidR="00C26E77" w:rsidRPr="003E16FA" w:rsidRDefault="00C26E77" w:rsidP="004A25A4">
      <w:pPr>
        <w:spacing w:after="0"/>
        <w:jc w:val="both"/>
        <w:rPr>
          <w:rFonts w:ascii="Arial" w:hAnsi="Arial" w:cs="Arial"/>
          <w:b/>
        </w:rPr>
      </w:pPr>
    </w:p>
    <w:p w:rsidR="00C26E77" w:rsidRPr="003E16FA" w:rsidRDefault="00C26E77" w:rsidP="004A25A4">
      <w:pPr>
        <w:spacing w:after="0"/>
        <w:jc w:val="both"/>
        <w:rPr>
          <w:rFonts w:ascii="Arial" w:hAnsi="Arial" w:cs="Arial"/>
        </w:rPr>
      </w:pPr>
      <w:r w:rsidRPr="003E16FA">
        <w:rPr>
          <w:rFonts w:ascii="Arial" w:hAnsi="Arial" w:cs="Arial"/>
        </w:rPr>
        <w:t>Utvrđene eksploatacione rezerve B+C</w:t>
      </w:r>
      <w:r w:rsidRPr="003E16FA">
        <w:rPr>
          <w:rFonts w:ascii="Arial" w:hAnsi="Arial" w:cs="Arial"/>
          <w:vertAlign w:val="subscript"/>
        </w:rPr>
        <w:t>1</w:t>
      </w:r>
      <w:r w:rsidRPr="003E16FA">
        <w:rPr>
          <w:rFonts w:ascii="Arial" w:hAnsi="Arial" w:cs="Arial"/>
        </w:rPr>
        <w:t xml:space="preserve"> kategorije  tehničko-građevinskog</w:t>
      </w:r>
      <w:r w:rsidR="009F7BDE" w:rsidRPr="003E16FA">
        <w:rPr>
          <w:rFonts w:ascii="Arial" w:hAnsi="Arial" w:cs="Arial"/>
        </w:rPr>
        <w:t xml:space="preserve"> kamena na ležištu „Otilovići</w:t>
      </w:r>
      <w:r w:rsidRPr="003E16FA">
        <w:rPr>
          <w:rFonts w:ascii="Arial" w:hAnsi="Arial" w:cs="Arial"/>
        </w:rPr>
        <w:t xml:space="preserve">“  iznose </w:t>
      </w:r>
      <w:r w:rsidR="009F7BDE" w:rsidRPr="003E16FA">
        <w:rPr>
          <w:rFonts w:ascii="Arial" w:hAnsi="Arial" w:cs="Arial"/>
          <w:bCs/>
          <w:iCs/>
        </w:rPr>
        <w:t>1.865.714,00</w:t>
      </w:r>
      <w:r w:rsidRPr="003E16FA">
        <w:rPr>
          <w:rFonts w:ascii="Arial" w:hAnsi="Arial" w:cs="Arial"/>
        </w:rPr>
        <w:t xml:space="preserve"> m</w:t>
      </w:r>
      <w:r w:rsidRPr="003E16FA">
        <w:rPr>
          <w:rFonts w:ascii="Arial" w:hAnsi="Arial" w:cs="Arial"/>
          <w:vertAlign w:val="superscript"/>
        </w:rPr>
        <w:t xml:space="preserve">3 </w:t>
      </w:r>
      <w:r w:rsidRPr="003E16FA">
        <w:rPr>
          <w:rFonts w:ascii="Arial" w:hAnsi="Arial" w:cs="Arial"/>
        </w:rPr>
        <w:t>č.s.m.</w:t>
      </w:r>
    </w:p>
    <w:p w:rsidR="00C26E77" w:rsidRPr="003E16FA" w:rsidRDefault="00C26E77" w:rsidP="004A25A4">
      <w:pPr>
        <w:spacing w:after="0"/>
        <w:jc w:val="both"/>
        <w:rPr>
          <w:rFonts w:ascii="Arial" w:hAnsi="Arial" w:cs="Arial"/>
        </w:rPr>
      </w:pPr>
      <w:r w:rsidRPr="003E16FA">
        <w:rPr>
          <w:rFonts w:ascii="Arial" w:hAnsi="Arial" w:cs="Arial"/>
        </w:rPr>
        <w:t>Prema minimalno</w:t>
      </w:r>
      <w:r w:rsidR="00FF7306" w:rsidRPr="003E16FA">
        <w:rPr>
          <w:rFonts w:ascii="Arial" w:hAnsi="Arial" w:cs="Arial"/>
        </w:rPr>
        <w:t>m godišnjem kapacitetu od 10.000</w:t>
      </w:r>
      <w:r w:rsidRPr="003E16FA">
        <w:rPr>
          <w:rFonts w:ascii="Arial" w:hAnsi="Arial" w:cs="Arial"/>
        </w:rPr>
        <w:t xml:space="preserve"> m</w:t>
      </w:r>
      <w:r w:rsidRPr="003E16FA">
        <w:rPr>
          <w:rFonts w:ascii="Arial" w:hAnsi="Arial" w:cs="Arial"/>
          <w:vertAlign w:val="superscript"/>
        </w:rPr>
        <w:t xml:space="preserve">3 </w:t>
      </w:r>
      <w:r w:rsidRPr="003E16FA">
        <w:rPr>
          <w:rFonts w:ascii="Arial" w:hAnsi="Arial" w:cs="Arial"/>
        </w:rPr>
        <w:t>č.s.m. tehničko-građevinskog kamena, za period od 2</w:t>
      </w:r>
      <w:r w:rsidR="00973E75" w:rsidRPr="003E16FA">
        <w:rPr>
          <w:rFonts w:ascii="Arial" w:hAnsi="Arial" w:cs="Arial"/>
        </w:rPr>
        <w:t>0</w:t>
      </w:r>
      <w:r w:rsidRPr="003E16FA">
        <w:rPr>
          <w:rFonts w:ascii="Arial" w:hAnsi="Arial" w:cs="Arial"/>
        </w:rPr>
        <w:t xml:space="preserve"> godina (period koncesije za eksp</w:t>
      </w:r>
      <w:r w:rsidR="00FF7306" w:rsidRPr="003E16FA">
        <w:rPr>
          <w:rFonts w:ascii="Arial" w:hAnsi="Arial" w:cs="Arial"/>
        </w:rPr>
        <w:t>loataciju) otkopalo bi se 2</w:t>
      </w:r>
      <w:r w:rsidR="00973E75" w:rsidRPr="003E16FA">
        <w:rPr>
          <w:rFonts w:ascii="Arial" w:hAnsi="Arial" w:cs="Arial"/>
        </w:rPr>
        <w:t>0</w:t>
      </w:r>
      <w:r w:rsidR="00FF7306" w:rsidRPr="003E16FA">
        <w:rPr>
          <w:rFonts w:ascii="Arial" w:hAnsi="Arial" w:cs="Arial"/>
        </w:rPr>
        <w:t xml:space="preserve">0.000 </w:t>
      </w:r>
      <w:r w:rsidRPr="003E16FA">
        <w:rPr>
          <w:rFonts w:ascii="Arial" w:hAnsi="Arial" w:cs="Arial"/>
        </w:rPr>
        <w:t>m</w:t>
      </w:r>
      <w:r w:rsidRPr="003E16FA">
        <w:rPr>
          <w:rFonts w:ascii="Arial" w:hAnsi="Arial" w:cs="Arial"/>
          <w:vertAlign w:val="superscript"/>
        </w:rPr>
        <w:t>3</w:t>
      </w:r>
      <w:r w:rsidRPr="003E16FA">
        <w:rPr>
          <w:rFonts w:ascii="Arial" w:hAnsi="Arial" w:cs="Arial"/>
        </w:rPr>
        <w:t xml:space="preserve"> č.s.m tehnič</w:t>
      </w:r>
      <w:r w:rsidR="00E14305" w:rsidRPr="003E16FA">
        <w:rPr>
          <w:rFonts w:ascii="Arial" w:hAnsi="Arial" w:cs="Arial"/>
        </w:rPr>
        <w:t>ko-građevinskog kamena. Od 10.000</w:t>
      </w:r>
      <w:r w:rsidRPr="003E16FA">
        <w:rPr>
          <w:rFonts w:ascii="Arial" w:hAnsi="Arial" w:cs="Arial"/>
        </w:rPr>
        <w:t xml:space="preserve"> m</w:t>
      </w:r>
      <w:r w:rsidRPr="003E16FA">
        <w:rPr>
          <w:rFonts w:ascii="Arial" w:hAnsi="Arial" w:cs="Arial"/>
          <w:vertAlign w:val="superscript"/>
        </w:rPr>
        <w:t xml:space="preserve">3 </w:t>
      </w:r>
      <w:r w:rsidRPr="003E16FA">
        <w:rPr>
          <w:rFonts w:ascii="Arial" w:hAnsi="Arial" w:cs="Arial"/>
        </w:rPr>
        <w:t>č.s.m. na godišnjem nivou u procesu dalje obrad</w:t>
      </w:r>
      <w:r w:rsidR="00E14305" w:rsidRPr="003E16FA">
        <w:rPr>
          <w:rFonts w:ascii="Arial" w:hAnsi="Arial" w:cs="Arial"/>
        </w:rPr>
        <w:t xml:space="preserve">e sirovine dobilo bi se 15.000 </w:t>
      </w:r>
      <w:r w:rsidRPr="003E16FA">
        <w:rPr>
          <w:rFonts w:ascii="Arial" w:hAnsi="Arial" w:cs="Arial"/>
        </w:rPr>
        <w:t>m</w:t>
      </w:r>
      <w:r w:rsidRPr="003E16FA">
        <w:rPr>
          <w:rFonts w:ascii="Arial" w:hAnsi="Arial" w:cs="Arial"/>
          <w:vertAlign w:val="superscript"/>
        </w:rPr>
        <w:t>3</w:t>
      </w:r>
      <w:r w:rsidRPr="003E16FA">
        <w:rPr>
          <w:rFonts w:ascii="Arial" w:hAnsi="Arial" w:cs="Arial"/>
        </w:rPr>
        <w:t xml:space="preserve"> agregata različitih frakcija (k</w:t>
      </w:r>
      <w:r w:rsidRPr="003E16FA">
        <w:rPr>
          <w:rFonts w:ascii="Arial" w:hAnsi="Arial" w:cs="Arial"/>
          <w:vertAlign w:val="subscript"/>
        </w:rPr>
        <w:t>r</w:t>
      </w:r>
      <w:r w:rsidRPr="003E16FA">
        <w:rPr>
          <w:rFonts w:ascii="Arial" w:hAnsi="Arial" w:cs="Arial"/>
        </w:rPr>
        <w:t>,=1,5) što bi za period od 2</w:t>
      </w:r>
      <w:r w:rsidR="00973E75" w:rsidRPr="003E16FA">
        <w:rPr>
          <w:rFonts w:ascii="Arial" w:hAnsi="Arial" w:cs="Arial"/>
        </w:rPr>
        <w:t>0</w:t>
      </w:r>
      <w:r w:rsidR="00E14305" w:rsidRPr="003E16FA">
        <w:rPr>
          <w:rFonts w:ascii="Arial" w:hAnsi="Arial" w:cs="Arial"/>
        </w:rPr>
        <w:t xml:space="preserve"> godina iznosilo </w:t>
      </w:r>
      <w:r w:rsidR="00973E75" w:rsidRPr="003E16FA">
        <w:rPr>
          <w:rFonts w:ascii="Arial" w:hAnsi="Arial" w:cs="Arial"/>
        </w:rPr>
        <w:t>300</w:t>
      </w:r>
      <w:r w:rsidR="00E14305" w:rsidRPr="003E16FA">
        <w:rPr>
          <w:rFonts w:ascii="Arial" w:hAnsi="Arial" w:cs="Arial"/>
        </w:rPr>
        <w:t>.000</w:t>
      </w:r>
      <w:r w:rsidRPr="003E16FA">
        <w:rPr>
          <w:rFonts w:ascii="Arial" w:hAnsi="Arial" w:cs="Arial"/>
        </w:rPr>
        <w:t xml:space="preserve"> m</w:t>
      </w:r>
      <w:r w:rsidRPr="003E16FA">
        <w:rPr>
          <w:rFonts w:ascii="Arial" w:hAnsi="Arial" w:cs="Arial"/>
          <w:vertAlign w:val="superscript"/>
        </w:rPr>
        <w:t>3</w:t>
      </w:r>
      <w:r w:rsidRPr="003E16FA">
        <w:rPr>
          <w:rFonts w:ascii="Arial" w:hAnsi="Arial" w:cs="Arial"/>
        </w:rPr>
        <w:t xml:space="preserve"> tržišnog proizvoda.</w:t>
      </w:r>
    </w:p>
    <w:p w:rsidR="00C26E77" w:rsidRPr="003E16FA" w:rsidRDefault="00C26E77" w:rsidP="004A25A4">
      <w:pPr>
        <w:spacing w:after="0"/>
        <w:jc w:val="both"/>
        <w:rPr>
          <w:rFonts w:ascii="Arial" w:hAnsi="Arial" w:cs="Arial"/>
          <w:b/>
        </w:rPr>
      </w:pPr>
    </w:p>
    <w:p w:rsidR="00C26E77" w:rsidRPr="003E16FA" w:rsidRDefault="00C26E77" w:rsidP="004A25A4">
      <w:pPr>
        <w:pStyle w:val="Heading3"/>
        <w:numPr>
          <w:ilvl w:val="2"/>
          <w:numId w:val="0"/>
        </w:numPr>
        <w:suppressAutoHyphens/>
        <w:spacing w:line="276" w:lineRule="auto"/>
        <w:jc w:val="both"/>
        <w:rPr>
          <w:rFonts w:ascii="Arial" w:hAnsi="Arial" w:cs="Arial"/>
          <w:b/>
          <w:sz w:val="22"/>
          <w:szCs w:val="22"/>
        </w:rPr>
      </w:pPr>
      <w:bookmarkStart w:id="20" w:name="_Toc402262956"/>
      <w:r w:rsidRPr="003E16FA">
        <w:rPr>
          <w:rFonts w:ascii="Arial" w:hAnsi="Arial" w:cs="Arial"/>
          <w:b/>
          <w:sz w:val="22"/>
          <w:szCs w:val="22"/>
        </w:rPr>
        <w:t>9.1.2  Pripadnost grupi ležišta</w:t>
      </w:r>
      <w:bookmarkEnd w:id="20"/>
    </w:p>
    <w:p w:rsidR="00C26E77" w:rsidRPr="003E16FA" w:rsidRDefault="00C26E77" w:rsidP="004A25A4">
      <w:pPr>
        <w:spacing w:after="0"/>
        <w:jc w:val="both"/>
        <w:rPr>
          <w:rFonts w:ascii="Arial" w:hAnsi="Arial" w:cs="Arial"/>
        </w:rPr>
      </w:pPr>
    </w:p>
    <w:p w:rsidR="00C26E77" w:rsidRPr="003E16FA" w:rsidRDefault="00C26E77" w:rsidP="004A25A4">
      <w:pPr>
        <w:spacing w:after="0"/>
        <w:jc w:val="both"/>
        <w:rPr>
          <w:rFonts w:ascii="Arial" w:hAnsi="Arial" w:cs="Arial"/>
        </w:rPr>
      </w:pPr>
      <w:r w:rsidRPr="003E16FA">
        <w:rPr>
          <w:rFonts w:ascii="Arial" w:hAnsi="Arial" w:cs="Arial"/>
        </w:rPr>
        <w:t>Ležište tehničko-g</w:t>
      </w:r>
      <w:r w:rsidR="009F7BDE" w:rsidRPr="003E16FA">
        <w:rPr>
          <w:rFonts w:ascii="Arial" w:hAnsi="Arial" w:cs="Arial"/>
        </w:rPr>
        <w:t xml:space="preserve">rađevinskog kamena „Otilovići“, </w:t>
      </w:r>
      <w:r w:rsidRPr="003E16FA">
        <w:rPr>
          <w:rFonts w:ascii="Arial" w:hAnsi="Arial" w:cs="Arial"/>
        </w:rPr>
        <w:t>prema navedenoj Uredbi, a na osnovu postojećih karakteristika i očekivanih uslova za eksploataciju, svrstana je u treću grupu geogenih ležišta (G</w:t>
      </w:r>
      <w:r w:rsidRPr="003E16FA">
        <w:rPr>
          <w:rFonts w:ascii="Arial" w:hAnsi="Arial" w:cs="Arial"/>
          <w:vertAlign w:val="subscript"/>
        </w:rPr>
        <w:t>3</w:t>
      </w:r>
      <w:r w:rsidRPr="003E16FA">
        <w:rPr>
          <w:rFonts w:ascii="Arial" w:hAnsi="Arial" w:cs="Arial"/>
        </w:rPr>
        <w:t>).</w:t>
      </w:r>
    </w:p>
    <w:p w:rsidR="00C26E77" w:rsidRPr="003E16FA" w:rsidRDefault="00C26E77" w:rsidP="004A25A4">
      <w:pPr>
        <w:spacing w:after="0"/>
        <w:jc w:val="both"/>
        <w:rPr>
          <w:rFonts w:ascii="Arial" w:hAnsi="Arial" w:cs="Arial"/>
        </w:rPr>
      </w:pPr>
      <w:r w:rsidRPr="003E16FA">
        <w:rPr>
          <w:rFonts w:ascii="Arial" w:hAnsi="Arial" w:cs="Arial"/>
        </w:rPr>
        <w:lastRenderedPageBreak/>
        <w:t xml:space="preserve">Po tom osnovu procentni iznos za obračun minimalne - početne koncesione naknade (čl. 15 Uredbe) iznosi </w:t>
      </w:r>
      <w:r w:rsidRPr="003E16FA">
        <w:rPr>
          <w:rFonts w:ascii="Arial" w:hAnsi="Arial" w:cs="Arial"/>
          <w:b/>
        </w:rPr>
        <w:t>7%</w:t>
      </w:r>
      <w:r w:rsidRPr="003E16FA">
        <w:rPr>
          <w:rFonts w:ascii="Arial" w:hAnsi="Arial" w:cs="Arial"/>
        </w:rPr>
        <w:t xml:space="preserve"> od tržišne vrijednosti eksploatacionih rezervi tehničko-građevinskog kamena, za koncesioni period za eksploataciju od 2</w:t>
      </w:r>
      <w:r w:rsidR="00973E75" w:rsidRPr="003E16FA">
        <w:rPr>
          <w:rFonts w:ascii="Arial" w:hAnsi="Arial" w:cs="Arial"/>
        </w:rPr>
        <w:t>0</w:t>
      </w:r>
      <w:r w:rsidRPr="003E16FA">
        <w:rPr>
          <w:rFonts w:ascii="Arial" w:hAnsi="Arial" w:cs="Arial"/>
        </w:rPr>
        <w:t xml:space="preserve"> godina.</w:t>
      </w:r>
    </w:p>
    <w:p w:rsidR="00C26E77" w:rsidRPr="003E16FA" w:rsidRDefault="00C26E77" w:rsidP="004A25A4">
      <w:pPr>
        <w:spacing w:after="0"/>
        <w:jc w:val="both"/>
        <w:rPr>
          <w:rFonts w:ascii="Arial" w:hAnsi="Arial" w:cs="Arial"/>
        </w:rPr>
      </w:pPr>
    </w:p>
    <w:p w:rsidR="00C26E77" w:rsidRPr="003E16FA" w:rsidRDefault="00C26E77" w:rsidP="004A25A4">
      <w:pPr>
        <w:pStyle w:val="Heading3"/>
        <w:numPr>
          <w:ilvl w:val="2"/>
          <w:numId w:val="0"/>
        </w:numPr>
        <w:suppressAutoHyphens/>
        <w:spacing w:line="276" w:lineRule="auto"/>
        <w:jc w:val="both"/>
        <w:rPr>
          <w:rFonts w:ascii="Arial" w:hAnsi="Arial" w:cs="Arial"/>
          <w:b/>
          <w:sz w:val="22"/>
          <w:szCs w:val="22"/>
        </w:rPr>
      </w:pPr>
      <w:bookmarkStart w:id="21" w:name="_Toc402262957"/>
      <w:r w:rsidRPr="003E16FA">
        <w:rPr>
          <w:rFonts w:ascii="Arial" w:hAnsi="Arial" w:cs="Arial"/>
          <w:b/>
          <w:sz w:val="22"/>
          <w:szCs w:val="22"/>
        </w:rPr>
        <w:t>9.1.3   Kvalitet mineralne sirovine</w:t>
      </w:r>
      <w:bookmarkEnd w:id="21"/>
    </w:p>
    <w:p w:rsidR="00C26E77" w:rsidRPr="003E16FA" w:rsidRDefault="00C26E77" w:rsidP="004A25A4">
      <w:pPr>
        <w:spacing w:after="0"/>
        <w:jc w:val="both"/>
        <w:rPr>
          <w:rFonts w:ascii="Arial" w:hAnsi="Arial" w:cs="Arial"/>
        </w:rPr>
      </w:pPr>
    </w:p>
    <w:p w:rsidR="00C26E77" w:rsidRPr="003E16FA" w:rsidRDefault="00C26E77" w:rsidP="004A25A4">
      <w:pPr>
        <w:spacing w:after="0"/>
        <w:jc w:val="both"/>
        <w:rPr>
          <w:rFonts w:ascii="Arial" w:hAnsi="Arial" w:cs="Arial"/>
        </w:rPr>
      </w:pPr>
      <w:r w:rsidRPr="003E16FA">
        <w:rPr>
          <w:rFonts w:ascii="Arial" w:hAnsi="Arial" w:cs="Arial"/>
        </w:rPr>
        <w:t>Ovjerene rezerve tehničko-građevinskog kamena, na osnovu rezultata laboratorijskih ispitivanja, a saglasno odredbama odgovarajućih standarda, tehničko-građevi</w:t>
      </w:r>
      <w:r w:rsidR="009F7BDE" w:rsidRPr="003E16FA">
        <w:rPr>
          <w:rFonts w:ascii="Arial" w:hAnsi="Arial" w:cs="Arial"/>
        </w:rPr>
        <w:t>nski kamen ležišta „Otilovići</w:t>
      </w:r>
      <w:r w:rsidRPr="003E16FA">
        <w:rPr>
          <w:rFonts w:ascii="Arial" w:hAnsi="Arial" w:cs="Arial"/>
        </w:rPr>
        <w:t>“ se može upotrijebiti:</w:t>
      </w:r>
    </w:p>
    <w:p w:rsidR="004A25A4" w:rsidRPr="003E16FA" w:rsidRDefault="004A25A4" w:rsidP="004A25A4">
      <w:pPr>
        <w:spacing w:after="0"/>
        <w:jc w:val="both"/>
        <w:rPr>
          <w:rFonts w:ascii="Arial" w:hAnsi="Arial" w:cs="Arial"/>
        </w:rPr>
      </w:pPr>
    </w:p>
    <w:p w:rsidR="009F7BDE" w:rsidRPr="003E16FA" w:rsidRDefault="009F7BDE" w:rsidP="004A25A4">
      <w:pPr>
        <w:pStyle w:val="ListParagraph"/>
        <w:numPr>
          <w:ilvl w:val="0"/>
          <w:numId w:val="39"/>
        </w:numPr>
        <w:spacing w:after="0"/>
        <w:jc w:val="both"/>
        <w:rPr>
          <w:rFonts w:ascii="Arial" w:hAnsi="Arial" w:cs="Arial"/>
        </w:rPr>
      </w:pPr>
      <w:r w:rsidRPr="003E16FA">
        <w:rPr>
          <w:rFonts w:ascii="Arial" w:hAnsi="Arial" w:cs="Arial"/>
        </w:rPr>
        <w:t>kao sirovina za proizvodnju agregata za izradu betona koji nijesu izloženi habanju i eroziji (SRPS B.B2.009),</w:t>
      </w:r>
    </w:p>
    <w:p w:rsidR="009F7BDE" w:rsidRPr="003E16FA" w:rsidRDefault="009F7BDE" w:rsidP="004A25A4">
      <w:pPr>
        <w:pStyle w:val="ListParagraph"/>
        <w:numPr>
          <w:ilvl w:val="0"/>
          <w:numId w:val="39"/>
        </w:numPr>
        <w:spacing w:after="0"/>
        <w:jc w:val="both"/>
        <w:rPr>
          <w:rFonts w:ascii="Arial" w:hAnsi="Arial" w:cs="Arial"/>
        </w:rPr>
      </w:pPr>
      <w:r w:rsidRPr="003E16FA">
        <w:rPr>
          <w:rFonts w:ascii="Arial" w:hAnsi="Arial" w:cs="Arial"/>
        </w:rPr>
        <w:t>kao sirovina za proizvodnju agregata za klasične i savremene podloge za puteve za lak i srednji saobraćaj (SRPS U.E9.020),</w:t>
      </w:r>
    </w:p>
    <w:p w:rsidR="009F7BDE" w:rsidRPr="003E16FA" w:rsidRDefault="009F7BDE" w:rsidP="004A25A4">
      <w:pPr>
        <w:pStyle w:val="ListParagraph"/>
        <w:numPr>
          <w:ilvl w:val="0"/>
          <w:numId w:val="39"/>
        </w:numPr>
        <w:spacing w:after="0"/>
        <w:jc w:val="both"/>
        <w:rPr>
          <w:rFonts w:ascii="Arial" w:hAnsi="Arial" w:cs="Arial"/>
        </w:rPr>
      </w:pPr>
      <w:r w:rsidRPr="003E16FA">
        <w:rPr>
          <w:rFonts w:ascii="Arial" w:hAnsi="Arial" w:cs="Arial"/>
        </w:rPr>
        <w:t>kao sirovina za proizvodnju agregata za gornje i donje noseće slojeve od bituminiziranog materijala po vrućem postupku (SRPS U.E9.021 i SRPS U.E9.028), i</w:t>
      </w:r>
    </w:p>
    <w:p w:rsidR="009F7BDE" w:rsidRPr="003E16FA" w:rsidRDefault="009F7BDE" w:rsidP="004A25A4">
      <w:pPr>
        <w:pStyle w:val="ListParagraph"/>
        <w:numPr>
          <w:ilvl w:val="0"/>
          <w:numId w:val="39"/>
        </w:numPr>
        <w:spacing w:after="0"/>
        <w:jc w:val="both"/>
        <w:rPr>
          <w:rFonts w:ascii="Arial" w:hAnsi="Arial" w:cs="Arial"/>
        </w:rPr>
      </w:pPr>
      <w:r w:rsidRPr="003E16FA">
        <w:rPr>
          <w:rFonts w:ascii="Arial" w:hAnsi="Arial" w:cs="Arial"/>
        </w:rPr>
        <w:t>kao sirovina za proizvodnju lomljenog kamena i tesanika za gruba zidanja u niskogradnji i hidrogradnji.</w:t>
      </w:r>
    </w:p>
    <w:p w:rsidR="00C26E77" w:rsidRPr="003E16FA" w:rsidRDefault="00C26E77" w:rsidP="004A25A4">
      <w:pPr>
        <w:spacing w:after="0"/>
        <w:jc w:val="both"/>
        <w:rPr>
          <w:rFonts w:ascii="Arial" w:hAnsi="Arial" w:cs="Arial"/>
        </w:rPr>
      </w:pPr>
    </w:p>
    <w:p w:rsidR="00C26E77" w:rsidRPr="003E16FA" w:rsidRDefault="00C26E77" w:rsidP="004A25A4">
      <w:pPr>
        <w:spacing w:after="0"/>
        <w:jc w:val="both"/>
        <w:rPr>
          <w:rFonts w:ascii="Arial" w:hAnsi="Arial" w:cs="Arial"/>
        </w:rPr>
      </w:pPr>
      <w:r w:rsidRPr="003E16FA">
        <w:rPr>
          <w:rFonts w:ascii="Arial" w:hAnsi="Arial" w:cs="Arial"/>
        </w:rPr>
        <w:t>Napomena: ovaj podatak, u skladu sa članom 17 navedene Uredbe, se koristi za korekciju promjenjivog dijela naknade.</w:t>
      </w:r>
    </w:p>
    <w:p w:rsidR="00C26E77" w:rsidRPr="003E16FA" w:rsidRDefault="00C26E77" w:rsidP="004A25A4">
      <w:pPr>
        <w:spacing w:after="0"/>
        <w:jc w:val="both"/>
        <w:rPr>
          <w:rFonts w:ascii="Arial" w:hAnsi="Arial" w:cs="Arial"/>
        </w:rPr>
      </w:pPr>
    </w:p>
    <w:p w:rsidR="00C26E77" w:rsidRPr="003E16FA" w:rsidRDefault="00C26E77" w:rsidP="004A25A4">
      <w:pPr>
        <w:pStyle w:val="Heading3"/>
        <w:numPr>
          <w:ilvl w:val="2"/>
          <w:numId w:val="0"/>
        </w:numPr>
        <w:suppressAutoHyphens/>
        <w:spacing w:line="276" w:lineRule="auto"/>
        <w:jc w:val="both"/>
        <w:rPr>
          <w:rFonts w:ascii="Arial" w:hAnsi="Arial" w:cs="Arial"/>
          <w:b/>
          <w:sz w:val="22"/>
          <w:szCs w:val="22"/>
        </w:rPr>
      </w:pPr>
      <w:bookmarkStart w:id="22" w:name="_Toc402262958"/>
      <w:r w:rsidRPr="003E16FA">
        <w:rPr>
          <w:rFonts w:ascii="Arial" w:hAnsi="Arial" w:cs="Arial"/>
          <w:b/>
          <w:sz w:val="22"/>
          <w:szCs w:val="22"/>
        </w:rPr>
        <w:t>9.1.4  Tržišna vrijednost rezervi</w:t>
      </w:r>
      <w:bookmarkEnd w:id="22"/>
    </w:p>
    <w:p w:rsidR="00C26E77" w:rsidRPr="003E16FA" w:rsidRDefault="00C26E77" w:rsidP="004A25A4">
      <w:pPr>
        <w:spacing w:after="0"/>
        <w:jc w:val="both"/>
        <w:rPr>
          <w:rFonts w:ascii="Arial" w:hAnsi="Arial" w:cs="Arial"/>
        </w:rPr>
      </w:pPr>
    </w:p>
    <w:p w:rsidR="00C26E77" w:rsidRPr="003E16FA" w:rsidRDefault="00C26E77" w:rsidP="004A25A4">
      <w:pPr>
        <w:spacing w:after="0"/>
        <w:jc w:val="both"/>
        <w:rPr>
          <w:rFonts w:ascii="Arial" w:hAnsi="Arial" w:cs="Arial"/>
        </w:rPr>
      </w:pPr>
      <w:r w:rsidRPr="003E16FA">
        <w:rPr>
          <w:rFonts w:ascii="Arial" w:hAnsi="Arial" w:cs="Arial"/>
        </w:rPr>
        <w:t>Na osnovu podataka, dostavljenih od Zavoda za statistiku, akt br. 12-596/2 od 08.03.2017. godine, arhiviran u Ministarstvu pod br. 970-55/2017-1 od 15.03.2017. godine, prosječna ostvarena cijena proizvoda mineralne sirovine tehničko-građevinskog kamena u Crnoj Gori u 2016. godini  (čl. 16 Uredbe) iznosi  15,91 €/m</w:t>
      </w:r>
      <w:r w:rsidRPr="003E16FA">
        <w:rPr>
          <w:rFonts w:ascii="Arial" w:hAnsi="Arial" w:cs="Arial"/>
          <w:vertAlign w:val="superscript"/>
        </w:rPr>
        <w:t>3</w:t>
      </w:r>
      <w:r w:rsidRPr="003E16FA">
        <w:rPr>
          <w:rFonts w:ascii="Arial" w:hAnsi="Arial" w:cs="Arial"/>
        </w:rPr>
        <w:t>.</w:t>
      </w:r>
    </w:p>
    <w:p w:rsidR="00C26E77" w:rsidRPr="003E16FA" w:rsidRDefault="00C26E77" w:rsidP="004A25A4">
      <w:pPr>
        <w:spacing w:after="0"/>
        <w:jc w:val="both"/>
        <w:rPr>
          <w:rFonts w:ascii="Arial" w:hAnsi="Arial" w:cs="Arial"/>
        </w:rPr>
      </w:pPr>
    </w:p>
    <w:p w:rsidR="00C26E77" w:rsidRPr="003E16FA" w:rsidRDefault="00C26E77" w:rsidP="004A25A4">
      <w:pPr>
        <w:spacing w:after="0"/>
        <w:jc w:val="both"/>
        <w:rPr>
          <w:rFonts w:ascii="Arial" w:hAnsi="Arial" w:cs="Arial"/>
        </w:rPr>
      </w:pPr>
      <w:r w:rsidRPr="003E16FA">
        <w:rPr>
          <w:rFonts w:ascii="Arial" w:hAnsi="Arial" w:cs="Arial"/>
        </w:rPr>
        <w:t>Na osnovu usvojenih parametara, tržišna vrijednost rezervi tehničko-građevinskog kamena koje se mogu otkopati prema minimalnom godišnjem kapacitetu za 2</w:t>
      </w:r>
      <w:r w:rsidR="00973E75" w:rsidRPr="003E16FA">
        <w:rPr>
          <w:rFonts w:ascii="Arial" w:hAnsi="Arial" w:cs="Arial"/>
        </w:rPr>
        <w:t>0</w:t>
      </w:r>
      <w:r w:rsidRPr="003E16FA">
        <w:rPr>
          <w:rFonts w:ascii="Arial" w:hAnsi="Arial" w:cs="Arial"/>
        </w:rPr>
        <w:t xml:space="preserve"> godina je: </w:t>
      </w:r>
    </w:p>
    <w:p w:rsidR="00C26E77" w:rsidRPr="003E16FA" w:rsidRDefault="00C26E77" w:rsidP="004A25A4">
      <w:pPr>
        <w:spacing w:after="0"/>
        <w:jc w:val="both"/>
        <w:rPr>
          <w:rFonts w:ascii="Arial" w:hAnsi="Arial" w:cs="Arial"/>
          <w:b/>
        </w:rPr>
      </w:pPr>
    </w:p>
    <w:p w:rsidR="00C26E77" w:rsidRPr="003E16FA" w:rsidRDefault="00C26E77" w:rsidP="004A25A4">
      <w:pPr>
        <w:spacing w:after="0"/>
        <w:jc w:val="both"/>
        <w:rPr>
          <w:rFonts w:ascii="Arial" w:hAnsi="Arial" w:cs="Arial"/>
          <w:b/>
        </w:rPr>
      </w:pPr>
      <w:r w:rsidRPr="003E16FA">
        <w:rPr>
          <w:rFonts w:ascii="Arial" w:hAnsi="Arial" w:cs="Arial"/>
          <w:b/>
        </w:rPr>
        <w:t xml:space="preserve">VP= </w:t>
      </w:r>
      <w:r w:rsidR="00E14305" w:rsidRPr="003E16FA">
        <w:rPr>
          <w:rFonts w:ascii="Arial" w:hAnsi="Arial" w:cs="Arial"/>
          <w:b/>
        </w:rPr>
        <w:t>2</w:t>
      </w:r>
      <w:r w:rsidR="00973E75" w:rsidRPr="003E16FA">
        <w:rPr>
          <w:rFonts w:ascii="Arial" w:hAnsi="Arial" w:cs="Arial"/>
          <w:b/>
        </w:rPr>
        <w:t>0</w:t>
      </w:r>
      <w:r w:rsidR="00E14305" w:rsidRPr="003E16FA">
        <w:rPr>
          <w:rFonts w:ascii="Arial" w:hAnsi="Arial" w:cs="Arial"/>
          <w:b/>
        </w:rPr>
        <w:t>0.000</w:t>
      </w:r>
      <w:r w:rsidRPr="003E16FA">
        <w:rPr>
          <w:rFonts w:ascii="Arial" w:hAnsi="Arial" w:cs="Arial"/>
          <w:b/>
          <w:vertAlign w:val="superscript"/>
        </w:rPr>
        <w:t xml:space="preserve"> </w:t>
      </w:r>
      <w:r w:rsidRPr="003E16FA">
        <w:rPr>
          <w:rFonts w:ascii="Arial" w:hAnsi="Arial" w:cs="Arial"/>
          <w:b/>
        </w:rPr>
        <w:t>č.s.m x 1,5 x 15,91 €/m</w:t>
      </w:r>
      <w:r w:rsidRPr="003E16FA">
        <w:rPr>
          <w:rFonts w:ascii="Arial" w:hAnsi="Arial" w:cs="Arial"/>
          <w:b/>
          <w:vertAlign w:val="superscript"/>
        </w:rPr>
        <w:t xml:space="preserve">3 </w:t>
      </w:r>
      <w:r w:rsidR="00E14305" w:rsidRPr="003E16FA">
        <w:rPr>
          <w:rFonts w:ascii="Arial" w:hAnsi="Arial" w:cs="Arial"/>
          <w:b/>
        </w:rPr>
        <w:t xml:space="preserve">= </w:t>
      </w:r>
      <w:r w:rsidR="00973E75" w:rsidRPr="003E16FA">
        <w:rPr>
          <w:rFonts w:ascii="Arial" w:hAnsi="Arial" w:cs="Arial"/>
          <w:b/>
        </w:rPr>
        <w:t>4.773,000</w:t>
      </w:r>
      <w:r w:rsidR="00E14305" w:rsidRPr="003E16FA">
        <w:rPr>
          <w:rFonts w:ascii="Arial" w:hAnsi="Arial" w:cs="Arial"/>
          <w:b/>
        </w:rPr>
        <w:t xml:space="preserve"> € ili 238.650</w:t>
      </w:r>
      <w:r w:rsidRPr="003E16FA">
        <w:rPr>
          <w:rFonts w:ascii="Arial" w:hAnsi="Arial" w:cs="Arial"/>
          <w:b/>
        </w:rPr>
        <w:t xml:space="preserve"> €/godišnje</w:t>
      </w:r>
    </w:p>
    <w:p w:rsidR="00C26E77" w:rsidRPr="003E16FA" w:rsidRDefault="00C26E77" w:rsidP="004A25A4">
      <w:pPr>
        <w:spacing w:after="0"/>
        <w:jc w:val="both"/>
        <w:rPr>
          <w:rFonts w:ascii="Arial" w:hAnsi="Arial" w:cs="Arial"/>
          <w:b/>
        </w:rPr>
      </w:pPr>
    </w:p>
    <w:p w:rsidR="00C26E77" w:rsidRPr="003E16FA" w:rsidRDefault="00C26E77" w:rsidP="004A25A4">
      <w:pPr>
        <w:pStyle w:val="Heading2"/>
        <w:numPr>
          <w:ilvl w:val="1"/>
          <w:numId w:val="0"/>
        </w:numPr>
        <w:spacing w:before="0" w:after="0"/>
        <w:jc w:val="both"/>
        <w:rPr>
          <w:sz w:val="22"/>
          <w:szCs w:val="22"/>
        </w:rPr>
      </w:pPr>
      <w:bookmarkStart w:id="23" w:name="_Toc402262959"/>
      <w:r w:rsidRPr="003E16FA">
        <w:rPr>
          <w:sz w:val="22"/>
          <w:szCs w:val="22"/>
        </w:rPr>
        <w:t>Obračun minimalne koncesione naknade</w:t>
      </w:r>
      <w:bookmarkEnd w:id="23"/>
    </w:p>
    <w:p w:rsidR="00C26E77" w:rsidRPr="003E16FA" w:rsidRDefault="00C26E77" w:rsidP="004A25A4">
      <w:pPr>
        <w:spacing w:after="0"/>
        <w:jc w:val="both"/>
        <w:rPr>
          <w:rFonts w:ascii="Arial" w:hAnsi="Arial" w:cs="Arial"/>
        </w:rPr>
      </w:pPr>
    </w:p>
    <w:p w:rsidR="00C26E77" w:rsidRPr="003E16FA" w:rsidRDefault="00C26E77" w:rsidP="004A25A4">
      <w:pPr>
        <w:spacing w:after="0"/>
        <w:jc w:val="both"/>
        <w:rPr>
          <w:rFonts w:ascii="Arial" w:hAnsi="Arial" w:cs="Arial"/>
        </w:rPr>
      </w:pPr>
      <w:r w:rsidRPr="003E16FA">
        <w:rPr>
          <w:rFonts w:ascii="Arial" w:hAnsi="Arial" w:cs="Arial"/>
        </w:rPr>
        <w:t>Minimalna koncesiona naknada za eksploataciju (čl. 18 Uredbe) obračunava se po obrascu:</w:t>
      </w:r>
    </w:p>
    <w:p w:rsidR="00C26E77" w:rsidRPr="003E16FA" w:rsidRDefault="00C26E77" w:rsidP="004A25A4">
      <w:pPr>
        <w:spacing w:after="0"/>
        <w:jc w:val="both"/>
        <w:rPr>
          <w:rFonts w:ascii="Arial" w:hAnsi="Arial" w:cs="Arial"/>
          <w:b/>
        </w:rPr>
      </w:pPr>
    </w:p>
    <w:p w:rsidR="00C26E77" w:rsidRPr="003E16FA" w:rsidRDefault="00C26E77" w:rsidP="004A25A4">
      <w:pPr>
        <w:spacing w:after="0"/>
        <w:jc w:val="both"/>
        <w:rPr>
          <w:rFonts w:ascii="Arial" w:hAnsi="Arial" w:cs="Arial"/>
          <w:b/>
        </w:rPr>
      </w:pPr>
      <w:r w:rsidRPr="003E16FA">
        <w:rPr>
          <w:rFonts w:ascii="Arial" w:hAnsi="Arial" w:cs="Arial"/>
          <w:b/>
        </w:rPr>
        <w:t>MDN= VP x G</w:t>
      </w:r>
    </w:p>
    <w:p w:rsidR="00973E75" w:rsidRPr="003E16FA" w:rsidRDefault="00973E75" w:rsidP="004A25A4">
      <w:pPr>
        <w:spacing w:after="0"/>
        <w:jc w:val="both"/>
        <w:rPr>
          <w:rFonts w:ascii="Arial" w:hAnsi="Arial" w:cs="Arial"/>
        </w:rPr>
      </w:pPr>
    </w:p>
    <w:p w:rsidR="00C26E77" w:rsidRPr="003E16FA" w:rsidRDefault="00C26E77" w:rsidP="004A25A4">
      <w:pPr>
        <w:spacing w:after="0"/>
        <w:jc w:val="both"/>
        <w:rPr>
          <w:rFonts w:ascii="Arial" w:hAnsi="Arial" w:cs="Arial"/>
        </w:rPr>
      </w:pPr>
      <w:r w:rsidRPr="003E16FA">
        <w:rPr>
          <w:rFonts w:ascii="Arial" w:hAnsi="Arial" w:cs="Arial"/>
        </w:rPr>
        <w:t>gdje su</w:t>
      </w:r>
    </w:p>
    <w:p w:rsidR="00C26E77" w:rsidRPr="003E16FA" w:rsidRDefault="00C26E77" w:rsidP="004A25A4">
      <w:pPr>
        <w:spacing w:after="0"/>
        <w:jc w:val="both"/>
        <w:rPr>
          <w:rFonts w:ascii="Arial" w:hAnsi="Arial" w:cs="Arial"/>
        </w:rPr>
      </w:pPr>
      <w:r w:rsidRPr="003E16FA">
        <w:rPr>
          <w:rFonts w:ascii="Arial" w:hAnsi="Arial" w:cs="Arial"/>
        </w:rPr>
        <w:t>VP - vri</w:t>
      </w:r>
      <w:r w:rsidR="00E14305" w:rsidRPr="003E16FA">
        <w:rPr>
          <w:rFonts w:ascii="Arial" w:hAnsi="Arial" w:cs="Arial"/>
        </w:rPr>
        <w:t xml:space="preserve">jednost proizvodnje = </w:t>
      </w:r>
      <w:r w:rsidR="00973E75" w:rsidRPr="003E16FA">
        <w:rPr>
          <w:rFonts w:ascii="Arial" w:hAnsi="Arial" w:cs="Arial"/>
          <w:b/>
        </w:rPr>
        <w:t xml:space="preserve">4.773,000 </w:t>
      </w:r>
      <w:r w:rsidRPr="003E16FA">
        <w:rPr>
          <w:rFonts w:ascii="Arial" w:hAnsi="Arial" w:cs="Arial"/>
        </w:rPr>
        <w:t>€ (za 2</w:t>
      </w:r>
      <w:r w:rsidR="00973E75" w:rsidRPr="003E16FA">
        <w:rPr>
          <w:rFonts w:ascii="Arial" w:hAnsi="Arial" w:cs="Arial"/>
        </w:rPr>
        <w:t>0</w:t>
      </w:r>
      <w:r w:rsidRPr="003E16FA">
        <w:rPr>
          <w:rFonts w:ascii="Arial" w:hAnsi="Arial" w:cs="Arial"/>
        </w:rPr>
        <w:t xml:space="preserve"> godina)</w:t>
      </w:r>
    </w:p>
    <w:p w:rsidR="00C26E77" w:rsidRPr="003E16FA" w:rsidRDefault="00C26E77" w:rsidP="004A25A4">
      <w:pPr>
        <w:spacing w:after="0"/>
        <w:jc w:val="both"/>
        <w:rPr>
          <w:rFonts w:ascii="Arial" w:hAnsi="Arial" w:cs="Arial"/>
        </w:rPr>
      </w:pPr>
      <w:r w:rsidRPr="003E16FA">
        <w:rPr>
          <w:rFonts w:ascii="Arial" w:hAnsi="Arial" w:cs="Arial"/>
        </w:rPr>
        <w:t>VP - vrijednost g</w:t>
      </w:r>
      <w:r w:rsidR="00E14305" w:rsidRPr="003E16FA">
        <w:rPr>
          <w:rFonts w:ascii="Arial" w:hAnsi="Arial" w:cs="Arial"/>
        </w:rPr>
        <w:t xml:space="preserve">odišnje proizvodnje = 238.650 </w:t>
      </w:r>
      <w:r w:rsidRPr="003E16FA">
        <w:rPr>
          <w:rFonts w:ascii="Arial" w:hAnsi="Arial" w:cs="Arial"/>
        </w:rPr>
        <w:t>€</w:t>
      </w:r>
    </w:p>
    <w:p w:rsidR="00C26E77" w:rsidRPr="003E16FA" w:rsidRDefault="00C26E77" w:rsidP="004A25A4">
      <w:pPr>
        <w:spacing w:after="0"/>
        <w:jc w:val="both"/>
        <w:rPr>
          <w:rFonts w:ascii="Arial" w:hAnsi="Arial" w:cs="Arial"/>
        </w:rPr>
      </w:pPr>
      <w:r w:rsidRPr="003E16FA">
        <w:rPr>
          <w:rFonts w:ascii="Arial" w:hAnsi="Arial" w:cs="Arial"/>
        </w:rPr>
        <w:t>G - minimalni procentni iznos (7%)</w:t>
      </w:r>
    </w:p>
    <w:p w:rsidR="00C26E77" w:rsidRPr="003E16FA" w:rsidRDefault="00C26E77" w:rsidP="004A25A4">
      <w:pPr>
        <w:spacing w:after="0"/>
        <w:jc w:val="both"/>
        <w:rPr>
          <w:rFonts w:ascii="Arial" w:hAnsi="Arial" w:cs="Arial"/>
          <w:b/>
        </w:rPr>
      </w:pPr>
    </w:p>
    <w:p w:rsidR="00C26E77" w:rsidRPr="003E16FA" w:rsidRDefault="002C09AD" w:rsidP="004A25A4">
      <w:pPr>
        <w:spacing w:after="0"/>
        <w:jc w:val="both"/>
        <w:rPr>
          <w:rFonts w:ascii="Arial" w:hAnsi="Arial" w:cs="Arial"/>
          <w:b/>
        </w:rPr>
      </w:pPr>
      <w:r w:rsidRPr="003E16FA">
        <w:rPr>
          <w:rFonts w:ascii="Arial" w:hAnsi="Arial" w:cs="Arial"/>
          <w:b/>
        </w:rPr>
        <w:t xml:space="preserve">MDN = </w:t>
      </w:r>
      <w:r w:rsidR="00973E75" w:rsidRPr="003E16FA">
        <w:rPr>
          <w:rFonts w:ascii="Arial" w:hAnsi="Arial" w:cs="Arial"/>
          <w:b/>
        </w:rPr>
        <w:t xml:space="preserve">4.773,000 </w:t>
      </w:r>
      <w:r w:rsidR="00E14305" w:rsidRPr="003E16FA">
        <w:rPr>
          <w:rFonts w:ascii="Arial" w:hAnsi="Arial" w:cs="Arial"/>
          <w:b/>
        </w:rPr>
        <w:t xml:space="preserve">x 0,07 =  </w:t>
      </w:r>
      <w:r w:rsidR="00C26E77" w:rsidRPr="003E16FA">
        <w:rPr>
          <w:rFonts w:ascii="Arial" w:hAnsi="Arial" w:cs="Arial"/>
          <w:b/>
        </w:rPr>
        <w:t xml:space="preserve"> </w:t>
      </w:r>
      <w:r w:rsidR="00853304" w:rsidRPr="003E16FA">
        <w:rPr>
          <w:rFonts w:ascii="Arial" w:hAnsi="Arial" w:cs="Arial"/>
          <w:b/>
        </w:rPr>
        <w:t>334.110,00</w:t>
      </w:r>
      <w:r w:rsidR="00582533" w:rsidRPr="003E16FA">
        <w:rPr>
          <w:rFonts w:ascii="Arial" w:hAnsi="Arial" w:cs="Arial"/>
          <w:b/>
        </w:rPr>
        <w:t xml:space="preserve"> </w:t>
      </w:r>
      <w:r w:rsidR="00C26E77" w:rsidRPr="003E16FA">
        <w:rPr>
          <w:rFonts w:ascii="Arial" w:hAnsi="Arial" w:cs="Arial"/>
          <w:b/>
        </w:rPr>
        <w:t>€</w:t>
      </w:r>
      <w:r w:rsidR="00C26E77" w:rsidRPr="003E16FA">
        <w:rPr>
          <w:rFonts w:ascii="Arial" w:hAnsi="Arial" w:cs="Arial"/>
        </w:rPr>
        <w:t xml:space="preserve"> (ukupno za 2</w:t>
      </w:r>
      <w:r w:rsidR="00853304" w:rsidRPr="003E16FA">
        <w:rPr>
          <w:rFonts w:ascii="Arial" w:hAnsi="Arial" w:cs="Arial"/>
        </w:rPr>
        <w:t>0</w:t>
      </w:r>
      <w:r w:rsidR="00C26E77" w:rsidRPr="003E16FA">
        <w:rPr>
          <w:rFonts w:ascii="Arial" w:hAnsi="Arial" w:cs="Arial"/>
        </w:rPr>
        <w:t xml:space="preserve"> godina)</w:t>
      </w:r>
    </w:p>
    <w:p w:rsidR="00C26E77" w:rsidRPr="003E16FA" w:rsidRDefault="00582533" w:rsidP="004A25A4">
      <w:pPr>
        <w:spacing w:after="0"/>
        <w:jc w:val="both"/>
        <w:rPr>
          <w:rFonts w:ascii="Arial" w:hAnsi="Arial" w:cs="Arial"/>
          <w:b/>
        </w:rPr>
      </w:pPr>
      <w:r w:rsidRPr="003E16FA">
        <w:rPr>
          <w:rFonts w:ascii="Arial" w:hAnsi="Arial" w:cs="Arial"/>
          <w:b/>
        </w:rPr>
        <w:lastRenderedPageBreak/>
        <w:t xml:space="preserve">MDN = 238.650 x 0,07 =  16.705,50 </w:t>
      </w:r>
      <w:r w:rsidR="00C26E77" w:rsidRPr="003E16FA">
        <w:rPr>
          <w:rFonts w:ascii="Arial" w:hAnsi="Arial" w:cs="Arial"/>
          <w:b/>
        </w:rPr>
        <w:t>€/godišnje</w:t>
      </w:r>
    </w:p>
    <w:p w:rsidR="00C26E77" w:rsidRPr="00CD0D75" w:rsidRDefault="00C26E77" w:rsidP="004A25A4">
      <w:pPr>
        <w:spacing w:after="0"/>
        <w:jc w:val="both"/>
        <w:rPr>
          <w:rFonts w:ascii="Arial" w:hAnsi="Arial" w:cs="Arial"/>
        </w:rPr>
      </w:pPr>
    </w:p>
    <w:p w:rsidR="00C26E77" w:rsidRPr="003E16FA" w:rsidRDefault="00C26E77" w:rsidP="004A25A4">
      <w:pPr>
        <w:spacing w:after="0"/>
        <w:jc w:val="both"/>
        <w:rPr>
          <w:rFonts w:ascii="Arial" w:hAnsi="Arial" w:cs="Arial"/>
        </w:rPr>
      </w:pPr>
      <w:r w:rsidRPr="003E16FA">
        <w:rPr>
          <w:rFonts w:ascii="Arial" w:hAnsi="Arial" w:cs="Arial"/>
        </w:rPr>
        <w:t>Koncesiona naknada (čl. 19 Uredbe) za eksploataciju sastoji se iz stalnog (SDN) (nepromjenjivog) i promjenjivog (PDN) dijela naknade.</w:t>
      </w:r>
    </w:p>
    <w:p w:rsidR="00C26E77" w:rsidRPr="003E16FA" w:rsidRDefault="00C26E77" w:rsidP="004A25A4">
      <w:pPr>
        <w:spacing w:after="0"/>
        <w:jc w:val="both"/>
        <w:rPr>
          <w:rFonts w:ascii="Arial" w:hAnsi="Arial" w:cs="Arial"/>
        </w:rPr>
      </w:pPr>
      <w:r w:rsidRPr="003E16FA">
        <w:rPr>
          <w:rFonts w:ascii="Arial" w:hAnsi="Arial" w:cs="Arial"/>
        </w:rPr>
        <w:t>Obračunata minimalna koncesiona naknada  predstavlja minimalni iznos stalnog (nepromjenjivog) dijela koncesione naknade:</w:t>
      </w:r>
    </w:p>
    <w:p w:rsidR="00C26E77" w:rsidRPr="003E16FA" w:rsidRDefault="00C26E77" w:rsidP="004A25A4">
      <w:pPr>
        <w:spacing w:after="0"/>
        <w:jc w:val="both"/>
        <w:rPr>
          <w:rFonts w:ascii="Arial" w:hAnsi="Arial" w:cs="Arial"/>
        </w:rPr>
      </w:pPr>
    </w:p>
    <w:p w:rsidR="00C26E77" w:rsidRPr="003E16FA" w:rsidRDefault="00C26E77" w:rsidP="004A25A4">
      <w:pPr>
        <w:spacing w:after="0"/>
        <w:jc w:val="both"/>
        <w:rPr>
          <w:rFonts w:ascii="Arial" w:hAnsi="Arial" w:cs="Arial"/>
          <w:b/>
        </w:rPr>
      </w:pPr>
      <w:r w:rsidRPr="003E16FA">
        <w:rPr>
          <w:rFonts w:ascii="Arial" w:hAnsi="Arial" w:cs="Arial"/>
        </w:rPr>
        <w:t xml:space="preserve">- </w:t>
      </w:r>
      <w:r w:rsidRPr="003E16FA">
        <w:rPr>
          <w:rFonts w:ascii="Arial" w:hAnsi="Arial" w:cs="Arial"/>
          <w:b/>
        </w:rPr>
        <w:t>Za p</w:t>
      </w:r>
      <w:r w:rsidR="00582533" w:rsidRPr="003E16FA">
        <w:rPr>
          <w:rFonts w:ascii="Arial" w:hAnsi="Arial" w:cs="Arial"/>
          <w:b/>
        </w:rPr>
        <w:t>eriod od 2</w:t>
      </w:r>
      <w:r w:rsidR="00853304" w:rsidRPr="003E16FA">
        <w:rPr>
          <w:rFonts w:ascii="Arial" w:hAnsi="Arial" w:cs="Arial"/>
          <w:b/>
        </w:rPr>
        <w:t>0</w:t>
      </w:r>
      <w:r w:rsidR="00582533" w:rsidRPr="003E16FA">
        <w:rPr>
          <w:rFonts w:ascii="Arial" w:hAnsi="Arial" w:cs="Arial"/>
          <w:b/>
        </w:rPr>
        <w:t xml:space="preserve"> godina SDN = </w:t>
      </w:r>
      <w:r w:rsidR="00853304" w:rsidRPr="003E16FA">
        <w:rPr>
          <w:rFonts w:ascii="Arial" w:hAnsi="Arial" w:cs="Arial"/>
          <w:b/>
        </w:rPr>
        <w:t xml:space="preserve">334.110,00 </w:t>
      </w:r>
      <w:r w:rsidRPr="003E16FA">
        <w:rPr>
          <w:rFonts w:ascii="Arial" w:hAnsi="Arial" w:cs="Arial"/>
          <w:b/>
        </w:rPr>
        <w:t>€</w:t>
      </w:r>
      <w:r w:rsidRPr="003E16FA">
        <w:rPr>
          <w:rFonts w:ascii="Arial" w:hAnsi="Arial" w:cs="Arial"/>
        </w:rPr>
        <w:t xml:space="preserve"> </w:t>
      </w:r>
    </w:p>
    <w:p w:rsidR="00C26E77" w:rsidRPr="003E16FA" w:rsidRDefault="00582533" w:rsidP="004A25A4">
      <w:pPr>
        <w:spacing w:after="0"/>
        <w:jc w:val="both"/>
        <w:rPr>
          <w:rFonts w:ascii="Arial" w:hAnsi="Arial" w:cs="Arial"/>
          <w:b/>
        </w:rPr>
      </w:pPr>
      <w:r w:rsidRPr="003E16FA">
        <w:rPr>
          <w:rFonts w:ascii="Arial" w:hAnsi="Arial" w:cs="Arial"/>
          <w:b/>
        </w:rPr>
        <w:t>- SDN (godišnje) = 16.705,50</w:t>
      </w:r>
      <w:r w:rsidR="00C26E77" w:rsidRPr="003E16FA">
        <w:rPr>
          <w:rFonts w:ascii="Arial" w:hAnsi="Arial" w:cs="Arial"/>
          <w:b/>
        </w:rPr>
        <w:t xml:space="preserve"> €.</w:t>
      </w:r>
    </w:p>
    <w:p w:rsidR="00C26E77" w:rsidRPr="003E16FA" w:rsidRDefault="00C26E77" w:rsidP="004A25A4">
      <w:pPr>
        <w:spacing w:after="0"/>
        <w:jc w:val="both"/>
        <w:rPr>
          <w:rFonts w:ascii="Arial" w:hAnsi="Arial" w:cs="Arial"/>
          <w:b/>
        </w:rPr>
      </w:pPr>
    </w:p>
    <w:p w:rsidR="00C26E77" w:rsidRPr="003E16FA" w:rsidRDefault="00C26E77" w:rsidP="004A25A4">
      <w:pPr>
        <w:spacing w:after="0"/>
        <w:jc w:val="both"/>
        <w:rPr>
          <w:rFonts w:ascii="Arial" w:hAnsi="Arial" w:cs="Arial"/>
          <w:b/>
        </w:rPr>
      </w:pPr>
      <w:r w:rsidRPr="003E16FA">
        <w:rPr>
          <w:rFonts w:ascii="Arial" w:hAnsi="Arial" w:cs="Arial"/>
          <w:b/>
        </w:rPr>
        <w:t>Stalni dio koncesione naknade koji se utvrđuje Ugovorom o koncesiji, može, u zavisnosti od ponuda biti veći, a ne manji od obračunatog minimalnog iznosa.</w:t>
      </w:r>
    </w:p>
    <w:p w:rsidR="00C26E77" w:rsidRPr="003E16FA" w:rsidRDefault="00C26E77" w:rsidP="004A25A4">
      <w:pPr>
        <w:spacing w:after="0"/>
        <w:jc w:val="both"/>
        <w:rPr>
          <w:rFonts w:ascii="Arial" w:hAnsi="Arial" w:cs="Arial"/>
          <w:b/>
        </w:rPr>
      </w:pPr>
    </w:p>
    <w:p w:rsidR="00C26E77" w:rsidRPr="003E16FA" w:rsidRDefault="00C26E77" w:rsidP="004A25A4">
      <w:pPr>
        <w:spacing w:after="0"/>
        <w:jc w:val="both"/>
        <w:rPr>
          <w:rFonts w:ascii="Arial" w:hAnsi="Arial" w:cs="Arial"/>
          <w:b/>
        </w:rPr>
      </w:pPr>
      <w:r w:rsidRPr="003E16FA">
        <w:rPr>
          <w:rFonts w:ascii="Arial" w:hAnsi="Arial" w:cs="Arial"/>
          <w:b/>
        </w:rPr>
        <w:t>Zainteresovani ponuđači treba svojim ponudama, a u zavisnosti od sopstvene ekonomsko-finansijske analize, da ponude godišnji obim proizvodnje i procentualni iznos za obračun koncesione naknade, koji ne mogu biti manji od elemenata na osnovu kojih je obračunat minimalni iznos naknade. Ovo predstavlja jedan od osnovnih kriterijuma za vrednovanje ponuda.</w:t>
      </w:r>
    </w:p>
    <w:p w:rsidR="00C26E77" w:rsidRPr="003E16FA" w:rsidRDefault="00C26E77" w:rsidP="004A25A4">
      <w:pPr>
        <w:spacing w:after="0"/>
        <w:jc w:val="both"/>
        <w:rPr>
          <w:rFonts w:ascii="Arial" w:hAnsi="Arial" w:cs="Arial"/>
          <w:b/>
        </w:rPr>
      </w:pPr>
    </w:p>
    <w:p w:rsidR="00C26E77" w:rsidRPr="003E16FA" w:rsidRDefault="00C26E77" w:rsidP="004A25A4">
      <w:pPr>
        <w:spacing w:after="0"/>
        <w:jc w:val="both"/>
        <w:rPr>
          <w:rFonts w:ascii="Arial" w:hAnsi="Arial" w:cs="Arial"/>
        </w:rPr>
      </w:pPr>
      <w:r w:rsidRPr="003E16FA">
        <w:rPr>
          <w:rFonts w:ascii="Arial" w:hAnsi="Arial" w:cs="Arial"/>
        </w:rPr>
        <w:t>Ugovoreni godišnji iznos SDN Koncesionar plaća tokom konesionog perioda u jednakim polugodišnjim ratama do kraja juna, odnosno, decembra tekuće godine.</w:t>
      </w:r>
    </w:p>
    <w:p w:rsidR="00C26E77" w:rsidRPr="00CD0D75" w:rsidRDefault="00C26E77" w:rsidP="004A25A4">
      <w:pPr>
        <w:spacing w:after="0"/>
        <w:jc w:val="both"/>
        <w:rPr>
          <w:rFonts w:ascii="Arial" w:hAnsi="Arial" w:cs="Arial"/>
          <w:b/>
          <w:u w:val="single"/>
        </w:rPr>
      </w:pPr>
    </w:p>
    <w:p w:rsidR="00C26E77" w:rsidRPr="00CD0D75" w:rsidRDefault="00C26E77" w:rsidP="004A25A4">
      <w:pPr>
        <w:pStyle w:val="Heading2"/>
        <w:numPr>
          <w:ilvl w:val="1"/>
          <w:numId w:val="0"/>
        </w:numPr>
        <w:spacing w:before="0" w:after="0"/>
        <w:jc w:val="both"/>
        <w:rPr>
          <w:i w:val="0"/>
          <w:sz w:val="22"/>
          <w:szCs w:val="22"/>
          <w:u w:val="single"/>
        </w:rPr>
      </w:pPr>
      <w:bookmarkStart w:id="24" w:name="_Toc402262960"/>
      <w:r w:rsidRPr="00CD0D75">
        <w:rPr>
          <w:i w:val="0"/>
          <w:sz w:val="22"/>
          <w:szCs w:val="22"/>
          <w:u w:val="single"/>
        </w:rPr>
        <w:t>9.2  Promjen</w:t>
      </w:r>
      <w:r w:rsidR="008A63CC">
        <w:rPr>
          <w:i w:val="0"/>
          <w:sz w:val="22"/>
          <w:szCs w:val="22"/>
          <w:u w:val="single"/>
        </w:rPr>
        <w:t>l</w:t>
      </w:r>
      <w:r w:rsidRPr="00CD0D75">
        <w:rPr>
          <w:i w:val="0"/>
          <w:sz w:val="22"/>
          <w:szCs w:val="22"/>
          <w:u w:val="single"/>
        </w:rPr>
        <w:t>jivi dio koncesione naknade (PDN)</w:t>
      </w:r>
      <w:bookmarkEnd w:id="24"/>
    </w:p>
    <w:p w:rsidR="00C26E77" w:rsidRPr="00CD0D75" w:rsidRDefault="00C26E77" w:rsidP="004A25A4">
      <w:pPr>
        <w:spacing w:after="0"/>
        <w:jc w:val="both"/>
        <w:rPr>
          <w:rFonts w:ascii="Arial" w:hAnsi="Arial" w:cs="Arial"/>
        </w:rPr>
      </w:pPr>
    </w:p>
    <w:p w:rsidR="00C26E77" w:rsidRPr="00CD0D75" w:rsidRDefault="00C26E77" w:rsidP="004A25A4">
      <w:pPr>
        <w:spacing w:after="0"/>
        <w:jc w:val="both"/>
        <w:rPr>
          <w:rFonts w:ascii="Arial" w:hAnsi="Arial" w:cs="Arial"/>
        </w:rPr>
      </w:pPr>
      <w:r w:rsidRPr="00CD0D75">
        <w:rPr>
          <w:rFonts w:ascii="Arial" w:hAnsi="Arial" w:cs="Arial"/>
        </w:rPr>
        <w:t>Promjenjivi dio naknade obračunava se godišnje po obrascu:</w:t>
      </w:r>
    </w:p>
    <w:p w:rsidR="00C26E77" w:rsidRPr="00CD0D75" w:rsidRDefault="00C26E77" w:rsidP="004A25A4">
      <w:pPr>
        <w:spacing w:after="0"/>
        <w:jc w:val="both"/>
        <w:rPr>
          <w:rFonts w:ascii="Arial" w:hAnsi="Arial" w:cs="Arial"/>
          <w:b/>
        </w:rPr>
      </w:pPr>
    </w:p>
    <w:p w:rsidR="00C26E77" w:rsidRPr="00CD0D75" w:rsidRDefault="00C26E77" w:rsidP="004A25A4">
      <w:pPr>
        <w:spacing w:after="0"/>
        <w:jc w:val="both"/>
        <w:rPr>
          <w:rFonts w:ascii="Arial" w:hAnsi="Arial" w:cs="Arial"/>
          <w:b/>
        </w:rPr>
      </w:pPr>
      <w:r w:rsidRPr="00CD0D75">
        <w:rPr>
          <w:rFonts w:ascii="Arial" w:hAnsi="Arial" w:cs="Arial"/>
          <w:b/>
        </w:rPr>
        <w:t>PDN=VPxG+(-) (VPxGxK) &gt; SDN (godišnjeg iznosa)</w:t>
      </w:r>
    </w:p>
    <w:p w:rsidR="00C26E77" w:rsidRPr="00CD0D75" w:rsidRDefault="00C26E77" w:rsidP="004A25A4">
      <w:pPr>
        <w:spacing w:after="0"/>
        <w:jc w:val="both"/>
        <w:rPr>
          <w:rFonts w:ascii="Arial" w:hAnsi="Arial" w:cs="Arial"/>
        </w:rPr>
      </w:pPr>
    </w:p>
    <w:p w:rsidR="00C26E77" w:rsidRPr="00CD0D75" w:rsidRDefault="00C26E77" w:rsidP="004A25A4">
      <w:pPr>
        <w:spacing w:after="0"/>
        <w:jc w:val="both"/>
        <w:rPr>
          <w:rFonts w:ascii="Arial" w:hAnsi="Arial" w:cs="Arial"/>
        </w:rPr>
      </w:pPr>
      <w:r w:rsidRPr="00CD0D75">
        <w:rPr>
          <w:rFonts w:ascii="Arial" w:hAnsi="Arial" w:cs="Arial"/>
        </w:rPr>
        <w:t>Gdje su:</w:t>
      </w:r>
    </w:p>
    <w:p w:rsidR="00C26E77" w:rsidRPr="00CD0D75" w:rsidRDefault="00C26E77" w:rsidP="004A25A4">
      <w:pPr>
        <w:spacing w:after="0"/>
        <w:jc w:val="both"/>
        <w:rPr>
          <w:rFonts w:ascii="Arial" w:hAnsi="Arial" w:cs="Arial"/>
        </w:rPr>
      </w:pPr>
    </w:p>
    <w:p w:rsidR="00C26E77" w:rsidRPr="00CD0D75" w:rsidRDefault="00C26E77" w:rsidP="004A25A4">
      <w:pPr>
        <w:spacing w:after="0"/>
        <w:jc w:val="both"/>
        <w:rPr>
          <w:rFonts w:ascii="Arial" w:hAnsi="Arial" w:cs="Arial"/>
          <w:b/>
        </w:rPr>
      </w:pPr>
      <w:r w:rsidRPr="00CD0D75">
        <w:rPr>
          <w:rFonts w:ascii="Arial" w:hAnsi="Arial" w:cs="Arial"/>
        </w:rPr>
        <w:t xml:space="preserve">VP - godišnja vrijednost proizvodnje obračunata na osnovu ostvarene godišnje proizvodnje mineralne sirovine </w:t>
      </w:r>
      <w:r w:rsidR="008A63CC">
        <w:rPr>
          <w:rFonts w:ascii="Arial" w:hAnsi="Arial" w:cs="Arial"/>
        </w:rPr>
        <w:t>i</w:t>
      </w:r>
      <w:r w:rsidRPr="00CD0D75">
        <w:rPr>
          <w:rFonts w:ascii="Arial" w:hAnsi="Arial" w:cs="Arial"/>
        </w:rPr>
        <w:t xml:space="preserve"> prosječne godišnje prodajne cijene proizvoda</w:t>
      </w:r>
    </w:p>
    <w:p w:rsidR="00C26E77" w:rsidRPr="00CD0D75" w:rsidRDefault="00C26E77" w:rsidP="004A25A4">
      <w:pPr>
        <w:spacing w:after="0"/>
        <w:jc w:val="both"/>
        <w:rPr>
          <w:rFonts w:ascii="Arial" w:hAnsi="Arial" w:cs="Arial"/>
        </w:rPr>
      </w:pPr>
      <w:r w:rsidRPr="00CD0D75">
        <w:rPr>
          <w:rFonts w:ascii="Arial" w:hAnsi="Arial" w:cs="Arial"/>
        </w:rPr>
        <w:t>G - ugovoreni procentualni iznos za pripadnost grupi ležišta (ne manji od 7%)</w:t>
      </w:r>
    </w:p>
    <w:p w:rsidR="00C26E77" w:rsidRPr="00CD0D75" w:rsidRDefault="00C26E77" w:rsidP="004A25A4">
      <w:pPr>
        <w:spacing w:after="0"/>
        <w:jc w:val="both"/>
        <w:rPr>
          <w:rFonts w:ascii="Arial" w:hAnsi="Arial" w:cs="Arial"/>
        </w:rPr>
      </w:pPr>
      <w:r w:rsidRPr="00CD0D75">
        <w:rPr>
          <w:rFonts w:ascii="Arial" w:hAnsi="Arial" w:cs="Arial"/>
        </w:rPr>
        <w:t>K - vrijednost korektivnih faktora</w:t>
      </w:r>
    </w:p>
    <w:p w:rsidR="00C26E77" w:rsidRPr="00CD0D75" w:rsidRDefault="00C26E77" w:rsidP="004A25A4">
      <w:pPr>
        <w:spacing w:after="0"/>
        <w:jc w:val="both"/>
        <w:rPr>
          <w:rFonts w:ascii="Arial" w:hAnsi="Arial" w:cs="Arial"/>
        </w:rPr>
      </w:pPr>
      <w:r w:rsidRPr="00CD0D75">
        <w:rPr>
          <w:rFonts w:ascii="Arial" w:hAnsi="Arial" w:cs="Arial"/>
        </w:rPr>
        <w:t>Vrijednost korektivnih faktora:</w:t>
      </w:r>
    </w:p>
    <w:p w:rsidR="00C26E77" w:rsidRPr="00CD0D75" w:rsidRDefault="00C26E77" w:rsidP="004A25A4">
      <w:pPr>
        <w:numPr>
          <w:ilvl w:val="0"/>
          <w:numId w:val="11"/>
        </w:numPr>
        <w:suppressAutoHyphens/>
        <w:spacing w:after="0"/>
        <w:ind w:left="0" w:firstLine="0"/>
        <w:jc w:val="both"/>
        <w:rPr>
          <w:rFonts w:ascii="Arial" w:hAnsi="Arial" w:cs="Arial"/>
        </w:rPr>
      </w:pPr>
      <w:r w:rsidRPr="00CD0D75">
        <w:rPr>
          <w:rFonts w:ascii="Arial" w:hAnsi="Arial" w:cs="Arial"/>
        </w:rPr>
        <w:t>po osnovu kvaliteta mineralne sirovine (obračunati iznos se uvećava za 1%)</w:t>
      </w:r>
    </w:p>
    <w:p w:rsidR="00C26E77" w:rsidRPr="00CD0D75" w:rsidRDefault="00C26E77" w:rsidP="004A25A4">
      <w:pPr>
        <w:numPr>
          <w:ilvl w:val="0"/>
          <w:numId w:val="11"/>
        </w:numPr>
        <w:suppressAutoHyphens/>
        <w:spacing w:after="0"/>
        <w:ind w:left="0" w:firstLine="0"/>
        <w:jc w:val="both"/>
        <w:rPr>
          <w:rFonts w:ascii="Arial" w:hAnsi="Arial" w:cs="Arial"/>
        </w:rPr>
      </w:pPr>
      <w:r w:rsidRPr="00CD0D75">
        <w:rPr>
          <w:rFonts w:ascii="Arial" w:hAnsi="Arial" w:cs="Arial"/>
        </w:rPr>
        <w:t>po osnovu ostvarene proizvodnje, obračunati iznos se uvećava od 0 do 3% (čl. 21 Uredbe).</w:t>
      </w:r>
    </w:p>
    <w:p w:rsidR="00C26E77" w:rsidRPr="00CD0D75" w:rsidRDefault="00C26E77" w:rsidP="004A25A4">
      <w:pPr>
        <w:spacing w:after="0"/>
        <w:jc w:val="both"/>
        <w:rPr>
          <w:rFonts w:ascii="Arial" w:hAnsi="Arial" w:cs="Arial"/>
        </w:rPr>
      </w:pPr>
    </w:p>
    <w:p w:rsidR="00C26E77" w:rsidRPr="00CD0D75" w:rsidRDefault="00C26E77" w:rsidP="004A25A4">
      <w:pPr>
        <w:spacing w:after="0"/>
        <w:jc w:val="both"/>
        <w:rPr>
          <w:rFonts w:ascii="Arial" w:hAnsi="Arial" w:cs="Arial"/>
        </w:rPr>
      </w:pPr>
      <w:r w:rsidRPr="00CD0D75">
        <w:rPr>
          <w:rFonts w:ascii="Arial" w:hAnsi="Arial" w:cs="Arial"/>
        </w:rPr>
        <w:t>Promjen</w:t>
      </w:r>
      <w:r w:rsidR="008A63CC">
        <w:rPr>
          <w:rFonts w:ascii="Arial" w:hAnsi="Arial" w:cs="Arial"/>
        </w:rPr>
        <w:t>l</w:t>
      </w:r>
      <w:r w:rsidRPr="00CD0D75">
        <w:rPr>
          <w:rFonts w:ascii="Arial" w:hAnsi="Arial" w:cs="Arial"/>
        </w:rPr>
        <w:t>jivi dio naknade, obračunava se na kraju svake godine. Uplata se vrši jedanput godišnje na osnovu Rješenja nadležnog ministarstva.</w:t>
      </w:r>
    </w:p>
    <w:p w:rsidR="00C26E77" w:rsidRPr="00CD0D75" w:rsidRDefault="00C26E77" w:rsidP="004A25A4">
      <w:pPr>
        <w:spacing w:after="0"/>
        <w:jc w:val="both"/>
        <w:rPr>
          <w:rFonts w:ascii="Arial" w:hAnsi="Arial" w:cs="Arial"/>
        </w:rPr>
      </w:pPr>
    </w:p>
    <w:p w:rsidR="00C26E77" w:rsidRPr="00CD0D75" w:rsidRDefault="00C26E77" w:rsidP="004A25A4">
      <w:pPr>
        <w:spacing w:after="0"/>
        <w:jc w:val="both"/>
        <w:rPr>
          <w:rFonts w:ascii="Arial" w:hAnsi="Arial" w:cs="Arial"/>
        </w:rPr>
      </w:pPr>
      <w:r w:rsidRPr="00CD0D75">
        <w:rPr>
          <w:rFonts w:ascii="Arial" w:hAnsi="Arial" w:cs="Arial"/>
        </w:rPr>
        <w:t>Obračun PDN se vrši na osnovu sljedeće dokumentacije:</w:t>
      </w:r>
    </w:p>
    <w:p w:rsidR="00C26E77" w:rsidRPr="00CD0D75" w:rsidRDefault="00C26E77" w:rsidP="004A25A4">
      <w:pPr>
        <w:spacing w:after="0"/>
        <w:jc w:val="both"/>
        <w:rPr>
          <w:rFonts w:ascii="Arial" w:hAnsi="Arial" w:cs="Arial"/>
        </w:rPr>
      </w:pPr>
    </w:p>
    <w:p w:rsidR="00C26E77" w:rsidRPr="00CD0D75" w:rsidRDefault="004A25A4" w:rsidP="004A25A4">
      <w:pPr>
        <w:suppressAutoHyphens/>
        <w:spacing w:after="0"/>
        <w:jc w:val="both"/>
        <w:rPr>
          <w:rFonts w:ascii="Arial" w:hAnsi="Arial" w:cs="Arial"/>
        </w:rPr>
      </w:pPr>
      <w:r>
        <w:rPr>
          <w:rFonts w:ascii="Arial" w:hAnsi="Arial" w:cs="Arial"/>
        </w:rPr>
        <w:t>-</w:t>
      </w:r>
      <w:r w:rsidR="00C26E77" w:rsidRPr="00CD0D75">
        <w:rPr>
          <w:rFonts w:ascii="Arial" w:hAnsi="Arial" w:cs="Arial"/>
        </w:rPr>
        <w:t>godišnjeg tehničkog izvještaja;</w:t>
      </w:r>
    </w:p>
    <w:p w:rsidR="00C26E77" w:rsidRPr="00CD0D75" w:rsidRDefault="004A25A4" w:rsidP="004A25A4">
      <w:pPr>
        <w:suppressAutoHyphens/>
        <w:spacing w:after="0"/>
        <w:jc w:val="both"/>
        <w:rPr>
          <w:rFonts w:ascii="Arial" w:hAnsi="Arial" w:cs="Arial"/>
        </w:rPr>
      </w:pPr>
      <w:r>
        <w:rPr>
          <w:rFonts w:ascii="Arial" w:hAnsi="Arial" w:cs="Arial"/>
        </w:rPr>
        <w:t>-</w:t>
      </w:r>
      <w:r w:rsidR="00C26E77" w:rsidRPr="00CD0D75">
        <w:rPr>
          <w:rFonts w:ascii="Arial" w:hAnsi="Arial" w:cs="Arial"/>
        </w:rPr>
        <w:t>izvještaja o radu i ostvarenom prihodu po osnovu ostvarene proizvodnje mineralne sirovine; i</w:t>
      </w:r>
    </w:p>
    <w:p w:rsidR="00C26E77" w:rsidRPr="00CD0D75" w:rsidRDefault="004A25A4" w:rsidP="004A25A4">
      <w:pPr>
        <w:suppressAutoHyphens/>
        <w:spacing w:after="0"/>
        <w:jc w:val="both"/>
        <w:rPr>
          <w:rFonts w:ascii="Arial" w:hAnsi="Arial" w:cs="Arial"/>
        </w:rPr>
      </w:pPr>
      <w:r>
        <w:rPr>
          <w:rFonts w:ascii="Arial" w:hAnsi="Arial" w:cs="Arial"/>
        </w:rPr>
        <w:t>-</w:t>
      </w:r>
      <w:r w:rsidR="00C26E77" w:rsidRPr="00CD0D75">
        <w:rPr>
          <w:rFonts w:ascii="Arial" w:hAnsi="Arial" w:cs="Arial"/>
        </w:rPr>
        <w:t>dokaza o količinama i prosječno ostvarenim prodajnim cijenama jedinice proizvoda na domaćem i stranom tržištu.</w:t>
      </w:r>
    </w:p>
    <w:p w:rsidR="00C26E77" w:rsidRPr="00CD0D75" w:rsidRDefault="00C26E77" w:rsidP="004A25A4">
      <w:pPr>
        <w:spacing w:after="0"/>
        <w:jc w:val="both"/>
        <w:rPr>
          <w:rFonts w:ascii="Arial" w:hAnsi="Arial" w:cs="Arial"/>
        </w:rPr>
      </w:pPr>
      <w:r w:rsidRPr="00CD0D75">
        <w:rPr>
          <w:rFonts w:ascii="Arial" w:hAnsi="Arial" w:cs="Arial"/>
        </w:rPr>
        <w:lastRenderedPageBreak/>
        <w:t>Dokumentaciju za obračun PDN podnosi koncesionar najkasnije do kraja marta tekuće, za prethodnu godini.</w:t>
      </w:r>
    </w:p>
    <w:p w:rsidR="00C26E77" w:rsidRPr="00CD0D75" w:rsidRDefault="00C26E77" w:rsidP="00CD0D75">
      <w:pPr>
        <w:spacing w:after="0"/>
        <w:rPr>
          <w:rFonts w:ascii="Arial" w:hAnsi="Arial" w:cs="Arial"/>
        </w:rPr>
      </w:pPr>
    </w:p>
    <w:p w:rsidR="00C26E77" w:rsidRPr="00CD0D75" w:rsidRDefault="00C26E77" w:rsidP="00CD0D75">
      <w:pPr>
        <w:pStyle w:val="Heading1"/>
        <w:keepLines/>
        <w:widowControl w:val="0"/>
        <w:spacing w:before="0" w:after="0"/>
        <w:rPr>
          <w:sz w:val="22"/>
          <w:szCs w:val="22"/>
        </w:rPr>
      </w:pPr>
      <w:bookmarkStart w:id="25" w:name="_Toc390549915"/>
      <w:r w:rsidRPr="00CD0D75">
        <w:rPr>
          <w:sz w:val="22"/>
          <w:szCs w:val="22"/>
        </w:rPr>
        <w:t>10</w:t>
      </w:r>
      <w:r w:rsidR="004A25A4">
        <w:rPr>
          <w:sz w:val="22"/>
          <w:szCs w:val="22"/>
        </w:rPr>
        <w:t>.</w:t>
      </w:r>
      <w:r w:rsidRPr="00CD0D75">
        <w:rPr>
          <w:sz w:val="22"/>
          <w:szCs w:val="22"/>
        </w:rPr>
        <w:t xml:space="preserve">  KRITERIJUMI ZA IZBOR NAJPOVOLJNIJE PONUDE</w:t>
      </w:r>
      <w:bookmarkEnd w:id="25"/>
    </w:p>
    <w:p w:rsidR="00C26E77" w:rsidRPr="00CD0D75" w:rsidRDefault="00C26E77" w:rsidP="00CD0D75">
      <w:pPr>
        <w:spacing w:after="0"/>
        <w:rPr>
          <w:rFonts w:ascii="Arial" w:hAnsi="Arial" w:cs="Arial"/>
        </w:rPr>
      </w:pPr>
    </w:p>
    <w:p w:rsidR="00C26E77" w:rsidRPr="00CD0D75" w:rsidRDefault="00C26E77" w:rsidP="00CD0D75">
      <w:pPr>
        <w:spacing w:after="0"/>
        <w:rPr>
          <w:rFonts w:ascii="Arial" w:hAnsi="Arial" w:cs="Arial"/>
        </w:rPr>
      </w:pPr>
      <w:r w:rsidRPr="00CD0D75">
        <w:rPr>
          <w:rFonts w:ascii="Arial" w:hAnsi="Arial" w:cs="Arial"/>
        </w:rPr>
        <w:t>Kriterijumi na osnovu kojih se vrši vrednovanje ponuda su sljedeći:</w:t>
      </w:r>
    </w:p>
    <w:tbl>
      <w:tblPr>
        <w:tblW w:w="0" w:type="auto"/>
        <w:tblLook w:val="04A0"/>
      </w:tblPr>
      <w:tblGrid>
        <w:gridCol w:w="656"/>
        <w:gridCol w:w="7290"/>
        <w:gridCol w:w="1638"/>
      </w:tblGrid>
      <w:tr w:rsidR="00C26E77" w:rsidRPr="00CD0D75" w:rsidTr="00E93BF6">
        <w:trPr>
          <w:trHeight w:val="285"/>
        </w:trPr>
        <w:tc>
          <w:tcPr>
            <w:tcW w:w="648" w:type="dxa"/>
            <w:tcBorders>
              <w:top w:val="single" w:sz="12" w:space="0" w:color="auto"/>
              <w:left w:val="single" w:sz="12" w:space="0" w:color="auto"/>
              <w:bottom w:val="single" w:sz="12" w:space="0" w:color="auto"/>
              <w:right w:val="single" w:sz="12" w:space="0" w:color="auto"/>
            </w:tcBorders>
            <w:shd w:val="clear" w:color="auto" w:fill="FFFFFF"/>
          </w:tcPr>
          <w:p w:rsidR="00C26E77" w:rsidRPr="00CD0D75" w:rsidRDefault="00C26E77" w:rsidP="004A25A4">
            <w:pPr>
              <w:spacing w:after="0"/>
              <w:jc w:val="center"/>
              <w:rPr>
                <w:rFonts w:ascii="Arial" w:hAnsi="Arial" w:cs="Arial"/>
                <w:b/>
              </w:rPr>
            </w:pPr>
            <w:r w:rsidRPr="00CD0D75">
              <w:rPr>
                <w:rFonts w:ascii="Arial" w:hAnsi="Arial" w:cs="Arial"/>
                <w:b/>
              </w:rPr>
              <w:t>R.B.</w:t>
            </w:r>
          </w:p>
        </w:tc>
        <w:tc>
          <w:tcPr>
            <w:tcW w:w="7290" w:type="dxa"/>
            <w:tcBorders>
              <w:top w:val="single" w:sz="12" w:space="0" w:color="auto"/>
              <w:left w:val="single" w:sz="12" w:space="0" w:color="auto"/>
              <w:bottom w:val="single" w:sz="12" w:space="0" w:color="auto"/>
              <w:right w:val="single" w:sz="2" w:space="0" w:color="auto"/>
            </w:tcBorders>
            <w:shd w:val="clear" w:color="auto" w:fill="FFFFFF"/>
          </w:tcPr>
          <w:p w:rsidR="00C26E77" w:rsidRPr="00CD0D75" w:rsidRDefault="00C26E77" w:rsidP="004A25A4">
            <w:pPr>
              <w:spacing w:after="0"/>
              <w:jc w:val="center"/>
              <w:rPr>
                <w:rFonts w:ascii="Arial" w:hAnsi="Arial" w:cs="Arial"/>
                <w:b/>
              </w:rPr>
            </w:pPr>
            <w:r w:rsidRPr="00CD0D75">
              <w:rPr>
                <w:rFonts w:ascii="Arial" w:hAnsi="Arial" w:cs="Arial"/>
                <w:b/>
              </w:rPr>
              <w:t>K R I T E R I J U M I</w:t>
            </w:r>
          </w:p>
        </w:tc>
        <w:tc>
          <w:tcPr>
            <w:tcW w:w="1638" w:type="dxa"/>
            <w:tcBorders>
              <w:top w:val="single" w:sz="12" w:space="0" w:color="auto"/>
              <w:left w:val="single" w:sz="2" w:space="0" w:color="auto"/>
              <w:bottom w:val="single" w:sz="12" w:space="0" w:color="auto"/>
              <w:right w:val="single" w:sz="12" w:space="0" w:color="auto"/>
            </w:tcBorders>
            <w:shd w:val="clear" w:color="auto" w:fill="FFFFFF"/>
          </w:tcPr>
          <w:p w:rsidR="00C26E77" w:rsidRPr="00CD0D75" w:rsidRDefault="00C26E77" w:rsidP="004A25A4">
            <w:pPr>
              <w:spacing w:after="0"/>
              <w:jc w:val="center"/>
              <w:rPr>
                <w:rFonts w:ascii="Arial" w:hAnsi="Arial" w:cs="Arial"/>
                <w:b/>
              </w:rPr>
            </w:pPr>
            <w:r w:rsidRPr="00CD0D75">
              <w:rPr>
                <w:rFonts w:ascii="Arial" w:hAnsi="Arial" w:cs="Arial"/>
                <w:b/>
              </w:rPr>
              <w:t>Broj bodova</w:t>
            </w:r>
          </w:p>
        </w:tc>
      </w:tr>
      <w:tr w:rsidR="00C26E77" w:rsidRPr="00CD0D75" w:rsidTr="00E93BF6">
        <w:tc>
          <w:tcPr>
            <w:tcW w:w="648" w:type="dxa"/>
            <w:tcBorders>
              <w:top w:val="single" w:sz="12" w:space="0" w:color="auto"/>
              <w:left w:val="single" w:sz="12" w:space="0" w:color="auto"/>
              <w:bottom w:val="single" w:sz="4" w:space="0" w:color="auto"/>
              <w:right w:val="single" w:sz="12" w:space="0" w:color="auto"/>
            </w:tcBorders>
          </w:tcPr>
          <w:p w:rsidR="00C26E77" w:rsidRPr="00CD0D75" w:rsidRDefault="00C26E77" w:rsidP="004A25A4">
            <w:pPr>
              <w:spacing w:after="0"/>
              <w:jc w:val="center"/>
              <w:rPr>
                <w:rFonts w:ascii="Arial" w:hAnsi="Arial" w:cs="Arial"/>
                <w:b/>
              </w:rPr>
            </w:pPr>
            <w:r w:rsidRPr="00CD0D75">
              <w:rPr>
                <w:rFonts w:ascii="Arial" w:hAnsi="Arial" w:cs="Arial"/>
                <w:b/>
              </w:rPr>
              <w:t>1</w:t>
            </w:r>
          </w:p>
        </w:tc>
        <w:tc>
          <w:tcPr>
            <w:tcW w:w="7290" w:type="dxa"/>
            <w:tcBorders>
              <w:top w:val="single" w:sz="12" w:space="0" w:color="auto"/>
              <w:left w:val="single" w:sz="12" w:space="0" w:color="auto"/>
              <w:bottom w:val="single" w:sz="4" w:space="0" w:color="auto"/>
              <w:right w:val="single" w:sz="2" w:space="0" w:color="auto"/>
            </w:tcBorders>
          </w:tcPr>
          <w:p w:rsidR="00C26E77" w:rsidRPr="00CD0D75" w:rsidRDefault="00C26E77" w:rsidP="004A25A4">
            <w:pPr>
              <w:spacing w:after="0"/>
              <w:jc w:val="center"/>
              <w:rPr>
                <w:rFonts w:ascii="Arial" w:hAnsi="Arial" w:cs="Arial"/>
              </w:rPr>
            </w:pPr>
            <w:r w:rsidRPr="00CD0D75">
              <w:rPr>
                <w:rFonts w:ascii="Arial" w:hAnsi="Arial" w:cs="Arial"/>
              </w:rPr>
              <w:t>Ponuđeni procentualni iznos za obračun koncesione naknade</w:t>
            </w:r>
          </w:p>
        </w:tc>
        <w:tc>
          <w:tcPr>
            <w:tcW w:w="1638" w:type="dxa"/>
            <w:tcBorders>
              <w:top w:val="single" w:sz="12" w:space="0" w:color="auto"/>
              <w:left w:val="single" w:sz="2" w:space="0" w:color="auto"/>
              <w:bottom w:val="single" w:sz="4" w:space="0" w:color="auto"/>
              <w:right w:val="single" w:sz="12" w:space="0" w:color="auto"/>
            </w:tcBorders>
          </w:tcPr>
          <w:p w:rsidR="00C26E77" w:rsidRPr="00CD0D75" w:rsidRDefault="00C26E77" w:rsidP="004A25A4">
            <w:pPr>
              <w:spacing w:after="0"/>
              <w:jc w:val="center"/>
              <w:rPr>
                <w:rFonts w:ascii="Arial" w:hAnsi="Arial" w:cs="Arial"/>
                <w:b/>
              </w:rPr>
            </w:pPr>
            <w:r w:rsidRPr="00CD0D75">
              <w:rPr>
                <w:rFonts w:ascii="Arial" w:hAnsi="Arial" w:cs="Arial"/>
                <w:b/>
              </w:rPr>
              <w:t>40</w:t>
            </w:r>
          </w:p>
        </w:tc>
      </w:tr>
      <w:tr w:rsidR="00C26E77" w:rsidRPr="00CD0D75" w:rsidTr="00E93BF6">
        <w:trPr>
          <w:trHeight w:val="285"/>
        </w:trPr>
        <w:tc>
          <w:tcPr>
            <w:tcW w:w="648" w:type="dxa"/>
            <w:tcBorders>
              <w:left w:val="single" w:sz="12" w:space="0" w:color="auto"/>
              <w:bottom w:val="single" w:sz="4" w:space="0" w:color="auto"/>
              <w:right w:val="single" w:sz="12" w:space="0" w:color="auto"/>
            </w:tcBorders>
          </w:tcPr>
          <w:p w:rsidR="00C26E77" w:rsidRPr="00CD0D75" w:rsidRDefault="00C26E77" w:rsidP="004A25A4">
            <w:pPr>
              <w:spacing w:after="0"/>
              <w:jc w:val="center"/>
              <w:rPr>
                <w:rFonts w:ascii="Arial" w:hAnsi="Arial" w:cs="Arial"/>
                <w:b/>
              </w:rPr>
            </w:pPr>
            <w:r w:rsidRPr="00CD0D75">
              <w:rPr>
                <w:rFonts w:ascii="Arial" w:hAnsi="Arial" w:cs="Arial"/>
                <w:b/>
              </w:rPr>
              <w:t>2</w:t>
            </w:r>
          </w:p>
        </w:tc>
        <w:tc>
          <w:tcPr>
            <w:tcW w:w="7290" w:type="dxa"/>
            <w:tcBorders>
              <w:left w:val="single" w:sz="12" w:space="0" w:color="auto"/>
              <w:bottom w:val="single" w:sz="4" w:space="0" w:color="auto"/>
              <w:right w:val="single" w:sz="2" w:space="0" w:color="auto"/>
            </w:tcBorders>
          </w:tcPr>
          <w:p w:rsidR="00C26E77" w:rsidRPr="00CD0D75" w:rsidRDefault="00C26E77" w:rsidP="004A25A4">
            <w:pPr>
              <w:spacing w:after="0"/>
              <w:jc w:val="center"/>
              <w:rPr>
                <w:rFonts w:ascii="Arial" w:hAnsi="Arial" w:cs="Arial"/>
              </w:rPr>
            </w:pPr>
            <w:r w:rsidRPr="00CD0D75">
              <w:rPr>
                <w:rFonts w:ascii="Arial" w:hAnsi="Arial" w:cs="Arial"/>
              </w:rPr>
              <w:t>Ponuđeni  obim godišnje rudarske proizvodnje</w:t>
            </w:r>
          </w:p>
        </w:tc>
        <w:tc>
          <w:tcPr>
            <w:tcW w:w="1638" w:type="dxa"/>
            <w:tcBorders>
              <w:left w:val="single" w:sz="2" w:space="0" w:color="auto"/>
              <w:bottom w:val="single" w:sz="4" w:space="0" w:color="auto"/>
              <w:right w:val="single" w:sz="12" w:space="0" w:color="auto"/>
            </w:tcBorders>
          </w:tcPr>
          <w:p w:rsidR="00C26E77" w:rsidRPr="00CD0D75" w:rsidRDefault="00C26E77" w:rsidP="004A25A4">
            <w:pPr>
              <w:spacing w:after="0"/>
              <w:jc w:val="center"/>
              <w:rPr>
                <w:rFonts w:ascii="Arial" w:hAnsi="Arial" w:cs="Arial"/>
                <w:b/>
              </w:rPr>
            </w:pPr>
            <w:r w:rsidRPr="00CD0D75">
              <w:rPr>
                <w:rFonts w:ascii="Arial" w:hAnsi="Arial" w:cs="Arial"/>
                <w:b/>
              </w:rPr>
              <w:t>20</w:t>
            </w:r>
          </w:p>
        </w:tc>
      </w:tr>
      <w:tr w:rsidR="00C26E77" w:rsidRPr="00CD0D75" w:rsidTr="00E93BF6">
        <w:trPr>
          <w:trHeight w:val="240"/>
        </w:trPr>
        <w:tc>
          <w:tcPr>
            <w:tcW w:w="648" w:type="dxa"/>
            <w:tcBorders>
              <w:top w:val="single" w:sz="4" w:space="0" w:color="auto"/>
              <w:left w:val="single" w:sz="12" w:space="0" w:color="auto"/>
              <w:bottom w:val="single" w:sz="4" w:space="0" w:color="auto"/>
              <w:right w:val="single" w:sz="12" w:space="0" w:color="auto"/>
            </w:tcBorders>
          </w:tcPr>
          <w:p w:rsidR="00C26E77" w:rsidRPr="00CD0D75" w:rsidRDefault="00C26E77" w:rsidP="004A25A4">
            <w:pPr>
              <w:spacing w:after="0"/>
              <w:jc w:val="center"/>
              <w:rPr>
                <w:rFonts w:ascii="Arial" w:hAnsi="Arial" w:cs="Arial"/>
                <w:b/>
              </w:rPr>
            </w:pPr>
            <w:r w:rsidRPr="00CD0D75">
              <w:rPr>
                <w:rFonts w:ascii="Arial" w:hAnsi="Arial" w:cs="Arial"/>
                <w:b/>
              </w:rPr>
              <w:t>3</w:t>
            </w:r>
          </w:p>
        </w:tc>
        <w:tc>
          <w:tcPr>
            <w:tcW w:w="7290" w:type="dxa"/>
            <w:tcBorders>
              <w:top w:val="single" w:sz="4" w:space="0" w:color="auto"/>
              <w:left w:val="single" w:sz="12" w:space="0" w:color="auto"/>
              <w:bottom w:val="single" w:sz="4" w:space="0" w:color="auto"/>
              <w:right w:val="single" w:sz="2" w:space="0" w:color="auto"/>
            </w:tcBorders>
          </w:tcPr>
          <w:p w:rsidR="00C26E77" w:rsidRPr="00CD0D75" w:rsidRDefault="00C26E77" w:rsidP="004A25A4">
            <w:pPr>
              <w:spacing w:after="0"/>
              <w:jc w:val="center"/>
              <w:rPr>
                <w:rFonts w:ascii="Arial" w:hAnsi="Arial" w:cs="Arial"/>
              </w:rPr>
            </w:pPr>
            <w:r w:rsidRPr="00CD0D75">
              <w:rPr>
                <w:rFonts w:ascii="Arial" w:hAnsi="Arial" w:cs="Arial"/>
              </w:rPr>
              <w:t>Rok trajanja koncesije</w:t>
            </w:r>
          </w:p>
        </w:tc>
        <w:tc>
          <w:tcPr>
            <w:tcW w:w="1638" w:type="dxa"/>
            <w:tcBorders>
              <w:top w:val="single" w:sz="4" w:space="0" w:color="auto"/>
              <w:left w:val="single" w:sz="2" w:space="0" w:color="auto"/>
              <w:bottom w:val="single" w:sz="4" w:space="0" w:color="auto"/>
              <w:right w:val="single" w:sz="12" w:space="0" w:color="auto"/>
            </w:tcBorders>
          </w:tcPr>
          <w:p w:rsidR="00C26E77" w:rsidRPr="00CD0D75" w:rsidRDefault="00C26E77" w:rsidP="004A25A4">
            <w:pPr>
              <w:spacing w:after="0"/>
              <w:jc w:val="center"/>
              <w:rPr>
                <w:rFonts w:ascii="Arial" w:hAnsi="Arial" w:cs="Arial"/>
                <w:b/>
              </w:rPr>
            </w:pPr>
            <w:r w:rsidRPr="00CD0D75">
              <w:rPr>
                <w:rFonts w:ascii="Arial" w:hAnsi="Arial" w:cs="Arial"/>
                <w:b/>
              </w:rPr>
              <w:t>5</w:t>
            </w:r>
          </w:p>
        </w:tc>
      </w:tr>
      <w:tr w:rsidR="00C26E77" w:rsidRPr="00CD0D75" w:rsidTr="00E93BF6">
        <w:trPr>
          <w:trHeight w:val="285"/>
        </w:trPr>
        <w:tc>
          <w:tcPr>
            <w:tcW w:w="648" w:type="dxa"/>
            <w:tcBorders>
              <w:top w:val="single" w:sz="4" w:space="0" w:color="auto"/>
              <w:left w:val="single" w:sz="12" w:space="0" w:color="auto"/>
              <w:bottom w:val="single" w:sz="4" w:space="0" w:color="auto"/>
              <w:right w:val="single" w:sz="12" w:space="0" w:color="auto"/>
            </w:tcBorders>
          </w:tcPr>
          <w:p w:rsidR="00C26E77" w:rsidRPr="00CD0D75" w:rsidRDefault="00C26E77" w:rsidP="004A25A4">
            <w:pPr>
              <w:spacing w:after="0"/>
              <w:jc w:val="center"/>
              <w:rPr>
                <w:rFonts w:ascii="Arial" w:hAnsi="Arial" w:cs="Arial"/>
                <w:b/>
              </w:rPr>
            </w:pPr>
            <w:r w:rsidRPr="00CD0D75">
              <w:rPr>
                <w:rFonts w:ascii="Arial" w:hAnsi="Arial" w:cs="Arial"/>
                <w:b/>
              </w:rPr>
              <w:t>4</w:t>
            </w:r>
          </w:p>
        </w:tc>
        <w:tc>
          <w:tcPr>
            <w:tcW w:w="7290" w:type="dxa"/>
            <w:tcBorders>
              <w:top w:val="single" w:sz="4" w:space="0" w:color="auto"/>
              <w:left w:val="single" w:sz="12" w:space="0" w:color="auto"/>
              <w:bottom w:val="single" w:sz="4" w:space="0" w:color="auto"/>
              <w:right w:val="single" w:sz="2" w:space="0" w:color="auto"/>
            </w:tcBorders>
          </w:tcPr>
          <w:p w:rsidR="00C26E77" w:rsidRPr="00CD0D75" w:rsidRDefault="00C26E77" w:rsidP="004A25A4">
            <w:pPr>
              <w:spacing w:after="0"/>
              <w:jc w:val="center"/>
              <w:rPr>
                <w:rFonts w:ascii="Arial" w:hAnsi="Arial" w:cs="Arial"/>
              </w:rPr>
            </w:pPr>
            <w:r w:rsidRPr="00CD0D75">
              <w:rPr>
                <w:rFonts w:ascii="Arial" w:hAnsi="Arial" w:cs="Arial"/>
              </w:rPr>
              <w:t>Reference ponuđača</w:t>
            </w:r>
          </w:p>
        </w:tc>
        <w:tc>
          <w:tcPr>
            <w:tcW w:w="1638" w:type="dxa"/>
            <w:tcBorders>
              <w:left w:val="single" w:sz="2" w:space="0" w:color="auto"/>
              <w:bottom w:val="single" w:sz="4" w:space="0" w:color="auto"/>
              <w:right w:val="single" w:sz="12" w:space="0" w:color="auto"/>
            </w:tcBorders>
          </w:tcPr>
          <w:p w:rsidR="00C26E77" w:rsidRPr="00CD0D75" w:rsidRDefault="00C26E77" w:rsidP="004A25A4">
            <w:pPr>
              <w:spacing w:after="0"/>
              <w:jc w:val="center"/>
              <w:rPr>
                <w:rFonts w:ascii="Arial" w:hAnsi="Arial" w:cs="Arial"/>
                <w:b/>
              </w:rPr>
            </w:pPr>
            <w:r w:rsidRPr="00CD0D75">
              <w:rPr>
                <w:rFonts w:ascii="Arial" w:hAnsi="Arial" w:cs="Arial"/>
                <w:b/>
              </w:rPr>
              <w:t>20</w:t>
            </w:r>
          </w:p>
        </w:tc>
      </w:tr>
      <w:tr w:rsidR="00C26E77" w:rsidRPr="00CD0D75" w:rsidTr="00E93BF6">
        <w:trPr>
          <w:trHeight w:val="285"/>
        </w:trPr>
        <w:tc>
          <w:tcPr>
            <w:tcW w:w="648" w:type="dxa"/>
            <w:tcBorders>
              <w:top w:val="single" w:sz="4" w:space="0" w:color="auto"/>
              <w:left w:val="single" w:sz="12" w:space="0" w:color="auto"/>
              <w:bottom w:val="single" w:sz="4" w:space="0" w:color="auto"/>
              <w:right w:val="single" w:sz="12" w:space="0" w:color="auto"/>
            </w:tcBorders>
          </w:tcPr>
          <w:p w:rsidR="00C26E77" w:rsidRPr="00CD0D75" w:rsidRDefault="00C26E77" w:rsidP="004A25A4">
            <w:pPr>
              <w:spacing w:after="0"/>
              <w:jc w:val="center"/>
              <w:rPr>
                <w:rFonts w:ascii="Arial" w:hAnsi="Arial" w:cs="Arial"/>
                <w:b/>
              </w:rPr>
            </w:pPr>
            <w:r w:rsidRPr="00CD0D75">
              <w:rPr>
                <w:rFonts w:ascii="Arial" w:hAnsi="Arial" w:cs="Arial"/>
                <w:b/>
              </w:rPr>
              <w:t>5</w:t>
            </w:r>
          </w:p>
        </w:tc>
        <w:tc>
          <w:tcPr>
            <w:tcW w:w="7290" w:type="dxa"/>
            <w:tcBorders>
              <w:top w:val="single" w:sz="4" w:space="0" w:color="auto"/>
              <w:left w:val="single" w:sz="12" w:space="0" w:color="auto"/>
              <w:bottom w:val="single" w:sz="4" w:space="0" w:color="auto"/>
              <w:right w:val="single" w:sz="2" w:space="0" w:color="auto"/>
            </w:tcBorders>
          </w:tcPr>
          <w:p w:rsidR="00C26E77" w:rsidRPr="00CD0D75" w:rsidRDefault="00C26E77" w:rsidP="004A25A4">
            <w:pPr>
              <w:spacing w:after="0"/>
              <w:jc w:val="center"/>
              <w:rPr>
                <w:rFonts w:ascii="Arial" w:hAnsi="Arial" w:cs="Arial"/>
              </w:rPr>
            </w:pPr>
            <w:r w:rsidRPr="00CD0D75">
              <w:rPr>
                <w:rFonts w:ascii="Arial" w:hAnsi="Arial" w:cs="Arial"/>
              </w:rPr>
              <w:t>Finansijski aspekt-prosječni bruto prihod u posljednje tri godine</w:t>
            </w:r>
          </w:p>
        </w:tc>
        <w:tc>
          <w:tcPr>
            <w:tcW w:w="1638" w:type="dxa"/>
            <w:tcBorders>
              <w:top w:val="single" w:sz="4" w:space="0" w:color="auto"/>
              <w:left w:val="single" w:sz="2" w:space="0" w:color="auto"/>
              <w:bottom w:val="single" w:sz="4" w:space="0" w:color="auto"/>
              <w:right w:val="single" w:sz="12" w:space="0" w:color="auto"/>
            </w:tcBorders>
          </w:tcPr>
          <w:p w:rsidR="00C26E77" w:rsidRPr="00CD0D75" w:rsidRDefault="00C26E77" w:rsidP="004A25A4">
            <w:pPr>
              <w:spacing w:after="0"/>
              <w:jc w:val="center"/>
              <w:rPr>
                <w:rFonts w:ascii="Arial" w:hAnsi="Arial" w:cs="Arial"/>
                <w:b/>
              </w:rPr>
            </w:pPr>
            <w:r w:rsidRPr="00CD0D75">
              <w:rPr>
                <w:rFonts w:ascii="Arial" w:hAnsi="Arial" w:cs="Arial"/>
                <w:b/>
              </w:rPr>
              <w:t>5</w:t>
            </w:r>
          </w:p>
        </w:tc>
      </w:tr>
      <w:tr w:rsidR="00C26E77" w:rsidRPr="00CD0D75" w:rsidTr="00E93BF6">
        <w:trPr>
          <w:trHeight w:val="247"/>
        </w:trPr>
        <w:tc>
          <w:tcPr>
            <w:tcW w:w="648" w:type="dxa"/>
            <w:tcBorders>
              <w:top w:val="single" w:sz="4" w:space="0" w:color="auto"/>
              <w:left w:val="single" w:sz="12" w:space="0" w:color="auto"/>
              <w:bottom w:val="single" w:sz="4" w:space="0" w:color="auto"/>
              <w:right w:val="single" w:sz="12" w:space="0" w:color="auto"/>
            </w:tcBorders>
          </w:tcPr>
          <w:p w:rsidR="00C26E77" w:rsidRPr="00CD0D75" w:rsidRDefault="00C26E77" w:rsidP="004A25A4">
            <w:pPr>
              <w:spacing w:after="0"/>
              <w:jc w:val="center"/>
              <w:rPr>
                <w:rFonts w:ascii="Arial" w:hAnsi="Arial" w:cs="Arial"/>
                <w:b/>
              </w:rPr>
            </w:pPr>
            <w:r w:rsidRPr="00CD0D75">
              <w:rPr>
                <w:rFonts w:ascii="Arial" w:hAnsi="Arial" w:cs="Arial"/>
                <w:b/>
              </w:rPr>
              <w:t>6</w:t>
            </w:r>
          </w:p>
        </w:tc>
        <w:tc>
          <w:tcPr>
            <w:tcW w:w="7290" w:type="dxa"/>
            <w:tcBorders>
              <w:top w:val="single" w:sz="4" w:space="0" w:color="auto"/>
              <w:left w:val="single" w:sz="12" w:space="0" w:color="auto"/>
              <w:bottom w:val="single" w:sz="4" w:space="0" w:color="auto"/>
              <w:right w:val="single" w:sz="2" w:space="0" w:color="auto"/>
            </w:tcBorders>
          </w:tcPr>
          <w:p w:rsidR="00C26E77" w:rsidRPr="00CD0D75" w:rsidRDefault="00C26E77" w:rsidP="004A25A4">
            <w:pPr>
              <w:spacing w:after="0"/>
              <w:jc w:val="center"/>
              <w:rPr>
                <w:rFonts w:ascii="Arial" w:hAnsi="Arial" w:cs="Arial"/>
              </w:rPr>
            </w:pPr>
            <w:r w:rsidRPr="00CD0D75">
              <w:rPr>
                <w:rFonts w:ascii="Arial" w:hAnsi="Arial" w:cs="Arial"/>
              </w:rPr>
              <w:t>Finansijski aspekt-prosječni  profit u posljednje tri godine</w:t>
            </w:r>
          </w:p>
        </w:tc>
        <w:tc>
          <w:tcPr>
            <w:tcW w:w="1638" w:type="dxa"/>
            <w:tcBorders>
              <w:top w:val="single" w:sz="4" w:space="0" w:color="auto"/>
              <w:left w:val="single" w:sz="2" w:space="0" w:color="auto"/>
              <w:bottom w:val="single" w:sz="4" w:space="0" w:color="auto"/>
              <w:right w:val="single" w:sz="12" w:space="0" w:color="auto"/>
            </w:tcBorders>
          </w:tcPr>
          <w:p w:rsidR="00C26E77" w:rsidRPr="00CD0D75" w:rsidRDefault="00C26E77" w:rsidP="004A25A4">
            <w:pPr>
              <w:spacing w:after="0"/>
              <w:jc w:val="center"/>
              <w:rPr>
                <w:rFonts w:ascii="Arial" w:hAnsi="Arial" w:cs="Arial"/>
                <w:b/>
              </w:rPr>
            </w:pPr>
            <w:r w:rsidRPr="00CD0D75">
              <w:rPr>
                <w:rFonts w:ascii="Arial" w:hAnsi="Arial" w:cs="Arial"/>
                <w:b/>
              </w:rPr>
              <w:t>5</w:t>
            </w:r>
          </w:p>
        </w:tc>
      </w:tr>
      <w:tr w:rsidR="00C26E77" w:rsidRPr="00CD0D75" w:rsidTr="00E93BF6">
        <w:trPr>
          <w:trHeight w:val="315"/>
        </w:trPr>
        <w:tc>
          <w:tcPr>
            <w:tcW w:w="648" w:type="dxa"/>
            <w:tcBorders>
              <w:top w:val="single" w:sz="4" w:space="0" w:color="auto"/>
              <w:left w:val="single" w:sz="12" w:space="0" w:color="auto"/>
              <w:bottom w:val="single" w:sz="12" w:space="0" w:color="auto"/>
              <w:right w:val="single" w:sz="12" w:space="0" w:color="auto"/>
            </w:tcBorders>
          </w:tcPr>
          <w:p w:rsidR="00C26E77" w:rsidRPr="00CD0D75" w:rsidRDefault="00C26E77" w:rsidP="004A25A4">
            <w:pPr>
              <w:spacing w:after="0"/>
              <w:jc w:val="center"/>
              <w:rPr>
                <w:rFonts w:ascii="Arial" w:hAnsi="Arial" w:cs="Arial"/>
                <w:b/>
              </w:rPr>
            </w:pPr>
            <w:r w:rsidRPr="00CD0D75">
              <w:rPr>
                <w:rFonts w:ascii="Arial" w:hAnsi="Arial" w:cs="Arial"/>
                <w:b/>
              </w:rPr>
              <w:t>7</w:t>
            </w:r>
          </w:p>
        </w:tc>
        <w:tc>
          <w:tcPr>
            <w:tcW w:w="7290" w:type="dxa"/>
            <w:tcBorders>
              <w:top w:val="single" w:sz="4" w:space="0" w:color="auto"/>
              <w:left w:val="single" w:sz="12" w:space="0" w:color="auto"/>
              <w:bottom w:val="single" w:sz="12" w:space="0" w:color="auto"/>
              <w:right w:val="single" w:sz="2" w:space="0" w:color="auto"/>
            </w:tcBorders>
          </w:tcPr>
          <w:p w:rsidR="00C26E77" w:rsidRPr="00CD0D75" w:rsidRDefault="00C26E77" w:rsidP="004A25A4">
            <w:pPr>
              <w:spacing w:after="0"/>
              <w:jc w:val="center"/>
              <w:rPr>
                <w:rFonts w:ascii="Arial" w:hAnsi="Arial" w:cs="Arial"/>
              </w:rPr>
            </w:pPr>
            <w:r w:rsidRPr="00CD0D75">
              <w:rPr>
                <w:rFonts w:ascii="Arial" w:hAnsi="Arial" w:cs="Arial"/>
              </w:rPr>
              <w:t>Kvalitet poslovnog plana i efekti na zapošljavanje i ekonomski razvoj</w:t>
            </w:r>
          </w:p>
        </w:tc>
        <w:tc>
          <w:tcPr>
            <w:tcW w:w="1638" w:type="dxa"/>
            <w:tcBorders>
              <w:top w:val="single" w:sz="4" w:space="0" w:color="auto"/>
              <w:left w:val="single" w:sz="2" w:space="0" w:color="auto"/>
              <w:bottom w:val="single" w:sz="12" w:space="0" w:color="auto"/>
              <w:right w:val="single" w:sz="12" w:space="0" w:color="auto"/>
            </w:tcBorders>
          </w:tcPr>
          <w:p w:rsidR="00C26E77" w:rsidRPr="00CD0D75" w:rsidRDefault="00C26E77" w:rsidP="004A25A4">
            <w:pPr>
              <w:spacing w:after="0"/>
              <w:jc w:val="center"/>
              <w:rPr>
                <w:rFonts w:ascii="Arial" w:hAnsi="Arial" w:cs="Arial"/>
                <w:b/>
              </w:rPr>
            </w:pPr>
            <w:r w:rsidRPr="00CD0D75">
              <w:rPr>
                <w:rFonts w:ascii="Arial" w:hAnsi="Arial" w:cs="Arial"/>
                <w:b/>
              </w:rPr>
              <w:t>5</w:t>
            </w:r>
          </w:p>
        </w:tc>
      </w:tr>
      <w:tr w:rsidR="00C26E77" w:rsidRPr="00CD0D75" w:rsidTr="00E93BF6">
        <w:trPr>
          <w:trHeight w:val="207"/>
        </w:trPr>
        <w:tc>
          <w:tcPr>
            <w:tcW w:w="9576" w:type="dxa"/>
            <w:gridSpan w:val="3"/>
            <w:tcBorders>
              <w:top w:val="single" w:sz="12" w:space="0" w:color="auto"/>
              <w:bottom w:val="nil"/>
            </w:tcBorders>
          </w:tcPr>
          <w:p w:rsidR="00C26E77" w:rsidRPr="00CD0D75" w:rsidRDefault="00C26E77" w:rsidP="00CD0D75">
            <w:pPr>
              <w:spacing w:after="0"/>
              <w:rPr>
                <w:rFonts w:ascii="Arial" w:hAnsi="Arial" w:cs="Arial"/>
              </w:rPr>
            </w:pPr>
            <w:r w:rsidRPr="00CD0D75">
              <w:rPr>
                <w:rFonts w:ascii="Arial" w:hAnsi="Arial" w:cs="Arial"/>
                <w:b/>
              </w:rPr>
              <w:t xml:space="preserve">   </w:t>
            </w:r>
          </w:p>
        </w:tc>
      </w:tr>
    </w:tbl>
    <w:p w:rsidR="00C26E77" w:rsidRPr="00CD0D75" w:rsidRDefault="00C26E77" w:rsidP="004A25A4">
      <w:pPr>
        <w:pStyle w:val="Heading2"/>
        <w:numPr>
          <w:ilvl w:val="1"/>
          <w:numId w:val="0"/>
        </w:numPr>
        <w:spacing w:before="0" w:after="0"/>
        <w:jc w:val="both"/>
        <w:rPr>
          <w:i w:val="0"/>
          <w:sz w:val="22"/>
          <w:szCs w:val="22"/>
          <w:u w:val="single"/>
        </w:rPr>
      </w:pPr>
      <w:bookmarkStart w:id="26" w:name="_Toc390549916"/>
      <w:bookmarkStart w:id="27" w:name="_Toc402262962"/>
      <w:r w:rsidRPr="00CD0D75">
        <w:rPr>
          <w:i w:val="0"/>
          <w:sz w:val="22"/>
          <w:szCs w:val="22"/>
          <w:u w:val="single"/>
        </w:rPr>
        <w:t>10.1 Ponuđeni procentualni iznos za obračun koncesione naknade</w:t>
      </w:r>
      <w:bookmarkEnd w:id="26"/>
      <w:bookmarkEnd w:id="27"/>
    </w:p>
    <w:p w:rsidR="00C26E77" w:rsidRPr="00CD0D75" w:rsidRDefault="00C26E77" w:rsidP="004A25A4">
      <w:pPr>
        <w:spacing w:after="0"/>
        <w:jc w:val="both"/>
        <w:rPr>
          <w:rFonts w:ascii="Arial" w:hAnsi="Arial" w:cs="Arial"/>
        </w:rPr>
      </w:pPr>
    </w:p>
    <w:p w:rsidR="00C26E77" w:rsidRPr="00CD0D75" w:rsidRDefault="00C26E77" w:rsidP="004A25A4">
      <w:pPr>
        <w:spacing w:after="0"/>
        <w:jc w:val="both"/>
        <w:rPr>
          <w:rFonts w:ascii="Arial" w:hAnsi="Arial" w:cs="Arial"/>
        </w:rPr>
      </w:pPr>
      <w:r w:rsidRPr="00CD0D75">
        <w:rPr>
          <w:rFonts w:ascii="Arial" w:hAnsi="Arial" w:cs="Arial"/>
          <w:b/>
        </w:rPr>
        <w:t>Tačkom 9.1.2 Koncesionog akta – Pripadnost grupi ležišta</w:t>
      </w:r>
      <w:r w:rsidRPr="00CD0D75">
        <w:rPr>
          <w:rFonts w:ascii="Arial" w:hAnsi="Arial" w:cs="Arial"/>
        </w:rPr>
        <w:t>, je definisano da se ležište tehničko-gr</w:t>
      </w:r>
      <w:r w:rsidR="009F7BDE" w:rsidRPr="00CD0D75">
        <w:rPr>
          <w:rFonts w:ascii="Arial" w:hAnsi="Arial" w:cs="Arial"/>
        </w:rPr>
        <w:t>ađevinskog  kamena „Otilovići</w:t>
      </w:r>
      <w:r w:rsidRPr="00CD0D75">
        <w:rPr>
          <w:rFonts w:ascii="Arial" w:hAnsi="Arial" w:cs="Arial"/>
        </w:rPr>
        <w:t>“, na osnovu postojećih karakteristika i očekivanih uslova za eksploataciju, svrstava u treću grupu geogenih ležišta (G</w:t>
      </w:r>
      <w:r w:rsidRPr="00CD0D75">
        <w:rPr>
          <w:rFonts w:ascii="Arial" w:hAnsi="Arial" w:cs="Arial"/>
          <w:vertAlign w:val="subscript"/>
        </w:rPr>
        <w:t>3</w:t>
      </w:r>
      <w:r w:rsidRPr="00CD0D75">
        <w:rPr>
          <w:rFonts w:ascii="Arial" w:hAnsi="Arial" w:cs="Arial"/>
        </w:rPr>
        <w:t>).</w:t>
      </w:r>
    </w:p>
    <w:p w:rsidR="00C26E77" w:rsidRPr="00CD0D75" w:rsidRDefault="00C26E77" w:rsidP="004A25A4">
      <w:pPr>
        <w:spacing w:after="0"/>
        <w:jc w:val="both"/>
        <w:rPr>
          <w:rFonts w:ascii="Arial" w:hAnsi="Arial" w:cs="Arial"/>
        </w:rPr>
      </w:pPr>
    </w:p>
    <w:p w:rsidR="00C26E77" w:rsidRPr="00CD0D75" w:rsidRDefault="00C26E77" w:rsidP="004A25A4">
      <w:pPr>
        <w:spacing w:after="0"/>
        <w:jc w:val="both"/>
        <w:rPr>
          <w:rFonts w:ascii="Arial" w:hAnsi="Arial" w:cs="Arial"/>
        </w:rPr>
      </w:pPr>
      <w:r w:rsidRPr="00CD0D75">
        <w:rPr>
          <w:rFonts w:ascii="Arial" w:hAnsi="Arial" w:cs="Arial"/>
        </w:rPr>
        <w:t xml:space="preserve">Po tom osnovu, shodno Uredbi o kriterijumima i načinu obračuna iznosa minimalne koncesione naknade za ustupanje prava na istraživanje i eksploataciju mineralnih sirovina („Sl. list CG“, br. 37/11), procentni iznos za obračun minimalne - početne koncesione naknade (čl. 15 Uredbe) iznosi </w:t>
      </w:r>
      <w:r w:rsidRPr="00CD0D75">
        <w:rPr>
          <w:rFonts w:ascii="Arial" w:hAnsi="Arial" w:cs="Arial"/>
          <w:b/>
        </w:rPr>
        <w:t>7%</w:t>
      </w:r>
      <w:r w:rsidRPr="00CD0D75">
        <w:rPr>
          <w:rFonts w:ascii="Arial" w:hAnsi="Arial" w:cs="Arial"/>
        </w:rPr>
        <w:t xml:space="preserve"> od tržišne vrijednosti bilansnih ili eksploatacionih rezervi tehničko-građevinskog kamena, odnosno, ukupnog tržišnog proizvoda, za koncesioni period za eksploataciju od </w:t>
      </w:r>
      <w:r w:rsidRPr="00DC23A1">
        <w:rPr>
          <w:rFonts w:ascii="Arial" w:hAnsi="Arial" w:cs="Arial"/>
        </w:rPr>
        <w:t>2</w:t>
      </w:r>
      <w:r w:rsidR="00853304" w:rsidRPr="00DC23A1">
        <w:rPr>
          <w:rFonts w:ascii="Arial" w:hAnsi="Arial" w:cs="Arial"/>
        </w:rPr>
        <w:t>0</w:t>
      </w:r>
      <w:r w:rsidRPr="00CD0D75">
        <w:rPr>
          <w:rFonts w:ascii="Arial" w:hAnsi="Arial" w:cs="Arial"/>
        </w:rPr>
        <w:t xml:space="preserve"> godina.</w:t>
      </w:r>
    </w:p>
    <w:p w:rsidR="00C26E77" w:rsidRPr="00CD0D75" w:rsidRDefault="00C26E77" w:rsidP="004A25A4">
      <w:pPr>
        <w:spacing w:after="0"/>
        <w:jc w:val="both"/>
        <w:rPr>
          <w:rFonts w:ascii="Arial" w:hAnsi="Arial" w:cs="Arial"/>
        </w:rPr>
      </w:pPr>
      <w:r w:rsidRPr="00CD0D75">
        <w:rPr>
          <w:rFonts w:ascii="Arial" w:hAnsi="Arial" w:cs="Arial"/>
        </w:rPr>
        <w:t>Ponuđači mogu ponuditi procentni iznos tržišne vrijednosti bilansnih ili eksploatacionih rezervi tehničko-građevinskog  kamena koje je veći od 7%.</w:t>
      </w:r>
    </w:p>
    <w:p w:rsidR="00C26E77" w:rsidRPr="00CD0D75" w:rsidRDefault="00C26E77" w:rsidP="004A25A4">
      <w:pPr>
        <w:spacing w:after="0"/>
        <w:jc w:val="both"/>
        <w:rPr>
          <w:rFonts w:ascii="Arial" w:hAnsi="Arial" w:cs="Arial"/>
        </w:rPr>
      </w:pPr>
    </w:p>
    <w:p w:rsidR="00C26E77" w:rsidRPr="00CD0D75" w:rsidRDefault="00C26E77" w:rsidP="004A25A4">
      <w:pPr>
        <w:spacing w:after="0"/>
        <w:jc w:val="both"/>
        <w:rPr>
          <w:rFonts w:ascii="Arial" w:hAnsi="Arial" w:cs="Arial"/>
        </w:rPr>
      </w:pPr>
      <w:r w:rsidRPr="00CD0D75">
        <w:rPr>
          <w:rFonts w:ascii="Arial" w:hAnsi="Arial" w:cs="Arial"/>
        </w:rPr>
        <w:t>Ovaj kriterijum se izračunava na sljedeći način:</w:t>
      </w:r>
    </w:p>
    <w:p w:rsidR="00C26E77" w:rsidRPr="00CD0D75" w:rsidRDefault="00C26E77" w:rsidP="004A25A4">
      <w:pPr>
        <w:spacing w:after="0"/>
        <w:jc w:val="both"/>
        <w:rPr>
          <w:rFonts w:ascii="Arial" w:hAnsi="Arial" w:cs="Arial"/>
          <w:b/>
        </w:rPr>
      </w:pPr>
    </w:p>
    <w:p w:rsidR="00C26E77" w:rsidRPr="00CD0D75" w:rsidRDefault="00C26E77" w:rsidP="004A25A4">
      <w:pPr>
        <w:spacing w:after="0"/>
        <w:jc w:val="both"/>
        <w:rPr>
          <w:rFonts w:ascii="Arial" w:hAnsi="Arial" w:cs="Arial"/>
          <w:b/>
        </w:rPr>
      </w:pPr>
      <w:r w:rsidRPr="00CD0D75">
        <w:rPr>
          <w:rFonts w:ascii="Arial" w:hAnsi="Arial" w:cs="Arial"/>
          <w:b/>
        </w:rPr>
        <w:t>Kriterijum:  P % / MP% x 40,</w:t>
      </w:r>
    </w:p>
    <w:p w:rsidR="00C26E77" w:rsidRPr="00CD0D75" w:rsidRDefault="00C26E77" w:rsidP="004A25A4">
      <w:pPr>
        <w:spacing w:after="0"/>
        <w:jc w:val="both"/>
        <w:rPr>
          <w:rFonts w:ascii="Arial" w:hAnsi="Arial" w:cs="Arial"/>
        </w:rPr>
      </w:pPr>
    </w:p>
    <w:p w:rsidR="00C26E77" w:rsidRPr="00CD0D75" w:rsidRDefault="00C26E77" w:rsidP="004A25A4">
      <w:pPr>
        <w:spacing w:after="0"/>
        <w:jc w:val="both"/>
        <w:rPr>
          <w:rFonts w:ascii="Arial" w:hAnsi="Arial" w:cs="Arial"/>
        </w:rPr>
      </w:pPr>
      <w:r w:rsidRPr="00CD0D75">
        <w:rPr>
          <w:rFonts w:ascii="Arial" w:hAnsi="Arial" w:cs="Arial"/>
        </w:rPr>
        <w:t>gdje:</w:t>
      </w:r>
    </w:p>
    <w:p w:rsidR="00C26E77" w:rsidRPr="00CD0D75" w:rsidRDefault="00C26E77" w:rsidP="004A25A4">
      <w:pPr>
        <w:spacing w:after="0"/>
        <w:jc w:val="both"/>
        <w:rPr>
          <w:rFonts w:ascii="Arial" w:hAnsi="Arial" w:cs="Arial"/>
        </w:rPr>
      </w:pPr>
      <w:r w:rsidRPr="00CD0D75">
        <w:rPr>
          <w:rFonts w:ascii="Arial" w:hAnsi="Arial" w:cs="Arial"/>
        </w:rPr>
        <w:t>P% - označava % ponuđača</w:t>
      </w:r>
    </w:p>
    <w:p w:rsidR="00C26E77" w:rsidRPr="00CD0D75" w:rsidRDefault="008A63CC" w:rsidP="004A25A4">
      <w:pPr>
        <w:spacing w:after="0"/>
        <w:jc w:val="both"/>
        <w:rPr>
          <w:rFonts w:ascii="Arial" w:hAnsi="Arial" w:cs="Arial"/>
        </w:rPr>
      </w:pPr>
      <w:r>
        <w:rPr>
          <w:rFonts w:ascii="Arial" w:hAnsi="Arial" w:cs="Arial"/>
        </w:rPr>
        <w:t>MP % - označava maks</w:t>
      </w:r>
      <w:r w:rsidR="00C26E77" w:rsidRPr="00CD0D75">
        <w:rPr>
          <w:rFonts w:ascii="Arial" w:hAnsi="Arial" w:cs="Arial"/>
        </w:rPr>
        <w:t>imalno ponuđeni % na tenderu</w:t>
      </w:r>
    </w:p>
    <w:p w:rsidR="00C26E77" w:rsidRPr="00CD0D75" w:rsidRDefault="00C26E77" w:rsidP="004A25A4">
      <w:pPr>
        <w:spacing w:after="0"/>
        <w:jc w:val="both"/>
        <w:rPr>
          <w:rFonts w:ascii="Arial" w:hAnsi="Arial" w:cs="Arial"/>
        </w:rPr>
      </w:pPr>
      <w:r w:rsidRPr="00CD0D75">
        <w:rPr>
          <w:rFonts w:ascii="Arial" w:hAnsi="Arial" w:cs="Arial"/>
          <w:b/>
        </w:rPr>
        <w:t>40</w:t>
      </w:r>
      <w:r w:rsidRPr="00CD0D75">
        <w:rPr>
          <w:rFonts w:ascii="Arial" w:hAnsi="Arial" w:cs="Arial"/>
        </w:rPr>
        <w:t xml:space="preserve"> – broj bodova za ovaj kriterijum </w:t>
      </w:r>
    </w:p>
    <w:p w:rsidR="00C26E77" w:rsidRPr="00CD0D75" w:rsidRDefault="00C26E77" w:rsidP="004A25A4">
      <w:pPr>
        <w:spacing w:after="0"/>
        <w:jc w:val="both"/>
        <w:rPr>
          <w:rFonts w:ascii="Arial" w:hAnsi="Arial" w:cs="Arial"/>
        </w:rPr>
      </w:pPr>
    </w:p>
    <w:p w:rsidR="00C26E77" w:rsidRPr="00CD0D75" w:rsidRDefault="00C26E77" w:rsidP="004A25A4">
      <w:pPr>
        <w:pStyle w:val="Heading2"/>
        <w:numPr>
          <w:ilvl w:val="1"/>
          <w:numId w:val="0"/>
        </w:numPr>
        <w:spacing w:before="0" w:after="0"/>
        <w:jc w:val="both"/>
        <w:rPr>
          <w:i w:val="0"/>
          <w:sz w:val="22"/>
          <w:szCs w:val="22"/>
          <w:u w:val="single"/>
        </w:rPr>
      </w:pPr>
      <w:bookmarkStart w:id="28" w:name="_Toc390549917"/>
      <w:bookmarkStart w:id="29" w:name="_Toc402262963"/>
      <w:r w:rsidRPr="00CD0D75">
        <w:rPr>
          <w:i w:val="0"/>
          <w:sz w:val="22"/>
          <w:szCs w:val="22"/>
          <w:u w:val="single"/>
        </w:rPr>
        <w:t>10.2 Ponuđeni ukupni obim rudarske proizvodnje</w:t>
      </w:r>
      <w:bookmarkEnd w:id="28"/>
      <w:bookmarkEnd w:id="29"/>
    </w:p>
    <w:p w:rsidR="00C26E77" w:rsidRPr="00CD0D75" w:rsidRDefault="00C26E77" w:rsidP="004A25A4">
      <w:pPr>
        <w:spacing w:after="0"/>
        <w:jc w:val="both"/>
        <w:rPr>
          <w:rFonts w:ascii="Arial" w:hAnsi="Arial" w:cs="Arial"/>
        </w:rPr>
      </w:pPr>
    </w:p>
    <w:p w:rsidR="00010DA8" w:rsidRPr="00010DA8" w:rsidRDefault="00010DA8" w:rsidP="00010DA8">
      <w:pPr>
        <w:spacing w:after="0"/>
        <w:jc w:val="both"/>
        <w:rPr>
          <w:rFonts w:ascii="Arial" w:hAnsi="Arial" w:cs="Arial"/>
        </w:rPr>
      </w:pPr>
      <w:bookmarkStart w:id="30" w:name="_Toc390549918"/>
      <w:r w:rsidRPr="00010DA8">
        <w:rPr>
          <w:rFonts w:ascii="Arial" w:hAnsi="Arial" w:cs="Arial"/>
          <w:b/>
          <w:bCs/>
        </w:rPr>
        <w:t xml:space="preserve">Tačkom 9.1.1 Koncesionog akta - Rezerve mineralne sirovine, </w:t>
      </w:r>
      <w:r w:rsidRPr="00010DA8">
        <w:rPr>
          <w:rFonts w:ascii="Arial" w:hAnsi="Arial" w:cs="Arial"/>
          <w:bCs/>
        </w:rPr>
        <w:t>je definisano da</w:t>
      </w:r>
      <w:r w:rsidRPr="00010DA8">
        <w:rPr>
          <w:rFonts w:ascii="Arial" w:hAnsi="Arial" w:cs="Arial"/>
          <w:b/>
          <w:bCs/>
        </w:rPr>
        <w:t xml:space="preserve"> </w:t>
      </w:r>
      <w:r w:rsidRPr="00010DA8">
        <w:rPr>
          <w:rFonts w:ascii="Arial" w:hAnsi="Arial" w:cs="Arial"/>
        </w:rPr>
        <w:t>utvrđene eksploatacione rezerve B+C</w:t>
      </w:r>
      <w:r w:rsidRPr="00010DA8">
        <w:rPr>
          <w:rFonts w:ascii="Arial" w:hAnsi="Arial" w:cs="Arial"/>
          <w:vertAlign w:val="subscript"/>
        </w:rPr>
        <w:t>1</w:t>
      </w:r>
      <w:r w:rsidRPr="00010DA8">
        <w:rPr>
          <w:rFonts w:ascii="Arial" w:hAnsi="Arial" w:cs="Arial"/>
        </w:rPr>
        <w:t xml:space="preserve"> kategorije  tehničko-građevinskog  kamena na ležištu „Otilovići“ </w:t>
      </w:r>
      <w:r w:rsidRPr="00010DA8">
        <w:rPr>
          <w:rFonts w:ascii="Arial" w:hAnsi="Arial" w:cs="Arial"/>
          <w:b/>
        </w:rPr>
        <w:t xml:space="preserve">iznose  </w:t>
      </w:r>
      <w:r w:rsidRPr="00010DA8">
        <w:rPr>
          <w:rFonts w:ascii="Arial" w:hAnsi="Arial" w:cs="Arial"/>
          <w:bCs/>
          <w:iCs/>
        </w:rPr>
        <w:t>1.865.714,00</w:t>
      </w:r>
      <w:r w:rsidRPr="00010DA8">
        <w:rPr>
          <w:rFonts w:ascii="Arial" w:hAnsi="Arial" w:cs="Arial"/>
        </w:rPr>
        <w:t xml:space="preserve"> </w:t>
      </w:r>
      <w:r w:rsidRPr="00010DA8">
        <w:rPr>
          <w:rFonts w:ascii="Arial" w:hAnsi="Arial" w:cs="Arial"/>
          <w:b/>
        </w:rPr>
        <w:t>m</w:t>
      </w:r>
      <w:r w:rsidRPr="00010DA8">
        <w:rPr>
          <w:rFonts w:ascii="Arial" w:hAnsi="Arial" w:cs="Arial"/>
          <w:b/>
          <w:vertAlign w:val="superscript"/>
        </w:rPr>
        <w:t>3</w:t>
      </w:r>
      <w:r w:rsidRPr="00010DA8">
        <w:rPr>
          <w:rFonts w:ascii="Arial" w:hAnsi="Arial" w:cs="Arial"/>
        </w:rPr>
        <w:t xml:space="preserve"> </w:t>
      </w:r>
      <w:r w:rsidRPr="00010DA8">
        <w:rPr>
          <w:rFonts w:ascii="Arial" w:hAnsi="Arial" w:cs="Arial"/>
          <w:b/>
        </w:rPr>
        <w:t xml:space="preserve">č.s.m. </w:t>
      </w:r>
      <w:r w:rsidRPr="00010DA8">
        <w:rPr>
          <w:rFonts w:ascii="Arial" w:hAnsi="Arial" w:cs="Arial"/>
        </w:rPr>
        <w:t>Prema minimalnom godišnjem kapacitetu od 10.000 m</w:t>
      </w:r>
      <w:r w:rsidRPr="00010DA8">
        <w:rPr>
          <w:rFonts w:ascii="Arial" w:hAnsi="Arial" w:cs="Arial"/>
          <w:vertAlign w:val="superscript"/>
        </w:rPr>
        <w:t xml:space="preserve">3 </w:t>
      </w:r>
      <w:r w:rsidRPr="00010DA8">
        <w:rPr>
          <w:rFonts w:ascii="Arial" w:hAnsi="Arial" w:cs="Arial"/>
        </w:rPr>
        <w:t>č.s.m. tehničko-građ</w:t>
      </w:r>
      <w:r w:rsidR="00881468">
        <w:rPr>
          <w:rFonts w:ascii="Arial" w:hAnsi="Arial" w:cs="Arial"/>
        </w:rPr>
        <w:t>evinskog kamena, za period od 20</w:t>
      </w:r>
      <w:r w:rsidRPr="00010DA8">
        <w:rPr>
          <w:rFonts w:ascii="Arial" w:hAnsi="Arial" w:cs="Arial"/>
        </w:rPr>
        <w:t xml:space="preserve"> godina (period koncesije za </w:t>
      </w:r>
      <w:r w:rsidR="00881468">
        <w:rPr>
          <w:rFonts w:ascii="Arial" w:hAnsi="Arial" w:cs="Arial"/>
        </w:rPr>
        <w:t>eksploataciju) otkopalo bi se 20</w:t>
      </w:r>
      <w:r w:rsidRPr="00010DA8">
        <w:rPr>
          <w:rFonts w:ascii="Arial" w:hAnsi="Arial" w:cs="Arial"/>
        </w:rPr>
        <w:t>0.000 m</w:t>
      </w:r>
      <w:r w:rsidRPr="00010DA8">
        <w:rPr>
          <w:rFonts w:ascii="Arial" w:hAnsi="Arial" w:cs="Arial"/>
          <w:vertAlign w:val="superscript"/>
        </w:rPr>
        <w:t>3</w:t>
      </w:r>
      <w:r w:rsidRPr="00010DA8">
        <w:rPr>
          <w:rFonts w:ascii="Arial" w:hAnsi="Arial" w:cs="Arial"/>
        </w:rPr>
        <w:t xml:space="preserve"> č.s.m tehničko-građevinskog kamena. Od 10.000 m</w:t>
      </w:r>
      <w:r w:rsidRPr="00010DA8">
        <w:rPr>
          <w:rFonts w:ascii="Arial" w:hAnsi="Arial" w:cs="Arial"/>
          <w:vertAlign w:val="superscript"/>
        </w:rPr>
        <w:t xml:space="preserve">3 </w:t>
      </w:r>
      <w:r w:rsidRPr="00010DA8">
        <w:rPr>
          <w:rFonts w:ascii="Arial" w:hAnsi="Arial" w:cs="Arial"/>
        </w:rPr>
        <w:t xml:space="preserve">č.s.m. na godišnjem nivou u procesu </w:t>
      </w:r>
      <w:r w:rsidRPr="00010DA8">
        <w:rPr>
          <w:rFonts w:ascii="Arial" w:hAnsi="Arial" w:cs="Arial"/>
        </w:rPr>
        <w:lastRenderedPageBreak/>
        <w:t>dalje obrade sirovine dobilo bi se 15.000 m</w:t>
      </w:r>
      <w:r w:rsidRPr="00010DA8">
        <w:rPr>
          <w:rFonts w:ascii="Arial" w:hAnsi="Arial" w:cs="Arial"/>
          <w:vertAlign w:val="superscript"/>
        </w:rPr>
        <w:t>3</w:t>
      </w:r>
      <w:r w:rsidRPr="00010DA8">
        <w:rPr>
          <w:rFonts w:ascii="Arial" w:hAnsi="Arial" w:cs="Arial"/>
        </w:rPr>
        <w:t xml:space="preserve"> agregata različitih </w:t>
      </w:r>
      <w:r w:rsidR="00881468">
        <w:rPr>
          <w:rFonts w:ascii="Arial" w:hAnsi="Arial" w:cs="Arial"/>
        </w:rPr>
        <w:t>frakcija, što bi za period od 20 godina iznosilo 300</w:t>
      </w:r>
      <w:r w:rsidRPr="00010DA8">
        <w:rPr>
          <w:rFonts w:ascii="Arial" w:hAnsi="Arial" w:cs="Arial"/>
        </w:rPr>
        <w:t>.000 m</w:t>
      </w:r>
      <w:r w:rsidRPr="00010DA8">
        <w:rPr>
          <w:rFonts w:ascii="Arial" w:hAnsi="Arial" w:cs="Arial"/>
          <w:vertAlign w:val="superscript"/>
        </w:rPr>
        <w:t>3</w:t>
      </w:r>
      <w:r w:rsidRPr="00010DA8">
        <w:rPr>
          <w:rFonts w:ascii="Arial" w:hAnsi="Arial" w:cs="Arial"/>
        </w:rPr>
        <w:t xml:space="preserve"> tržišnog proizvoda.</w:t>
      </w:r>
    </w:p>
    <w:p w:rsidR="00010DA8" w:rsidRPr="00010DA8" w:rsidRDefault="00010DA8" w:rsidP="00010DA8">
      <w:pPr>
        <w:spacing w:after="0"/>
        <w:jc w:val="both"/>
        <w:rPr>
          <w:rFonts w:ascii="Arial" w:hAnsi="Arial" w:cs="Arial"/>
        </w:rPr>
      </w:pPr>
    </w:p>
    <w:p w:rsidR="00010DA8" w:rsidRPr="00010DA8" w:rsidRDefault="00010DA8" w:rsidP="00010DA8">
      <w:pPr>
        <w:spacing w:after="0"/>
        <w:jc w:val="both"/>
        <w:rPr>
          <w:rFonts w:ascii="Arial" w:hAnsi="Arial" w:cs="Arial"/>
        </w:rPr>
      </w:pPr>
      <w:r w:rsidRPr="00010DA8">
        <w:rPr>
          <w:rFonts w:ascii="Arial" w:hAnsi="Arial" w:cs="Arial"/>
        </w:rPr>
        <w:t>Ponuđači mogu ponuditi obim godišnje rudarske proizvodnje koji je jednak ili veći od 10.000 m</w:t>
      </w:r>
      <w:r w:rsidRPr="00010DA8">
        <w:rPr>
          <w:rFonts w:ascii="Arial" w:hAnsi="Arial" w:cs="Arial"/>
          <w:vertAlign w:val="superscript"/>
        </w:rPr>
        <w:t xml:space="preserve">3 </w:t>
      </w:r>
      <w:r w:rsidRPr="00010DA8">
        <w:rPr>
          <w:rFonts w:ascii="Arial" w:hAnsi="Arial" w:cs="Arial"/>
        </w:rPr>
        <w:t xml:space="preserve">č.s.m. </w:t>
      </w:r>
      <w:r w:rsidRPr="00010DA8">
        <w:rPr>
          <w:rFonts w:ascii="Arial" w:hAnsi="Arial" w:cs="Arial"/>
          <w:bCs/>
        </w:rPr>
        <w:t>Ovaj kriterijum se izračunava na sljedeći način:</w:t>
      </w:r>
    </w:p>
    <w:p w:rsidR="00010DA8" w:rsidRPr="00010DA8" w:rsidRDefault="00010DA8" w:rsidP="00010DA8">
      <w:pPr>
        <w:spacing w:after="0"/>
        <w:jc w:val="both"/>
        <w:rPr>
          <w:rFonts w:ascii="Arial" w:hAnsi="Arial" w:cs="Arial"/>
          <w:bCs/>
        </w:rPr>
      </w:pPr>
    </w:p>
    <w:p w:rsidR="00010DA8" w:rsidRPr="00010DA8" w:rsidRDefault="00010DA8" w:rsidP="00010DA8">
      <w:pPr>
        <w:spacing w:after="0"/>
        <w:jc w:val="both"/>
        <w:rPr>
          <w:rFonts w:ascii="Arial" w:hAnsi="Arial" w:cs="Arial"/>
          <w:b/>
          <w:bCs/>
        </w:rPr>
      </w:pPr>
      <w:r w:rsidRPr="00010DA8">
        <w:rPr>
          <w:rFonts w:ascii="Arial" w:hAnsi="Arial" w:cs="Arial"/>
          <w:b/>
          <w:bCs/>
        </w:rPr>
        <w:t>Kriterijum:  PGP/MPGP x 20,</w:t>
      </w:r>
    </w:p>
    <w:p w:rsidR="00010DA8" w:rsidRPr="00010DA8" w:rsidRDefault="00010DA8" w:rsidP="00010DA8">
      <w:pPr>
        <w:spacing w:after="0"/>
        <w:jc w:val="both"/>
        <w:rPr>
          <w:rFonts w:ascii="Arial" w:hAnsi="Arial" w:cs="Arial"/>
          <w:b/>
          <w:bCs/>
        </w:rPr>
      </w:pPr>
    </w:p>
    <w:p w:rsidR="00010DA8" w:rsidRPr="00010DA8" w:rsidRDefault="00010DA8" w:rsidP="00010DA8">
      <w:pPr>
        <w:spacing w:after="0"/>
        <w:jc w:val="both"/>
        <w:rPr>
          <w:rFonts w:ascii="Arial" w:hAnsi="Arial" w:cs="Arial"/>
          <w:bCs/>
        </w:rPr>
      </w:pPr>
      <w:r w:rsidRPr="00010DA8">
        <w:rPr>
          <w:rFonts w:ascii="Arial" w:hAnsi="Arial" w:cs="Arial"/>
          <w:bCs/>
        </w:rPr>
        <w:t>gdje:</w:t>
      </w:r>
    </w:p>
    <w:p w:rsidR="00010DA8" w:rsidRPr="00010DA8" w:rsidRDefault="00010DA8" w:rsidP="00010DA8">
      <w:pPr>
        <w:spacing w:after="0"/>
        <w:jc w:val="both"/>
        <w:rPr>
          <w:rFonts w:ascii="Arial" w:hAnsi="Arial" w:cs="Arial"/>
          <w:bCs/>
        </w:rPr>
      </w:pPr>
      <w:r w:rsidRPr="00010DA8">
        <w:rPr>
          <w:rFonts w:ascii="Arial" w:hAnsi="Arial" w:cs="Arial"/>
          <w:bCs/>
        </w:rPr>
        <w:t>PGP - označava ponuđenu godišnju proizvodnju</w:t>
      </w:r>
    </w:p>
    <w:p w:rsidR="00010DA8" w:rsidRPr="00010DA8" w:rsidRDefault="00010DA8" w:rsidP="00010DA8">
      <w:pPr>
        <w:spacing w:after="0"/>
        <w:jc w:val="both"/>
        <w:rPr>
          <w:rFonts w:ascii="Arial" w:hAnsi="Arial" w:cs="Arial"/>
          <w:bCs/>
        </w:rPr>
      </w:pPr>
      <w:r w:rsidRPr="00010DA8">
        <w:rPr>
          <w:rFonts w:ascii="Arial" w:hAnsi="Arial" w:cs="Arial"/>
          <w:bCs/>
        </w:rPr>
        <w:t>MPGP - označava maksimalno ponuđenu  godišnju proizvodnju ponuđenu  na tenderu</w:t>
      </w:r>
    </w:p>
    <w:p w:rsidR="00010DA8" w:rsidRPr="00010DA8" w:rsidRDefault="00010DA8" w:rsidP="00010DA8">
      <w:pPr>
        <w:spacing w:after="0"/>
        <w:jc w:val="both"/>
        <w:rPr>
          <w:rFonts w:ascii="Arial" w:hAnsi="Arial" w:cs="Arial"/>
          <w:bCs/>
        </w:rPr>
      </w:pPr>
      <w:r w:rsidRPr="00010DA8">
        <w:rPr>
          <w:rFonts w:ascii="Arial" w:hAnsi="Arial" w:cs="Arial"/>
          <w:b/>
          <w:bCs/>
        </w:rPr>
        <w:t>20</w:t>
      </w:r>
      <w:r w:rsidRPr="00010DA8">
        <w:rPr>
          <w:rFonts w:ascii="Arial" w:hAnsi="Arial" w:cs="Arial"/>
          <w:bCs/>
        </w:rPr>
        <w:t xml:space="preserve"> – broj bodova za ovaj kriterijum</w:t>
      </w:r>
    </w:p>
    <w:p w:rsidR="00010DA8" w:rsidRDefault="00010DA8" w:rsidP="004A25A4">
      <w:pPr>
        <w:pStyle w:val="Heading2"/>
        <w:numPr>
          <w:ilvl w:val="1"/>
          <w:numId w:val="0"/>
        </w:numPr>
        <w:spacing w:before="0" w:after="0"/>
        <w:jc w:val="both"/>
        <w:rPr>
          <w:i w:val="0"/>
          <w:sz w:val="22"/>
          <w:szCs w:val="22"/>
          <w:u w:val="single"/>
        </w:rPr>
      </w:pPr>
    </w:p>
    <w:p w:rsidR="00C26E77" w:rsidRPr="003E16FA" w:rsidRDefault="00C26E77" w:rsidP="004A25A4">
      <w:pPr>
        <w:pStyle w:val="Heading2"/>
        <w:numPr>
          <w:ilvl w:val="1"/>
          <w:numId w:val="0"/>
        </w:numPr>
        <w:spacing w:before="0" w:after="0"/>
        <w:jc w:val="both"/>
        <w:rPr>
          <w:i w:val="0"/>
          <w:sz w:val="22"/>
          <w:szCs w:val="22"/>
          <w:u w:val="single"/>
        </w:rPr>
      </w:pPr>
      <w:r w:rsidRPr="003E16FA">
        <w:rPr>
          <w:i w:val="0"/>
          <w:sz w:val="22"/>
          <w:szCs w:val="22"/>
          <w:u w:val="single"/>
        </w:rPr>
        <w:t>10.3  Rok trajanja koncesije</w:t>
      </w:r>
    </w:p>
    <w:p w:rsidR="00C26E77" w:rsidRPr="003E16FA" w:rsidRDefault="00C26E77" w:rsidP="004A25A4">
      <w:pPr>
        <w:spacing w:after="0"/>
        <w:jc w:val="both"/>
        <w:rPr>
          <w:rFonts w:ascii="Arial" w:hAnsi="Arial" w:cs="Arial"/>
        </w:rPr>
      </w:pPr>
    </w:p>
    <w:p w:rsidR="00C26E77" w:rsidRPr="003E16FA" w:rsidRDefault="00C26E77" w:rsidP="004A25A4">
      <w:pPr>
        <w:spacing w:after="0"/>
        <w:jc w:val="both"/>
        <w:rPr>
          <w:rFonts w:ascii="Arial" w:hAnsi="Arial" w:cs="Arial"/>
        </w:rPr>
      </w:pPr>
      <w:r w:rsidRPr="003E16FA">
        <w:rPr>
          <w:rFonts w:ascii="Arial" w:hAnsi="Arial" w:cs="Arial"/>
          <w:b/>
        </w:rPr>
        <w:t>Poglavljem 3 Koncesionog akta – Rok trajanja koncesije</w:t>
      </w:r>
      <w:r w:rsidRPr="003E16FA">
        <w:rPr>
          <w:rFonts w:ascii="Arial" w:hAnsi="Arial" w:cs="Arial"/>
        </w:rPr>
        <w:t xml:space="preserve"> je definisano, s obzirom na utvrđe</w:t>
      </w:r>
      <w:r w:rsidR="009F7BDE" w:rsidRPr="003E16FA">
        <w:rPr>
          <w:rFonts w:ascii="Arial" w:hAnsi="Arial" w:cs="Arial"/>
        </w:rPr>
        <w:t xml:space="preserve">ne rezerve, da se koncesija za eksploataciju </w:t>
      </w:r>
      <w:r w:rsidRPr="003E16FA">
        <w:rPr>
          <w:rFonts w:ascii="Arial" w:hAnsi="Arial" w:cs="Arial"/>
        </w:rPr>
        <w:t xml:space="preserve">tehničko-građevinskog  kamena </w:t>
      </w:r>
      <w:r w:rsidR="009F7BDE" w:rsidRPr="003E16FA">
        <w:rPr>
          <w:rFonts w:ascii="Arial" w:hAnsi="Arial" w:cs="Arial"/>
        </w:rPr>
        <w:t xml:space="preserve"> na ležištu  “Otilovići</w:t>
      </w:r>
      <w:r w:rsidRPr="003E16FA">
        <w:rPr>
          <w:rFonts w:ascii="Arial" w:hAnsi="Arial" w:cs="Arial"/>
        </w:rPr>
        <w:t xml:space="preserve">” daje  na maksmalni  period od </w:t>
      </w:r>
      <w:r w:rsidR="00853304" w:rsidRPr="003E16FA">
        <w:rPr>
          <w:rFonts w:ascii="Arial" w:hAnsi="Arial" w:cs="Arial"/>
        </w:rPr>
        <w:t>21</w:t>
      </w:r>
      <w:r w:rsidRPr="003E16FA">
        <w:rPr>
          <w:rFonts w:ascii="Arial" w:hAnsi="Arial" w:cs="Arial"/>
        </w:rPr>
        <w:t xml:space="preserve"> godine, od čega: </w:t>
      </w:r>
    </w:p>
    <w:p w:rsidR="00C26E77" w:rsidRPr="003E16FA" w:rsidRDefault="00C26E77" w:rsidP="004A25A4">
      <w:pPr>
        <w:spacing w:after="0"/>
        <w:jc w:val="both"/>
        <w:rPr>
          <w:rFonts w:ascii="Arial" w:hAnsi="Arial" w:cs="Arial"/>
        </w:rPr>
      </w:pPr>
    </w:p>
    <w:p w:rsidR="00C26E77" w:rsidRPr="003E16FA" w:rsidRDefault="004A25A4" w:rsidP="004A25A4">
      <w:pPr>
        <w:spacing w:after="0"/>
        <w:jc w:val="both"/>
        <w:rPr>
          <w:rFonts w:ascii="Arial" w:hAnsi="Arial" w:cs="Arial"/>
        </w:rPr>
      </w:pPr>
      <w:r w:rsidRPr="003E16FA">
        <w:rPr>
          <w:rFonts w:ascii="Arial" w:hAnsi="Arial" w:cs="Arial"/>
        </w:rPr>
        <w:t>-</w:t>
      </w:r>
      <w:r w:rsidR="00C26E77" w:rsidRPr="003E16FA">
        <w:rPr>
          <w:rFonts w:ascii="Arial" w:hAnsi="Arial" w:cs="Arial"/>
        </w:rPr>
        <w:t>jedna godina za: izradu rudarske dokumentacije, pribavljanja odobrenja, saglasnosti i dozvola za izvođenje radova po istoj, pripremu ležišta za eksploataciju, instaliranje postrojenja i opreme potrebne za eksploataciju, kao i pribavljanje upotrebne dozvole za izgrađene objekte i</w:t>
      </w:r>
    </w:p>
    <w:p w:rsidR="00C26E77" w:rsidRPr="003E16FA" w:rsidRDefault="004A25A4" w:rsidP="004A25A4">
      <w:pPr>
        <w:spacing w:after="0"/>
        <w:jc w:val="both"/>
        <w:rPr>
          <w:rFonts w:ascii="Arial" w:hAnsi="Arial" w:cs="Arial"/>
        </w:rPr>
      </w:pPr>
      <w:r w:rsidRPr="003E16FA">
        <w:rPr>
          <w:rFonts w:ascii="Arial" w:hAnsi="Arial" w:cs="Arial"/>
        </w:rPr>
        <w:t>-</w:t>
      </w:r>
      <w:r w:rsidR="00C26E77" w:rsidRPr="003E16FA">
        <w:rPr>
          <w:rFonts w:ascii="Arial" w:hAnsi="Arial" w:cs="Arial"/>
        </w:rPr>
        <w:t>2</w:t>
      </w:r>
      <w:r w:rsidR="00853304" w:rsidRPr="003E16FA">
        <w:rPr>
          <w:rFonts w:ascii="Arial" w:hAnsi="Arial" w:cs="Arial"/>
        </w:rPr>
        <w:t>0</w:t>
      </w:r>
      <w:r w:rsidR="00C26E77" w:rsidRPr="003E16FA">
        <w:rPr>
          <w:rFonts w:ascii="Arial" w:hAnsi="Arial" w:cs="Arial"/>
        </w:rPr>
        <w:t xml:space="preserve"> (dvadeset) godina za eksploataciju.</w:t>
      </w:r>
    </w:p>
    <w:p w:rsidR="00C26E77" w:rsidRPr="003E16FA" w:rsidRDefault="00C26E77" w:rsidP="004A25A4">
      <w:pPr>
        <w:spacing w:after="0"/>
        <w:jc w:val="both"/>
        <w:rPr>
          <w:rFonts w:ascii="Arial" w:hAnsi="Arial" w:cs="Arial"/>
        </w:rPr>
      </w:pPr>
    </w:p>
    <w:p w:rsidR="00C26E77" w:rsidRDefault="00745686" w:rsidP="004A25A4">
      <w:pPr>
        <w:spacing w:after="0"/>
        <w:jc w:val="both"/>
        <w:rPr>
          <w:rFonts w:ascii="Arial" w:eastAsia="Times New Roman" w:hAnsi="Arial" w:cs="Arial"/>
        </w:rPr>
      </w:pPr>
      <w:r>
        <w:rPr>
          <w:rFonts w:ascii="Arial" w:eastAsia="Times New Roman" w:hAnsi="Arial" w:cs="Arial"/>
        </w:rPr>
        <w:t xml:space="preserve">Ponuđač </w:t>
      </w:r>
      <w:r w:rsidR="00C26E77" w:rsidRPr="003E16FA">
        <w:rPr>
          <w:rFonts w:ascii="Arial" w:eastAsia="Times New Roman" w:hAnsi="Arial" w:cs="Arial"/>
        </w:rPr>
        <w:t xml:space="preserve">može </w:t>
      </w:r>
      <w:r>
        <w:rPr>
          <w:rFonts w:ascii="Arial" w:eastAsia="Times New Roman" w:hAnsi="Arial" w:cs="Arial"/>
        </w:rPr>
        <w:t xml:space="preserve">ponuditi  ukupan rok koncesije </w:t>
      </w:r>
      <w:r w:rsidR="00C26E77" w:rsidRPr="003E16FA">
        <w:rPr>
          <w:rFonts w:ascii="Arial" w:eastAsia="Times New Roman" w:hAnsi="Arial" w:cs="Arial"/>
        </w:rPr>
        <w:t xml:space="preserve">koji je duži od roka utvrđenog Koncesionim aktom, jer je zakonom definisan rok trajanja koncesije od </w:t>
      </w:r>
      <w:r>
        <w:rPr>
          <w:rFonts w:ascii="Arial" w:eastAsia="Times New Roman" w:hAnsi="Arial" w:cs="Arial"/>
        </w:rPr>
        <w:t>30</w:t>
      </w:r>
      <w:r w:rsidR="00C26E77" w:rsidRPr="003E16FA">
        <w:rPr>
          <w:rFonts w:ascii="Arial" w:eastAsia="Times New Roman" w:hAnsi="Arial" w:cs="Arial"/>
        </w:rPr>
        <w:t xml:space="preserve"> godin</w:t>
      </w:r>
      <w:r>
        <w:rPr>
          <w:rFonts w:ascii="Arial" w:eastAsia="Times New Roman" w:hAnsi="Arial" w:cs="Arial"/>
        </w:rPr>
        <w:t>a. Rok trajanja faze</w:t>
      </w:r>
      <w:r w:rsidR="00C26E77" w:rsidRPr="003E16FA">
        <w:rPr>
          <w:rFonts w:ascii="Arial" w:eastAsia="Times New Roman" w:hAnsi="Arial" w:cs="Arial"/>
        </w:rPr>
        <w:t xml:space="preserve"> izrade rudarske i tehničke dokumentacije i pripremnih radova se ne može mijenjati.</w:t>
      </w:r>
    </w:p>
    <w:p w:rsidR="00745686" w:rsidRPr="003E16FA" w:rsidRDefault="00745686" w:rsidP="004A25A4">
      <w:pPr>
        <w:spacing w:after="0"/>
        <w:jc w:val="both"/>
        <w:rPr>
          <w:rFonts w:ascii="Arial" w:eastAsia="Times New Roman" w:hAnsi="Arial" w:cs="Arial"/>
        </w:rPr>
      </w:pPr>
    </w:p>
    <w:p w:rsidR="00C26E77" w:rsidRPr="003E16FA" w:rsidRDefault="00C26E77" w:rsidP="004A25A4">
      <w:pPr>
        <w:spacing w:after="0"/>
        <w:jc w:val="both"/>
        <w:rPr>
          <w:rFonts w:ascii="Arial" w:eastAsia="Times New Roman" w:hAnsi="Arial" w:cs="Arial"/>
        </w:rPr>
      </w:pPr>
      <w:r w:rsidRPr="003E16FA">
        <w:rPr>
          <w:rFonts w:ascii="Arial" w:eastAsia="Times New Roman" w:hAnsi="Arial" w:cs="Arial"/>
        </w:rPr>
        <w:t>Ovaj kriterijum se izračunava na sljedeći način:</w:t>
      </w:r>
    </w:p>
    <w:p w:rsidR="004A25A4" w:rsidRPr="003E16FA" w:rsidRDefault="004A25A4" w:rsidP="004A25A4">
      <w:pPr>
        <w:spacing w:after="0"/>
        <w:jc w:val="both"/>
        <w:rPr>
          <w:rFonts w:ascii="Arial" w:eastAsia="Times New Roman" w:hAnsi="Arial" w:cs="Arial"/>
        </w:rPr>
      </w:pPr>
    </w:p>
    <w:p w:rsidR="00C26E77" w:rsidRPr="003E16FA" w:rsidRDefault="00C26E77" w:rsidP="004A25A4">
      <w:pPr>
        <w:spacing w:after="0"/>
        <w:jc w:val="both"/>
        <w:rPr>
          <w:rFonts w:ascii="Arial" w:eastAsia="Times New Roman" w:hAnsi="Arial" w:cs="Arial"/>
          <w:b/>
        </w:rPr>
      </w:pPr>
      <w:r w:rsidRPr="003E16FA">
        <w:rPr>
          <w:rFonts w:ascii="Arial" w:eastAsia="Times New Roman" w:hAnsi="Arial" w:cs="Arial"/>
          <w:b/>
        </w:rPr>
        <w:t>Kriterijum:  PR / MPR x 5,</w:t>
      </w:r>
    </w:p>
    <w:p w:rsidR="004A25A4" w:rsidRPr="003E16FA" w:rsidRDefault="004A25A4" w:rsidP="004A25A4">
      <w:pPr>
        <w:spacing w:after="0"/>
        <w:jc w:val="both"/>
        <w:rPr>
          <w:rFonts w:ascii="Arial" w:eastAsia="Times New Roman" w:hAnsi="Arial" w:cs="Arial"/>
          <w:b/>
        </w:rPr>
      </w:pPr>
    </w:p>
    <w:p w:rsidR="00C26E77" w:rsidRPr="003E16FA" w:rsidRDefault="00C26E77" w:rsidP="004A25A4">
      <w:pPr>
        <w:spacing w:after="0"/>
        <w:jc w:val="both"/>
        <w:rPr>
          <w:rFonts w:ascii="Arial" w:eastAsia="Times New Roman" w:hAnsi="Arial" w:cs="Arial"/>
        </w:rPr>
      </w:pPr>
      <w:r w:rsidRPr="003E16FA">
        <w:rPr>
          <w:rFonts w:ascii="Arial" w:eastAsia="Times New Roman" w:hAnsi="Arial" w:cs="Arial"/>
        </w:rPr>
        <w:t>gdje:</w:t>
      </w:r>
    </w:p>
    <w:p w:rsidR="00C26E77" w:rsidRPr="003E16FA" w:rsidRDefault="00C26E77" w:rsidP="004A25A4">
      <w:pPr>
        <w:spacing w:after="0"/>
        <w:jc w:val="both"/>
        <w:rPr>
          <w:rFonts w:ascii="Arial" w:eastAsia="Times New Roman" w:hAnsi="Arial" w:cs="Arial"/>
        </w:rPr>
      </w:pPr>
      <w:r w:rsidRPr="003E16FA">
        <w:rPr>
          <w:rFonts w:ascii="Arial" w:eastAsia="Times New Roman" w:hAnsi="Arial" w:cs="Arial"/>
          <w:b/>
        </w:rPr>
        <w:t>PR-</w:t>
      </w:r>
      <w:r w:rsidRPr="003E16FA">
        <w:rPr>
          <w:rFonts w:ascii="Arial" w:eastAsia="Times New Roman" w:hAnsi="Arial" w:cs="Arial"/>
        </w:rPr>
        <w:t xml:space="preserve"> označava ponuđeni rok</w:t>
      </w:r>
    </w:p>
    <w:p w:rsidR="00C26E77" w:rsidRPr="003E16FA" w:rsidRDefault="00C26E77" w:rsidP="004A25A4">
      <w:pPr>
        <w:spacing w:after="0"/>
        <w:jc w:val="both"/>
        <w:rPr>
          <w:rFonts w:ascii="Arial" w:eastAsia="Times New Roman" w:hAnsi="Arial" w:cs="Arial"/>
        </w:rPr>
      </w:pPr>
      <w:r w:rsidRPr="003E16FA">
        <w:rPr>
          <w:rFonts w:ascii="Arial" w:eastAsia="Times New Roman" w:hAnsi="Arial" w:cs="Arial"/>
          <w:b/>
        </w:rPr>
        <w:t>MPR</w:t>
      </w:r>
      <w:r w:rsidRPr="003E16FA">
        <w:rPr>
          <w:rFonts w:ascii="Arial" w:eastAsia="Times New Roman" w:hAnsi="Arial" w:cs="Arial"/>
        </w:rPr>
        <w:t xml:space="preserve"> – označava maskimalno ponuđeni rok trajanja koncesije na tenderu</w:t>
      </w:r>
    </w:p>
    <w:p w:rsidR="00C26E77" w:rsidRPr="003E16FA" w:rsidRDefault="00C26E77" w:rsidP="004A25A4">
      <w:pPr>
        <w:spacing w:after="0"/>
        <w:jc w:val="both"/>
        <w:rPr>
          <w:rFonts w:ascii="Arial" w:eastAsia="Times New Roman" w:hAnsi="Arial" w:cs="Arial"/>
        </w:rPr>
      </w:pPr>
      <w:r w:rsidRPr="003E16FA">
        <w:rPr>
          <w:rFonts w:ascii="Arial" w:eastAsia="Times New Roman" w:hAnsi="Arial" w:cs="Arial"/>
          <w:b/>
        </w:rPr>
        <w:t>5-</w:t>
      </w:r>
      <w:r w:rsidRPr="003E16FA">
        <w:rPr>
          <w:rFonts w:ascii="Arial" w:eastAsia="Times New Roman" w:hAnsi="Arial" w:cs="Arial"/>
        </w:rPr>
        <w:t xml:space="preserve"> označava broj bodova za ovaj kriterijum</w:t>
      </w:r>
    </w:p>
    <w:p w:rsidR="008A63CC" w:rsidRPr="003E16FA" w:rsidRDefault="008A63CC" w:rsidP="004A25A4">
      <w:pPr>
        <w:spacing w:after="0"/>
        <w:jc w:val="both"/>
        <w:rPr>
          <w:rFonts w:ascii="Arial" w:hAnsi="Arial" w:cs="Arial"/>
        </w:rPr>
      </w:pPr>
      <w:bookmarkStart w:id="31" w:name="_Toc390549919"/>
      <w:bookmarkEnd w:id="30"/>
    </w:p>
    <w:p w:rsidR="00C26E77" w:rsidRPr="003E16FA" w:rsidRDefault="00C26E77" w:rsidP="004A25A4">
      <w:pPr>
        <w:pStyle w:val="Heading2"/>
        <w:numPr>
          <w:ilvl w:val="1"/>
          <w:numId w:val="0"/>
        </w:numPr>
        <w:spacing w:before="0" w:after="0"/>
        <w:jc w:val="both"/>
        <w:rPr>
          <w:i w:val="0"/>
          <w:sz w:val="22"/>
          <w:szCs w:val="22"/>
          <w:u w:val="single"/>
        </w:rPr>
      </w:pPr>
      <w:bookmarkStart w:id="32" w:name="_Toc401751594"/>
      <w:bookmarkStart w:id="33" w:name="_Toc401849820"/>
      <w:bookmarkStart w:id="34" w:name="_Toc402262965"/>
      <w:bookmarkEnd w:id="31"/>
      <w:r w:rsidRPr="003E16FA">
        <w:rPr>
          <w:i w:val="0"/>
          <w:sz w:val="22"/>
          <w:szCs w:val="22"/>
          <w:u w:val="single"/>
        </w:rPr>
        <w:t xml:space="preserve">10.4  Reference ponuđača </w:t>
      </w:r>
      <w:bookmarkEnd w:id="32"/>
      <w:bookmarkEnd w:id="33"/>
      <w:bookmarkEnd w:id="34"/>
    </w:p>
    <w:p w:rsidR="00C26E77" w:rsidRPr="003E16FA" w:rsidRDefault="00C26E77" w:rsidP="004A25A4">
      <w:pPr>
        <w:spacing w:after="0"/>
        <w:jc w:val="both"/>
        <w:rPr>
          <w:rFonts w:ascii="Arial" w:hAnsi="Arial" w:cs="Arial"/>
        </w:rPr>
      </w:pPr>
    </w:p>
    <w:p w:rsidR="00C26E77" w:rsidRPr="003E16FA" w:rsidRDefault="00C26E77" w:rsidP="004A25A4">
      <w:pPr>
        <w:spacing w:after="0"/>
        <w:jc w:val="both"/>
        <w:rPr>
          <w:rFonts w:ascii="Arial" w:hAnsi="Arial" w:cs="Arial"/>
        </w:rPr>
      </w:pPr>
      <w:r w:rsidRPr="003E16FA">
        <w:rPr>
          <w:rFonts w:ascii="Arial" w:hAnsi="Arial" w:cs="Arial"/>
        </w:rPr>
        <w:t>Ponuđač je dužan da dokaže postojanje iskustva u eksploataciji čvrstih mineralnih sirovina, poštovanje izvršavanja koncesionih ugovornih obaveza, stepen realizacije koncesije, plasmana proizvoda na tržište, kao i da u skladu sa parametrima iz Koncesionog akta dokaže svoju tehničku i tehnološku opremljenost za vršenje koncesione djelatnosti eksploatacije mineralnih sirovina.</w:t>
      </w:r>
    </w:p>
    <w:p w:rsidR="00C26E77" w:rsidRPr="003E16FA" w:rsidRDefault="00C26E77" w:rsidP="004A25A4">
      <w:pPr>
        <w:spacing w:after="0"/>
        <w:jc w:val="both"/>
        <w:rPr>
          <w:rFonts w:ascii="Arial" w:hAnsi="Arial" w:cs="Arial"/>
        </w:rPr>
      </w:pPr>
    </w:p>
    <w:p w:rsidR="00CD6F96" w:rsidRPr="003E16FA" w:rsidRDefault="00C26E77" w:rsidP="004A25A4">
      <w:pPr>
        <w:spacing w:after="0"/>
        <w:jc w:val="both"/>
        <w:rPr>
          <w:rFonts w:ascii="Arial" w:hAnsi="Arial" w:cs="Arial"/>
        </w:rPr>
      </w:pPr>
      <w:r w:rsidRPr="003E16FA">
        <w:rPr>
          <w:rFonts w:ascii="Arial" w:hAnsi="Arial" w:cs="Arial"/>
        </w:rPr>
        <w:t>Najveći broj bodova po ovom kriterijumu će se dati ponuđači koji najbolje dokumentuje i dokaže prethodno opisane uslove.</w:t>
      </w:r>
    </w:p>
    <w:p w:rsidR="00C26E77" w:rsidRPr="003E16FA" w:rsidRDefault="00C26E77" w:rsidP="004A25A4">
      <w:pPr>
        <w:pStyle w:val="Heading2"/>
        <w:numPr>
          <w:ilvl w:val="1"/>
          <w:numId w:val="0"/>
        </w:numPr>
        <w:suppressAutoHyphens w:val="0"/>
        <w:spacing w:before="0" w:after="0"/>
        <w:jc w:val="both"/>
        <w:rPr>
          <w:rFonts w:eastAsia="Calibri"/>
          <w:i w:val="0"/>
          <w:sz w:val="22"/>
          <w:szCs w:val="22"/>
          <w:u w:val="single"/>
        </w:rPr>
      </w:pPr>
      <w:r w:rsidRPr="003E16FA">
        <w:rPr>
          <w:rFonts w:eastAsia="Calibri"/>
          <w:i w:val="0"/>
          <w:sz w:val="22"/>
          <w:szCs w:val="22"/>
          <w:u w:val="single"/>
        </w:rPr>
        <w:lastRenderedPageBreak/>
        <w:t>10.5  Finansijski aspekt-Prosječni bruto prihod ponuđača u posljednje tri godine</w:t>
      </w:r>
    </w:p>
    <w:p w:rsidR="00C26E77" w:rsidRPr="00CD0D75" w:rsidRDefault="00C26E77" w:rsidP="004A25A4">
      <w:pPr>
        <w:spacing w:after="0"/>
        <w:jc w:val="both"/>
        <w:rPr>
          <w:rFonts w:ascii="Arial" w:hAnsi="Arial" w:cs="Arial"/>
        </w:rPr>
      </w:pPr>
    </w:p>
    <w:p w:rsidR="00C26E77" w:rsidRPr="00CD0D75" w:rsidRDefault="00C26E77" w:rsidP="004A25A4">
      <w:pPr>
        <w:spacing w:after="0"/>
        <w:jc w:val="both"/>
        <w:rPr>
          <w:rFonts w:ascii="Arial" w:hAnsi="Arial" w:cs="Arial"/>
        </w:rPr>
      </w:pPr>
      <w:r w:rsidRPr="00CD0D75">
        <w:rPr>
          <w:rFonts w:ascii="Arial" w:hAnsi="Arial" w:cs="Arial"/>
        </w:rPr>
        <w:t>Ovaj kriterijum se izračunava na sljedeći način:</w:t>
      </w:r>
    </w:p>
    <w:p w:rsidR="00C26E77" w:rsidRPr="00CD0D75" w:rsidRDefault="00C26E77" w:rsidP="004A25A4">
      <w:pPr>
        <w:spacing w:after="0"/>
        <w:jc w:val="both"/>
        <w:rPr>
          <w:rFonts w:ascii="Arial" w:hAnsi="Arial" w:cs="Arial"/>
        </w:rPr>
      </w:pPr>
    </w:p>
    <w:p w:rsidR="00C26E77" w:rsidRDefault="00C26E77" w:rsidP="004A25A4">
      <w:pPr>
        <w:spacing w:after="0"/>
        <w:jc w:val="both"/>
        <w:rPr>
          <w:rFonts w:ascii="Arial" w:hAnsi="Arial" w:cs="Arial"/>
          <w:b/>
        </w:rPr>
      </w:pPr>
      <w:r w:rsidRPr="00CD0D75">
        <w:rPr>
          <w:rFonts w:ascii="Arial" w:hAnsi="Arial" w:cs="Arial"/>
          <w:b/>
        </w:rPr>
        <w:t>Kriterijum:  PBP / MBP x 5,</w:t>
      </w:r>
    </w:p>
    <w:p w:rsidR="004A25A4" w:rsidRPr="00CD0D75" w:rsidRDefault="004A25A4" w:rsidP="004A25A4">
      <w:pPr>
        <w:spacing w:after="0"/>
        <w:jc w:val="both"/>
        <w:rPr>
          <w:rFonts w:ascii="Arial" w:hAnsi="Arial" w:cs="Arial"/>
          <w:b/>
        </w:rPr>
      </w:pPr>
    </w:p>
    <w:p w:rsidR="00C26E77" w:rsidRPr="00CD0D75" w:rsidRDefault="00C26E77" w:rsidP="004A25A4">
      <w:pPr>
        <w:spacing w:after="0"/>
        <w:jc w:val="both"/>
        <w:rPr>
          <w:rFonts w:ascii="Arial" w:hAnsi="Arial" w:cs="Arial"/>
        </w:rPr>
      </w:pPr>
      <w:r w:rsidRPr="00CD0D75">
        <w:rPr>
          <w:rFonts w:ascii="Arial" w:hAnsi="Arial" w:cs="Arial"/>
        </w:rPr>
        <w:t>gdje:</w:t>
      </w:r>
    </w:p>
    <w:p w:rsidR="00C26E77" w:rsidRPr="00CD0D75" w:rsidRDefault="00C26E77" w:rsidP="004A25A4">
      <w:pPr>
        <w:spacing w:after="0"/>
        <w:jc w:val="both"/>
        <w:rPr>
          <w:rFonts w:ascii="Arial" w:hAnsi="Arial" w:cs="Arial"/>
        </w:rPr>
      </w:pPr>
      <w:r w:rsidRPr="00CD0D75">
        <w:rPr>
          <w:rFonts w:ascii="Arial" w:hAnsi="Arial" w:cs="Arial"/>
          <w:b/>
        </w:rPr>
        <w:t xml:space="preserve">PBP – </w:t>
      </w:r>
      <w:r w:rsidRPr="00CD0D75">
        <w:rPr>
          <w:rFonts w:ascii="Arial" w:hAnsi="Arial" w:cs="Arial"/>
        </w:rPr>
        <w:t>označava prosječni bruto prihod ponuđača za posljednje tri godine</w:t>
      </w:r>
    </w:p>
    <w:p w:rsidR="00C26E77" w:rsidRPr="00CD0D75" w:rsidRDefault="00C26E77" w:rsidP="004A25A4">
      <w:pPr>
        <w:spacing w:after="0"/>
        <w:jc w:val="both"/>
        <w:rPr>
          <w:rFonts w:ascii="Arial" w:hAnsi="Arial" w:cs="Arial"/>
        </w:rPr>
      </w:pPr>
      <w:r w:rsidRPr="00CD0D75">
        <w:rPr>
          <w:rFonts w:ascii="Arial" w:hAnsi="Arial" w:cs="Arial"/>
          <w:b/>
        </w:rPr>
        <w:t>MBP –</w:t>
      </w:r>
      <w:r w:rsidRPr="00CD0D75">
        <w:rPr>
          <w:rFonts w:ascii="Arial" w:hAnsi="Arial" w:cs="Arial"/>
        </w:rPr>
        <w:t xml:space="preserve"> označava maksimalni prosječni bruto prihod za posljednje tri godine ponuđen na tenderu</w:t>
      </w:r>
    </w:p>
    <w:p w:rsidR="00C26E77" w:rsidRPr="00CD0D75" w:rsidRDefault="00C26E77" w:rsidP="004A25A4">
      <w:pPr>
        <w:spacing w:after="0"/>
        <w:jc w:val="both"/>
        <w:rPr>
          <w:rFonts w:ascii="Arial" w:hAnsi="Arial" w:cs="Arial"/>
        </w:rPr>
      </w:pPr>
      <w:r w:rsidRPr="00CD0D75">
        <w:rPr>
          <w:rFonts w:ascii="Arial" w:hAnsi="Arial" w:cs="Arial"/>
          <w:b/>
        </w:rPr>
        <w:t>5 –</w:t>
      </w:r>
      <w:r w:rsidRPr="00CD0D75">
        <w:rPr>
          <w:rFonts w:ascii="Arial" w:hAnsi="Arial" w:cs="Arial"/>
        </w:rPr>
        <w:t xml:space="preserve"> označava broj bodova po ovom kriterijumu</w:t>
      </w:r>
    </w:p>
    <w:p w:rsidR="00C26E77" w:rsidRPr="00CD0D75" w:rsidRDefault="00C26E77" w:rsidP="004A25A4">
      <w:pPr>
        <w:spacing w:after="0"/>
        <w:jc w:val="both"/>
        <w:rPr>
          <w:rFonts w:ascii="Arial" w:hAnsi="Arial" w:cs="Arial"/>
        </w:rPr>
      </w:pPr>
    </w:p>
    <w:p w:rsidR="00C26E77" w:rsidRPr="00CD0D75" w:rsidRDefault="00C26E77" w:rsidP="004A25A4">
      <w:pPr>
        <w:numPr>
          <w:ilvl w:val="0"/>
          <w:numId w:val="16"/>
        </w:numPr>
        <w:spacing w:after="0"/>
        <w:ind w:left="0" w:firstLine="0"/>
        <w:jc w:val="both"/>
        <w:rPr>
          <w:rFonts w:ascii="Arial" w:hAnsi="Arial" w:cs="Arial"/>
          <w:b/>
          <w:vanish/>
        </w:rPr>
      </w:pPr>
    </w:p>
    <w:p w:rsidR="00C26E77" w:rsidRPr="00CD0D75" w:rsidRDefault="00C26E77" w:rsidP="004A25A4">
      <w:pPr>
        <w:numPr>
          <w:ilvl w:val="0"/>
          <w:numId w:val="16"/>
        </w:numPr>
        <w:spacing w:after="0"/>
        <w:ind w:left="0" w:firstLine="0"/>
        <w:jc w:val="both"/>
        <w:rPr>
          <w:rFonts w:ascii="Arial" w:hAnsi="Arial" w:cs="Arial"/>
          <w:b/>
          <w:vanish/>
        </w:rPr>
      </w:pPr>
    </w:p>
    <w:p w:rsidR="00C26E77" w:rsidRPr="00CD0D75" w:rsidRDefault="00C26E77" w:rsidP="004A25A4">
      <w:pPr>
        <w:numPr>
          <w:ilvl w:val="0"/>
          <w:numId w:val="16"/>
        </w:numPr>
        <w:spacing w:after="0"/>
        <w:ind w:left="0" w:firstLine="0"/>
        <w:jc w:val="both"/>
        <w:rPr>
          <w:rFonts w:ascii="Arial" w:hAnsi="Arial" w:cs="Arial"/>
          <w:b/>
          <w:vanish/>
        </w:rPr>
      </w:pPr>
    </w:p>
    <w:p w:rsidR="00C26E77" w:rsidRPr="00CD0D75" w:rsidRDefault="00C26E77" w:rsidP="004A25A4">
      <w:pPr>
        <w:numPr>
          <w:ilvl w:val="0"/>
          <w:numId w:val="16"/>
        </w:numPr>
        <w:spacing w:after="0"/>
        <w:ind w:left="0" w:firstLine="0"/>
        <w:jc w:val="both"/>
        <w:rPr>
          <w:rFonts w:ascii="Arial" w:hAnsi="Arial" w:cs="Arial"/>
          <w:b/>
          <w:vanish/>
        </w:rPr>
      </w:pPr>
    </w:p>
    <w:p w:rsidR="00C26E77" w:rsidRPr="00CD0D75" w:rsidRDefault="00C26E77" w:rsidP="004A25A4">
      <w:pPr>
        <w:numPr>
          <w:ilvl w:val="0"/>
          <w:numId w:val="16"/>
        </w:numPr>
        <w:spacing w:after="0"/>
        <w:ind w:left="0" w:firstLine="0"/>
        <w:jc w:val="both"/>
        <w:rPr>
          <w:rFonts w:ascii="Arial" w:hAnsi="Arial" w:cs="Arial"/>
          <w:b/>
          <w:vanish/>
        </w:rPr>
      </w:pPr>
    </w:p>
    <w:p w:rsidR="00C26E77" w:rsidRPr="00CD0D75" w:rsidRDefault="00C26E77" w:rsidP="004A25A4">
      <w:pPr>
        <w:numPr>
          <w:ilvl w:val="0"/>
          <w:numId w:val="16"/>
        </w:numPr>
        <w:spacing w:after="0"/>
        <w:ind w:left="0" w:firstLine="0"/>
        <w:jc w:val="both"/>
        <w:rPr>
          <w:rFonts w:ascii="Arial" w:hAnsi="Arial" w:cs="Arial"/>
          <w:b/>
          <w:vanish/>
        </w:rPr>
      </w:pPr>
    </w:p>
    <w:p w:rsidR="00C26E77" w:rsidRPr="00CD0D75" w:rsidRDefault="00C26E77" w:rsidP="004A25A4">
      <w:pPr>
        <w:numPr>
          <w:ilvl w:val="1"/>
          <w:numId w:val="16"/>
        </w:numPr>
        <w:spacing w:after="0"/>
        <w:ind w:left="0" w:firstLine="0"/>
        <w:jc w:val="both"/>
        <w:rPr>
          <w:rFonts w:ascii="Arial" w:hAnsi="Arial" w:cs="Arial"/>
          <w:b/>
          <w:vanish/>
        </w:rPr>
      </w:pPr>
    </w:p>
    <w:p w:rsidR="00C26E77" w:rsidRPr="00CD0D75" w:rsidRDefault="00C26E77" w:rsidP="004A25A4">
      <w:pPr>
        <w:numPr>
          <w:ilvl w:val="1"/>
          <w:numId w:val="16"/>
        </w:numPr>
        <w:spacing w:after="0"/>
        <w:ind w:left="0" w:firstLine="0"/>
        <w:jc w:val="both"/>
        <w:rPr>
          <w:rFonts w:ascii="Arial" w:hAnsi="Arial" w:cs="Arial"/>
          <w:b/>
          <w:vanish/>
        </w:rPr>
      </w:pPr>
    </w:p>
    <w:p w:rsidR="00C26E77" w:rsidRPr="00CD0D75" w:rsidRDefault="00C26E77" w:rsidP="004A25A4">
      <w:pPr>
        <w:numPr>
          <w:ilvl w:val="1"/>
          <w:numId w:val="16"/>
        </w:numPr>
        <w:spacing w:after="0"/>
        <w:ind w:left="0" w:firstLine="0"/>
        <w:jc w:val="both"/>
        <w:rPr>
          <w:rFonts w:ascii="Arial" w:hAnsi="Arial" w:cs="Arial"/>
          <w:b/>
          <w:vanish/>
        </w:rPr>
      </w:pPr>
    </w:p>
    <w:p w:rsidR="00C26E77" w:rsidRPr="00CD0D75" w:rsidRDefault="00C26E77" w:rsidP="004A25A4">
      <w:pPr>
        <w:numPr>
          <w:ilvl w:val="1"/>
          <w:numId w:val="16"/>
        </w:numPr>
        <w:spacing w:after="0"/>
        <w:ind w:left="0" w:firstLine="0"/>
        <w:jc w:val="both"/>
        <w:rPr>
          <w:rFonts w:ascii="Arial" w:hAnsi="Arial" w:cs="Arial"/>
          <w:b/>
          <w:vanish/>
        </w:rPr>
      </w:pPr>
    </w:p>
    <w:p w:rsidR="00C26E77" w:rsidRPr="00CD0D75" w:rsidRDefault="00C26E77" w:rsidP="004A25A4">
      <w:pPr>
        <w:numPr>
          <w:ilvl w:val="1"/>
          <w:numId w:val="16"/>
        </w:numPr>
        <w:spacing w:after="0"/>
        <w:ind w:left="0" w:firstLine="0"/>
        <w:jc w:val="both"/>
        <w:rPr>
          <w:rFonts w:ascii="Arial" w:hAnsi="Arial" w:cs="Arial"/>
          <w:b/>
          <w:vanish/>
        </w:rPr>
      </w:pPr>
    </w:p>
    <w:p w:rsidR="00C26E77" w:rsidRPr="00CD0D75" w:rsidRDefault="00C26E77" w:rsidP="004A25A4">
      <w:pPr>
        <w:pStyle w:val="Heading2"/>
        <w:numPr>
          <w:ilvl w:val="1"/>
          <w:numId w:val="0"/>
        </w:numPr>
        <w:suppressAutoHyphens w:val="0"/>
        <w:spacing w:before="0" w:after="0"/>
        <w:jc w:val="both"/>
        <w:rPr>
          <w:rFonts w:eastAsia="Calibri"/>
          <w:i w:val="0"/>
          <w:sz w:val="22"/>
          <w:szCs w:val="22"/>
          <w:u w:val="single"/>
        </w:rPr>
      </w:pPr>
      <w:r w:rsidRPr="00CD0D75">
        <w:rPr>
          <w:rFonts w:eastAsia="Calibri"/>
          <w:i w:val="0"/>
          <w:sz w:val="22"/>
          <w:szCs w:val="22"/>
          <w:u w:val="single"/>
        </w:rPr>
        <w:t xml:space="preserve">10.6 Finansijski aspekt - Prosječni  profit ponuđača u posljednje tri godine </w:t>
      </w:r>
    </w:p>
    <w:p w:rsidR="00C26E77" w:rsidRPr="00CD0D75" w:rsidRDefault="00C26E77" w:rsidP="004A25A4">
      <w:pPr>
        <w:spacing w:after="0"/>
        <w:jc w:val="both"/>
        <w:rPr>
          <w:rFonts w:ascii="Arial" w:hAnsi="Arial" w:cs="Arial"/>
        </w:rPr>
      </w:pPr>
    </w:p>
    <w:p w:rsidR="00C26E77" w:rsidRPr="00CD0D75" w:rsidRDefault="00C26E77" w:rsidP="004A25A4">
      <w:pPr>
        <w:spacing w:after="0"/>
        <w:jc w:val="both"/>
        <w:rPr>
          <w:rFonts w:ascii="Arial" w:hAnsi="Arial" w:cs="Arial"/>
        </w:rPr>
      </w:pPr>
      <w:r w:rsidRPr="00CD0D75">
        <w:rPr>
          <w:rFonts w:ascii="Arial" w:hAnsi="Arial" w:cs="Arial"/>
        </w:rPr>
        <w:t>Ovaj kriterijum se izračunava na sljedeći način:</w:t>
      </w:r>
    </w:p>
    <w:p w:rsidR="00C26E77" w:rsidRPr="00CD0D75" w:rsidRDefault="00C26E77" w:rsidP="004A25A4">
      <w:pPr>
        <w:spacing w:after="0"/>
        <w:jc w:val="both"/>
        <w:rPr>
          <w:rFonts w:ascii="Arial" w:hAnsi="Arial" w:cs="Arial"/>
        </w:rPr>
      </w:pPr>
    </w:p>
    <w:p w:rsidR="00C26E77" w:rsidRPr="00CD0D75" w:rsidRDefault="00C26E77" w:rsidP="004A25A4">
      <w:pPr>
        <w:spacing w:after="0"/>
        <w:jc w:val="both"/>
        <w:rPr>
          <w:rFonts w:ascii="Arial" w:hAnsi="Arial" w:cs="Arial"/>
          <w:b/>
        </w:rPr>
      </w:pPr>
      <w:r w:rsidRPr="00CD0D75">
        <w:rPr>
          <w:rFonts w:ascii="Arial" w:hAnsi="Arial" w:cs="Arial"/>
          <w:b/>
        </w:rPr>
        <w:t>Kriterijum:  PNP / MNP x 5,</w:t>
      </w:r>
    </w:p>
    <w:p w:rsidR="00C26E77" w:rsidRPr="00CD0D75" w:rsidRDefault="00C26E77" w:rsidP="004A25A4">
      <w:pPr>
        <w:spacing w:after="0"/>
        <w:jc w:val="both"/>
        <w:rPr>
          <w:rFonts w:ascii="Arial" w:hAnsi="Arial" w:cs="Arial"/>
          <w:b/>
        </w:rPr>
      </w:pPr>
    </w:p>
    <w:p w:rsidR="00C26E77" w:rsidRPr="00CD0D75" w:rsidRDefault="00C26E77" w:rsidP="004A25A4">
      <w:pPr>
        <w:spacing w:after="0"/>
        <w:jc w:val="both"/>
        <w:rPr>
          <w:rFonts w:ascii="Arial" w:hAnsi="Arial" w:cs="Arial"/>
        </w:rPr>
      </w:pPr>
      <w:r w:rsidRPr="00CD0D75">
        <w:rPr>
          <w:rFonts w:ascii="Arial" w:hAnsi="Arial" w:cs="Arial"/>
        </w:rPr>
        <w:t>gdje:</w:t>
      </w:r>
    </w:p>
    <w:p w:rsidR="00C26E77" w:rsidRPr="00CD0D75" w:rsidRDefault="00C26E77" w:rsidP="004A25A4">
      <w:pPr>
        <w:spacing w:after="0"/>
        <w:jc w:val="both"/>
        <w:rPr>
          <w:rFonts w:ascii="Arial" w:hAnsi="Arial" w:cs="Arial"/>
        </w:rPr>
      </w:pPr>
      <w:r w:rsidRPr="00CD0D75">
        <w:rPr>
          <w:rFonts w:ascii="Arial" w:hAnsi="Arial" w:cs="Arial"/>
          <w:b/>
        </w:rPr>
        <w:t xml:space="preserve">PNP – </w:t>
      </w:r>
      <w:r w:rsidR="00A217EB">
        <w:rPr>
          <w:rFonts w:ascii="Arial" w:hAnsi="Arial" w:cs="Arial"/>
        </w:rPr>
        <w:t>označava prosječni neto profit</w:t>
      </w:r>
      <w:r w:rsidRPr="00CD0D75">
        <w:rPr>
          <w:rFonts w:ascii="Arial" w:hAnsi="Arial" w:cs="Arial"/>
        </w:rPr>
        <w:t xml:space="preserve"> ponuđača za posljednje tri godine</w:t>
      </w:r>
    </w:p>
    <w:p w:rsidR="00C26E77" w:rsidRPr="00CD0D75" w:rsidRDefault="00C26E77" w:rsidP="004A25A4">
      <w:pPr>
        <w:spacing w:after="0"/>
        <w:jc w:val="both"/>
        <w:rPr>
          <w:rFonts w:ascii="Arial" w:hAnsi="Arial" w:cs="Arial"/>
        </w:rPr>
      </w:pPr>
      <w:r w:rsidRPr="00CD0D75">
        <w:rPr>
          <w:rFonts w:ascii="Arial" w:hAnsi="Arial" w:cs="Arial"/>
          <w:b/>
        </w:rPr>
        <w:t>MNP –</w:t>
      </w:r>
      <w:r w:rsidRPr="00CD0D75">
        <w:rPr>
          <w:rFonts w:ascii="Arial" w:hAnsi="Arial" w:cs="Arial"/>
        </w:rPr>
        <w:t xml:space="preserve"> ozn</w:t>
      </w:r>
      <w:r w:rsidR="00A217EB">
        <w:rPr>
          <w:rFonts w:ascii="Arial" w:hAnsi="Arial" w:cs="Arial"/>
        </w:rPr>
        <w:t xml:space="preserve">ačava maksimalni prosječni profit </w:t>
      </w:r>
      <w:r w:rsidRPr="00CD0D75">
        <w:rPr>
          <w:rFonts w:ascii="Arial" w:hAnsi="Arial" w:cs="Arial"/>
        </w:rPr>
        <w:t>za posljednje tri godine ponuđen na tenderu</w:t>
      </w:r>
    </w:p>
    <w:p w:rsidR="00C26E77" w:rsidRPr="00CD0D75" w:rsidRDefault="00C26E77" w:rsidP="004A25A4">
      <w:pPr>
        <w:spacing w:after="0"/>
        <w:jc w:val="both"/>
        <w:rPr>
          <w:rFonts w:ascii="Arial" w:hAnsi="Arial" w:cs="Arial"/>
        </w:rPr>
      </w:pPr>
      <w:r w:rsidRPr="00CD0D75">
        <w:rPr>
          <w:rFonts w:ascii="Arial" w:hAnsi="Arial" w:cs="Arial"/>
          <w:b/>
        </w:rPr>
        <w:t>5 –</w:t>
      </w:r>
      <w:r w:rsidRPr="00CD0D75">
        <w:rPr>
          <w:rFonts w:ascii="Arial" w:hAnsi="Arial" w:cs="Arial"/>
        </w:rPr>
        <w:t xml:space="preserve"> označava broj bodova po ovom kriterijum</w:t>
      </w:r>
    </w:p>
    <w:p w:rsidR="00C26E77" w:rsidRPr="00CD0D75" w:rsidRDefault="00C26E77" w:rsidP="004A25A4">
      <w:pPr>
        <w:spacing w:after="0"/>
        <w:jc w:val="both"/>
        <w:rPr>
          <w:rFonts w:ascii="Arial" w:hAnsi="Arial" w:cs="Arial"/>
        </w:rPr>
      </w:pPr>
    </w:p>
    <w:p w:rsidR="00C26E77" w:rsidRPr="00CD0D75" w:rsidRDefault="00C26E77" w:rsidP="004A25A4">
      <w:pPr>
        <w:pStyle w:val="Heading2"/>
        <w:numPr>
          <w:ilvl w:val="1"/>
          <w:numId w:val="0"/>
        </w:numPr>
        <w:suppressAutoHyphens w:val="0"/>
        <w:spacing w:before="0" w:after="0"/>
        <w:jc w:val="both"/>
        <w:rPr>
          <w:rFonts w:eastAsia="Calibri"/>
          <w:i w:val="0"/>
          <w:sz w:val="22"/>
          <w:szCs w:val="22"/>
          <w:u w:val="single"/>
        </w:rPr>
      </w:pPr>
      <w:bookmarkStart w:id="35" w:name="_Toc436124908"/>
      <w:r w:rsidRPr="00CD0D75">
        <w:rPr>
          <w:rFonts w:eastAsia="Calibri"/>
          <w:i w:val="0"/>
          <w:sz w:val="22"/>
          <w:szCs w:val="22"/>
          <w:u w:val="single"/>
        </w:rPr>
        <w:t>10.7  Kvalitet poslovnog plana i efekti na zapošljavanje i ekonomski razvoj</w:t>
      </w:r>
      <w:bookmarkEnd w:id="35"/>
    </w:p>
    <w:p w:rsidR="00C26E77" w:rsidRPr="00CD0D75" w:rsidRDefault="00C26E77" w:rsidP="004A25A4">
      <w:pPr>
        <w:spacing w:after="0"/>
        <w:jc w:val="both"/>
        <w:rPr>
          <w:rFonts w:ascii="Arial" w:hAnsi="Arial" w:cs="Arial"/>
        </w:rPr>
      </w:pPr>
    </w:p>
    <w:p w:rsidR="00C26E77" w:rsidRPr="00CD0D75" w:rsidRDefault="00C26E77" w:rsidP="004A25A4">
      <w:pPr>
        <w:spacing w:after="0"/>
        <w:jc w:val="both"/>
        <w:rPr>
          <w:rFonts w:ascii="Arial" w:hAnsi="Arial" w:cs="Arial"/>
          <w:b/>
          <w:vanish/>
        </w:rPr>
      </w:pPr>
      <w:bookmarkStart w:id="36" w:name="_GoBack"/>
    </w:p>
    <w:p w:rsidR="00C26E77" w:rsidRPr="00CD0D75" w:rsidRDefault="00C26E77" w:rsidP="004A25A4">
      <w:pPr>
        <w:numPr>
          <w:ilvl w:val="0"/>
          <w:numId w:val="15"/>
        </w:numPr>
        <w:spacing w:after="0"/>
        <w:ind w:left="0" w:firstLine="0"/>
        <w:jc w:val="both"/>
        <w:rPr>
          <w:rFonts w:ascii="Arial" w:hAnsi="Arial" w:cs="Arial"/>
          <w:b/>
          <w:vanish/>
        </w:rPr>
      </w:pPr>
    </w:p>
    <w:p w:rsidR="00C26E77" w:rsidRPr="00CD0D75" w:rsidRDefault="00C26E77" w:rsidP="004A25A4">
      <w:pPr>
        <w:numPr>
          <w:ilvl w:val="0"/>
          <w:numId w:val="15"/>
        </w:numPr>
        <w:spacing w:after="0"/>
        <w:ind w:left="0" w:firstLine="0"/>
        <w:jc w:val="both"/>
        <w:rPr>
          <w:rFonts w:ascii="Arial" w:hAnsi="Arial" w:cs="Arial"/>
          <w:b/>
          <w:vanish/>
        </w:rPr>
      </w:pPr>
    </w:p>
    <w:p w:rsidR="00C26E77" w:rsidRPr="00CD0D75" w:rsidRDefault="00C26E77" w:rsidP="004A25A4">
      <w:pPr>
        <w:numPr>
          <w:ilvl w:val="0"/>
          <w:numId w:val="15"/>
        </w:numPr>
        <w:spacing w:after="0"/>
        <w:ind w:left="0" w:firstLine="0"/>
        <w:jc w:val="both"/>
        <w:rPr>
          <w:rFonts w:ascii="Arial" w:hAnsi="Arial" w:cs="Arial"/>
          <w:b/>
          <w:vanish/>
        </w:rPr>
      </w:pPr>
    </w:p>
    <w:p w:rsidR="00C26E77" w:rsidRPr="00CD0D75" w:rsidRDefault="00C26E77" w:rsidP="004A25A4">
      <w:pPr>
        <w:numPr>
          <w:ilvl w:val="0"/>
          <w:numId w:val="15"/>
        </w:numPr>
        <w:spacing w:after="0"/>
        <w:ind w:left="0" w:firstLine="0"/>
        <w:jc w:val="both"/>
        <w:rPr>
          <w:rFonts w:ascii="Arial" w:hAnsi="Arial" w:cs="Arial"/>
          <w:b/>
          <w:vanish/>
        </w:rPr>
      </w:pPr>
    </w:p>
    <w:p w:rsidR="00C26E77" w:rsidRPr="00CD0D75" w:rsidRDefault="00C26E77" w:rsidP="004A25A4">
      <w:pPr>
        <w:numPr>
          <w:ilvl w:val="1"/>
          <w:numId w:val="15"/>
        </w:numPr>
        <w:spacing w:after="0"/>
        <w:ind w:left="0" w:firstLine="0"/>
        <w:jc w:val="both"/>
        <w:rPr>
          <w:rFonts w:ascii="Arial" w:hAnsi="Arial" w:cs="Arial"/>
          <w:b/>
          <w:vanish/>
        </w:rPr>
      </w:pPr>
    </w:p>
    <w:p w:rsidR="00C26E77" w:rsidRPr="00CD0D75" w:rsidRDefault="00C26E77" w:rsidP="004A25A4">
      <w:pPr>
        <w:numPr>
          <w:ilvl w:val="1"/>
          <w:numId w:val="15"/>
        </w:numPr>
        <w:spacing w:after="0"/>
        <w:ind w:left="0" w:firstLine="0"/>
        <w:jc w:val="both"/>
        <w:rPr>
          <w:rFonts w:ascii="Arial" w:hAnsi="Arial" w:cs="Arial"/>
          <w:b/>
          <w:vanish/>
        </w:rPr>
      </w:pPr>
    </w:p>
    <w:p w:rsidR="00C26E77" w:rsidRPr="00CD0D75" w:rsidRDefault="00C26E77" w:rsidP="004A25A4">
      <w:pPr>
        <w:numPr>
          <w:ilvl w:val="1"/>
          <w:numId w:val="15"/>
        </w:numPr>
        <w:spacing w:after="0"/>
        <w:ind w:left="0" w:firstLine="0"/>
        <w:jc w:val="both"/>
        <w:rPr>
          <w:rFonts w:ascii="Arial" w:hAnsi="Arial" w:cs="Arial"/>
          <w:b/>
          <w:vanish/>
        </w:rPr>
      </w:pPr>
    </w:p>
    <w:p w:rsidR="00C26E77" w:rsidRPr="00CD0D75" w:rsidRDefault="00C26E77" w:rsidP="004A25A4">
      <w:pPr>
        <w:numPr>
          <w:ilvl w:val="1"/>
          <w:numId w:val="15"/>
        </w:numPr>
        <w:spacing w:after="0"/>
        <w:ind w:left="0" w:firstLine="0"/>
        <w:jc w:val="both"/>
        <w:rPr>
          <w:rFonts w:ascii="Arial" w:hAnsi="Arial" w:cs="Arial"/>
          <w:b/>
          <w:vanish/>
        </w:rPr>
      </w:pPr>
    </w:p>
    <w:p w:rsidR="00C26E77" w:rsidRPr="00CD0D75" w:rsidRDefault="00C26E77" w:rsidP="004A25A4">
      <w:pPr>
        <w:numPr>
          <w:ilvl w:val="1"/>
          <w:numId w:val="15"/>
        </w:numPr>
        <w:spacing w:after="0"/>
        <w:ind w:left="0" w:firstLine="0"/>
        <w:jc w:val="both"/>
        <w:rPr>
          <w:rFonts w:ascii="Arial" w:hAnsi="Arial" w:cs="Arial"/>
          <w:b/>
          <w:vanish/>
        </w:rPr>
      </w:pPr>
    </w:p>
    <w:p w:rsidR="00C26E77" w:rsidRPr="00CD0D75" w:rsidRDefault="00C26E77" w:rsidP="004A25A4">
      <w:pPr>
        <w:numPr>
          <w:ilvl w:val="1"/>
          <w:numId w:val="15"/>
        </w:numPr>
        <w:spacing w:after="0"/>
        <w:ind w:left="0" w:firstLine="0"/>
        <w:jc w:val="both"/>
        <w:rPr>
          <w:rFonts w:ascii="Arial" w:hAnsi="Arial" w:cs="Arial"/>
          <w:b/>
          <w:vanish/>
        </w:rPr>
      </w:pPr>
    </w:p>
    <w:p w:rsidR="00C26E77" w:rsidRPr="00CD0D75" w:rsidRDefault="00C26E77" w:rsidP="004A25A4">
      <w:pPr>
        <w:numPr>
          <w:ilvl w:val="1"/>
          <w:numId w:val="15"/>
        </w:numPr>
        <w:spacing w:after="0"/>
        <w:ind w:left="0" w:firstLine="0"/>
        <w:jc w:val="both"/>
        <w:rPr>
          <w:rFonts w:ascii="Arial" w:hAnsi="Arial" w:cs="Arial"/>
          <w:b/>
          <w:vanish/>
        </w:rPr>
      </w:pPr>
    </w:p>
    <w:p w:rsidR="00C26E77" w:rsidRPr="00CD0D75" w:rsidRDefault="00C26E77" w:rsidP="004A25A4">
      <w:pPr>
        <w:spacing w:after="0"/>
        <w:jc w:val="both"/>
        <w:rPr>
          <w:rFonts w:ascii="Arial" w:hAnsi="Arial" w:cs="Arial"/>
        </w:rPr>
      </w:pPr>
      <w:r w:rsidRPr="00CD0D75">
        <w:rPr>
          <w:rFonts w:ascii="Arial" w:hAnsi="Arial" w:cs="Arial"/>
        </w:rPr>
        <w:t>Ponuđač je dužan da u skladu sa parametrima iz Koncesionog akta dokaže i opiše poslovni plan za realizaciju koncesije i efekte realizacije koncesije na zapošljavanje i ekonomski razvoj. Ponuđač je, između ostalog, dužan opisati planirana investiciona ulaganja za realizaciju koncesije (ulaganja u nabavku opreme i mehanizacije, u izgradnju infrastrukturnih objekata i u izradu projektne i ostale tehničke dokumentacije, itd..), zapošljavanje radnje snage, plasman proizvoda na tržište, itd..</w:t>
      </w:r>
    </w:p>
    <w:p w:rsidR="008A63CC" w:rsidRPr="00CD0D75" w:rsidRDefault="00C26E77" w:rsidP="004A25A4">
      <w:pPr>
        <w:spacing w:after="0"/>
        <w:jc w:val="both"/>
        <w:rPr>
          <w:rFonts w:ascii="Arial" w:hAnsi="Arial" w:cs="Arial"/>
        </w:rPr>
      </w:pPr>
      <w:r w:rsidRPr="00CD0D75">
        <w:rPr>
          <w:rFonts w:ascii="Arial" w:hAnsi="Arial" w:cs="Arial"/>
        </w:rPr>
        <w:t>Najveći broj bodova po ovom kriterijumu će se dati ponuđači koji najbolje dokumentuje i dokaže prethodno opisane uslove.</w:t>
      </w:r>
      <w:bookmarkEnd w:id="36"/>
    </w:p>
    <w:p w:rsidR="00C26E77" w:rsidRPr="00CD0D75" w:rsidRDefault="00C26E77" w:rsidP="004A25A4">
      <w:pPr>
        <w:spacing w:after="0"/>
        <w:jc w:val="both"/>
        <w:rPr>
          <w:rFonts w:ascii="Arial" w:hAnsi="Arial" w:cs="Arial"/>
        </w:rPr>
      </w:pPr>
    </w:p>
    <w:p w:rsidR="008A63CC" w:rsidRPr="00CD0D75" w:rsidRDefault="00C26E77" w:rsidP="008A63CC">
      <w:pPr>
        <w:pStyle w:val="Heading1"/>
        <w:spacing w:before="0" w:after="0"/>
        <w:jc w:val="both"/>
        <w:rPr>
          <w:sz w:val="22"/>
          <w:szCs w:val="22"/>
        </w:rPr>
      </w:pPr>
      <w:bookmarkStart w:id="37" w:name="_Toc390549920"/>
      <w:bookmarkStart w:id="38" w:name="_Toc402262970"/>
      <w:r w:rsidRPr="00CD0D75">
        <w:rPr>
          <w:sz w:val="22"/>
          <w:szCs w:val="22"/>
        </w:rPr>
        <w:t xml:space="preserve">11 </w:t>
      </w:r>
      <w:bookmarkEnd w:id="37"/>
      <w:bookmarkEnd w:id="38"/>
      <w:r w:rsidR="008A63CC" w:rsidRPr="00CD0D75">
        <w:rPr>
          <w:sz w:val="22"/>
          <w:szCs w:val="22"/>
        </w:rPr>
        <w:t>SPISAK POTREBNE TEHNIČKE DOKUMENTACIJE SA USLOVIMA ZA NJENU IZRADU, ODOBRENJA, SAGLASNOSTI I MIŠLJENJA ZA OBAVLJANJE KONCESIONE DJELATNOSTI</w:t>
      </w:r>
    </w:p>
    <w:p w:rsidR="008A63CC" w:rsidRPr="00CD0D75" w:rsidRDefault="008A63CC" w:rsidP="008A63CC">
      <w:pPr>
        <w:spacing w:after="0"/>
        <w:jc w:val="both"/>
        <w:rPr>
          <w:rFonts w:ascii="Arial" w:hAnsi="Arial" w:cs="Arial"/>
        </w:rPr>
      </w:pPr>
    </w:p>
    <w:p w:rsidR="008A63CC" w:rsidRPr="00CD0D75" w:rsidRDefault="008A63CC" w:rsidP="008A63CC">
      <w:pPr>
        <w:pStyle w:val="Heading2"/>
        <w:spacing w:before="0" w:after="0"/>
        <w:jc w:val="both"/>
        <w:rPr>
          <w:i w:val="0"/>
          <w:sz w:val="22"/>
          <w:szCs w:val="22"/>
          <w:u w:val="single"/>
        </w:rPr>
      </w:pPr>
      <w:bookmarkStart w:id="39" w:name="_Toc402221835"/>
      <w:r w:rsidRPr="00CD0D75">
        <w:rPr>
          <w:i w:val="0"/>
          <w:sz w:val="22"/>
          <w:szCs w:val="22"/>
          <w:u w:val="single"/>
        </w:rPr>
        <w:t>11.1   Detaljna geološka  istraživanja</w:t>
      </w:r>
      <w:bookmarkEnd w:id="39"/>
    </w:p>
    <w:p w:rsidR="008A63CC" w:rsidRPr="00CD0D75" w:rsidRDefault="008A63CC" w:rsidP="008A63CC">
      <w:pPr>
        <w:spacing w:after="0"/>
        <w:jc w:val="both"/>
        <w:rPr>
          <w:rFonts w:ascii="Arial" w:hAnsi="Arial" w:cs="Arial"/>
          <w:b/>
        </w:rPr>
      </w:pPr>
    </w:p>
    <w:p w:rsidR="008A63CC" w:rsidRDefault="008A63CC" w:rsidP="008A63CC">
      <w:pPr>
        <w:spacing w:after="0"/>
        <w:jc w:val="both"/>
        <w:rPr>
          <w:rFonts w:ascii="Arial" w:hAnsi="Arial" w:cs="Arial"/>
        </w:rPr>
      </w:pPr>
      <w:r w:rsidRPr="00CD0D75">
        <w:rPr>
          <w:rFonts w:ascii="Arial" w:hAnsi="Arial" w:cs="Arial"/>
        </w:rPr>
        <w:t>Tokom koncesionog perioda budući Koncesionar je dužan da, u skladu sa odredbama Zakona o geološkim istraživanjima, dostavlja nadležnom državnom organu za rudarstvo i geološka istraživanja svake pete godine na ovjeru Elaborat o kasifikaciji, kategorizaciji i proračunu rezervi mineralne sirovine, sa stanjem na dan 31. decembar  prethodne godine, koji se izrađuje na osnovu posebnih propisa.</w:t>
      </w:r>
    </w:p>
    <w:p w:rsidR="008A63CC" w:rsidRPr="00CD0D75" w:rsidRDefault="008A63CC" w:rsidP="008A63CC">
      <w:pPr>
        <w:spacing w:after="0"/>
        <w:rPr>
          <w:rFonts w:ascii="Arial" w:hAnsi="Arial" w:cs="Arial"/>
          <w:b/>
        </w:rPr>
      </w:pPr>
    </w:p>
    <w:p w:rsidR="00881468" w:rsidRDefault="008A63CC" w:rsidP="00881468">
      <w:pPr>
        <w:pStyle w:val="Heading2"/>
        <w:spacing w:before="0" w:after="0"/>
        <w:jc w:val="both"/>
        <w:rPr>
          <w:i w:val="0"/>
          <w:sz w:val="22"/>
          <w:szCs w:val="22"/>
          <w:u w:val="single"/>
        </w:rPr>
      </w:pPr>
      <w:bookmarkStart w:id="40" w:name="_Toc402221836"/>
      <w:r w:rsidRPr="00CD0D75">
        <w:rPr>
          <w:i w:val="0"/>
          <w:sz w:val="22"/>
          <w:szCs w:val="22"/>
          <w:u w:val="single"/>
        </w:rPr>
        <w:t>11.2  Eksploatacija mineralne sirovine</w:t>
      </w:r>
      <w:bookmarkEnd w:id="40"/>
    </w:p>
    <w:p w:rsidR="00881468" w:rsidRPr="00881468" w:rsidRDefault="00881468" w:rsidP="00881468">
      <w:pPr>
        <w:spacing w:after="0"/>
      </w:pPr>
    </w:p>
    <w:p w:rsidR="00881468" w:rsidRDefault="008A63CC" w:rsidP="008A63CC">
      <w:pPr>
        <w:spacing w:after="0"/>
        <w:jc w:val="both"/>
        <w:rPr>
          <w:rFonts w:ascii="Arial" w:hAnsi="Arial" w:cs="Arial"/>
        </w:rPr>
      </w:pPr>
      <w:r w:rsidRPr="00ED1BB0">
        <w:rPr>
          <w:rFonts w:ascii="Arial" w:hAnsi="Arial" w:cs="Arial"/>
        </w:rPr>
        <w:t xml:space="preserve">Poslije završenih detaljnih geoloških istražavinja, u skladu sa odredbama Zakona o rudarstvu </w:t>
      </w:r>
      <w:r>
        <w:rPr>
          <w:rFonts w:ascii="Arial" w:hAnsi="Arial" w:cs="Arial"/>
        </w:rPr>
        <w:t xml:space="preserve"> </w:t>
      </w:r>
      <w:r w:rsidRPr="00ED1BB0">
        <w:rPr>
          <w:rFonts w:ascii="Arial" w:hAnsi="Arial" w:cs="Arial"/>
        </w:rPr>
        <w:t xml:space="preserve">(„Sl. list </w:t>
      </w:r>
    </w:p>
    <w:p w:rsidR="00881468" w:rsidRDefault="008A63CC" w:rsidP="008A63CC">
      <w:pPr>
        <w:spacing w:after="0"/>
        <w:jc w:val="both"/>
        <w:rPr>
          <w:rFonts w:ascii="Arial" w:hAnsi="Arial" w:cs="Arial"/>
        </w:rPr>
      </w:pPr>
      <w:r w:rsidRPr="00ED1BB0">
        <w:rPr>
          <w:rFonts w:ascii="Arial" w:hAnsi="Arial" w:cs="Arial"/>
        </w:rPr>
        <w:t xml:space="preserve">CG“, br. 65/08, 74/10 i 40/11), pristupa se pribavljanju odobrenja za eksploataciju mineralne sirovine na </w:t>
      </w:r>
    </w:p>
    <w:p w:rsidR="008A63CC" w:rsidRPr="00ED1BB0" w:rsidRDefault="008A63CC" w:rsidP="008A63CC">
      <w:pPr>
        <w:spacing w:after="0"/>
        <w:jc w:val="both"/>
        <w:rPr>
          <w:rFonts w:ascii="Arial" w:hAnsi="Arial" w:cs="Arial"/>
        </w:rPr>
      </w:pPr>
      <w:r w:rsidRPr="00ED1BB0">
        <w:rPr>
          <w:rFonts w:ascii="Arial" w:hAnsi="Arial" w:cs="Arial"/>
        </w:rPr>
        <w:lastRenderedPageBreak/>
        <w:t>eksploatacionom polju.</w:t>
      </w:r>
    </w:p>
    <w:p w:rsidR="008A63CC" w:rsidRPr="00CD0D75" w:rsidRDefault="008A63CC" w:rsidP="008A63CC">
      <w:pPr>
        <w:spacing w:after="0"/>
        <w:jc w:val="both"/>
        <w:rPr>
          <w:rFonts w:ascii="Arial" w:hAnsi="Arial" w:cs="Arial"/>
          <w:b/>
        </w:rPr>
      </w:pPr>
    </w:p>
    <w:p w:rsidR="008A63CC" w:rsidRPr="00CD0D75" w:rsidRDefault="008A63CC" w:rsidP="008A63CC">
      <w:pPr>
        <w:pStyle w:val="Heading2"/>
        <w:numPr>
          <w:ilvl w:val="1"/>
          <w:numId w:val="0"/>
        </w:numPr>
        <w:spacing w:before="0" w:after="0"/>
        <w:jc w:val="both"/>
        <w:rPr>
          <w:i w:val="0"/>
          <w:sz w:val="22"/>
          <w:szCs w:val="22"/>
        </w:rPr>
      </w:pPr>
      <w:bookmarkStart w:id="41" w:name="_Toc402262971"/>
      <w:r w:rsidRPr="00CD0D75">
        <w:rPr>
          <w:i w:val="0"/>
          <w:sz w:val="22"/>
          <w:szCs w:val="22"/>
        </w:rPr>
        <w:t>11.2.1 Odobrenje za eksploataciju mineralne sirovine na eksploatacionom polju</w:t>
      </w:r>
      <w:bookmarkEnd w:id="41"/>
    </w:p>
    <w:p w:rsidR="008A63CC" w:rsidRPr="00CD0D75" w:rsidRDefault="008A63CC" w:rsidP="008A63CC">
      <w:pPr>
        <w:spacing w:after="0"/>
        <w:jc w:val="both"/>
        <w:rPr>
          <w:rFonts w:ascii="Arial" w:hAnsi="Arial" w:cs="Arial"/>
          <w:b/>
        </w:rPr>
      </w:pPr>
    </w:p>
    <w:p w:rsidR="008A63CC" w:rsidRPr="00CD0D75" w:rsidRDefault="008A63CC" w:rsidP="008A63CC">
      <w:pPr>
        <w:spacing w:after="0"/>
        <w:jc w:val="both"/>
        <w:rPr>
          <w:rFonts w:ascii="Arial" w:hAnsi="Arial" w:cs="Arial"/>
        </w:rPr>
      </w:pPr>
      <w:r w:rsidRPr="00CD0D75">
        <w:rPr>
          <w:rFonts w:ascii="Arial" w:hAnsi="Arial" w:cs="Arial"/>
        </w:rPr>
        <w:t>Odobrenje za eksploataciju mineralne sirovine na eksploatacionom polju, u skladu sa članom 33 Zakona o rudarstvu, izdaje Ministarstvo na zahtjev investitora. Uz zahtjev se dostavlja i sljedeća dokumentacija:</w:t>
      </w:r>
    </w:p>
    <w:p w:rsidR="008A63CC" w:rsidRPr="00CD0D75" w:rsidRDefault="008A63CC" w:rsidP="008A63CC">
      <w:pPr>
        <w:pStyle w:val="ListParagraph"/>
        <w:numPr>
          <w:ilvl w:val="0"/>
          <w:numId w:val="40"/>
        </w:numPr>
        <w:autoSpaceDE w:val="0"/>
        <w:autoSpaceDN w:val="0"/>
        <w:adjustRightInd w:val="0"/>
        <w:spacing w:after="0"/>
        <w:contextualSpacing w:val="0"/>
        <w:jc w:val="both"/>
        <w:rPr>
          <w:rFonts w:ascii="Arial" w:hAnsi="Arial" w:cs="Arial"/>
        </w:rPr>
      </w:pPr>
      <w:r w:rsidRPr="00CD0D75">
        <w:rPr>
          <w:rFonts w:ascii="Arial" w:hAnsi="Arial" w:cs="Arial"/>
        </w:rPr>
        <w:t>ugovor o koncesiji;</w:t>
      </w:r>
    </w:p>
    <w:p w:rsidR="008A63CC" w:rsidRPr="00CD0D75" w:rsidRDefault="008A63CC" w:rsidP="008A63CC">
      <w:pPr>
        <w:pStyle w:val="ListParagraph"/>
        <w:numPr>
          <w:ilvl w:val="0"/>
          <w:numId w:val="40"/>
        </w:numPr>
        <w:autoSpaceDE w:val="0"/>
        <w:autoSpaceDN w:val="0"/>
        <w:adjustRightInd w:val="0"/>
        <w:spacing w:after="0"/>
        <w:contextualSpacing w:val="0"/>
        <w:jc w:val="both"/>
        <w:rPr>
          <w:rFonts w:ascii="Arial" w:hAnsi="Arial" w:cs="Arial"/>
        </w:rPr>
      </w:pPr>
      <w:r w:rsidRPr="00CD0D75">
        <w:rPr>
          <w:rFonts w:ascii="Arial" w:hAnsi="Arial" w:cs="Arial"/>
        </w:rPr>
        <w:t>situaciona karta u razmjeri 1:10.000 ( ili većoj) sa ucrtanim granicama eksploatacionog polja, javnim saobraćajnicama, rudarskim radovima i drugim objektima koji se nalaze na eksploatacionom polju, opisom granica, nazivom eksploatacionog polja i naznačenjem opštine na čijoj se teritoriji nalazi;</w:t>
      </w:r>
    </w:p>
    <w:p w:rsidR="008A63CC" w:rsidRPr="00CD0D75" w:rsidRDefault="008A63CC" w:rsidP="008A63CC">
      <w:pPr>
        <w:pStyle w:val="ListParagraph"/>
        <w:numPr>
          <w:ilvl w:val="0"/>
          <w:numId w:val="40"/>
        </w:numPr>
        <w:autoSpaceDE w:val="0"/>
        <w:autoSpaceDN w:val="0"/>
        <w:adjustRightInd w:val="0"/>
        <w:spacing w:after="0"/>
        <w:contextualSpacing w:val="0"/>
        <w:jc w:val="both"/>
        <w:rPr>
          <w:rFonts w:ascii="Arial" w:hAnsi="Arial" w:cs="Arial"/>
        </w:rPr>
      </w:pPr>
      <w:r w:rsidRPr="00CD0D75">
        <w:rPr>
          <w:rFonts w:ascii="Arial" w:hAnsi="Arial" w:cs="Arial"/>
        </w:rPr>
        <w:t>potvrdu o bilansnim rezervama mineralnih sirovina koja se izdaje u skladu sa važećim propisima o klasifikaciji i kategorizaciji rezervi;</w:t>
      </w:r>
    </w:p>
    <w:p w:rsidR="008A63CC" w:rsidRPr="00CD0D75" w:rsidRDefault="008A63CC" w:rsidP="008A63CC">
      <w:pPr>
        <w:pStyle w:val="ListParagraph"/>
        <w:numPr>
          <w:ilvl w:val="0"/>
          <w:numId w:val="40"/>
        </w:numPr>
        <w:autoSpaceDE w:val="0"/>
        <w:autoSpaceDN w:val="0"/>
        <w:adjustRightInd w:val="0"/>
        <w:spacing w:after="0"/>
        <w:contextualSpacing w:val="0"/>
        <w:jc w:val="both"/>
        <w:rPr>
          <w:rFonts w:ascii="Arial" w:hAnsi="Arial" w:cs="Arial"/>
        </w:rPr>
      </w:pPr>
      <w:r w:rsidRPr="00CD0D75">
        <w:rPr>
          <w:rFonts w:ascii="Arial" w:hAnsi="Arial" w:cs="Arial"/>
        </w:rPr>
        <w:t>studija izvodljivosti eksploatacije ležišta mineralnih sirovina sa prikazom uslova i načina eksploatacije i pripreme mineralnih sirovina sa dinamikom izvođenja radova i podacima o metanoobilnosti, zaprašenosti i zavodnjenosti, oplemenjivanju, upotrebi i plasmanu, mjerama zaštite i sanacije životne sredine kao i podacima o tehničkoj opremljenosti i stručnim kadrovima;</w:t>
      </w:r>
    </w:p>
    <w:p w:rsidR="008A63CC" w:rsidRPr="00CD0D75" w:rsidRDefault="008A63CC" w:rsidP="008A63CC">
      <w:pPr>
        <w:pStyle w:val="ListParagraph"/>
        <w:numPr>
          <w:ilvl w:val="0"/>
          <w:numId w:val="40"/>
        </w:numPr>
        <w:autoSpaceDE w:val="0"/>
        <w:autoSpaceDN w:val="0"/>
        <w:adjustRightInd w:val="0"/>
        <w:spacing w:after="0"/>
        <w:contextualSpacing w:val="0"/>
        <w:jc w:val="both"/>
        <w:rPr>
          <w:rFonts w:ascii="Arial" w:hAnsi="Arial" w:cs="Arial"/>
        </w:rPr>
      </w:pPr>
      <w:r w:rsidRPr="00CD0D75">
        <w:rPr>
          <w:rFonts w:ascii="Arial" w:hAnsi="Arial" w:cs="Arial"/>
        </w:rPr>
        <w:t>mišljenje nadležnog organa za zaštitu životne sredine na studiju izvodljivosti eksploatacije;</w:t>
      </w:r>
    </w:p>
    <w:p w:rsidR="008A63CC" w:rsidRPr="00CD0D75" w:rsidRDefault="008A63CC" w:rsidP="008A63CC">
      <w:pPr>
        <w:pStyle w:val="ListParagraph"/>
        <w:numPr>
          <w:ilvl w:val="0"/>
          <w:numId w:val="40"/>
        </w:numPr>
        <w:autoSpaceDE w:val="0"/>
        <w:autoSpaceDN w:val="0"/>
        <w:adjustRightInd w:val="0"/>
        <w:spacing w:after="0"/>
        <w:contextualSpacing w:val="0"/>
        <w:jc w:val="both"/>
        <w:rPr>
          <w:rFonts w:ascii="Arial" w:hAnsi="Arial" w:cs="Arial"/>
        </w:rPr>
      </w:pPr>
      <w:r w:rsidRPr="00CD0D75">
        <w:rPr>
          <w:rFonts w:ascii="Arial" w:hAnsi="Arial" w:cs="Arial"/>
        </w:rPr>
        <w:t>akt organa nadležnog za poslove urbanizma u pogledu usaglašenosti planirane eksploatacije mineralnih sirovina sa odgovarajućim prostornim, odnosno urbanističkim planovima;</w:t>
      </w:r>
    </w:p>
    <w:p w:rsidR="008A63CC" w:rsidRPr="00CD0D75" w:rsidRDefault="008A63CC" w:rsidP="008A63CC">
      <w:pPr>
        <w:pStyle w:val="ListParagraph"/>
        <w:numPr>
          <w:ilvl w:val="0"/>
          <w:numId w:val="40"/>
        </w:numPr>
        <w:autoSpaceDE w:val="0"/>
        <w:autoSpaceDN w:val="0"/>
        <w:adjustRightInd w:val="0"/>
        <w:spacing w:after="0"/>
        <w:contextualSpacing w:val="0"/>
        <w:jc w:val="both"/>
        <w:rPr>
          <w:rFonts w:ascii="Arial" w:hAnsi="Arial" w:cs="Arial"/>
        </w:rPr>
      </w:pPr>
      <w:r w:rsidRPr="00CD0D75">
        <w:rPr>
          <w:rFonts w:ascii="Arial" w:hAnsi="Arial" w:cs="Arial"/>
        </w:rPr>
        <w:t>licenca za izvođenje radova;</w:t>
      </w:r>
    </w:p>
    <w:p w:rsidR="008A63CC" w:rsidRPr="00CD0D75" w:rsidRDefault="008A63CC" w:rsidP="008A63CC">
      <w:pPr>
        <w:pStyle w:val="ListParagraph"/>
        <w:numPr>
          <w:ilvl w:val="0"/>
          <w:numId w:val="40"/>
        </w:numPr>
        <w:autoSpaceDE w:val="0"/>
        <w:autoSpaceDN w:val="0"/>
        <w:adjustRightInd w:val="0"/>
        <w:spacing w:after="0"/>
        <w:contextualSpacing w:val="0"/>
        <w:jc w:val="both"/>
        <w:rPr>
          <w:rFonts w:ascii="Arial" w:hAnsi="Arial" w:cs="Arial"/>
        </w:rPr>
      </w:pPr>
      <w:r w:rsidRPr="00CD0D75">
        <w:rPr>
          <w:rFonts w:ascii="Arial" w:hAnsi="Arial" w:cs="Arial"/>
        </w:rPr>
        <w:t>drugi podaci od značaja za izdavanje odobrenja na zahtjev nadležnog organa.</w:t>
      </w:r>
    </w:p>
    <w:p w:rsidR="008A63CC" w:rsidRPr="00CD0D75" w:rsidRDefault="008A63CC" w:rsidP="008A63CC">
      <w:pPr>
        <w:spacing w:after="0"/>
        <w:jc w:val="both"/>
        <w:rPr>
          <w:rFonts w:ascii="Arial" w:hAnsi="Arial" w:cs="Arial"/>
        </w:rPr>
      </w:pPr>
    </w:p>
    <w:p w:rsidR="008A63CC" w:rsidRPr="00CD0D75" w:rsidRDefault="008A63CC" w:rsidP="008A63CC">
      <w:pPr>
        <w:pStyle w:val="Heading2"/>
        <w:numPr>
          <w:ilvl w:val="1"/>
          <w:numId w:val="0"/>
        </w:numPr>
        <w:spacing w:before="0" w:after="0"/>
        <w:jc w:val="both"/>
        <w:rPr>
          <w:i w:val="0"/>
          <w:sz w:val="22"/>
          <w:szCs w:val="22"/>
        </w:rPr>
      </w:pPr>
      <w:bookmarkStart w:id="42" w:name="_Toc402262972"/>
      <w:r w:rsidRPr="00CD0D75">
        <w:rPr>
          <w:rFonts w:eastAsia="Calibri"/>
          <w:bCs w:val="0"/>
          <w:i w:val="0"/>
          <w:iCs w:val="0"/>
          <w:kern w:val="0"/>
          <w:sz w:val="22"/>
          <w:szCs w:val="22"/>
        </w:rPr>
        <w:t>11.2.2</w:t>
      </w:r>
      <w:r w:rsidRPr="00CD0D75">
        <w:rPr>
          <w:rFonts w:eastAsia="Calibri"/>
          <w:b w:val="0"/>
          <w:bCs w:val="0"/>
          <w:i w:val="0"/>
          <w:iCs w:val="0"/>
          <w:kern w:val="0"/>
          <w:sz w:val="22"/>
          <w:szCs w:val="22"/>
        </w:rPr>
        <w:t xml:space="preserve">  </w:t>
      </w:r>
      <w:r w:rsidRPr="00CD0D75">
        <w:rPr>
          <w:i w:val="0"/>
          <w:sz w:val="22"/>
          <w:szCs w:val="22"/>
        </w:rPr>
        <w:t>Od</w:t>
      </w:r>
      <w:r>
        <w:rPr>
          <w:i w:val="0"/>
          <w:sz w:val="22"/>
          <w:szCs w:val="22"/>
        </w:rPr>
        <w:t>obrenje za izvođenje radova po R</w:t>
      </w:r>
      <w:r w:rsidRPr="00CD0D75">
        <w:rPr>
          <w:i w:val="0"/>
          <w:sz w:val="22"/>
          <w:szCs w:val="22"/>
        </w:rPr>
        <w:t>udarskom projektu</w:t>
      </w:r>
      <w:bookmarkEnd w:id="42"/>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Nakon dobijanja odobrenja za eksploataciju mineralne sirovine na eksploatacionom polju, pristupa se izradi rudarske tehničke dokumentacije –rudarskog projekta eksploatacije.</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b/>
        </w:rPr>
        <w:t>Rudarski projekat</w:t>
      </w:r>
      <w:r w:rsidRPr="00CD0D75">
        <w:rPr>
          <w:rFonts w:ascii="Arial" w:hAnsi="Arial" w:cs="Arial"/>
        </w:rPr>
        <w:t xml:space="preserve"> izrađuje se za izgradnju novih rudarskih objekata, sistema otvaranja i pripreme rudarskih objekata radi eksploatacije mineralne sirovine. Rudarski projekat podliježe tehničkoj kontroli (reviziji), koju vrši nadležni organ preko stručne komisije ili pravnog lica koje ima Licencu za izradu rudarskih projekata.</w:t>
      </w:r>
    </w:p>
    <w:p w:rsidR="008A63CC" w:rsidRPr="00CD0D75" w:rsidRDefault="008A63CC" w:rsidP="008A63CC">
      <w:pPr>
        <w:spacing w:after="0"/>
        <w:jc w:val="both"/>
        <w:rPr>
          <w:rFonts w:ascii="Arial" w:hAnsi="Arial" w:cs="Arial"/>
        </w:rPr>
      </w:pPr>
      <w:r w:rsidRPr="00CD0D75">
        <w:rPr>
          <w:rFonts w:ascii="Arial" w:hAnsi="Arial" w:cs="Arial"/>
        </w:rPr>
        <w:t>Odobrenje za izvođenje radova po rudarskom projektu, u skladu sa članom 53 Zakona o rudarstvu, izdaje Ministarstvo na zahtjev investitora. Uz zahtjev se dostavlja i sljedeća dokumentacija:</w:t>
      </w:r>
    </w:p>
    <w:p w:rsidR="008A63CC" w:rsidRPr="00CD0D75" w:rsidRDefault="008A63CC" w:rsidP="008A63CC">
      <w:pPr>
        <w:spacing w:after="0"/>
        <w:jc w:val="both"/>
        <w:rPr>
          <w:rFonts w:ascii="Arial" w:hAnsi="Arial" w:cs="Arial"/>
        </w:rPr>
      </w:pPr>
    </w:p>
    <w:p w:rsidR="008A63CC" w:rsidRPr="00CD0D75" w:rsidRDefault="008A63CC" w:rsidP="008A63CC">
      <w:pPr>
        <w:pStyle w:val="ListParagraph"/>
        <w:numPr>
          <w:ilvl w:val="0"/>
          <w:numId w:val="41"/>
        </w:numPr>
        <w:spacing w:after="0"/>
        <w:contextualSpacing w:val="0"/>
        <w:jc w:val="both"/>
        <w:rPr>
          <w:rFonts w:ascii="Arial" w:hAnsi="Arial" w:cs="Arial"/>
        </w:rPr>
      </w:pPr>
      <w:r w:rsidRPr="00CD0D75">
        <w:rPr>
          <w:rFonts w:ascii="Arial" w:hAnsi="Arial" w:cs="Arial"/>
        </w:rPr>
        <w:t>rudarski projekat sa revizionom klauzulom;</w:t>
      </w:r>
    </w:p>
    <w:p w:rsidR="008A63CC" w:rsidRPr="00CD0D75" w:rsidRDefault="008A63CC" w:rsidP="008A63CC">
      <w:pPr>
        <w:pStyle w:val="ListParagraph"/>
        <w:numPr>
          <w:ilvl w:val="0"/>
          <w:numId w:val="41"/>
        </w:numPr>
        <w:spacing w:after="0"/>
        <w:contextualSpacing w:val="0"/>
        <w:jc w:val="both"/>
        <w:rPr>
          <w:rFonts w:ascii="Arial" w:hAnsi="Arial" w:cs="Arial"/>
        </w:rPr>
      </w:pPr>
      <w:r w:rsidRPr="00CD0D75">
        <w:rPr>
          <w:rFonts w:ascii="Arial" w:hAnsi="Arial" w:cs="Arial"/>
        </w:rPr>
        <w:t>potvrda-saglasnost organa koji je izdao uslove da je rudarski projekat urađen u skladu sa izdatim uslovima;</w:t>
      </w:r>
    </w:p>
    <w:p w:rsidR="008A63CC" w:rsidRPr="00CD0D75" w:rsidRDefault="008A63CC" w:rsidP="008A63CC">
      <w:pPr>
        <w:pStyle w:val="ListParagraph"/>
        <w:numPr>
          <w:ilvl w:val="0"/>
          <w:numId w:val="41"/>
        </w:numPr>
        <w:spacing w:after="0"/>
        <w:contextualSpacing w:val="0"/>
        <w:jc w:val="both"/>
        <w:rPr>
          <w:rFonts w:ascii="Arial" w:hAnsi="Arial" w:cs="Arial"/>
        </w:rPr>
      </w:pPr>
      <w:r w:rsidRPr="00CD0D75">
        <w:rPr>
          <w:rFonts w:ascii="Arial" w:hAnsi="Arial" w:cs="Arial"/>
        </w:rPr>
        <w:t>urbanističko-tehnički uslovi;</w:t>
      </w:r>
    </w:p>
    <w:p w:rsidR="008A63CC" w:rsidRPr="00CD0D75" w:rsidRDefault="008A63CC" w:rsidP="008A63CC">
      <w:pPr>
        <w:pStyle w:val="ListParagraph"/>
        <w:numPr>
          <w:ilvl w:val="0"/>
          <w:numId w:val="41"/>
        </w:numPr>
        <w:spacing w:after="0"/>
        <w:contextualSpacing w:val="0"/>
        <w:jc w:val="both"/>
        <w:rPr>
          <w:rFonts w:ascii="Arial" w:hAnsi="Arial" w:cs="Arial"/>
        </w:rPr>
      </w:pPr>
      <w:r w:rsidRPr="00CD0D75">
        <w:rPr>
          <w:rFonts w:ascii="Arial" w:hAnsi="Arial" w:cs="Arial"/>
        </w:rPr>
        <w:t>dokaz o pravu svojine ili korišćenja na zemljištu, odnosno službenosti za najmanje dvije godine eksploatacije mineralne sirovine prema dinamici utvrđenoj koncesionim pravom;</w:t>
      </w:r>
    </w:p>
    <w:p w:rsidR="008A63CC" w:rsidRPr="00CD0D75" w:rsidRDefault="008A63CC" w:rsidP="008A63CC">
      <w:pPr>
        <w:pStyle w:val="ListParagraph"/>
        <w:numPr>
          <w:ilvl w:val="0"/>
          <w:numId w:val="41"/>
        </w:numPr>
        <w:spacing w:after="0"/>
        <w:contextualSpacing w:val="0"/>
        <w:jc w:val="both"/>
        <w:rPr>
          <w:rFonts w:ascii="Arial" w:hAnsi="Arial" w:cs="Arial"/>
        </w:rPr>
      </w:pPr>
      <w:r w:rsidRPr="00CD0D75">
        <w:rPr>
          <w:rFonts w:ascii="Arial" w:hAnsi="Arial" w:cs="Arial"/>
        </w:rPr>
        <w:t>saglasnost organa državne uprave nadležnog za poslove zaštite životne sredine na elaborat procjene uticaja na životnu sredinu ili odluku da nije potrebno vršiti procjenu uticaja koje se izdaju u skladu sa posebnim propisom;</w:t>
      </w:r>
    </w:p>
    <w:p w:rsidR="008A63CC" w:rsidRPr="00CD0D75" w:rsidRDefault="008A63CC" w:rsidP="008A63CC">
      <w:pPr>
        <w:pStyle w:val="ListParagraph"/>
        <w:numPr>
          <w:ilvl w:val="0"/>
          <w:numId w:val="41"/>
        </w:numPr>
        <w:spacing w:after="0"/>
        <w:contextualSpacing w:val="0"/>
        <w:jc w:val="both"/>
        <w:rPr>
          <w:rFonts w:ascii="Arial" w:hAnsi="Arial" w:cs="Arial"/>
        </w:rPr>
      </w:pPr>
      <w:r w:rsidRPr="00CD0D75">
        <w:rPr>
          <w:rFonts w:ascii="Arial" w:hAnsi="Arial" w:cs="Arial"/>
        </w:rPr>
        <w:t>vodoprivredna saglasnost na projekte kada eksploatacija mineralnih sirovina utiče na režim voda;</w:t>
      </w:r>
    </w:p>
    <w:p w:rsidR="008A63CC" w:rsidRPr="00CD0D75" w:rsidRDefault="008A63CC" w:rsidP="008A63CC">
      <w:pPr>
        <w:pStyle w:val="ListParagraph"/>
        <w:numPr>
          <w:ilvl w:val="0"/>
          <w:numId w:val="41"/>
        </w:numPr>
        <w:spacing w:after="0"/>
        <w:contextualSpacing w:val="0"/>
        <w:jc w:val="both"/>
        <w:rPr>
          <w:rFonts w:ascii="Arial" w:hAnsi="Arial" w:cs="Arial"/>
        </w:rPr>
      </w:pPr>
      <w:r w:rsidRPr="00CD0D75">
        <w:rPr>
          <w:rFonts w:ascii="Arial" w:hAnsi="Arial" w:cs="Arial"/>
        </w:rPr>
        <w:lastRenderedPageBreak/>
        <w:t>saobraćajna saglasnost za pristup javnim saobraćajnicama;</w:t>
      </w:r>
    </w:p>
    <w:p w:rsidR="008A63CC" w:rsidRPr="00CD0D75" w:rsidRDefault="008A63CC" w:rsidP="008A63CC">
      <w:pPr>
        <w:pStyle w:val="ListParagraph"/>
        <w:numPr>
          <w:ilvl w:val="0"/>
          <w:numId w:val="41"/>
        </w:numPr>
        <w:spacing w:after="0"/>
        <w:contextualSpacing w:val="0"/>
        <w:jc w:val="both"/>
        <w:rPr>
          <w:rFonts w:ascii="Arial" w:hAnsi="Arial" w:cs="Arial"/>
        </w:rPr>
      </w:pPr>
      <w:r w:rsidRPr="00CD0D75">
        <w:rPr>
          <w:rFonts w:ascii="Arial" w:hAnsi="Arial" w:cs="Arial"/>
        </w:rPr>
        <w:t>licenca za izvođenje radova;</w:t>
      </w:r>
    </w:p>
    <w:p w:rsidR="008A63CC" w:rsidRPr="00CD0D75" w:rsidRDefault="008A63CC" w:rsidP="008A63CC">
      <w:pPr>
        <w:pStyle w:val="ListParagraph"/>
        <w:numPr>
          <w:ilvl w:val="0"/>
          <w:numId w:val="41"/>
        </w:numPr>
        <w:spacing w:after="0"/>
        <w:contextualSpacing w:val="0"/>
        <w:jc w:val="both"/>
        <w:rPr>
          <w:rFonts w:ascii="Arial" w:hAnsi="Arial" w:cs="Arial"/>
        </w:rPr>
      </w:pPr>
      <w:r w:rsidRPr="00CD0D75">
        <w:rPr>
          <w:rFonts w:ascii="Arial" w:hAnsi="Arial" w:cs="Arial"/>
        </w:rPr>
        <w:t>dokaz o plaćenoj naknadi za promjenu namjene korišćenja poljoprivrednog zemljišta.</w:t>
      </w:r>
    </w:p>
    <w:p w:rsidR="008A63CC" w:rsidRPr="00CD0D75" w:rsidRDefault="008A63CC" w:rsidP="008A63CC">
      <w:pPr>
        <w:pStyle w:val="ListParagraph"/>
        <w:spacing w:after="0"/>
        <w:ind w:left="0"/>
        <w:contextualSpacing w:val="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Za izgradnju rudarskih objekata i postrojenja dostavlja se i dokumentacija u skladu sa propisima o građenju u zavisnosti od vrste objekta i utvrđenih uslova za izradu tehničke dokumentacije, a naročito sljedeće saglasnosti: elektro-energetska, zaštite na radu, sanitarna, protivpožarna, vodovodna, za priključenje na telekomunikacionu mrežu.</w:t>
      </w:r>
    </w:p>
    <w:p w:rsidR="008A63CC" w:rsidRPr="00CD0D75" w:rsidRDefault="008A63CC" w:rsidP="008A63CC">
      <w:pPr>
        <w:spacing w:after="0"/>
        <w:jc w:val="both"/>
        <w:rPr>
          <w:rFonts w:ascii="Arial" w:hAnsi="Arial" w:cs="Arial"/>
        </w:rPr>
      </w:pPr>
    </w:p>
    <w:p w:rsidR="008A63CC" w:rsidRPr="00CD0D75" w:rsidRDefault="008A63CC" w:rsidP="008A63CC">
      <w:pPr>
        <w:pStyle w:val="Heading3"/>
        <w:suppressAutoHyphens/>
        <w:spacing w:line="276" w:lineRule="auto"/>
        <w:jc w:val="both"/>
        <w:rPr>
          <w:rFonts w:ascii="Arial" w:hAnsi="Arial" w:cs="Arial"/>
          <w:b/>
          <w:sz w:val="22"/>
          <w:szCs w:val="22"/>
        </w:rPr>
      </w:pPr>
      <w:bookmarkStart w:id="43" w:name="_Toc435529036"/>
      <w:bookmarkStart w:id="44" w:name="_Toc436124913"/>
      <w:r w:rsidRPr="00CD0D75">
        <w:rPr>
          <w:rFonts w:ascii="Arial" w:hAnsi="Arial" w:cs="Arial"/>
          <w:b/>
          <w:sz w:val="22"/>
          <w:szCs w:val="22"/>
        </w:rPr>
        <w:t>11.2.3 Odobrenje za upotrebu rudarskih objekata</w:t>
      </w:r>
      <w:bookmarkEnd w:id="43"/>
      <w:bookmarkEnd w:id="44"/>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Izgrađeni rudarski objekti ili djelovi rudarskih objekata koji se mogu samostalno koristiti, prije početka korišćenja, podliježu tehničkom pregledu, koji obuhvata pregled: rudarskih i građevinskih radova, električnih postrojenja, uređaja i instalacija i rudarske opreme i postrojenja.</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Tehničkim pregledom utvrđuje se usklađenost izvedenih radova sa tehničkom dokumentacijom na osnovu koje je izdato odobrenje za izvođenje radova, tehničkim propisima čija je primjena obavezna pri izgradnji rudarskih objekata i mjerama i normativima zaštite na radu i zaštite životne sredine. Troškove tehničkog pregleda snosi investitor.</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Tehnički pregled i odobrenje za upotrebu rudarskih objekata ili dijela objekta vrši nadležni organ preko stručne komisije ili pravnog lica u skladu sa propisima o izgradnji objekata.</w:t>
      </w:r>
    </w:p>
    <w:p w:rsidR="008A63CC" w:rsidRPr="00CD0D75" w:rsidRDefault="008A63CC" w:rsidP="008A63CC">
      <w:pPr>
        <w:spacing w:after="0"/>
        <w:jc w:val="both"/>
        <w:rPr>
          <w:rFonts w:ascii="Arial" w:hAnsi="Arial" w:cs="Arial"/>
        </w:rPr>
      </w:pPr>
      <w:r w:rsidRPr="00CD0D75">
        <w:rPr>
          <w:rFonts w:ascii="Arial" w:hAnsi="Arial" w:cs="Arial"/>
        </w:rPr>
        <w:t xml:space="preserve">Ako je za izdavanje odobrenja za upotrebu rudarskih objekata posebnim zakonom propisana obaveza prethodnog pribavljanja saglasnosti ili dozvole drugih organa ili organizacija, uz zahtjev za izdavanje odobrenja podnosi se i saglasnost, odnosno, dozvola. </w:t>
      </w:r>
    </w:p>
    <w:p w:rsidR="008A63CC" w:rsidRPr="00CD0D75" w:rsidRDefault="008A63CC" w:rsidP="008A63CC">
      <w:pPr>
        <w:spacing w:after="0"/>
        <w:jc w:val="both"/>
        <w:rPr>
          <w:rFonts w:ascii="Arial" w:hAnsi="Arial" w:cs="Arial"/>
        </w:rPr>
      </w:pPr>
    </w:p>
    <w:p w:rsidR="008A63CC" w:rsidRPr="00CD0D75" w:rsidRDefault="008A63CC" w:rsidP="008A63CC">
      <w:pPr>
        <w:pStyle w:val="Heading2"/>
        <w:numPr>
          <w:ilvl w:val="1"/>
          <w:numId w:val="0"/>
        </w:numPr>
        <w:spacing w:before="0" w:after="0"/>
        <w:jc w:val="both"/>
        <w:rPr>
          <w:i w:val="0"/>
          <w:sz w:val="22"/>
          <w:szCs w:val="22"/>
        </w:rPr>
      </w:pPr>
      <w:bookmarkStart w:id="45" w:name="_Toc390549926"/>
      <w:r w:rsidRPr="00CD0D75">
        <w:rPr>
          <w:i w:val="0"/>
          <w:sz w:val="22"/>
          <w:szCs w:val="22"/>
        </w:rPr>
        <w:t>12</w:t>
      </w:r>
      <w:r>
        <w:rPr>
          <w:i w:val="0"/>
          <w:sz w:val="22"/>
          <w:szCs w:val="22"/>
        </w:rPr>
        <w:t>.</w:t>
      </w:r>
      <w:bookmarkStart w:id="46" w:name="_Toc402262974"/>
      <w:r>
        <w:rPr>
          <w:i w:val="0"/>
          <w:sz w:val="22"/>
          <w:szCs w:val="22"/>
        </w:rPr>
        <w:t xml:space="preserve"> </w:t>
      </w:r>
      <w:r w:rsidRPr="00CD0D75">
        <w:rPr>
          <w:i w:val="0"/>
          <w:sz w:val="22"/>
          <w:szCs w:val="22"/>
        </w:rPr>
        <w:t>HRONOLOGIJA IZRADE TEHNIČKE DOKUMENTACIJE I PRIBAVLJANJE ODOBRENJA I SAGLASNOSTI ZA IZVOĐENJE RUDARSKIH RADOVA</w:t>
      </w:r>
      <w:bookmarkEnd w:id="45"/>
      <w:bookmarkEnd w:id="46"/>
    </w:p>
    <w:p w:rsidR="008A63CC" w:rsidRPr="00CD0D75" w:rsidRDefault="008A63CC" w:rsidP="008A63CC">
      <w:pPr>
        <w:spacing w:after="0"/>
        <w:jc w:val="both"/>
        <w:rPr>
          <w:rFonts w:ascii="Arial" w:hAnsi="Arial" w:cs="Arial"/>
        </w:rPr>
      </w:pPr>
    </w:p>
    <w:p w:rsidR="008A63CC" w:rsidRPr="00CD0D75" w:rsidRDefault="008A63CC" w:rsidP="008A63CC">
      <w:pPr>
        <w:pStyle w:val="ListParagraph"/>
        <w:suppressAutoHyphens/>
        <w:spacing w:after="0"/>
        <w:ind w:left="0"/>
        <w:contextualSpacing w:val="0"/>
        <w:jc w:val="both"/>
        <w:rPr>
          <w:rFonts w:ascii="Arial" w:hAnsi="Arial" w:cs="Arial"/>
          <w:b/>
        </w:rPr>
      </w:pPr>
      <w:r>
        <w:rPr>
          <w:rFonts w:ascii="Arial" w:hAnsi="Arial" w:cs="Arial"/>
        </w:rPr>
        <w:t>-</w:t>
      </w:r>
      <w:r w:rsidRPr="00CD0D75">
        <w:rPr>
          <w:rFonts w:ascii="Arial" w:hAnsi="Arial" w:cs="Arial"/>
        </w:rPr>
        <w:t>Izrada Elaborata o klasifikaciji, kategorizaciji i proračunu rezervi tehničko-građevinskog kamena na ležištu „Otilovići“ (obaveza investitora) svake pete godine</w:t>
      </w:r>
      <w:r>
        <w:rPr>
          <w:rFonts w:ascii="Arial" w:hAnsi="Arial" w:cs="Arial"/>
        </w:rPr>
        <w:t>;</w:t>
      </w:r>
    </w:p>
    <w:p w:rsidR="008A63CC" w:rsidRPr="00CD0D75" w:rsidRDefault="008A63CC" w:rsidP="008A63CC">
      <w:pPr>
        <w:pStyle w:val="ListParagraph"/>
        <w:spacing w:after="0"/>
        <w:ind w:left="0"/>
        <w:contextualSpacing w:val="0"/>
        <w:jc w:val="both"/>
        <w:rPr>
          <w:rFonts w:ascii="Arial" w:hAnsi="Arial" w:cs="Arial"/>
          <w:b/>
        </w:rPr>
      </w:pPr>
    </w:p>
    <w:p w:rsidR="008A63CC" w:rsidRPr="00CD0D75" w:rsidRDefault="008A63CC" w:rsidP="008A63CC">
      <w:pPr>
        <w:pStyle w:val="ListParagraph"/>
        <w:suppressAutoHyphens/>
        <w:spacing w:after="0"/>
        <w:ind w:left="0"/>
        <w:contextualSpacing w:val="0"/>
        <w:jc w:val="both"/>
        <w:rPr>
          <w:rFonts w:ascii="Arial" w:hAnsi="Arial" w:cs="Arial"/>
        </w:rPr>
      </w:pPr>
      <w:r>
        <w:rPr>
          <w:rFonts w:ascii="Arial" w:hAnsi="Arial" w:cs="Arial"/>
        </w:rPr>
        <w:t>-</w:t>
      </w:r>
      <w:r w:rsidRPr="00CD0D75">
        <w:rPr>
          <w:rFonts w:ascii="Arial" w:hAnsi="Arial" w:cs="Arial"/>
        </w:rPr>
        <w:t>Dostavljanje Elaborata o klasifikaciji, kategorizaciji i proračunu rezervi tehničko-građevinskog kamena na ležištu „Otilovići“ sa zahtjevom nadležnom organu za njegovu revizuju</w:t>
      </w:r>
      <w:r>
        <w:rPr>
          <w:rFonts w:ascii="Arial" w:hAnsi="Arial" w:cs="Arial"/>
        </w:rPr>
        <w:t xml:space="preserve"> i ovjeru (obaveza investitora);</w:t>
      </w:r>
    </w:p>
    <w:p w:rsidR="008A63CC" w:rsidRPr="00CD0D75" w:rsidRDefault="008A63CC" w:rsidP="008A63CC">
      <w:pPr>
        <w:pStyle w:val="ListParagraph"/>
        <w:spacing w:after="0"/>
        <w:ind w:left="0"/>
        <w:contextualSpacing w:val="0"/>
        <w:jc w:val="both"/>
        <w:rPr>
          <w:rFonts w:ascii="Arial" w:hAnsi="Arial" w:cs="Arial"/>
        </w:rPr>
      </w:pPr>
    </w:p>
    <w:p w:rsidR="008A63CC" w:rsidRPr="00CD0D75" w:rsidRDefault="008A63CC" w:rsidP="008A63CC">
      <w:pPr>
        <w:pStyle w:val="ListParagraph"/>
        <w:suppressAutoHyphens/>
        <w:spacing w:after="0"/>
        <w:ind w:left="0"/>
        <w:contextualSpacing w:val="0"/>
        <w:jc w:val="both"/>
        <w:rPr>
          <w:rFonts w:ascii="Arial" w:hAnsi="Arial" w:cs="Arial"/>
        </w:rPr>
      </w:pPr>
      <w:r>
        <w:rPr>
          <w:rFonts w:ascii="Arial" w:hAnsi="Arial" w:cs="Arial"/>
        </w:rPr>
        <w:t>-Revizija</w:t>
      </w:r>
      <w:r w:rsidRPr="00CD0D75">
        <w:rPr>
          <w:rFonts w:ascii="Arial" w:hAnsi="Arial" w:cs="Arial"/>
        </w:rPr>
        <w:t xml:space="preserve"> Elaborata o klasifikaciji, kategorizaciji i proračunu rezervi tehničko-građevinskog kamena na ležištu „Otilovići“  organizuje nadležni organ, troškov</w:t>
      </w:r>
      <w:r>
        <w:rPr>
          <w:rFonts w:ascii="Arial" w:hAnsi="Arial" w:cs="Arial"/>
        </w:rPr>
        <w:t>e revizije snosi investitor;</w:t>
      </w:r>
    </w:p>
    <w:p w:rsidR="008A63CC" w:rsidRPr="00CD0D75" w:rsidRDefault="008A63CC" w:rsidP="008A63CC">
      <w:pPr>
        <w:pStyle w:val="ListParagraph"/>
        <w:spacing w:after="0"/>
        <w:ind w:left="0"/>
        <w:contextualSpacing w:val="0"/>
        <w:rPr>
          <w:rFonts w:ascii="Arial" w:hAnsi="Arial" w:cs="Arial"/>
        </w:rPr>
      </w:pPr>
    </w:p>
    <w:p w:rsidR="008A63CC" w:rsidRPr="00CD0D75" w:rsidRDefault="008A63CC" w:rsidP="008A63CC">
      <w:pPr>
        <w:pStyle w:val="ListParagraph"/>
        <w:suppressAutoHyphens/>
        <w:spacing w:after="0"/>
        <w:ind w:left="0"/>
        <w:contextualSpacing w:val="0"/>
        <w:jc w:val="both"/>
        <w:rPr>
          <w:rFonts w:ascii="Arial" w:hAnsi="Arial" w:cs="Arial"/>
          <w:b/>
        </w:rPr>
      </w:pPr>
      <w:r>
        <w:rPr>
          <w:rFonts w:ascii="Arial" w:hAnsi="Arial" w:cs="Arial"/>
        </w:rPr>
        <w:t>-</w:t>
      </w:r>
      <w:r w:rsidRPr="00CD0D75">
        <w:rPr>
          <w:rFonts w:ascii="Arial" w:hAnsi="Arial" w:cs="Arial"/>
        </w:rPr>
        <w:t>Izdavanje rješenja o ovjeri Elaborata o klasifikaciji, kategorizaciji i proračunu rezervi tehničko-građevinskog kamena na ležištu „Otilovići</w:t>
      </w:r>
      <w:r>
        <w:rPr>
          <w:rFonts w:ascii="Arial" w:hAnsi="Arial" w:cs="Arial"/>
        </w:rPr>
        <w:t>“ (Ministarstvo</w:t>
      </w:r>
      <w:r w:rsidRPr="00CD0D75">
        <w:rPr>
          <w:rFonts w:ascii="Arial" w:hAnsi="Arial" w:cs="Arial"/>
        </w:rPr>
        <w:t>).</w:t>
      </w:r>
    </w:p>
    <w:p w:rsidR="008A63CC" w:rsidRPr="00CD0D75" w:rsidRDefault="008A63CC" w:rsidP="008A63CC">
      <w:pPr>
        <w:pStyle w:val="ListParagraph"/>
        <w:spacing w:after="0"/>
        <w:ind w:left="0"/>
        <w:contextualSpacing w:val="0"/>
        <w:jc w:val="both"/>
        <w:rPr>
          <w:rFonts w:ascii="Arial" w:hAnsi="Arial" w:cs="Arial"/>
          <w:b/>
        </w:rPr>
      </w:pPr>
    </w:p>
    <w:p w:rsidR="008A63CC" w:rsidRPr="00CD0D75" w:rsidRDefault="008A63CC" w:rsidP="008A63CC">
      <w:pPr>
        <w:pStyle w:val="ListParagraph"/>
        <w:numPr>
          <w:ilvl w:val="0"/>
          <w:numId w:val="42"/>
        </w:numPr>
        <w:suppressAutoHyphens/>
        <w:spacing w:after="0"/>
        <w:contextualSpacing w:val="0"/>
        <w:jc w:val="both"/>
        <w:rPr>
          <w:rFonts w:ascii="Arial" w:hAnsi="Arial" w:cs="Arial"/>
          <w:b/>
        </w:rPr>
      </w:pPr>
      <w:r w:rsidRPr="00CD0D75">
        <w:rPr>
          <w:rFonts w:ascii="Arial" w:hAnsi="Arial" w:cs="Arial"/>
        </w:rPr>
        <w:t>Investitor dostavlja zahtjev nadležnom ministarstvu</w:t>
      </w:r>
      <w:r>
        <w:rPr>
          <w:rFonts w:ascii="Arial" w:hAnsi="Arial" w:cs="Arial"/>
        </w:rPr>
        <w:t>,</w:t>
      </w:r>
      <w:r w:rsidRPr="00CD0D75">
        <w:rPr>
          <w:rFonts w:ascii="Arial" w:hAnsi="Arial" w:cs="Arial"/>
        </w:rPr>
        <w:t xml:space="preserve"> uz d</w:t>
      </w:r>
      <w:r>
        <w:rPr>
          <w:rFonts w:ascii="Arial" w:hAnsi="Arial" w:cs="Arial"/>
        </w:rPr>
        <w:t>okumentaciju</w:t>
      </w:r>
      <w:r w:rsidRPr="00CD0D75">
        <w:rPr>
          <w:rFonts w:ascii="Arial" w:hAnsi="Arial" w:cs="Arial"/>
        </w:rPr>
        <w:t xml:space="preserve"> propisanu članom 33 Zakona o rudarstvu i koja je navedena u ovom Koncesionom aktu, za dobijanje odobrenja za eksploataciju mineralne sirovine na eksploatacionom polju.</w:t>
      </w:r>
    </w:p>
    <w:p w:rsidR="008A63CC" w:rsidRPr="00CD0D75" w:rsidRDefault="008A63CC" w:rsidP="008A63CC">
      <w:pPr>
        <w:spacing w:after="0"/>
        <w:jc w:val="both"/>
        <w:rPr>
          <w:rFonts w:ascii="Arial" w:hAnsi="Arial" w:cs="Arial"/>
          <w:b/>
        </w:rPr>
      </w:pPr>
    </w:p>
    <w:p w:rsidR="008A63CC" w:rsidRPr="00CD0D75" w:rsidRDefault="008A63CC" w:rsidP="008A63CC">
      <w:pPr>
        <w:pStyle w:val="ListParagraph"/>
        <w:suppressAutoHyphens/>
        <w:spacing w:after="0"/>
        <w:ind w:left="0"/>
        <w:contextualSpacing w:val="0"/>
        <w:jc w:val="both"/>
        <w:rPr>
          <w:rFonts w:ascii="Arial" w:hAnsi="Arial" w:cs="Arial"/>
        </w:rPr>
      </w:pPr>
      <w:r>
        <w:rPr>
          <w:rFonts w:ascii="Arial" w:hAnsi="Arial" w:cs="Arial"/>
        </w:rPr>
        <w:lastRenderedPageBreak/>
        <w:t>-</w:t>
      </w:r>
      <w:r w:rsidRPr="00CD0D75">
        <w:rPr>
          <w:rFonts w:ascii="Arial" w:hAnsi="Arial" w:cs="Arial"/>
        </w:rPr>
        <w:t>Izdavanje rješenja kojim se odobrava eksploatacija mineralne sirovine na eksploatacionom polju (Ministarstvo).</w:t>
      </w:r>
    </w:p>
    <w:p w:rsidR="008A63CC" w:rsidRPr="00CD0D75" w:rsidRDefault="008A63CC" w:rsidP="008A63CC">
      <w:pPr>
        <w:pStyle w:val="ListParagraph"/>
        <w:spacing w:after="0"/>
        <w:ind w:left="0"/>
        <w:contextualSpacing w:val="0"/>
        <w:jc w:val="both"/>
        <w:rPr>
          <w:rFonts w:ascii="Arial" w:hAnsi="Arial" w:cs="Arial"/>
        </w:rPr>
      </w:pPr>
    </w:p>
    <w:p w:rsidR="008A63CC" w:rsidRPr="00CD0D75" w:rsidRDefault="008A63CC" w:rsidP="008A63CC">
      <w:pPr>
        <w:pStyle w:val="ListParagraph"/>
        <w:suppressAutoHyphens/>
        <w:spacing w:after="0"/>
        <w:ind w:left="0"/>
        <w:contextualSpacing w:val="0"/>
        <w:jc w:val="both"/>
        <w:rPr>
          <w:rFonts w:ascii="Arial" w:hAnsi="Arial" w:cs="Arial"/>
          <w:b/>
        </w:rPr>
      </w:pPr>
      <w:r>
        <w:rPr>
          <w:rFonts w:ascii="Arial" w:hAnsi="Arial" w:cs="Arial"/>
        </w:rPr>
        <w:t>-</w:t>
      </w:r>
      <w:r w:rsidRPr="00CD0D75">
        <w:rPr>
          <w:rFonts w:ascii="Arial" w:hAnsi="Arial" w:cs="Arial"/>
        </w:rPr>
        <w:t>Izrada Glavnog rudarskog projekta (obaveza investitora).</w:t>
      </w:r>
    </w:p>
    <w:p w:rsidR="008A63CC" w:rsidRPr="00CD0D75" w:rsidRDefault="008A63CC" w:rsidP="008A63CC">
      <w:pPr>
        <w:spacing w:after="0"/>
        <w:jc w:val="both"/>
        <w:rPr>
          <w:rFonts w:ascii="Arial" w:hAnsi="Arial" w:cs="Arial"/>
          <w:b/>
        </w:rPr>
      </w:pPr>
    </w:p>
    <w:p w:rsidR="008A63CC" w:rsidRPr="00CD0D75" w:rsidRDefault="008A63CC" w:rsidP="008A63CC">
      <w:pPr>
        <w:pStyle w:val="ListParagraph"/>
        <w:suppressAutoHyphens/>
        <w:spacing w:after="0"/>
        <w:ind w:left="0"/>
        <w:contextualSpacing w:val="0"/>
        <w:jc w:val="both"/>
        <w:rPr>
          <w:rFonts w:ascii="Arial" w:hAnsi="Arial" w:cs="Arial"/>
        </w:rPr>
      </w:pPr>
      <w:r>
        <w:rPr>
          <w:rFonts w:ascii="Arial" w:hAnsi="Arial" w:cs="Arial"/>
        </w:rPr>
        <w:t>-</w:t>
      </w:r>
      <w:r w:rsidRPr="00CD0D75">
        <w:rPr>
          <w:rFonts w:ascii="Arial" w:hAnsi="Arial" w:cs="Arial"/>
        </w:rPr>
        <w:t>Dostavljanje Glavnog rudarskog projekta uz zahtjev za obavljanje tehničke kontrole – revizije (obaveza investitora).</w:t>
      </w:r>
    </w:p>
    <w:p w:rsidR="008A63CC" w:rsidRPr="00CD0D75" w:rsidRDefault="008A63CC" w:rsidP="008A63CC">
      <w:pPr>
        <w:pStyle w:val="ListParagraph"/>
        <w:spacing w:after="0"/>
        <w:ind w:left="0"/>
        <w:contextualSpacing w:val="0"/>
        <w:jc w:val="both"/>
        <w:rPr>
          <w:rFonts w:ascii="Arial" w:hAnsi="Arial" w:cs="Arial"/>
        </w:rPr>
      </w:pPr>
    </w:p>
    <w:p w:rsidR="008A63CC" w:rsidRPr="00CD0D75" w:rsidRDefault="008A63CC" w:rsidP="008A63CC">
      <w:pPr>
        <w:pStyle w:val="ListParagraph"/>
        <w:suppressAutoHyphens/>
        <w:spacing w:after="0"/>
        <w:ind w:left="0"/>
        <w:contextualSpacing w:val="0"/>
        <w:jc w:val="both"/>
        <w:rPr>
          <w:rFonts w:ascii="Arial" w:hAnsi="Arial" w:cs="Arial"/>
        </w:rPr>
      </w:pPr>
      <w:r>
        <w:rPr>
          <w:rFonts w:ascii="Arial" w:hAnsi="Arial" w:cs="Arial"/>
        </w:rPr>
        <w:t>-</w:t>
      </w:r>
      <w:r w:rsidRPr="00CD0D75">
        <w:rPr>
          <w:rFonts w:ascii="Arial" w:hAnsi="Arial" w:cs="Arial"/>
        </w:rPr>
        <w:t>Revizija Glavnog rudarskog projekta. Reviziju organizuje Ministarstvo, a troškove snosi investitor.</w:t>
      </w:r>
    </w:p>
    <w:p w:rsidR="008A63CC" w:rsidRPr="00CD0D75" w:rsidRDefault="008A63CC" w:rsidP="008A63CC">
      <w:pPr>
        <w:pStyle w:val="ListParagraph"/>
        <w:spacing w:after="0"/>
        <w:ind w:left="0"/>
        <w:contextualSpacing w:val="0"/>
        <w:jc w:val="both"/>
        <w:rPr>
          <w:rFonts w:ascii="Arial" w:hAnsi="Arial" w:cs="Arial"/>
        </w:rPr>
      </w:pPr>
    </w:p>
    <w:p w:rsidR="008A63CC" w:rsidRPr="00CD0D75" w:rsidRDefault="008A63CC" w:rsidP="008A63CC">
      <w:pPr>
        <w:pStyle w:val="ListParagraph"/>
        <w:suppressAutoHyphens/>
        <w:spacing w:after="0"/>
        <w:ind w:left="0"/>
        <w:contextualSpacing w:val="0"/>
        <w:jc w:val="both"/>
        <w:rPr>
          <w:rFonts w:ascii="Arial" w:hAnsi="Arial" w:cs="Arial"/>
        </w:rPr>
      </w:pPr>
      <w:r>
        <w:rPr>
          <w:rFonts w:ascii="Arial" w:hAnsi="Arial" w:cs="Arial"/>
        </w:rPr>
        <w:t>-</w:t>
      </w:r>
      <w:r w:rsidRPr="00CD0D75">
        <w:rPr>
          <w:rFonts w:ascii="Arial" w:hAnsi="Arial" w:cs="Arial"/>
        </w:rPr>
        <w:t>Izdavanje revizione klauzule (vrši</w:t>
      </w:r>
      <w:r>
        <w:rPr>
          <w:rFonts w:ascii="Arial" w:hAnsi="Arial" w:cs="Arial"/>
        </w:rPr>
        <w:t>la</w:t>
      </w:r>
      <w:r w:rsidRPr="00CD0D75">
        <w:rPr>
          <w:rFonts w:ascii="Arial" w:hAnsi="Arial" w:cs="Arial"/>
        </w:rPr>
        <w:t>c revizije Projekta).</w:t>
      </w:r>
    </w:p>
    <w:p w:rsidR="008A63CC" w:rsidRPr="00CD0D75" w:rsidRDefault="008A63CC" w:rsidP="008A63CC">
      <w:pPr>
        <w:spacing w:after="0"/>
        <w:jc w:val="both"/>
        <w:rPr>
          <w:rFonts w:ascii="Arial" w:hAnsi="Arial" w:cs="Arial"/>
        </w:rPr>
      </w:pPr>
    </w:p>
    <w:p w:rsidR="008A63CC" w:rsidRPr="00CD0D75" w:rsidRDefault="008A63CC" w:rsidP="008A63CC">
      <w:pPr>
        <w:pStyle w:val="ListParagraph"/>
        <w:numPr>
          <w:ilvl w:val="0"/>
          <w:numId w:val="42"/>
        </w:numPr>
        <w:suppressAutoHyphens/>
        <w:spacing w:after="0"/>
        <w:contextualSpacing w:val="0"/>
        <w:jc w:val="both"/>
        <w:rPr>
          <w:rFonts w:ascii="Arial" w:hAnsi="Arial" w:cs="Arial"/>
          <w:b/>
        </w:rPr>
      </w:pPr>
      <w:r w:rsidRPr="00CD0D75">
        <w:rPr>
          <w:rFonts w:ascii="Arial" w:hAnsi="Arial" w:cs="Arial"/>
        </w:rPr>
        <w:t xml:space="preserve">Investitor podnosi zahtjev nadležnom državnom organu (Agencija za zaštitu životne sredine) radi ocjene o potrebi izrade Elaborata o procjeni uticaja zahvata na životnu sredinu. </w:t>
      </w:r>
    </w:p>
    <w:p w:rsidR="008A63CC" w:rsidRPr="00CD0D75" w:rsidRDefault="008A63CC" w:rsidP="008A63CC">
      <w:pPr>
        <w:pStyle w:val="ListParagraph"/>
        <w:spacing w:after="0"/>
        <w:ind w:left="0"/>
        <w:contextualSpacing w:val="0"/>
        <w:jc w:val="both"/>
        <w:rPr>
          <w:rFonts w:ascii="Arial" w:hAnsi="Arial" w:cs="Arial"/>
          <w:b/>
        </w:rPr>
      </w:pPr>
    </w:p>
    <w:p w:rsidR="008A63CC" w:rsidRPr="00CD0D75" w:rsidRDefault="008A63CC" w:rsidP="008A63CC">
      <w:pPr>
        <w:pStyle w:val="ListParagraph"/>
        <w:suppressAutoHyphens/>
        <w:spacing w:after="0"/>
        <w:ind w:left="0"/>
        <w:contextualSpacing w:val="0"/>
        <w:jc w:val="both"/>
        <w:rPr>
          <w:rFonts w:ascii="Arial" w:hAnsi="Arial" w:cs="Arial"/>
        </w:rPr>
      </w:pPr>
      <w:r>
        <w:rPr>
          <w:rFonts w:ascii="Arial" w:hAnsi="Arial" w:cs="Arial"/>
        </w:rPr>
        <w:t>-</w:t>
      </w:r>
      <w:r w:rsidRPr="00CD0D75">
        <w:rPr>
          <w:rFonts w:ascii="Arial" w:hAnsi="Arial" w:cs="Arial"/>
        </w:rPr>
        <w:t>Ukoliko nadležni državni organ ocijeni da je potrebno raditi Elaborat o procjeni uticaja zahvata na životnu sredinu, isti se radi (obaveza investitora).</w:t>
      </w:r>
    </w:p>
    <w:p w:rsidR="008A63CC" w:rsidRPr="00CD0D75" w:rsidRDefault="008A63CC" w:rsidP="008A63CC">
      <w:pPr>
        <w:pStyle w:val="ListParagraph"/>
        <w:spacing w:after="0"/>
        <w:ind w:left="0"/>
        <w:contextualSpacing w:val="0"/>
        <w:jc w:val="both"/>
        <w:rPr>
          <w:rFonts w:ascii="Arial" w:hAnsi="Arial" w:cs="Arial"/>
        </w:rPr>
      </w:pPr>
    </w:p>
    <w:p w:rsidR="008A63CC" w:rsidRPr="00CD0D75" w:rsidRDefault="008A63CC" w:rsidP="008A63CC">
      <w:pPr>
        <w:pStyle w:val="ListParagraph"/>
        <w:suppressAutoHyphens/>
        <w:spacing w:after="0"/>
        <w:ind w:left="0"/>
        <w:contextualSpacing w:val="0"/>
        <w:jc w:val="both"/>
        <w:rPr>
          <w:rFonts w:ascii="Arial" w:hAnsi="Arial" w:cs="Arial"/>
        </w:rPr>
      </w:pPr>
      <w:r>
        <w:rPr>
          <w:rFonts w:ascii="Arial" w:hAnsi="Arial" w:cs="Arial"/>
        </w:rPr>
        <w:t>-</w:t>
      </w:r>
      <w:r w:rsidRPr="00CD0D75">
        <w:rPr>
          <w:rFonts w:ascii="Arial" w:hAnsi="Arial" w:cs="Arial"/>
        </w:rPr>
        <w:t>Investitor Agenciji za zaštitu životne sredine dostavlja Elaborat o procjeni uticaja zahvata na životnu sredinu, uz zahtjev za obavljanje njegove revizije.</w:t>
      </w:r>
    </w:p>
    <w:p w:rsidR="008A63CC" w:rsidRPr="00CD0D75" w:rsidRDefault="008A63CC" w:rsidP="008A63CC">
      <w:pPr>
        <w:pStyle w:val="ListParagraph"/>
        <w:spacing w:after="0"/>
        <w:ind w:left="0"/>
        <w:contextualSpacing w:val="0"/>
        <w:jc w:val="both"/>
        <w:rPr>
          <w:rFonts w:ascii="Arial" w:hAnsi="Arial" w:cs="Arial"/>
        </w:rPr>
      </w:pPr>
    </w:p>
    <w:p w:rsidR="008A63CC" w:rsidRPr="00CD0D75" w:rsidRDefault="008A63CC" w:rsidP="008A63CC">
      <w:pPr>
        <w:pStyle w:val="ListParagraph"/>
        <w:suppressAutoHyphens/>
        <w:spacing w:after="0"/>
        <w:ind w:left="0"/>
        <w:contextualSpacing w:val="0"/>
        <w:jc w:val="both"/>
        <w:rPr>
          <w:rFonts w:ascii="Arial" w:hAnsi="Arial" w:cs="Arial"/>
        </w:rPr>
      </w:pPr>
      <w:r>
        <w:rPr>
          <w:rFonts w:ascii="Arial" w:hAnsi="Arial" w:cs="Arial"/>
        </w:rPr>
        <w:t>-</w:t>
      </w:r>
      <w:r w:rsidRPr="00CD0D75">
        <w:rPr>
          <w:rFonts w:ascii="Arial" w:hAnsi="Arial" w:cs="Arial"/>
        </w:rPr>
        <w:t>Organizaciju revizije Elaborata o procjeni uticaja zahvata na životnu sredinu obavlja Agencija za zaštitu životne sredine, a troškove revizije snosi investitor.</w:t>
      </w:r>
    </w:p>
    <w:p w:rsidR="008A63CC" w:rsidRPr="00CD0D75" w:rsidRDefault="008A63CC" w:rsidP="008A63CC">
      <w:pPr>
        <w:pStyle w:val="ListParagraph"/>
        <w:spacing w:after="0"/>
        <w:ind w:left="0"/>
        <w:contextualSpacing w:val="0"/>
        <w:jc w:val="both"/>
        <w:rPr>
          <w:rFonts w:ascii="Arial" w:hAnsi="Arial" w:cs="Arial"/>
        </w:rPr>
      </w:pPr>
    </w:p>
    <w:p w:rsidR="008A63CC" w:rsidRPr="00CD0D75" w:rsidRDefault="008A63CC" w:rsidP="008A63CC">
      <w:pPr>
        <w:pStyle w:val="ListParagraph"/>
        <w:suppressAutoHyphens/>
        <w:spacing w:after="0"/>
        <w:ind w:left="0"/>
        <w:contextualSpacing w:val="0"/>
        <w:jc w:val="both"/>
        <w:rPr>
          <w:rFonts w:ascii="Arial" w:hAnsi="Arial" w:cs="Arial"/>
          <w:b/>
        </w:rPr>
      </w:pPr>
      <w:r>
        <w:rPr>
          <w:rFonts w:ascii="Arial" w:hAnsi="Arial" w:cs="Arial"/>
        </w:rPr>
        <w:t>-</w:t>
      </w:r>
      <w:r w:rsidRPr="00CD0D75">
        <w:rPr>
          <w:rFonts w:ascii="Arial" w:hAnsi="Arial" w:cs="Arial"/>
        </w:rPr>
        <w:t>Izdavanje rješenja kojim se daje saglasnost na Elaborat (Agencija za zaštitu životne sredine).</w:t>
      </w:r>
    </w:p>
    <w:p w:rsidR="008A63CC" w:rsidRPr="00CD0D75" w:rsidRDefault="008A63CC" w:rsidP="008A63CC">
      <w:pPr>
        <w:pStyle w:val="ListParagraph"/>
        <w:spacing w:after="0"/>
        <w:ind w:left="0"/>
        <w:contextualSpacing w:val="0"/>
        <w:jc w:val="both"/>
        <w:rPr>
          <w:rFonts w:ascii="Arial" w:hAnsi="Arial" w:cs="Arial"/>
          <w:b/>
        </w:rPr>
      </w:pPr>
    </w:p>
    <w:p w:rsidR="008A63CC" w:rsidRPr="00CD0D75" w:rsidRDefault="008A63CC" w:rsidP="008A63CC">
      <w:pPr>
        <w:pStyle w:val="ListParagraph"/>
        <w:numPr>
          <w:ilvl w:val="0"/>
          <w:numId w:val="42"/>
        </w:numPr>
        <w:suppressAutoHyphens/>
        <w:spacing w:after="0"/>
        <w:contextualSpacing w:val="0"/>
        <w:jc w:val="both"/>
        <w:rPr>
          <w:rFonts w:ascii="Arial" w:hAnsi="Arial" w:cs="Arial"/>
        </w:rPr>
      </w:pPr>
      <w:r w:rsidRPr="00CD0D75">
        <w:rPr>
          <w:rFonts w:ascii="Arial" w:hAnsi="Arial" w:cs="Arial"/>
        </w:rPr>
        <w:t>Investitor dostavlja zahtjev, uz dokumentaciju propisanu članom 53 Zakona o rudarstvu i koja je navedena u ovom Koncesionom aktu, za izdavanje odobrenja za izvođenje  radova po revidovanom Glavnom rudarskom projektu.</w:t>
      </w:r>
    </w:p>
    <w:p w:rsidR="008A63CC" w:rsidRPr="00CD0D75" w:rsidRDefault="008A63CC" w:rsidP="008A63CC">
      <w:pPr>
        <w:pStyle w:val="ListParagraph"/>
        <w:spacing w:after="0"/>
        <w:ind w:left="0"/>
        <w:contextualSpacing w:val="0"/>
        <w:jc w:val="both"/>
        <w:rPr>
          <w:rFonts w:ascii="Arial" w:hAnsi="Arial" w:cs="Arial"/>
        </w:rPr>
      </w:pPr>
    </w:p>
    <w:p w:rsidR="008A63CC" w:rsidRPr="00CD0D75" w:rsidRDefault="008A63CC" w:rsidP="008A63CC">
      <w:pPr>
        <w:pStyle w:val="ListParagraph"/>
        <w:suppressAutoHyphens/>
        <w:spacing w:after="0"/>
        <w:ind w:left="0"/>
        <w:contextualSpacing w:val="0"/>
        <w:jc w:val="both"/>
        <w:rPr>
          <w:rFonts w:ascii="Arial" w:hAnsi="Arial" w:cs="Arial"/>
          <w:b/>
        </w:rPr>
      </w:pPr>
      <w:r>
        <w:rPr>
          <w:rFonts w:ascii="Arial" w:hAnsi="Arial" w:cs="Arial"/>
        </w:rPr>
        <w:t>-</w:t>
      </w:r>
      <w:r w:rsidRPr="00CD0D75">
        <w:rPr>
          <w:rFonts w:ascii="Arial" w:hAnsi="Arial" w:cs="Arial"/>
        </w:rPr>
        <w:t>Izdavanje rješenja kojim se odobrava izvođenje radova po Glavnom r</w:t>
      </w:r>
      <w:r>
        <w:rPr>
          <w:rFonts w:ascii="Arial" w:hAnsi="Arial" w:cs="Arial"/>
        </w:rPr>
        <w:t>udarskom projektu (Ministarstvo</w:t>
      </w:r>
      <w:r w:rsidRPr="00CD0D75">
        <w:rPr>
          <w:rFonts w:ascii="Arial" w:hAnsi="Arial" w:cs="Arial"/>
        </w:rPr>
        <w:t>).</w:t>
      </w:r>
    </w:p>
    <w:p w:rsidR="008A63CC" w:rsidRPr="00CD0D75" w:rsidRDefault="008A63CC" w:rsidP="008A63CC">
      <w:pPr>
        <w:pStyle w:val="ListParagraph"/>
        <w:suppressAutoHyphens/>
        <w:spacing w:after="0"/>
        <w:ind w:left="0"/>
        <w:contextualSpacing w:val="0"/>
        <w:jc w:val="both"/>
        <w:rPr>
          <w:rFonts w:ascii="Arial" w:hAnsi="Arial" w:cs="Arial"/>
          <w:b/>
        </w:rPr>
      </w:pPr>
    </w:p>
    <w:p w:rsidR="008A63CC" w:rsidRPr="00CD0D75" w:rsidRDefault="008A63CC" w:rsidP="008A63CC">
      <w:pPr>
        <w:pStyle w:val="ListParagraph"/>
        <w:numPr>
          <w:ilvl w:val="0"/>
          <w:numId w:val="42"/>
        </w:numPr>
        <w:suppressAutoHyphens/>
        <w:spacing w:after="0"/>
        <w:contextualSpacing w:val="0"/>
        <w:jc w:val="both"/>
        <w:rPr>
          <w:rFonts w:ascii="Arial" w:hAnsi="Arial" w:cs="Arial"/>
        </w:rPr>
      </w:pPr>
      <w:r w:rsidRPr="00CD0D75">
        <w:rPr>
          <w:rFonts w:ascii="Arial" w:hAnsi="Arial" w:cs="Arial"/>
        </w:rPr>
        <w:t>Nakon izgradnje rudarskih objekta i postrojenja, investitor podnosi zahtjev Ministarstvu ekonomije radi obavljanja tehničkog pregleda sa ciljem izdavanja upotrebne dozvole.</w:t>
      </w:r>
    </w:p>
    <w:p w:rsidR="008A63CC" w:rsidRPr="00CD0D75" w:rsidRDefault="008A63CC" w:rsidP="008A63CC">
      <w:pPr>
        <w:pStyle w:val="ListParagraph"/>
        <w:spacing w:after="0"/>
        <w:ind w:left="0"/>
        <w:contextualSpacing w:val="0"/>
        <w:jc w:val="both"/>
        <w:rPr>
          <w:rFonts w:ascii="Arial" w:hAnsi="Arial" w:cs="Arial"/>
        </w:rPr>
      </w:pPr>
    </w:p>
    <w:p w:rsidR="008A63CC" w:rsidRPr="00CD0D75" w:rsidRDefault="008A63CC" w:rsidP="008A63CC">
      <w:pPr>
        <w:pStyle w:val="ListParagraph"/>
        <w:suppressAutoHyphens/>
        <w:spacing w:after="0"/>
        <w:ind w:left="0"/>
        <w:contextualSpacing w:val="0"/>
        <w:jc w:val="both"/>
        <w:rPr>
          <w:rFonts w:ascii="Arial" w:hAnsi="Arial" w:cs="Arial"/>
        </w:rPr>
      </w:pPr>
      <w:r>
        <w:rPr>
          <w:rFonts w:ascii="Arial" w:hAnsi="Arial" w:cs="Arial"/>
        </w:rPr>
        <w:t>-</w:t>
      </w:r>
      <w:r w:rsidRPr="00CD0D75">
        <w:rPr>
          <w:rFonts w:ascii="Arial" w:hAnsi="Arial" w:cs="Arial"/>
        </w:rPr>
        <w:t>Tehnički pregled organizuje Ministarstvo ekonomije, a troškove pregleda snosi investitor.</w:t>
      </w:r>
    </w:p>
    <w:p w:rsidR="008A63CC" w:rsidRPr="00CD0D75" w:rsidRDefault="008A63CC" w:rsidP="008A63CC">
      <w:pPr>
        <w:pStyle w:val="ListParagraph"/>
        <w:spacing w:after="0"/>
        <w:ind w:left="0"/>
        <w:contextualSpacing w:val="0"/>
        <w:jc w:val="both"/>
        <w:rPr>
          <w:rFonts w:ascii="Arial" w:hAnsi="Arial" w:cs="Arial"/>
        </w:rPr>
      </w:pPr>
    </w:p>
    <w:p w:rsidR="008A63CC" w:rsidRPr="00CD0D75" w:rsidRDefault="008A63CC" w:rsidP="008A63CC">
      <w:pPr>
        <w:pStyle w:val="ListParagraph"/>
        <w:suppressAutoHyphens/>
        <w:spacing w:after="0"/>
        <w:ind w:left="0"/>
        <w:contextualSpacing w:val="0"/>
        <w:jc w:val="both"/>
        <w:rPr>
          <w:rFonts w:ascii="Arial" w:hAnsi="Arial" w:cs="Arial"/>
          <w:b/>
        </w:rPr>
      </w:pPr>
      <w:r>
        <w:rPr>
          <w:rFonts w:ascii="Arial" w:hAnsi="Arial" w:cs="Arial"/>
        </w:rPr>
        <w:t>-</w:t>
      </w:r>
      <w:r w:rsidRPr="00CD0D75">
        <w:rPr>
          <w:rFonts w:ascii="Arial" w:hAnsi="Arial" w:cs="Arial"/>
        </w:rPr>
        <w:t>Nakon obavljenog tehničkog pregleda investitor Ministarstvu ekonomije dostavlja zahtjev za izdavanje upotrebne dozvole.</w:t>
      </w:r>
    </w:p>
    <w:p w:rsidR="008A63CC" w:rsidRPr="00CD0D75" w:rsidRDefault="008A63CC" w:rsidP="008A63CC">
      <w:pPr>
        <w:pStyle w:val="ListParagraph"/>
        <w:spacing w:after="0"/>
        <w:ind w:left="0"/>
        <w:contextualSpacing w:val="0"/>
        <w:jc w:val="both"/>
        <w:rPr>
          <w:rFonts w:ascii="Arial" w:hAnsi="Arial" w:cs="Arial"/>
          <w:b/>
        </w:rPr>
      </w:pPr>
    </w:p>
    <w:p w:rsidR="008A63CC" w:rsidRDefault="008A63CC" w:rsidP="008A63CC">
      <w:pPr>
        <w:pStyle w:val="ListParagraph"/>
        <w:suppressAutoHyphens/>
        <w:spacing w:after="0"/>
        <w:ind w:left="0"/>
        <w:contextualSpacing w:val="0"/>
        <w:jc w:val="both"/>
        <w:rPr>
          <w:rFonts w:ascii="Arial" w:hAnsi="Arial" w:cs="Arial"/>
        </w:rPr>
      </w:pPr>
      <w:r>
        <w:rPr>
          <w:rFonts w:ascii="Arial" w:hAnsi="Arial" w:cs="Arial"/>
        </w:rPr>
        <w:t>-</w:t>
      </w:r>
      <w:r w:rsidRPr="00CD0D75">
        <w:rPr>
          <w:rFonts w:ascii="Arial" w:hAnsi="Arial" w:cs="Arial"/>
        </w:rPr>
        <w:t>Rješenje kojim se odobrava upotreba izgrađenih objekata i postrojenja izdaje Ministarstvo ekonomije.</w:t>
      </w:r>
    </w:p>
    <w:p w:rsidR="00881468" w:rsidRDefault="00881468" w:rsidP="008A63CC">
      <w:pPr>
        <w:pStyle w:val="ListParagraph"/>
        <w:suppressAutoHyphens/>
        <w:spacing w:after="0"/>
        <w:ind w:left="0"/>
        <w:contextualSpacing w:val="0"/>
        <w:jc w:val="both"/>
        <w:rPr>
          <w:rFonts w:ascii="Arial" w:hAnsi="Arial" w:cs="Arial"/>
        </w:rPr>
      </w:pPr>
    </w:p>
    <w:p w:rsidR="00881468" w:rsidRPr="00CD0D75" w:rsidRDefault="00881468" w:rsidP="008A63CC">
      <w:pPr>
        <w:pStyle w:val="ListParagraph"/>
        <w:suppressAutoHyphens/>
        <w:spacing w:after="0"/>
        <w:ind w:left="0"/>
        <w:contextualSpacing w:val="0"/>
        <w:jc w:val="both"/>
        <w:rPr>
          <w:rFonts w:ascii="Arial" w:hAnsi="Arial" w:cs="Arial"/>
          <w:b/>
        </w:rPr>
      </w:pPr>
    </w:p>
    <w:p w:rsidR="008A63CC" w:rsidRPr="00CD0D75" w:rsidRDefault="008A63CC" w:rsidP="008A63CC">
      <w:pPr>
        <w:pStyle w:val="ListParagraph"/>
        <w:suppressAutoHyphens/>
        <w:spacing w:after="0"/>
        <w:ind w:left="0"/>
        <w:contextualSpacing w:val="0"/>
        <w:jc w:val="both"/>
        <w:rPr>
          <w:rFonts w:ascii="Arial" w:hAnsi="Arial" w:cs="Arial"/>
          <w:b/>
        </w:rPr>
      </w:pPr>
    </w:p>
    <w:p w:rsidR="008A63CC" w:rsidRPr="00CD0D75" w:rsidRDefault="008A63CC" w:rsidP="008A63CC">
      <w:pPr>
        <w:pStyle w:val="Heading1"/>
        <w:spacing w:before="0" w:after="0"/>
        <w:jc w:val="both"/>
        <w:rPr>
          <w:sz w:val="22"/>
          <w:szCs w:val="22"/>
        </w:rPr>
      </w:pPr>
      <w:bookmarkStart w:id="47" w:name="_Toc402262975"/>
      <w:r w:rsidRPr="00CD0D75">
        <w:rPr>
          <w:sz w:val="22"/>
          <w:szCs w:val="22"/>
        </w:rPr>
        <w:lastRenderedPageBreak/>
        <w:t>13</w:t>
      </w:r>
      <w:r>
        <w:rPr>
          <w:sz w:val="22"/>
          <w:szCs w:val="22"/>
        </w:rPr>
        <w:t>.</w:t>
      </w:r>
      <w:r w:rsidRPr="00CD0D75">
        <w:rPr>
          <w:sz w:val="22"/>
          <w:szCs w:val="22"/>
        </w:rPr>
        <w:t xml:space="preserve">  OSNOVNI ELEMENTI TENDERSKE DOKUMENTACIJE (JAVNI OGLAS, DOKUMENTACIJA VEZANA ZA OGLAS)</w:t>
      </w:r>
      <w:bookmarkEnd w:id="47"/>
    </w:p>
    <w:p w:rsidR="008A63CC" w:rsidRPr="00CD0D75" w:rsidRDefault="008A63CC" w:rsidP="008A63CC">
      <w:pPr>
        <w:spacing w:after="0"/>
        <w:jc w:val="both"/>
        <w:rPr>
          <w:rFonts w:ascii="Arial" w:hAnsi="Arial" w:cs="Arial"/>
          <w:b/>
        </w:rPr>
      </w:pPr>
    </w:p>
    <w:p w:rsidR="008A63CC" w:rsidRPr="00CD0D75" w:rsidRDefault="008A63CC" w:rsidP="008A63CC">
      <w:pPr>
        <w:spacing w:after="0"/>
        <w:jc w:val="both"/>
        <w:rPr>
          <w:rFonts w:ascii="Arial" w:hAnsi="Arial" w:cs="Arial"/>
          <w:b/>
        </w:rPr>
      </w:pPr>
      <w:r w:rsidRPr="00CD0D75">
        <w:rPr>
          <w:rFonts w:ascii="Arial" w:hAnsi="Arial" w:cs="Arial"/>
          <w:b/>
        </w:rPr>
        <w:t>Tendersku dokumentaciju čine sljedeća dokumenta:</w:t>
      </w:r>
    </w:p>
    <w:p w:rsidR="008A63CC" w:rsidRPr="00CD0D75" w:rsidRDefault="008A63CC" w:rsidP="008A63CC">
      <w:pPr>
        <w:pStyle w:val="ListParagraph"/>
        <w:numPr>
          <w:ilvl w:val="0"/>
          <w:numId w:val="5"/>
        </w:numPr>
        <w:suppressAutoHyphens/>
        <w:spacing w:after="0"/>
        <w:ind w:left="0" w:firstLine="0"/>
        <w:contextualSpacing w:val="0"/>
        <w:jc w:val="both"/>
        <w:rPr>
          <w:rFonts w:ascii="Arial" w:hAnsi="Arial" w:cs="Arial"/>
        </w:rPr>
      </w:pPr>
      <w:r w:rsidRPr="00CD0D75">
        <w:rPr>
          <w:rFonts w:ascii="Arial" w:hAnsi="Arial" w:cs="Arial"/>
        </w:rPr>
        <w:t>Koncesioni akt;</w:t>
      </w:r>
    </w:p>
    <w:p w:rsidR="008A63CC" w:rsidRPr="00CD0D75" w:rsidRDefault="008A63CC" w:rsidP="008A63CC">
      <w:pPr>
        <w:pStyle w:val="ListParagraph"/>
        <w:numPr>
          <w:ilvl w:val="0"/>
          <w:numId w:val="5"/>
        </w:numPr>
        <w:suppressAutoHyphens/>
        <w:spacing w:after="0"/>
        <w:ind w:left="0" w:firstLine="0"/>
        <w:contextualSpacing w:val="0"/>
        <w:jc w:val="both"/>
        <w:rPr>
          <w:rFonts w:ascii="Arial" w:hAnsi="Arial" w:cs="Arial"/>
        </w:rPr>
      </w:pPr>
      <w:r w:rsidRPr="00CD0D75">
        <w:rPr>
          <w:rFonts w:ascii="Arial" w:hAnsi="Arial" w:cs="Arial"/>
        </w:rPr>
        <w:t>Dokumentacija vezana uz ponudu;</w:t>
      </w:r>
    </w:p>
    <w:p w:rsidR="008A63CC" w:rsidRPr="00CD0D75" w:rsidRDefault="008A63CC" w:rsidP="008A63CC">
      <w:pPr>
        <w:pStyle w:val="ListParagraph"/>
        <w:numPr>
          <w:ilvl w:val="0"/>
          <w:numId w:val="5"/>
        </w:numPr>
        <w:suppressAutoHyphens/>
        <w:spacing w:after="0"/>
        <w:ind w:left="0" w:firstLine="0"/>
        <w:contextualSpacing w:val="0"/>
        <w:jc w:val="both"/>
        <w:rPr>
          <w:rFonts w:ascii="Arial" w:hAnsi="Arial" w:cs="Arial"/>
        </w:rPr>
      </w:pPr>
      <w:r w:rsidRPr="00CD0D75">
        <w:rPr>
          <w:rFonts w:ascii="Arial" w:hAnsi="Arial" w:cs="Arial"/>
        </w:rPr>
        <w:t>Javni oglas,</w:t>
      </w:r>
    </w:p>
    <w:p w:rsidR="008A63CC" w:rsidRPr="00CD0D75" w:rsidRDefault="008A63CC" w:rsidP="008A63CC">
      <w:pPr>
        <w:pStyle w:val="ListParagraph"/>
        <w:numPr>
          <w:ilvl w:val="0"/>
          <w:numId w:val="5"/>
        </w:numPr>
        <w:suppressAutoHyphens/>
        <w:spacing w:after="0"/>
        <w:ind w:left="0" w:firstLine="0"/>
        <w:contextualSpacing w:val="0"/>
        <w:jc w:val="both"/>
        <w:rPr>
          <w:rFonts w:ascii="Arial" w:hAnsi="Arial" w:cs="Arial"/>
        </w:rPr>
      </w:pPr>
      <w:r w:rsidRPr="00CD0D75">
        <w:rPr>
          <w:rFonts w:ascii="Arial" w:hAnsi="Arial" w:cs="Arial"/>
        </w:rPr>
        <w:t>Uputstvo za podnošenje ponuda i</w:t>
      </w:r>
    </w:p>
    <w:p w:rsidR="008A63CC" w:rsidRDefault="008A63CC" w:rsidP="008A63CC">
      <w:pPr>
        <w:pStyle w:val="ListParagraph"/>
        <w:numPr>
          <w:ilvl w:val="0"/>
          <w:numId w:val="5"/>
        </w:numPr>
        <w:suppressAutoHyphens/>
        <w:spacing w:after="0"/>
        <w:ind w:left="0" w:firstLine="0"/>
        <w:contextualSpacing w:val="0"/>
        <w:jc w:val="both"/>
        <w:rPr>
          <w:rFonts w:ascii="Arial" w:hAnsi="Arial" w:cs="Arial"/>
        </w:rPr>
      </w:pPr>
      <w:r w:rsidRPr="00CD0D75">
        <w:rPr>
          <w:rFonts w:ascii="Arial" w:hAnsi="Arial" w:cs="Arial"/>
        </w:rPr>
        <w:t>Nacrt ugovora o koncesiji.</w:t>
      </w:r>
      <w:bookmarkStart w:id="48" w:name="_Toc401959458"/>
      <w:bookmarkStart w:id="49" w:name="_Toc401959551"/>
      <w:bookmarkStart w:id="50" w:name="_Toc435529039"/>
      <w:bookmarkStart w:id="51" w:name="_Toc436124916"/>
    </w:p>
    <w:p w:rsidR="008A63CC" w:rsidRPr="00F82D91" w:rsidRDefault="008A63CC" w:rsidP="008A63CC">
      <w:pPr>
        <w:pStyle w:val="ListParagraph"/>
        <w:suppressAutoHyphens/>
        <w:spacing w:after="0"/>
        <w:ind w:left="0"/>
        <w:contextualSpacing w:val="0"/>
        <w:jc w:val="both"/>
        <w:rPr>
          <w:rFonts w:ascii="Arial" w:hAnsi="Arial" w:cs="Arial"/>
        </w:rPr>
      </w:pPr>
    </w:p>
    <w:p w:rsidR="008A63CC" w:rsidRPr="00CD0D75" w:rsidRDefault="008A63CC" w:rsidP="008A63CC">
      <w:pPr>
        <w:pStyle w:val="Heading2"/>
        <w:numPr>
          <w:ilvl w:val="1"/>
          <w:numId w:val="0"/>
        </w:numPr>
        <w:spacing w:before="0" w:after="0"/>
        <w:jc w:val="both"/>
        <w:rPr>
          <w:i w:val="0"/>
          <w:sz w:val="22"/>
          <w:szCs w:val="22"/>
          <w:u w:val="single"/>
        </w:rPr>
      </w:pPr>
      <w:r w:rsidRPr="00CD0D75">
        <w:rPr>
          <w:i w:val="0"/>
          <w:sz w:val="22"/>
          <w:szCs w:val="22"/>
          <w:u w:val="single"/>
        </w:rPr>
        <w:t>13.1 Dokumentacija koja se prilaže uz ponudu</w:t>
      </w:r>
      <w:bookmarkEnd w:id="48"/>
      <w:bookmarkEnd w:id="49"/>
      <w:bookmarkEnd w:id="50"/>
      <w:bookmarkEnd w:id="51"/>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Shodno članu 23 Zakona o koncesijama nepodobni da učestvuju na javnom nadmetanju za davanje koncesije su:</w:t>
      </w:r>
    </w:p>
    <w:p w:rsidR="008A63CC" w:rsidRPr="00CD0D75" w:rsidRDefault="008A63CC" w:rsidP="008A63CC">
      <w:pPr>
        <w:spacing w:after="0"/>
        <w:jc w:val="both"/>
        <w:rPr>
          <w:rFonts w:ascii="Arial" w:hAnsi="Arial" w:cs="Arial"/>
        </w:rPr>
      </w:pPr>
    </w:p>
    <w:p w:rsidR="008A63CC" w:rsidRPr="00CD0D75" w:rsidRDefault="008A63CC" w:rsidP="008A63CC">
      <w:pPr>
        <w:pStyle w:val="ListParagraph"/>
        <w:numPr>
          <w:ilvl w:val="0"/>
          <w:numId w:val="42"/>
        </w:numPr>
        <w:spacing w:after="0"/>
        <w:contextualSpacing w:val="0"/>
        <w:jc w:val="both"/>
        <w:rPr>
          <w:rFonts w:ascii="Arial" w:hAnsi="Arial" w:cs="Arial"/>
        </w:rPr>
      </w:pPr>
      <w:r w:rsidRPr="00CD0D75">
        <w:rPr>
          <w:rFonts w:ascii="Arial" w:hAnsi="Arial" w:cs="Arial"/>
        </w:rPr>
        <w:t>privredna društva, druga pravna lica i preduzetnici nad kojima je pokrenut postupak stečaja ili likvidacije, osim postupka reorganizacije u skladu sa zakonom kojim je uređena insolventnost privrednih društava;</w:t>
      </w:r>
    </w:p>
    <w:p w:rsidR="008A63CC" w:rsidRPr="00CD0D75" w:rsidRDefault="008A63CC" w:rsidP="008A63CC">
      <w:pPr>
        <w:pStyle w:val="ListParagraph"/>
        <w:numPr>
          <w:ilvl w:val="0"/>
          <w:numId w:val="42"/>
        </w:numPr>
        <w:spacing w:after="0"/>
        <w:contextualSpacing w:val="0"/>
        <w:jc w:val="both"/>
        <w:rPr>
          <w:rFonts w:ascii="Arial" w:hAnsi="Arial" w:cs="Arial"/>
        </w:rPr>
      </w:pPr>
      <w:r w:rsidRPr="00CD0D75">
        <w:rPr>
          <w:rFonts w:ascii="Arial" w:hAnsi="Arial" w:cs="Arial"/>
        </w:rPr>
        <w:t>privredna društva, druga pravna lica, preduzetnici i fizička lica koja su pravosnažnom presudom osuđena za krivično djelo izvršeno u vršenju profesionalne djelatnosti;</w:t>
      </w:r>
    </w:p>
    <w:p w:rsidR="008A63CC" w:rsidRPr="00CD0D75" w:rsidRDefault="008A63CC" w:rsidP="008A63CC">
      <w:pPr>
        <w:pStyle w:val="ListParagraph"/>
        <w:numPr>
          <w:ilvl w:val="0"/>
          <w:numId w:val="42"/>
        </w:numPr>
        <w:spacing w:after="0"/>
        <w:contextualSpacing w:val="0"/>
        <w:jc w:val="both"/>
        <w:rPr>
          <w:rFonts w:ascii="Arial" w:hAnsi="Arial" w:cs="Arial"/>
        </w:rPr>
      </w:pPr>
      <w:r w:rsidRPr="00CD0D75">
        <w:rPr>
          <w:rFonts w:ascii="Arial" w:hAnsi="Arial" w:cs="Arial"/>
        </w:rPr>
        <w:t>privredna društva, druga pravna lica, preduzetnici i fizička lica koja imaju neizmirene poreske obaveze i obaveze po osnovu kazni izrečenih u krivičnom ili prekršajnom postupku, u periodu od najmanje tri godine prije objavljivanja javnog oglasa.</w:t>
      </w:r>
    </w:p>
    <w:p w:rsidR="008A63CC" w:rsidRPr="00CD0D75" w:rsidRDefault="008A63CC" w:rsidP="008A63CC">
      <w:pPr>
        <w:pStyle w:val="ListParagraph"/>
        <w:spacing w:after="0"/>
        <w:ind w:left="0"/>
        <w:contextualSpacing w:val="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S tim u vezi, u cilju dokazivanja da je ponuđač podoban da učestvuje u postupku javog nadmetanja, neophodno je dostaviti sljedeću dokumentaciju:</w:t>
      </w:r>
    </w:p>
    <w:p w:rsidR="008A63CC" w:rsidRPr="00CD0D75" w:rsidRDefault="008A63CC" w:rsidP="008A63CC">
      <w:pPr>
        <w:spacing w:after="0"/>
        <w:jc w:val="both"/>
        <w:rPr>
          <w:rFonts w:ascii="Arial" w:hAnsi="Arial" w:cs="Arial"/>
        </w:rPr>
      </w:pPr>
    </w:p>
    <w:p w:rsidR="008A63CC" w:rsidRPr="003513E9" w:rsidRDefault="008A63CC" w:rsidP="008A63CC">
      <w:pPr>
        <w:pStyle w:val="ListParagraph"/>
        <w:numPr>
          <w:ilvl w:val="0"/>
          <w:numId w:val="43"/>
        </w:numPr>
        <w:spacing w:after="0"/>
        <w:jc w:val="both"/>
        <w:rPr>
          <w:rFonts w:ascii="Arial" w:eastAsia="Times New Roman" w:hAnsi="Arial" w:cs="Arial"/>
        </w:rPr>
      </w:pPr>
      <w:r w:rsidRPr="003513E9">
        <w:rPr>
          <w:rFonts w:ascii="Arial" w:eastAsia="Times New Roman" w:hAnsi="Arial" w:cs="Arial"/>
        </w:rPr>
        <w:t>izvod iz sudskog, ili drugog odgovarajućeg registra države u kojoj ponuđač ima sjedište;</w:t>
      </w:r>
    </w:p>
    <w:p w:rsidR="008A63CC" w:rsidRPr="003513E9" w:rsidRDefault="008A63CC" w:rsidP="008A63CC">
      <w:pPr>
        <w:pStyle w:val="ListParagraph"/>
        <w:numPr>
          <w:ilvl w:val="0"/>
          <w:numId w:val="43"/>
        </w:numPr>
        <w:spacing w:after="0"/>
        <w:jc w:val="both"/>
        <w:rPr>
          <w:rFonts w:ascii="Arial" w:eastAsia="Times New Roman" w:hAnsi="Arial" w:cs="Arial"/>
        </w:rPr>
      </w:pPr>
      <w:r w:rsidRPr="003513E9">
        <w:rPr>
          <w:rFonts w:ascii="Arial" w:eastAsia="Times New Roman" w:hAnsi="Arial" w:cs="Arial"/>
        </w:rPr>
        <w:t>dokaz da protiv privrednog društva, drugog pravnog lica i preduzetnika nije pokrenut postupak stečaja ili likvidacije - dokaz/potvrdu izdaje Privredni sud;</w:t>
      </w:r>
    </w:p>
    <w:p w:rsidR="008A63CC" w:rsidRPr="003513E9" w:rsidRDefault="008A63CC" w:rsidP="008A63CC">
      <w:pPr>
        <w:pStyle w:val="ListParagraph"/>
        <w:numPr>
          <w:ilvl w:val="0"/>
          <w:numId w:val="43"/>
        </w:numPr>
        <w:spacing w:after="0"/>
        <w:jc w:val="both"/>
        <w:rPr>
          <w:rFonts w:ascii="Arial" w:eastAsia="Times New Roman" w:hAnsi="Arial" w:cs="Arial"/>
        </w:rPr>
      </w:pPr>
      <w:r w:rsidRPr="003513E9">
        <w:rPr>
          <w:rFonts w:ascii="Arial" w:eastAsia="Times New Roman" w:hAnsi="Arial" w:cs="Arial"/>
        </w:rPr>
        <w:t xml:space="preserve">dokaz da privredno društvo, drugo pravno lice, preduzetnik i fizičko lice nije pravosnažno osuđeno za krivično djelo izvršeno u vršenju profesionalne djelatnosti – dokaz/potvrdu izdaje </w:t>
      </w:r>
      <w:r>
        <w:rPr>
          <w:rFonts w:ascii="Arial" w:eastAsia="Times New Roman" w:hAnsi="Arial" w:cs="Arial"/>
        </w:rPr>
        <w:t>Ministarstvo pravde;</w:t>
      </w:r>
    </w:p>
    <w:p w:rsidR="008A63CC" w:rsidRPr="003513E9" w:rsidRDefault="008A63CC" w:rsidP="008A63CC">
      <w:pPr>
        <w:pStyle w:val="ListParagraph"/>
        <w:numPr>
          <w:ilvl w:val="0"/>
          <w:numId w:val="43"/>
        </w:numPr>
        <w:spacing w:after="0"/>
        <w:jc w:val="both"/>
        <w:rPr>
          <w:rFonts w:ascii="Arial" w:eastAsia="Times New Roman" w:hAnsi="Arial" w:cs="Arial"/>
        </w:rPr>
      </w:pPr>
      <w:r w:rsidRPr="003513E9">
        <w:rPr>
          <w:rFonts w:ascii="Arial" w:eastAsia="Times New Roman" w:hAnsi="Arial" w:cs="Arial"/>
        </w:rPr>
        <w:t>dokaz da je privredno društvo, drugo pravno lice, preduzetnik i fizičko lice izmirilo obaveze po osnovu plaćanja poreza – dokaz/potvrda se izdaje od poreskog organa uprave u kojem je naznačeno da su izmirene obaveze po osnovu poreza;</w:t>
      </w:r>
    </w:p>
    <w:p w:rsidR="008A63CC" w:rsidRPr="003513E9" w:rsidRDefault="008A63CC" w:rsidP="008A63CC">
      <w:pPr>
        <w:pStyle w:val="ListParagraph"/>
        <w:numPr>
          <w:ilvl w:val="0"/>
          <w:numId w:val="43"/>
        </w:numPr>
        <w:spacing w:after="0"/>
        <w:jc w:val="both"/>
        <w:rPr>
          <w:rFonts w:ascii="Arial" w:eastAsia="Times New Roman" w:hAnsi="Arial" w:cs="Arial"/>
        </w:rPr>
      </w:pPr>
      <w:r w:rsidRPr="003513E9">
        <w:rPr>
          <w:rFonts w:ascii="Arial" w:eastAsia="Times New Roman" w:hAnsi="Arial" w:cs="Arial"/>
        </w:rPr>
        <w:t>dokaz da privredno društvo, drugo pravno lice, preduzetnik i fizičko lice nema neizmirenih obaveza po osnovu kazni izrečenih u krivičnom ili prekršajnom postupku u periodu od najmanje tri godine prije objavljivanja javnog oglasa:</w:t>
      </w:r>
    </w:p>
    <w:p w:rsidR="008A63CC" w:rsidRPr="00CD0D75" w:rsidRDefault="008A63CC" w:rsidP="008A63CC">
      <w:pPr>
        <w:spacing w:after="0"/>
        <w:jc w:val="both"/>
        <w:rPr>
          <w:rFonts w:ascii="Arial" w:eastAsia="Times New Roman" w:hAnsi="Arial" w:cs="Arial"/>
        </w:rPr>
      </w:pPr>
    </w:p>
    <w:p w:rsidR="008A63CC" w:rsidRDefault="008A63CC" w:rsidP="008A63CC">
      <w:pPr>
        <w:pStyle w:val="ListParagraph"/>
        <w:numPr>
          <w:ilvl w:val="0"/>
          <w:numId w:val="44"/>
        </w:numPr>
        <w:spacing w:after="0"/>
        <w:jc w:val="both"/>
        <w:rPr>
          <w:rFonts w:ascii="Arial" w:hAnsi="Arial" w:cs="Arial"/>
        </w:rPr>
      </w:pPr>
      <w:r w:rsidRPr="003513E9">
        <w:rPr>
          <w:rFonts w:ascii="Arial" w:hAnsi="Arial" w:cs="Arial"/>
        </w:rPr>
        <w:t>ponuđač kao privredno društvo, drugo pravno lice i preduzetnik:</w:t>
      </w:r>
    </w:p>
    <w:p w:rsidR="008A63CC" w:rsidRPr="003513E9" w:rsidRDefault="008A63CC" w:rsidP="008A63CC">
      <w:pPr>
        <w:pStyle w:val="ListParagraph"/>
        <w:spacing w:after="0"/>
        <w:jc w:val="both"/>
        <w:rPr>
          <w:rFonts w:ascii="Arial" w:hAnsi="Arial" w:cs="Arial"/>
        </w:rPr>
      </w:pPr>
    </w:p>
    <w:p w:rsidR="008A63CC" w:rsidRPr="00CD0D75" w:rsidRDefault="008A63CC" w:rsidP="008A63CC">
      <w:pPr>
        <w:spacing w:after="0"/>
        <w:jc w:val="both"/>
        <w:rPr>
          <w:rFonts w:ascii="Arial" w:hAnsi="Arial" w:cs="Arial"/>
        </w:rPr>
      </w:pPr>
      <w:r>
        <w:rPr>
          <w:rFonts w:ascii="Arial" w:hAnsi="Arial" w:cs="Arial"/>
        </w:rPr>
        <w:t>-</w:t>
      </w:r>
      <w:r w:rsidRPr="00CD0D75">
        <w:rPr>
          <w:rFonts w:ascii="Arial" w:hAnsi="Arial" w:cs="Arial"/>
        </w:rPr>
        <w:t>dokaz</w:t>
      </w:r>
      <w:r>
        <w:rPr>
          <w:rFonts w:ascii="Arial" w:hAnsi="Arial" w:cs="Arial"/>
        </w:rPr>
        <w:t>/potvrda Ministarstva pravde</w:t>
      </w:r>
      <w:r w:rsidRPr="00CD0D75">
        <w:rPr>
          <w:rFonts w:ascii="Arial" w:hAnsi="Arial" w:cs="Arial"/>
        </w:rPr>
        <w:t xml:space="preserve"> kojom se dokazuje da se ponuđač ne nalazi u kaznenoj evidenciji istog;</w:t>
      </w:r>
    </w:p>
    <w:p w:rsidR="008A63CC" w:rsidRDefault="008A63CC" w:rsidP="008A63CC">
      <w:pPr>
        <w:spacing w:after="0"/>
        <w:jc w:val="both"/>
        <w:rPr>
          <w:rFonts w:ascii="Arial" w:hAnsi="Arial" w:cs="Arial"/>
        </w:rPr>
      </w:pPr>
      <w:r>
        <w:rPr>
          <w:rFonts w:ascii="Arial" w:hAnsi="Arial" w:cs="Arial"/>
        </w:rPr>
        <w:t>-</w:t>
      </w:r>
      <w:r w:rsidRPr="00CD0D75">
        <w:rPr>
          <w:rFonts w:ascii="Arial" w:hAnsi="Arial" w:cs="Arial"/>
        </w:rPr>
        <w:t>dokaz/potvr</w:t>
      </w:r>
      <w:r>
        <w:rPr>
          <w:rFonts w:ascii="Arial" w:hAnsi="Arial" w:cs="Arial"/>
        </w:rPr>
        <w:t>da suda za prekršaje</w:t>
      </w:r>
      <w:r w:rsidRPr="00CD0D75">
        <w:rPr>
          <w:rFonts w:ascii="Arial" w:hAnsi="Arial" w:cs="Arial"/>
        </w:rPr>
        <w:t xml:space="preserve"> iz mjesta sjedišta ponuđača </w:t>
      </w:r>
      <w:r w:rsidRPr="00EE5972">
        <w:rPr>
          <w:rFonts w:ascii="Arial" w:hAnsi="Arial" w:cs="Arial"/>
        </w:rPr>
        <w:t>ili nadležnog organa, kojom</w:t>
      </w:r>
      <w:r w:rsidRPr="00CD0D75">
        <w:rPr>
          <w:rFonts w:ascii="Arial" w:hAnsi="Arial" w:cs="Arial"/>
        </w:rPr>
        <w:t xml:space="preserve"> se dokazuje da ponuđač nema neizmirenih obaveza po osnovu kazni i</w:t>
      </w:r>
      <w:r>
        <w:rPr>
          <w:rFonts w:ascii="Arial" w:hAnsi="Arial" w:cs="Arial"/>
        </w:rPr>
        <w:t>zrečenih u prekršajnom postupku.</w:t>
      </w:r>
    </w:p>
    <w:p w:rsidR="008A63CC" w:rsidRDefault="008A63CC" w:rsidP="008A63CC">
      <w:pPr>
        <w:spacing w:after="0"/>
        <w:jc w:val="both"/>
        <w:rPr>
          <w:rFonts w:ascii="Arial" w:hAnsi="Arial" w:cs="Arial"/>
        </w:rPr>
      </w:pPr>
    </w:p>
    <w:p w:rsidR="008A63CC" w:rsidRDefault="008A63CC" w:rsidP="008A63CC">
      <w:pPr>
        <w:pStyle w:val="ListParagraph"/>
        <w:numPr>
          <w:ilvl w:val="0"/>
          <w:numId w:val="44"/>
        </w:numPr>
        <w:spacing w:after="0"/>
        <w:jc w:val="both"/>
        <w:rPr>
          <w:rFonts w:ascii="Arial" w:hAnsi="Arial" w:cs="Arial"/>
        </w:rPr>
      </w:pPr>
      <w:r w:rsidRPr="003513E9">
        <w:rPr>
          <w:rFonts w:ascii="Arial" w:hAnsi="Arial" w:cs="Arial"/>
        </w:rPr>
        <w:t xml:space="preserve">ponuđač kao fizičko lice: </w:t>
      </w:r>
    </w:p>
    <w:p w:rsidR="008A63CC" w:rsidRPr="003513E9" w:rsidRDefault="008A63CC" w:rsidP="008A63CC">
      <w:pPr>
        <w:pStyle w:val="ListParagraph"/>
        <w:spacing w:after="0"/>
        <w:jc w:val="both"/>
        <w:rPr>
          <w:rFonts w:ascii="Arial" w:hAnsi="Arial" w:cs="Arial"/>
        </w:rPr>
      </w:pPr>
    </w:p>
    <w:p w:rsidR="008A63CC" w:rsidRPr="00CD0D75" w:rsidRDefault="008A63CC" w:rsidP="008A63CC">
      <w:pPr>
        <w:pStyle w:val="ListParagraph"/>
        <w:spacing w:after="0"/>
        <w:ind w:left="0"/>
        <w:contextualSpacing w:val="0"/>
        <w:jc w:val="both"/>
        <w:rPr>
          <w:rFonts w:ascii="Arial" w:hAnsi="Arial" w:cs="Arial"/>
        </w:rPr>
      </w:pPr>
      <w:r>
        <w:rPr>
          <w:rFonts w:ascii="Arial" w:hAnsi="Arial" w:cs="Arial"/>
        </w:rPr>
        <w:t>-</w:t>
      </w:r>
      <w:r w:rsidRPr="00CD0D75">
        <w:rPr>
          <w:rFonts w:ascii="Arial" w:hAnsi="Arial" w:cs="Arial"/>
        </w:rPr>
        <w:t>dokaz/potvrda Ministarstva pravde kojom se dokazuje da je ponuđač izmirio obaveze po osnovu kazni izrečenih u krivičnom postupku;</w:t>
      </w:r>
    </w:p>
    <w:p w:rsidR="008A63CC" w:rsidRPr="00CD0D75" w:rsidRDefault="008A63CC" w:rsidP="008A63CC">
      <w:pPr>
        <w:pStyle w:val="ListParagraph"/>
        <w:spacing w:after="0"/>
        <w:ind w:left="0"/>
        <w:contextualSpacing w:val="0"/>
        <w:jc w:val="both"/>
        <w:rPr>
          <w:rFonts w:ascii="Arial" w:hAnsi="Arial" w:cs="Arial"/>
        </w:rPr>
      </w:pPr>
      <w:r>
        <w:rPr>
          <w:rFonts w:ascii="Arial" w:hAnsi="Arial" w:cs="Arial"/>
        </w:rPr>
        <w:t>-</w:t>
      </w:r>
      <w:r w:rsidRPr="00CD0D75">
        <w:rPr>
          <w:rFonts w:ascii="Arial" w:hAnsi="Arial" w:cs="Arial"/>
        </w:rPr>
        <w:t>dokaz/potvrda Ministarstva pravde kojom se dokazuje da isto nema neizmirenih obaveza po osnovu kazni izrečenih u prekršajnom postupku.</w:t>
      </w:r>
    </w:p>
    <w:p w:rsidR="008A63CC" w:rsidRPr="00CD0D75" w:rsidRDefault="008A63CC" w:rsidP="008A63CC">
      <w:pPr>
        <w:pStyle w:val="ListParagraph"/>
        <w:spacing w:after="0"/>
        <w:ind w:left="0"/>
        <w:contextualSpacing w:val="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 xml:space="preserve">Navedeni dokazi ne smiju biti stariji od devedeset (90) dana od dana objavljivanja </w:t>
      </w:r>
      <w:r>
        <w:rPr>
          <w:rFonts w:ascii="Arial" w:hAnsi="Arial" w:cs="Arial"/>
        </w:rPr>
        <w:t xml:space="preserve">javnog </w:t>
      </w:r>
      <w:r w:rsidRPr="00CD0D75">
        <w:rPr>
          <w:rFonts w:ascii="Arial" w:hAnsi="Arial" w:cs="Arial"/>
        </w:rPr>
        <w:t>oglasa.</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hAnsi="Arial" w:cs="Arial"/>
        </w:rPr>
        <w:t>Ukoliko država u kojoj ponuđač ima sjedište ne izdaje navedene dokaze, ovi dokazi mogu biti zamijenjeni izjavom ponuđača pod krivičnom i materijalnom odgovornošću, odnosno ukoliko u državi u kojoj je sjedište ponuđača nema zakonskih odredbi koje se tiču izjava pod krivičnom i materijalnom odgovornošću, izjavom datom pred nadležnim sudskim ili upravnim organom ili notarom.</w:t>
      </w:r>
    </w:p>
    <w:p w:rsidR="008A63CC" w:rsidRPr="00CD0D75" w:rsidRDefault="008A63CC" w:rsidP="008A63CC">
      <w:pPr>
        <w:spacing w:after="0"/>
        <w:jc w:val="both"/>
        <w:rPr>
          <w:rFonts w:ascii="Arial" w:hAnsi="Arial" w:cs="Arial"/>
        </w:rPr>
      </w:pPr>
    </w:p>
    <w:p w:rsidR="008A63CC" w:rsidRDefault="008A63CC" w:rsidP="008A63CC">
      <w:pPr>
        <w:spacing w:after="0"/>
        <w:jc w:val="both"/>
        <w:rPr>
          <w:rFonts w:ascii="Arial" w:hAnsi="Arial" w:cs="Arial"/>
        </w:rPr>
      </w:pPr>
      <w:r w:rsidRPr="00CD0D75">
        <w:rPr>
          <w:rFonts w:ascii="Arial" w:hAnsi="Arial" w:cs="Arial"/>
        </w:rPr>
        <w:t>Pored navedenog, ponuđač je dužan dostaviti i:</w:t>
      </w:r>
    </w:p>
    <w:p w:rsidR="008A63CC" w:rsidRPr="00CD0D75" w:rsidRDefault="008A63CC" w:rsidP="008A63CC">
      <w:pPr>
        <w:spacing w:after="0"/>
        <w:jc w:val="both"/>
        <w:rPr>
          <w:rFonts w:ascii="Arial" w:hAnsi="Arial" w:cs="Arial"/>
        </w:rPr>
      </w:pPr>
    </w:p>
    <w:p w:rsidR="008A63CC" w:rsidRPr="00CD0D75" w:rsidRDefault="008A63CC" w:rsidP="008A63CC">
      <w:pPr>
        <w:pStyle w:val="Default"/>
        <w:widowControl w:val="0"/>
        <w:numPr>
          <w:ilvl w:val="0"/>
          <w:numId w:val="46"/>
        </w:numPr>
        <w:spacing w:line="276" w:lineRule="auto"/>
        <w:jc w:val="both"/>
        <w:rPr>
          <w:rFonts w:ascii="Arial" w:eastAsiaTheme="minorEastAsia" w:hAnsi="Arial" w:cs="Arial"/>
          <w:sz w:val="22"/>
          <w:szCs w:val="22"/>
        </w:rPr>
      </w:pPr>
      <w:r w:rsidRPr="00CD0D75">
        <w:rPr>
          <w:rFonts w:ascii="Arial" w:eastAsiaTheme="minorEastAsia" w:hAnsi="Arial" w:cs="Arial"/>
          <w:sz w:val="22"/>
          <w:szCs w:val="22"/>
        </w:rPr>
        <w:t>Bankarsku garanciju ponude u skladu sa Uputstvom za podnošenje ponuda i</w:t>
      </w:r>
    </w:p>
    <w:p w:rsidR="008A63CC" w:rsidRPr="00CD0D75" w:rsidRDefault="008A63CC" w:rsidP="008A63CC">
      <w:pPr>
        <w:pStyle w:val="Default"/>
        <w:widowControl w:val="0"/>
        <w:numPr>
          <w:ilvl w:val="0"/>
          <w:numId w:val="46"/>
        </w:numPr>
        <w:spacing w:line="276" w:lineRule="auto"/>
        <w:jc w:val="both"/>
        <w:rPr>
          <w:rFonts w:ascii="Arial" w:eastAsiaTheme="minorEastAsia" w:hAnsi="Arial" w:cs="Arial"/>
          <w:sz w:val="22"/>
          <w:szCs w:val="22"/>
        </w:rPr>
      </w:pPr>
      <w:r w:rsidRPr="00CD0D75">
        <w:rPr>
          <w:rFonts w:ascii="Arial" w:eastAsiaTheme="minorEastAsia" w:hAnsi="Arial" w:cs="Arial"/>
          <w:sz w:val="22"/>
          <w:szCs w:val="22"/>
        </w:rPr>
        <w:t>Popunjeni Obrazac iz Uputstva za podnošenje ponuda.</w:t>
      </w:r>
    </w:p>
    <w:p w:rsidR="008A63CC" w:rsidRPr="00CD0D75" w:rsidRDefault="008A63CC" w:rsidP="008A63CC">
      <w:pPr>
        <w:pStyle w:val="Default"/>
        <w:widowControl w:val="0"/>
        <w:spacing w:line="276" w:lineRule="auto"/>
        <w:jc w:val="both"/>
        <w:rPr>
          <w:rFonts w:ascii="Arial" w:eastAsiaTheme="minorEastAsia" w:hAnsi="Arial" w:cs="Arial"/>
          <w:sz w:val="22"/>
          <w:szCs w:val="22"/>
        </w:rPr>
      </w:pPr>
    </w:p>
    <w:p w:rsidR="008A63CC" w:rsidRDefault="008A63CC" w:rsidP="008A63CC">
      <w:pPr>
        <w:pStyle w:val="Default"/>
        <w:spacing w:line="276" w:lineRule="auto"/>
        <w:jc w:val="both"/>
        <w:rPr>
          <w:rFonts w:ascii="Arial" w:hAnsi="Arial" w:cs="Arial"/>
          <w:sz w:val="22"/>
          <w:szCs w:val="22"/>
        </w:rPr>
      </w:pPr>
      <w:r w:rsidRPr="00CD0D75">
        <w:rPr>
          <w:rFonts w:ascii="Arial" w:eastAsiaTheme="minorEastAsia" w:hAnsi="Arial" w:cs="Arial"/>
          <w:sz w:val="22"/>
          <w:szCs w:val="22"/>
        </w:rPr>
        <w:t xml:space="preserve">U slučaju da Ponuđač nastupa kao konzorcijum kompanija, onda je za svakog člana konzorcijuma neophodno dostaviti dokaze kojima se potvrđuje da je član </w:t>
      </w:r>
      <w:r w:rsidRPr="00CD0D75">
        <w:rPr>
          <w:rFonts w:ascii="Arial" w:hAnsi="Arial" w:cs="Arial"/>
          <w:sz w:val="22"/>
          <w:szCs w:val="22"/>
        </w:rPr>
        <w:t>podoban da učestvuje u postupku javog nadmetanja, kao i ugovor o konzorcijumu, koji izričito predviđa:</w:t>
      </w:r>
    </w:p>
    <w:p w:rsidR="008A63CC" w:rsidRPr="00CD0D75" w:rsidRDefault="008A63CC" w:rsidP="008A63CC">
      <w:pPr>
        <w:pStyle w:val="Default"/>
        <w:spacing w:line="276" w:lineRule="auto"/>
        <w:jc w:val="both"/>
        <w:rPr>
          <w:rFonts w:ascii="Arial" w:hAnsi="Arial" w:cs="Arial"/>
          <w:sz w:val="22"/>
          <w:szCs w:val="22"/>
        </w:rPr>
      </w:pPr>
    </w:p>
    <w:p w:rsidR="008A63CC" w:rsidRPr="00EE5972" w:rsidRDefault="008A63CC" w:rsidP="008A63CC">
      <w:pPr>
        <w:pStyle w:val="Default"/>
        <w:widowControl w:val="0"/>
        <w:numPr>
          <w:ilvl w:val="0"/>
          <w:numId w:val="45"/>
        </w:numPr>
        <w:spacing w:line="276" w:lineRule="auto"/>
        <w:jc w:val="both"/>
        <w:rPr>
          <w:rFonts w:ascii="Arial" w:hAnsi="Arial" w:cs="Arial"/>
          <w:color w:val="auto"/>
          <w:sz w:val="22"/>
          <w:szCs w:val="22"/>
        </w:rPr>
      </w:pPr>
      <w:r w:rsidRPr="00EE5972">
        <w:rPr>
          <w:rFonts w:ascii="Arial" w:hAnsi="Arial" w:cs="Arial"/>
          <w:color w:val="auto"/>
          <w:sz w:val="22"/>
          <w:szCs w:val="22"/>
        </w:rPr>
        <w:t xml:space="preserve">da će svi članovi konzorcijuma biti solidarno odgovorni za izvršenje Ugovora o koncesiji u skladu sa njegovim uslovima; </w:t>
      </w:r>
    </w:p>
    <w:p w:rsidR="008A63CC" w:rsidRPr="00CD0D75" w:rsidRDefault="008A63CC" w:rsidP="008A63CC">
      <w:pPr>
        <w:pStyle w:val="Default"/>
        <w:widowControl w:val="0"/>
        <w:numPr>
          <w:ilvl w:val="0"/>
          <w:numId w:val="45"/>
        </w:numPr>
        <w:spacing w:line="276" w:lineRule="auto"/>
        <w:jc w:val="both"/>
        <w:rPr>
          <w:rFonts w:ascii="Arial" w:hAnsi="Arial" w:cs="Arial"/>
          <w:sz w:val="22"/>
          <w:szCs w:val="22"/>
        </w:rPr>
      </w:pPr>
      <w:r w:rsidRPr="00CD0D75">
        <w:rPr>
          <w:rFonts w:ascii="Arial" w:hAnsi="Arial" w:cs="Arial"/>
          <w:sz w:val="22"/>
          <w:szCs w:val="22"/>
        </w:rPr>
        <w:t>procenat učešća u konzorcijumu;</w:t>
      </w:r>
    </w:p>
    <w:p w:rsidR="008A63CC" w:rsidRPr="00CD0D75" w:rsidRDefault="008A63CC" w:rsidP="008A63CC">
      <w:pPr>
        <w:pStyle w:val="Default"/>
        <w:widowControl w:val="0"/>
        <w:numPr>
          <w:ilvl w:val="0"/>
          <w:numId w:val="45"/>
        </w:numPr>
        <w:spacing w:line="276" w:lineRule="auto"/>
        <w:jc w:val="both"/>
        <w:rPr>
          <w:rFonts w:ascii="Arial" w:hAnsi="Arial" w:cs="Arial"/>
          <w:sz w:val="22"/>
          <w:szCs w:val="22"/>
        </w:rPr>
      </w:pPr>
      <w:r w:rsidRPr="00CD0D75">
        <w:rPr>
          <w:rFonts w:ascii="Arial" w:hAnsi="Arial" w:cs="Arial"/>
          <w:sz w:val="22"/>
          <w:szCs w:val="22"/>
        </w:rPr>
        <w:t xml:space="preserve">obaveze svakog člana konzorcijuma i </w:t>
      </w:r>
    </w:p>
    <w:p w:rsidR="008A63CC" w:rsidRPr="00CD0D75" w:rsidRDefault="008A63CC" w:rsidP="008A63CC">
      <w:pPr>
        <w:pStyle w:val="Default"/>
        <w:widowControl w:val="0"/>
        <w:numPr>
          <w:ilvl w:val="0"/>
          <w:numId w:val="45"/>
        </w:numPr>
        <w:spacing w:line="276" w:lineRule="auto"/>
        <w:jc w:val="both"/>
        <w:rPr>
          <w:rFonts w:ascii="Arial" w:hAnsi="Arial" w:cs="Arial"/>
          <w:sz w:val="22"/>
          <w:szCs w:val="22"/>
        </w:rPr>
      </w:pPr>
      <w:r w:rsidRPr="00CD0D75">
        <w:rPr>
          <w:rFonts w:ascii="Arial" w:hAnsi="Arial" w:cs="Arial"/>
          <w:sz w:val="22"/>
          <w:szCs w:val="22"/>
        </w:rPr>
        <w:t xml:space="preserve">ovlašćenje jednog člana koji će istupati u ime konzorcijuma. </w:t>
      </w:r>
    </w:p>
    <w:p w:rsidR="008A63CC" w:rsidRPr="00CD0D75" w:rsidRDefault="008A63CC" w:rsidP="008A63CC">
      <w:pPr>
        <w:pStyle w:val="Default"/>
        <w:spacing w:line="276" w:lineRule="auto"/>
        <w:jc w:val="both"/>
        <w:rPr>
          <w:rFonts w:ascii="Arial" w:hAnsi="Arial" w:cs="Arial"/>
          <w:sz w:val="22"/>
          <w:szCs w:val="22"/>
        </w:rPr>
      </w:pPr>
    </w:p>
    <w:p w:rsidR="008A63CC" w:rsidRDefault="008A63CC" w:rsidP="008A63CC">
      <w:pPr>
        <w:pStyle w:val="Default"/>
        <w:spacing w:line="276" w:lineRule="auto"/>
        <w:jc w:val="both"/>
        <w:rPr>
          <w:rFonts w:ascii="Arial" w:hAnsi="Arial" w:cs="Arial"/>
          <w:sz w:val="22"/>
          <w:szCs w:val="22"/>
        </w:rPr>
      </w:pPr>
      <w:r w:rsidRPr="00CD0D75">
        <w:rPr>
          <w:rFonts w:ascii="Arial" w:hAnsi="Arial" w:cs="Arial"/>
          <w:sz w:val="22"/>
          <w:szCs w:val="22"/>
        </w:rPr>
        <w:t>Vlasnička struktura u koncesionom društvu mora odgovarati procentu učešća članova u konzorcijumu utvđenom prilikom podnošenja ponude i ista se ne može mijenjati bez saglasnosti koncedenta.</w:t>
      </w:r>
    </w:p>
    <w:p w:rsidR="008A63CC" w:rsidRPr="00CD0D75" w:rsidRDefault="008A63CC" w:rsidP="008A63CC">
      <w:pPr>
        <w:pStyle w:val="Default"/>
        <w:spacing w:line="276" w:lineRule="auto"/>
        <w:rPr>
          <w:rFonts w:ascii="Arial" w:hAnsi="Arial" w:cs="Arial"/>
          <w:sz w:val="22"/>
          <w:szCs w:val="22"/>
        </w:rPr>
      </w:pPr>
    </w:p>
    <w:p w:rsidR="008A63CC" w:rsidRPr="00CD0D75" w:rsidRDefault="008A63CC" w:rsidP="008A63CC">
      <w:pPr>
        <w:pStyle w:val="Heading2"/>
        <w:numPr>
          <w:ilvl w:val="1"/>
          <w:numId w:val="0"/>
        </w:numPr>
        <w:spacing w:before="0" w:after="0"/>
        <w:jc w:val="both"/>
        <w:rPr>
          <w:i w:val="0"/>
          <w:sz w:val="22"/>
          <w:szCs w:val="22"/>
          <w:u w:val="single"/>
        </w:rPr>
      </w:pPr>
      <w:bookmarkStart w:id="52" w:name="_Toc390549929"/>
      <w:bookmarkStart w:id="53" w:name="_Toc401959459"/>
      <w:bookmarkStart w:id="54" w:name="_Toc401959552"/>
      <w:bookmarkStart w:id="55" w:name="_Toc435529040"/>
      <w:bookmarkStart w:id="56" w:name="_Toc436124917"/>
      <w:r w:rsidRPr="00CD0D75">
        <w:rPr>
          <w:i w:val="0"/>
          <w:sz w:val="22"/>
          <w:szCs w:val="22"/>
          <w:u w:val="single"/>
        </w:rPr>
        <w:t>13.2  Javni oglas</w:t>
      </w:r>
      <w:bookmarkEnd w:id="52"/>
      <w:bookmarkEnd w:id="53"/>
      <w:bookmarkEnd w:id="54"/>
      <w:bookmarkEnd w:id="55"/>
      <w:bookmarkEnd w:id="56"/>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eastAsia="Times New Roman" w:hAnsi="Arial" w:cs="Arial"/>
        </w:rPr>
      </w:pPr>
      <w:r w:rsidRPr="00CD0D75">
        <w:rPr>
          <w:rFonts w:ascii="Arial" w:eastAsia="Times New Roman" w:hAnsi="Arial" w:cs="Arial"/>
        </w:rPr>
        <w:t>Javni oglas, u skladu sa članom 21 Zakona o koncesijama, objavljuje se u “Službenom listu Crne Gore”, najmanje u jednom dnevnom štampanom mediju koji se distribuira na teritoriji cijele Crne Gore i na Internet stranici nadležnog organa, odnosno, u ovom slučaju Ministarstva.</w:t>
      </w:r>
    </w:p>
    <w:p w:rsidR="008A63CC" w:rsidRPr="00CD0D75" w:rsidRDefault="008A63CC" w:rsidP="008A63CC">
      <w:pPr>
        <w:spacing w:after="0"/>
        <w:jc w:val="both"/>
        <w:rPr>
          <w:rFonts w:ascii="Arial" w:eastAsia="Times New Roman" w:hAnsi="Arial" w:cs="Arial"/>
        </w:rPr>
      </w:pPr>
      <w:r w:rsidRPr="00CD0D75">
        <w:rPr>
          <w:rFonts w:ascii="Arial" w:eastAsia="Times New Roman" w:hAnsi="Arial" w:cs="Arial"/>
        </w:rPr>
        <w:t>Javni oglas za dodjelu predmetne koncesije sadrži sljedeće:</w:t>
      </w:r>
    </w:p>
    <w:p w:rsidR="008A63CC" w:rsidRPr="00CD0D75" w:rsidRDefault="008A63CC" w:rsidP="008A63CC">
      <w:pPr>
        <w:spacing w:after="0"/>
        <w:jc w:val="both"/>
        <w:rPr>
          <w:rFonts w:ascii="Arial" w:eastAsia="Times New Roman" w:hAnsi="Arial" w:cs="Arial"/>
        </w:rPr>
      </w:pPr>
    </w:p>
    <w:p w:rsidR="008A63CC" w:rsidRPr="00EC4EC7" w:rsidRDefault="008A63CC" w:rsidP="008A63CC">
      <w:pPr>
        <w:pStyle w:val="ListParagraph"/>
        <w:numPr>
          <w:ilvl w:val="0"/>
          <w:numId w:val="47"/>
        </w:numPr>
        <w:spacing w:after="0"/>
        <w:jc w:val="both"/>
        <w:rPr>
          <w:rFonts w:ascii="Arial" w:eastAsia="Times New Roman" w:hAnsi="Arial" w:cs="Arial"/>
        </w:rPr>
      </w:pPr>
      <w:r w:rsidRPr="00EC4EC7">
        <w:rPr>
          <w:rFonts w:ascii="Arial" w:eastAsia="Times New Roman" w:hAnsi="Arial" w:cs="Arial"/>
        </w:rPr>
        <w:t>opis predmeta koncesije, granice istražno-eksploatacionog prostora;</w:t>
      </w:r>
    </w:p>
    <w:p w:rsidR="008A63CC" w:rsidRPr="00EC4EC7" w:rsidRDefault="008A63CC" w:rsidP="008A63CC">
      <w:pPr>
        <w:pStyle w:val="ListParagraph"/>
        <w:numPr>
          <w:ilvl w:val="0"/>
          <w:numId w:val="47"/>
        </w:numPr>
        <w:spacing w:after="0"/>
        <w:jc w:val="both"/>
        <w:rPr>
          <w:rFonts w:ascii="Arial" w:eastAsia="Times New Roman" w:hAnsi="Arial" w:cs="Arial"/>
        </w:rPr>
      </w:pPr>
      <w:r w:rsidRPr="00EC4EC7">
        <w:rPr>
          <w:rFonts w:ascii="Arial" w:eastAsia="Times New Roman" w:hAnsi="Arial" w:cs="Arial"/>
        </w:rPr>
        <w:t>osnovne elemente Koncesionog akta;</w:t>
      </w:r>
    </w:p>
    <w:p w:rsidR="008A63CC" w:rsidRPr="00EC4EC7" w:rsidRDefault="008A63CC" w:rsidP="008A63CC">
      <w:pPr>
        <w:pStyle w:val="ListParagraph"/>
        <w:numPr>
          <w:ilvl w:val="0"/>
          <w:numId w:val="47"/>
        </w:numPr>
        <w:spacing w:after="0"/>
        <w:jc w:val="both"/>
        <w:rPr>
          <w:rFonts w:ascii="Arial" w:eastAsia="Times New Roman" w:hAnsi="Arial" w:cs="Arial"/>
        </w:rPr>
      </w:pPr>
      <w:r w:rsidRPr="00EC4EC7">
        <w:rPr>
          <w:rFonts w:ascii="Arial" w:eastAsia="Times New Roman" w:hAnsi="Arial" w:cs="Arial"/>
        </w:rPr>
        <w:t>adresu i rok za dostavljanje ponude na Javni oglas (rok se određuje prema periodu za pripremu ponude i teče od dana objavljivanja javnog oglasa u „Službenom listu Crne Gore“ i ne može biti kraći od 30 dana);</w:t>
      </w:r>
    </w:p>
    <w:p w:rsidR="008A63CC" w:rsidRPr="00EC4EC7" w:rsidRDefault="008A63CC" w:rsidP="008A63CC">
      <w:pPr>
        <w:pStyle w:val="ListParagraph"/>
        <w:numPr>
          <w:ilvl w:val="0"/>
          <w:numId w:val="47"/>
        </w:numPr>
        <w:spacing w:after="0"/>
        <w:jc w:val="both"/>
        <w:rPr>
          <w:rFonts w:ascii="Arial" w:eastAsia="Times New Roman" w:hAnsi="Arial" w:cs="Arial"/>
        </w:rPr>
      </w:pPr>
      <w:r w:rsidRPr="00EC4EC7">
        <w:rPr>
          <w:rFonts w:ascii="Arial" w:eastAsia="Times New Roman" w:hAnsi="Arial" w:cs="Arial"/>
        </w:rPr>
        <w:t>kriterijume za učešće na Javnom oglasu i mogućnost podnošenja zajedničke ponude;</w:t>
      </w:r>
    </w:p>
    <w:p w:rsidR="008A63CC" w:rsidRPr="00EC4EC7" w:rsidRDefault="008A63CC" w:rsidP="008A63CC">
      <w:pPr>
        <w:pStyle w:val="ListParagraph"/>
        <w:numPr>
          <w:ilvl w:val="0"/>
          <w:numId w:val="47"/>
        </w:numPr>
        <w:spacing w:after="0"/>
        <w:jc w:val="both"/>
        <w:rPr>
          <w:rFonts w:ascii="Arial" w:eastAsia="Times New Roman" w:hAnsi="Arial" w:cs="Arial"/>
        </w:rPr>
      </w:pPr>
      <w:r w:rsidRPr="00EC4EC7">
        <w:rPr>
          <w:rFonts w:ascii="Arial" w:eastAsia="Times New Roman" w:hAnsi="Arial" w:cs="Arial"/>
        </w:rPr>
        <w:lastRenderedPageBreak/>
        <w:t>pravila prema kojima se Javni oglas sprovodi;</w:t>
      </w:r>
    </w:p>
    <w:p w:rsidR="008A63CC" w:rsidRPr="00EC4EC7" w:rsidRDefault="008A63CC" w:rsidP="008A63CC">
      <w:pPr>
        <w:pStyle w:val="ListParagraph"/>
        <w:numPr>
          <w:ilvl w:val="0"/>
          <w:numId w:val="47"/>
        </w:numPr>
        <w:spacing w:after="0"/>
        <w:jc w:val="both"/>
        <w:rPr>
          <w:rFonts w:ascii="Arial" w:eastAsia="Times New Roman" w:hAnsi="Arial" w:cs="Arial"/>
        </w:rPr>
      </w:pPr>
      <w:r w:rsidRPr="00EC4EC7">
        <w:rPr>
          <w:rFonts w:ascii="Arial" w:eastAsia="Times New Roman" w:hAnsi="Arial" w:cs="Arial"/>
        </w:rPr>
        <w:t>način dostavljanja ponude;</w:t>
      </w:r>
    </w:p>
    <w:p w:rsidR="008A63CC" w:rsidRPr="00EC4EC7" w:rsidRDefault="008A63CC" w:rsidP="008A63CC">
      <w:pPr>
        <w:pStyle w:val="ListParagraph"/>
        <w:numPr>
          <w:ilvl w:val="0"/>
          <w:numId w:val="47"/>
        </w:numPr>
        <w:spacing w:after="0"/>
        <w:jc w:val="both"/>
        <w:rPr>
          <w:rFonts w:ascii="Arial" w:eastAsia="Times New Roman" w:hAnsi="Arial" w:cs="Arial"/>
        </w:rPr>
      </w:pPr>
      <w:r w:rsidRPr="00EC4EC7">
        <w:rPr>
          <w:rFonts w:ascii="Arial" w:eastAsia="Times New Roman" w:hAnsi="Arial" w:cs="Arial"/>
        </w:rPr>
        <w:t>moguće vrijeme posjete lokacije na kojoj će se vršiti koncesiona djelatnost;</w:t>
      </w:r>
    </w:p>
    <w:p w:rsidR="008A63CC" w:rsidRPr="00EC4EC7" w:rsidRDefault="008A63CC" w:rsidP="008A63CC">
      <w:pPr>
        <w:pStyle w:val="ListParagraph"/>
        <w:numPr>
          <w:ilvl w:val="0"/>
          <w:numId w:val="47"/>
        </w:numPr>
        <w:spacing w:after="0"/>
        <w:jc w:val="both"/>
        <w:rPr>
          <w:rFonts w:ascii="Arial" w:eastAsia="Times New Roman" w:hAnsi="Arial" w:cs="Arial"/>
        </w:rPr>
      </w:pPr>
      <w:r w:rsidRPr="00EC4EC7">
        <w:rPr>
          <w:rFonts w:ascii="Arial" w:eastAsia="Times New Roman" w:hAnsi="Arial" w:cs="Arial"/>
        </w:rPr>
        <w:t>datum, vrijeme i mjesto otvaranja prispjelih ponuda na Javni oglas;</w:t>
      </w:r>
    </w:p>
    <w:p w:rsidR="008A63CC" w:rsidRPr="00EC4EC7" w:rsidRDefault="008A63CC" w:rsidP="008A63CC">
      <w:pPr>
        <w:pStyle w:val="ListParagraph"/>
        <w:numPr>
          <w:ilvl w:val="0"/>
          <w:numId w:val="47"/>
        </w:numPr>
        <w:spacing w:after="0"/>
        <w:jc w:val="both"/>
        <w:rPr>
          <w:rFonts w:ascii="Arial" w:eastAsia="Times New Roman" w:hAnsi="Arial" w:cs="Arial"/>
        </w:rPr>
      </w:pPr>
      <w:r w:rsidRPr="00EC4EC7">
        <w:rPr>
          <w:rFonts w:ascii="Arial" w:eastAsia="Times New Roman" w:hAnsi="Arial" w:cs="Arial"/>
        </w:rPr>
        <w:t>rok u kome se ponuda na Javni oglas može povući;</w:t>
      </w:r>
    </w:p>
    <w:p w:rsidR="008A63CC" w:rsidRPr="00EC4EC7" w:rsidRDefault="008A63CC" w:rsidP="008A63CC">
      <w:pPr>
        <w:pStyle w:val="ListParagraph"/>
        <w:numPr>
          <w:ilvl w:val="0"/>
          <w:numId w:val="47"/>
        </w:numPr>
        <w:spacing w:after="0"/>
        <w:jc w:val="both"/>
        <w:rPr>
          <w:rFonts w:ascii="Arial" w:eastAsia="Times New Roman" w:hAnsi="Arial" w:cs="Arial"/>
        </w:rPr>
      </w:pPr>
      <w:r w:rsidRPr="00EC4EC7">
        <w:rPr>
          <w:rFonts w:ascii="Arial" w:eastAsia="Times New Roman" w:hAnsi="Arial" w:cs="Arial"/>
        </w:rPr>
        <w:t>određivanje vrste ponude (tehničke i finansijske ili samo finansijske ponude);</w:t>
      </w:r>
    </w:p>
    <w:p w:rsidR="008A63CC" w:rsidRPr="00EC4EC7" w:rsidRDefault="008A63CC" w:rsidP="008A63CC">
      <w:pPr>
        <w:pStyle w:val="ListParagraph"/>
        <w:numPr>
          <w:ilvl w:val="0"/>
          <w:numId w:val="47"/>
        </w:numPr>
        <w:spacing w:after="0"/>
        <w:jc w:val="both"/>
        <w:rPr>
          <w:rFonts w:ascii="Arial" w:eastAsia="Times New Roman" w:hAnsi="Arial" w:cs="Arial"/>
        </w:rPr>
      </w:pPr>
      <w:r w:rsidRPr="00EC4EC7">
        <w:rPr>
          <w:rFonts w:ascii="Arial" w:eastAsia="Times New Roman" w:hAnsi="Arial" w:cs="Arial"/>
        </w:rPr>
        <w:t>podatke o visini i obliku depozita i garancije i perioda za koji se traže;</w:t>
      </w:r>
    </w:p>
    <w:p w:rsidR="008A63CC" w:rsidRPr="00EC4EC7" w:rsidRDefault="008A63CC" w:rsidP="008A63CC">
      <w:pPr>
        <w:pStyle w:val="ListParagraph"/>
        <w:numPr>
          <w:ilvl w:val="0"/>
          <w:numId w:val="47"/>
        </w:numPr>
        <w:spacing w:after="0"/>
        <w:jc w:val="both"/>
        <w:rPr>
          <w:rFonts w:ascii="Arial" w:eastAsia="Times New Roman" w:hAnsi="Arial" w:cs="Arial"/>
        </w:rPr>
      </w:pPr>
      <w:r w:rsidRPr="00EC4EC7">
        <w:rPr>
          <w:rFonts w:ascii="Arial" w:eastAsia="Times New Roman" w:hAnsi="Arial" w:cs="Arial"/>
        </w:rPr>
        <w:t>uslove, rok i način vraćanja depozita i garancije;</w:t>
      </w:r>
    </w:p>
    <w:p w:rsidR="008A63CC" w:rsidRPr="00EC4EC7" w:rsidRDefault="008A63CC" w:rsidP="008A63CC">
      <w:pPr>
        <w:pStyle w:val="ListParagraph"/>
        <w:numPr>
          <w:ilvl w:val="0"/>
          <w:numId w:val="47"/>
        </w:numPr>
        <w:spacing w:after="0"/>
        <w:jc w:val="both"/>
        <w:rPr>
          <w:rFonts w:ascii="Arial" w:eastAsia="Times New Roman" w:hAnsi="Arial" w:cs="Arial"/>
        </w:rPr>
      </w:pPr>
      <w:r w:rsidRPr="00EC4EC7">
        <w:rPr>
          <w:rFonts w:ascii="Arial" w:eastAsia="Times New Roman" w:hAnsi="Arial" w:cs="Arial"/>
        </w:rPr>
        <w:t>ime lica zaduženog za davanje relevantnih informacija u postupku Javnog oglasa;</w:t>
      </w:r>
    </w:p>
    <w:p w:rsidR="008A63CC" w:rsidRPr="00EC4EC7" w:rsidRDefault="008A63CC" w:rsidP="008A63CC">
      <w:pPr>
        <w:pStyle w:val="ListParagraph"/>
        <w:numPr>
          <w:ilvl w:val="0"/>
          <w:numId w:val="47"/>
        </w:numPr>
        <w:spacing w:after="0"/>
        <w:jc w:val="both"/>
        <w:rPr>
          <w:rFonts w:ascii="Arial" w:hAnsi="Arial" w:cs="Arial"/>
        </w:rPr>
      </w:pPr>
      <w:r w:rsidRPr="00EC4EC7">
        <w:rPr>
          <w:rFonts w:ascii="Arial" w:eastAsia="Times New Roman" w:hAnsi="Arial" w:cs="Arial"/>
        </w:rPr>
        <w:t>mjesto na kojem se može i vrijeme u kojem se može preuzeti Koncesioni akt i Tenderska dokumentacija, kao i cijena Tenderske dokumentacije u visini troškova njene izrade.</w:t>
      </w:r>
    </w:p>
    <w:p w:rsidR="008A63CC" w:rsidRPr="00CD0D75" w:rsidRDefault="008A63CC" w:rsidP="008A63CC">
      <w:pPr>
        <w:spacing w:after="0"/>
        <w:jc w:val="both"/>
        <w:rPr>
          <w:rFonts w:ascii="Arial" w:eastAsia="Times New Roman" w:hAnsi="Arial" w:cs="Arial"/>
        </w:rPr>
      </w:pPr>
    </w:p>
    <w:p w:rsidR="008A63CC" w:rsidRPr="00CD0D75" w:rsidRDefault="008A63CC" w:rsidP="008A63CC">
      <w:pPr>
        <w:spacing w:after="0"/>
        <w:jc w:val="both"/>
        <w:rPr>
          <w:rFonts w:ascii="Arial" w:eastAsia="Times New Roman" w:hAnsi="Arial" w:cs="Arial"/>
        </w:rPr>
      </w:pPr>
      <w:r w:rsidRPr="00CD0D75">
        <w:rPr>
          <w:rFonts w:ascii="Arial" w:eastAsia="Times New Roman" w:hAnsi="Arial" w:cs="Arial"/>
        </w:rPr>
        <w:t>Javni oglas, nakon objavljivanja, nadležni organ može izmijeniti, osim elemenata utvrđenih Koncesionim aktom. Izmjena Javnog oglasa se objavljuje na način na koji je objavljen osnovni tekst Javnog oglasa, s tim što se rok za dostavljanje ponuda produžava za vrijeme koje je proteklo od dana objavljivanja Javnog oglasa.</w:t>
      </w:r>
      <w:bookmarkStart w:id="57" w:name="_Toc390549930"/>
    </w:p>
    <w:p w:rsidR="008A63CC" w:rsidRPr="00CD0D75" w:rsidRDefault="008A63CC" w:rsidP="008A63CC">
      <w:pPr>
        <w:spacing w:after="0"/>
        <w:jc w:val="both"/>
        <w:rPr>
          <w:rFonts w:ascii="Arial" w:eastAsia="Times New Roman" w:hAnsi="Arial" w:cs="Arial"/>
        </w:rPr>
      </w:pPr>
    </w:p>
    <w:p w:rsidR="008A63CC" w:rsidRPr="00CD0D75" w:rsidRDefault="008A63CC" w:rsidP="008A63CC">
      <w:pPr>
        <w:pStyle w:val="Heading2"/>
        <w:numPr>
          <w:ilvl w:val="1"/>
          <w:numId w:val="0"/>
        </w:numPr>
        <w:spacing w:before="0" w:after="0"/>
        <w:jc w:val="both"/>
        <w:rPr>
          <w:i w:val="0"/>
          <w:sz w:val="22"/>
          <w:szCs w:val="22"/>
          <w:u w:val="single"/>
        </w:rPr>
      </w:pPr>
      <w:bookmarkStart w:id="58" w:name="_Toc401959460"/>
      <w:bookmarkStart w:id="59" w:name="_Toc401959553"/>
      <w:bookmarkStart w:id="60" w:name="_Toc435529041"/>
      <w:bookmarkStart w:id="61" w:name="_Toc436124918"/>
      <w:r w:rsidRPr="00CD0D75">
        <w:rPr>
          <w:i w:val="0"/>
          <w:sz w:val="22"/>
          <w:szCs w:val="22"/>
          <w:u w:val="single"/>
        </w:rPr>
        <w:t>13.3  Ugovor o koncesiji</w:t>
      </w:r>
      <w:bookmarkEnd w:id="57"/>
      <w:bookmarkEnd w:id="58"/>
      <w:bookmarkEnd w:id="59"/>
      <w:bookmarkEnd w:id="60"/>
      <w:bookmarkEnd w:id="61"/>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eastAsia="Times New Roman" w:hAnsi="Arial" w:cs="Arial"/>
        </w:rPr>
        <w:t>Sastavni dio Tenederske dokumentacije je i Nacrt</w:t>
      </w:r>
      <w:r w:rsidRPr="00CD0D75">
        <w:rPr>
          <w:rFonts w:ascii="Arial" w:hAnsi="Arial" w:cs="Arial"/>
        </w:rPr>
        <w:t xml:space="preserve"> ugovora o koncesiji, koji je dat kao Prilog Koncesionog akta.</w:t>
      </w:r>
    </w:p>
    <w:p w:rsidR="008A63CC" w:rsidRPr="00CD0D75" w:rsidRDefault="008A63CC" w:rsidP="008A63CC">
      <w:pPr>
        <w:spacing w:after="0"/>
        <w:jc w:val="both"/>
        <w:rPr>
          <w:rFonts w:ascii="Arial" w:hAnsi="Arial" w:cs="Arial"/>
        </w:rPr>
      </w:pPr>
    </w:p>
    <w:p w:rsidR="008A63CC" w:rsidRPr="00CD0D75" w:rsidRDefault="008A63CC" w:rsidP="008A63CC">
      <w:pPr>
        <w:pStyle w:val="Heading2"/>
        <w:numPr>
          <w:ilvl w:val="1"/>
          <w:numId w:val="0"/>
        </w:numPr>
        <w:spacing w:before="0" w:after="0"/>
        <w:jc w:val="both"/>
        <w:rPr>
          <w:i w:val="0"/>
          <w:sz w:val="22"/>
          <w:szCs w:val="22"/>
          <w:u w:val="single"/>
        </w:rPr>
      </w:pPr>
      <w:bookmarkStart w:id="62" w:name="_Toc390549931"/>
      <w:bookmarkStart w:id="63" w:name="_Toc401959461"/>
      <w:bookmarkStart w:id="64" w:name="_Toc401959554"/>
      <w:bookmarkStart w:id="65" w:name="_Toc435529042"/>
      <w:bookmarkStart w:id="66" w:name="_Toc436124919"/>
      <w:r w:rsidRPr="00CD0D75">
        <w:rPr>
          <w:i w:val="0"/>
          <w:sz w:val="22"/>
          <w:szCs w:val="22"/>
          <w:u w:val="single"/>
        </w:rPr>
        <w:t>13.4  Uputstvo za podnošenje ponuda</w:t>
      </w:r>
      <w:bookmarkEnd w:id="62"/>
      <w:bookmarkEnd w:id="63"/>
      <w:bookmarkEnd w:id="64"/>
      <w:bookmarkEnd w:id="65"/>
      <w:bookmarkEnd w:id="66"/>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CD0D75">
        <w:rPr>
          <w:rFonts w:ascii="Arial" w:eastAsia="Times New Roman" w:hAnsi="Arial" w:cs="Arial"/>
        </w:rPr>
        <w:t xml:space="preserve">Sastavni dio Tenederske dokumentacije je i </w:t>
      </w:r>
      <w:r w:rsidRPr="00CD0D75">
        <w:rPr>
          <w:rFonts w:ascii="Arial" w:hAnsi="Arial" w:cs="Arial"/>
        </w:rPr>
        <w:t>Uputstvo za podnošenje ponuda, koji je dato kao Prilog Koncesionog akta.</w:t>
      </w:r>
    </w:p>
    <w:p w:rsidR="008A63CC" w:rsidRPr="00CD0D75" w:rsidRDefault="008A63CC" w:rsidP="008A63CC">
      <w:pPr>
        <w:spacing w:after="0"/>
        <w:jc w:val="both"/>
        <w:rPr>
          <w:rFonts w:ascii="Arial" w:hAnsi="Arial" w:cs="Arial"/>
        </w:rPr>
      </w:pPr>
    </w:p>
    <w:p w:rsidR="008A63CC" w:rsidRPr="00CD0D75" w:rsidRDefault="008A63CC" w:rsidP="008A63CC">
      <w:pPr>
        <w:pStyle w:val="Heading1"/>
        <w:spacing w:before="0" w:after="0"/>
        <w:jc w:val="both"/>
        <w:rPr>
          <w:sz w:val="22"/>
          <w:szCs w:val="22"/>
        </w:rPr>
      </w:pPr>
      <w:bookmarkStart w:id="67" w:name="_Toc401959462"/>
      <w:bookmarkStart w:id="68" w:name="_Toc401959555"/>
      <w:bookmarkStart w:id="69" w:name="_Toc435529043"/>
      <w:bookmarkStart w:id="70" w:name="_Toc436124920"/>
      <w:r w:rsidRPr="00CD0D75">
        <w:rPr>
          <w:sz w:val="22"/>
          <w:szCs w:val="22"/>
        </w:rPr>
        <w:t>14</w:t>
      </w:r>
      <w:r>
        <w:rPr>
          <w:sz w:val="22"/>
          <w:szCs w:val="22"/>
        </w:rPr>
        <w:t>.</w:t>
      </w:r>
      <w:r w:rsidRPr="00CD0D75">
        <w:rPr>
          <w:sz w:val="22"/>
          <w:szCs w:val="22"/>
        </w:rPr>
        <w:t xml:space="preserve"> SPISAK PROPISA KOJI SE PRIMIJENJUJU U POSTUPKU DAVANJA KONCESIJE I U VRŠENJU KONCESIONE DJELATNOSTI </w:t>
      </w:r>
      <w:bookmarkEnd w:id="67"/>
      <w:bookmarkEnd w:id="68"/>
      <w:bookmarkEnd w:id="69"/>
      <w:bookmarkEnd w:id="70"/>
    </w:p>
    <w:p w:rsidR="008A63CC" w:rsidRPr="00CD0D75" w:rsidRDefault="008A63CC" w:rsidP="008A63CC">
      <w:pPr>
        <w:spacing w:after="0"/>
        <w:jc w:val="both"/>
        <w:rPr>
          <w:rFonts w:ascii="Arial" w:hAnsi="Arial" w:cs="Arial"/>
        </w:rPr>
      </w:pPr>
    </w:p>
    <w:p w:rsidR="008A63CC" w:rsidRDefault="008A63CC" w:rsidP="008A63CC">
      <w:pPr>
        <w:spacing w:after="0"/>
        <w:jc w:val="both"/>
        <w:rPr>
          <w:rFonts w:ascii="Arial" w:eastAsia="Times New Roman" w:hAnsi="Arial" w:cs="Arial"/>
        </w:rPr>
      </w:pPr>
      <w:r w:rsidRPr="00CD0D75">
        <w:rPr>
          <w:rFonts w:ascii="Arial" w:hAnsi="Arial" w:cs="Arial"/>
        </w:rPr>
        <w:t>P</w:t>
      </w:r>
      <w:r w:rsidRPr="00CD0D75">
        <w:rPr>
          <w:rFonts w:ascii="Arial" w:eastAsia="Times New Roman" w:hAnsi="Arial" w:cs="Arial"/>
        </w:rPr>
        <w:t>ropisi koji se primijenjuju u postupku</w:t>
      </w:r>
      <w:r w:rsidRPr="00CD0D75">
        <w:rPr>
          <w:rFonts w:ascii="Arial" w:hAnsi="Arial" w:cs="Arial"/>
        </w:rPr>
        <w:t xml:space="preserve"> davanja koncesije i</w:t>
      </w:r>
      <w:r w:rsidRPr="00CD0D75">
        <w:rPr>
          <w:rFonts w:ascii="Arial" w:eastAsia="Times New Roman" w:hAnsi="Arial" w:cs="Arial"/>
        </w:rPr>
        <w:t xml:space="preserve"> vršenja koncesione djelatnosti: </w:t>
      </w:r>
    </w:p>
    <w:p w:rsidR="008A63CC" w:rsidRPr="00CD0D75" w:rsidRDefault="008A63CC" w:rsidP="008A63CC">
      <w:pPr>
        <w:spacing w:after="0"/>
        <w:jc w:val="both"/>
        <w:rPr>
          <w:rFonts w:ascii="Arial" w:eastAsia="Times New Roman" w:hAnsi="Arial" w:cs="Arial"/>
        </w:rPr>
      </w:pPr>
    </w:p>
    <w:p w:rsidR="008A63CC" w:rsidRPr="00CD0D75" w:rsidRDefault="008A63CC" w:rsidP="008A63CC">
      <w:pPr>
        <w:spacing w:after="0"/>
        <w:jc w:val="both"/>
        <w:rPr>
          <w:rFonts w:ascii="Arial" w:hAnsi="Arial" w:cs="Arial"/>
        </w:rPr>
      </w:pPr>
      <w:r>
        <w:rPr>
          <w:rFonts w:ascii="Arial" w:eastAsia="Times New Roman" w:hAnsi="Arial" w:cs="Arial"/>
        </w:rPr>
        <w:t>-</w:t>
      </w:r>
      <w:r w:rsidRPr="00CD0D75">
        <w:rPr>
          <w:rFonts w:ascii="Arial" w:eastAsia="Times New Roman" w:hAnsi="Arial" w:cs="Arial"/>
        </w:rPr>
        <w:t>Zakon o koncesijama (“Sl. list CG”, br. 08/09);</w:t>
      </w:r>
    </w:p>
    <w:p w:rsidR="008A63CC" w:rsidRPr="00CD0D75" w:rsidRDefault="008A63CC" w:rsidP="008A63CC">
      <w:pPr>
        <w:spacing w:after="0"/>
        <w:jc w:val="both"/>
        <w:rPr>
          <w:rFonts w:ascii="Arial" w:hAnsi="Arial" w:cs="Arial"/>
        </w:rPr>
      </w:pPr>
      <w:r>
        <w:rPr>
          <w:rFonts w:ascii="Arial" w:hAnsi="Arial" w:cs="Arial"/>
        </w:rPr>
        <w:t>-</w:t>
      </w:r>
      <w:r w:rsidRPr="00CD0D75">
        <w:rPr>
          <w:rFonts w:ascii="Arial" w:hAnsi="Arial" w:cs="Arial"/>
        </w:rPr>
        <w:t xml:space="preserve">Uredba </w:t>
      </w:r>
      <w:r w:rsidRPr="00CD0D75">
        <w:rPr>
          <w:rFonts w:ascii="Arial" w:hAnsi="Arial" w:cs="Arial"/>
          <w:color w:val="333333"/>
        </w:rPr>
        <w:t>o bližem načinu sprovođenja postupka javnog nadmetanja u otvorenom i</w:t>
      </w:r>
      <w:r w:rsidRPr="00CD0D75">
        <w:rPr>
          <w:rFonts w:ascii="Arial" w:hAnsi="Arial" w:cs="Arial"/>
        </w:rPr>
        <w:t xml:space="preserve"> </w:t>
      </w:r>
      <w:r w:rsidRPr="00CD0D75">
        <w:rPr>
          <w:rFonts w:ascii="Arial" w:hAnsi="Arial" w:cs="Arial"/>
          <w:color w:val="333333"/>
        </w:rPr>
        <w:t xml:space="preserve">dvostepenom postupku davanja koncesije </w:t>
      </w:r>
      <w:r w:rsidRPr="00CD0D75">
        <w:rPr>
          <w:rFonts w:ascii="Arial" w:eastAsia="Times New Roman" w:hAnsi="Arial" w:cs="Arial"/>
        </w:rPr>
        <w:t>(“Sl. list CG”, br. 08/09);</w:t>
      </w:r>
    </w:p>
    <w:p w:rsidR="008A63CC" w:rsidRPr="00CD0D75" w:rsidRDefault="008A63CC" w:rsidP="008A63CC">
      <w:pPr>
        <w:spacing w:after="0"/>
        <w:jc w:val="both"/>
        <w:rPr>
          <w:rFonts w:ascii="Arial" w:eastAsia="Times New Roman" w:hAnsi="Arial" w:cs="Arial"/>
        </w:rPr>
      </w:pPr>
      <w:r>
        <w:rPr>
          <w:rFonts w:ascii="Arial" w:eastAsia="Times New Roman" w:hAnsi="Arial" w:cs="Arial"/>
        </w:rPr>
        <w:t>-</w:t>
      </w:r>
      <w:r w:rsidRPr="00CD0D75">
        <w:rPr>
          <w:rFonts w:ascii="Arial" w:eastAsia="Times New Roman" w:hAnsi="Arial" w:cs="Arial"/>
        </w:rPr>
        <w:t>Zakon o rudarstvu („Sl. list CG“, br. 65/08, 74/10 i 40/11);</w:t>
      </w:r>
    </w:p>
    <w:p w:rsidR="008A63CC" w:rsidRPr="00CD0D75" w:rsidRDefault="008A63CC" w:rsidP="008A63CC">
      <w:pPr>
        <w:spacing w:after="0"/>
        <w:jc w:val="both"/>
        <w:rPr>
          <w:rFonts w:ascii="Arial" w:eastAsia="Times New Roman" w:hAnsi="Arial" w:cs="Arial"/>
        </w:rPr>
      </w:pPr>
      <w:r>
        <w:rPr>
          <w:rFonts w:ascii="Arial" w:eastAsia="Times New Roman" w:hAnsi="Arial" w:cs="Arial"/>
        </w:rPr>
        <w:t>-</w:t>
      </w:r>
      <w:r w:rsidRPr="00CD0D75">
        <w:rPr>
          <w:rFonts w:ascii="Arial" w:eastAsia="Times New Roman" w:hAnsi="Arial" w:cs="Arial"/>
        </w:rPr>
        <w:t>Zakon o geološkim istraživanjima (‘’Sl. list RCG’’, br. 28/93, 27/94, 42/94 i 26/07 i „Sl. list CG“, br. 28/11);</w:t>
      </w:r>
    </w:p>
    <w:p w:rsidR="008A63CC" w:rsidRPr="00CD0D75" w:rsidRDefault="008A63CC" w:rsidP="008A63CC">
      <w:pPr>
        <w:spacing w:after="0"/>
        <w:jc w:val="both"/>
        <w:rPr>
          <w:rFonts w:ascii="Arial" w:eastAsia="Times New Roman" w:hAnsi="Arial" w:cs="Arial"/>
        </w:rPr>
      </w:pPr>
      <w:r>
        <w:rPr>
          <w:rFonts w:ascii="Arial" w:eastAsia="Times New Roman" w:hAnsi="Arial" w:cs="Arial"/>
        </w:rPr>
        <w:t>-</w:t>
      </w:r>
      <w:r w:rsidRPr="00CD0D75">
        <w:rPr>
          <w:rFonts w:ascii="Arial" w:eastAsia="Times New Roman" w:hAnsi="Arial" w:cs="Arial"/>
        </w:rPr>
        <w:t xml:space="preserve">Zakon o zaštiti </w:t>
      </w:r>
      <w:r>
        <w:rPr>
          <w:rFonts w:ascii="Arial" w:eastAsia="Times New Roman" w:hAnsi="Arial" w:cs="Arial"/>
        </w:rPr>
        <w:t xml:space="preserve">i zdravlju </w:t>
      </w:r>
      <w:r w:rsidRPr="00CD0D75">
        <w:rPr>
          <w:rFonts w:ascii="Arial" w:eastAsia="Times New Roman" w:hAnsi="Arial" w:cs="Arial"/>
        </w:rPr>
        <w:t>na radu</w:t>
      </w:r>
      <w:r>
        <w:rPr>
          <w:rFonts w:ascii="Arial" w:eastAsia="Times New Roman" w:hAnsi="Arial" w:cs="Arial"/>
        </w:rPr>
        <w:t xml:space="preserve"> („Sl. list CG“, br. 34/14</w:t>
      </w:r>
      <w:r w:rsidRPr="00CD0D75">
        <w:rPr>
          <w:rFonts w:ascii="Arial" w:eastAsia="Times New Roman" w:hAnsi="Arial" w:cs="Arial"/>
        </w:rPr>
        <w:t>)</w:t>
      </w:r>
    </w:p>
    <w:p w:rsidR="008A63CC" w:rsidRPr="00CD0D75" w:rsidRDefault="008A63CC" w:rsidP="008A63CC">
      <w:pPr>
        <w:spacing w:after="0"/>
        <w:jc w:val="both"/>
        <w:rPr>
          <w:rFonts w:ascii="Arial" w:eastAsia="Times New Roman" w:hAnsi="Arial" w:cs="Arial"/>
        </w:rPr>
      </w:pPr>
      <w:r>
        <w:rPr>
          <w:rFonts w:ascii="Arial" w:eastAsia="Times New Roman" w:hAnsi="Arial" w:cs="Arial"/>
        </w:rPr>
        <w:t>-</w:t>
      </w:r>
      <w:r w:rsidRPr="00CD0D75">
        <w:rPr>
          <w:rFonts w:ascii="Arial" w:eastAsia="Times New Roman" w:hAnsi="Arial" w:cs="Arial"/>
        </w:rPr>
        <w:t>Zakon o procjeni uticaja na životnu sredinu („Sl. list RCG“, br. 80/05 i „Sl. list CG“, br. 40/10, 73/10, 40/11 i 27/13);</w:t>
      </w:r>
    </w:p>
    <w:p w:rsidR="008A63CC" w:rsidRPr="00CD0D75" w:rsidRDefault="008A63CC" w:rsidP="008A63CC">
      <w:pPr>
        <w:spacing w:after="0"/>
        <w:jc w:val="both"/>
        <w:rPr>
          <w:rFonts w:ascii="Arial" w:eastAsia="Times New Roman" w:hAnsi="Arial" w:cs="Arial"/>
        </w:rPr>
      </w:pPr>
      <w:r>
        <w:rPr>
          <w:rFonts w:ascii="Arial" w:eastAsia="Times New Roman" w:hAnsi="Arial" w:cs="Arial"/>
        </w:rPr>
        <w:t>-Zakon o planiranju prostora i izgradnji objekata</w:t>
      </w:r>
      <w:r w:rsidRPr="00CD0D75">
        <w:rPr>
          <w:rFonts w:ascii="Arial" w:eastAsia="Times New Roman" w:hAnsi="Arial" w:cs="Arial"/>
        </w:rPr>
        <w:t xml:space="preserve"> (“Sl.</w:t>
      </w:r>
      <w:r>
        <w:rPr>
          <w:rFonts w:ascii="Arial" w:eastAsia="Times New Roman" w:hAnsi="Arial" w:cs="Arial"/>
        </w:rPr>
        <w:t xml:space="preserve"> list CG”, br. 64/17)</w:t>
      </w:r>
      <w:r w:rsidRPr="00CD0D75">
        <w:rPr>
          <w:rFonts w:ascii="Arial" w:eastAsia="Times New Roman" w:hAnsi="Arial" w:cs="Arial"/>
        </w:rPr>
        <w:t>;</w:t>
      </w:r>
    </w:p>
    <w:p w:rsidR="008A63CC" w:rsidRPr="00CD0D75" w:rsidRDefault="008A63CC" w:rsidP="008A63CC">
      <w:pPr>
        <w:spacing w:after="0"/>
        <w:jc w:val="both"/>
        <w:rPr>
          <w:rFonts w:ascii="Arial" w:eastAsia="Times New Roman" w:hAnsi="Arial" w:cs="Arial"/>
        </w:rPr>
      </w:pPr>
      <w:r>
        <w:rPr>
          <w:rFonts w:ascii="Arial" w:eastAsia="Times New Roman" w:hAnsi="Arial" w:cs="Arial"/>
        </w:rPr>
        <w:t>-</w:t>
      </w:r>
      <w:r w:rsidRPr="00CD0D75">
        <w:rPr>
          <w:rFonts w:ascii="Arial" w:eastAsia="Times New Roman" w:hAnsi="Arial" w:cs="Arial"/>
        </w:rPr>
        <w:t>Zakon o državnoj imovini (“Sl. list CG”, br. 21/09 i 40/11);</w:t>
      </w:r>
    </w:p>
    <w:p w:rsidR="008A63CC" w:rsidRPr="00CD0D75" w:rsidRDefault="008A63CC" w:rsidP="008A63CC">
      <w:pPr>
        <w:spacing w:after="0"/>
        <w:jc w:val="both"/>
        <w:rPr>
          <w:rFonts w:ascii="Arial" w:eastAsia="Times New Roman" w:hAnsi="Arial" w:cs="Arial"/>
        </w:rPr>
      </w:pPr>
      <w:r>
        <w:rPr>
          <w:rFonts w:ascii="Arial" w:eastAsia="Times New Roman" w:hAnsi="Arial" w:cs="Arial"/>
        </w:rPr>
        <w:t>-</w:t>
      </w:r>
      <w:r w:rsidRPr="00CD0D75">
        <w:rPr>
          <w:rFonts w:ascii="Arial" w:eastAsia="Times New Roman" w:hAnsi="Arial" w:cs="Arial"/>
        </w:rPr>
        <w:t>Uredba o kriterijumima i načinu obračuna iznosa minimalne koncesione naknade za ustupanje prava na istraživanje i eksploataciju mineralnih sirovina („Sl. list CG“, br. 37/11);</w:t>
      </w:r>
    </w:p>
    <w:p w:rsidR="008A63CC" w:rsidRPr="00CD0D75" w:rsidRDefault="008A63CC" w:rsidP="008A63CC">
      <w:pPr>
        <w:spacing w:after="0"/>
        <w:jc w:val="both"/>
        <w:rPr>
          <w:rFonts w:ascii="Arial" w:eastAsia="Times New Roman" w:hAnsi="Arial" w:cs="Arial"/>
        </w:rPr>
      </w:pPr>
      <w:r>
        <w:rPr>
          <w:rFonts w:ascii="Arial" w:eastAsia="Times New Roman" w:hAnsi="Arial" w:cs="Arial"/>
        </w:rPr>
        <w:lastRenderedPageBreak/>
        <w:t>-</w:t>
      </w:r>
      <w:r w:rsidRPr="00CD0D75">
        <w:rPr>
          <w:rFonts w:ascii="Arial" w:eastAsia="Times New Roman" w:hAnsi="Arial" w:cs="Arial"/>
        </w:rPr>
        <w:t>Uredba o visini sredstava za sanaciju i rekultivaciju prostora na kojem se izvode rudarski radovi, način obračunavanja, plaćanja i korišćenja tih sredstava („Sl. list CG“, br. 51/11);</w:t>
      </w:r>
    </w:p>
    <w:p w:rsidR="008A63CC" w:rsidRPr="00CD0D75" w:rsidRDefault="008A63CC" w:rsidP="008A63CC">
      <w:pPr>
        <w:spacing w:after="0"/>
        <w:jc w:val="both"/>
        <w:rPr>
          <w:rFonts w:ascii="Arial" w:eastAsia="Times New Roman" w:hAnsi="Arial" w:cs="Arial"/>
        </w:rPr>
      </w:pPr>
      <w:r>
        <w:rPr>
          <w:rFonts w:ascii="Arial" w:eastAsia="Times New Roman" w:hAnsi="Arial" w:cs="Arial"/>
        </w:rPr>
        <w:t>-</w:t>
      </w:r>
      <w:r w:rsidRPr="00CD0D75">
        <w:rPr>
          <w:rFonts w:ascii="Arial" w:eastAsia="Times New Roman" w:hAnsi="Arial" w:cs="Arial"/>
        </w:rPr>
        <w:t>Pravlnik o klasifikaciji, kategorizaciji i proračunu rezervi čvrstih mineralnih sirovina i vođenju evidencije o njima („Sl. list SFRJ“, br. 53/79);</w:t>
      </w:r>
    </w:p>
    <w:p w:rsidR="008A63CC" w:rsidRPr="00CD0D75" w:rsidRDefault="008A63CC" w:rsidP="008A63CC">
      <w:pPr>
        <w:spacing w:after="0"/>
        <w:jc w:val="both"/>
        <w:rPr>
          <w:rFonts w:ascii="Arial" w:eastAsia="Times New Roman" w:hAnsi="Arial" w:cs="Arial"/>
        </w:rPr>
      </w:pPr>
      <w:r>
        <w:rPr>
          <w:rFonts w:ascii="Arial" w:eastAsia="Times New Roman" w:hAnsi="Arial" w:cs="Arial"/>
        </w:rPr>
        <w:t>-</w:t>
      </w:r>
      <w:r w:rsidRPr="00CD0D75">
        <w:rPr>
          <w:rFonts w:ascii="Arial" w:eastAsia="Times New Roman" w:hAnsi="Arial" w:cs="Arial"/>
        </w:rPr>
        <w:t>Pravilnik o rudarskim mjerenjima („Sl. list RCG“, br. 26/94);</w:t>
      </w:r>
    </w:p>
    <w:p w:rsidR="008A63CC" w:rsidRPr="00CD0D75" w:rsidRDefault="008A63CC" w:rsidP="008A63CC">
      <w:pPr>
        <w:spacing w:after="0"/>
        <w:jc w:val="both"/>
        <w:rPr>
          <w:rFonts w:ascii="Arial" w:eastAsia="Times New Roman" w:hAnsi="Arial" w:cs="Arial"/>
        </w:rPr>
      </w:pPr>
      <w:r>
        <w:rPr>
          <w:rFonts w:ascii="Arial" w:eastAsia="Times New Roman" w:hAnsi="Arial" w:cs="Arial"/>
        </w:rPr>
        <w:t>-</w:t>
      </w:r>
      <w:r w:rsidRPr="00CD0D75">
        <w:rPr>
          <w:rFonts w:ascii="Arial" w:eastAsia="Times New Roman" w:hAnsi="Arial" w:cs="Arial"/>
        </w:rPr>
        <w:t>Pravilnik o izradi projekata geoloških istraživanja („Sl. list SRCG“, br. 09/85 i 16/85);</w:t>
      </w:r>
    </w:p>
    <w:p w:rsidR="008A63CC" w:rsidRPr="00CD0D75" w:rsidRDefault="008A63CC" w:rsidP="008A63CC">
      <w:pPr>
        <w:spacing w:after="0"/>
        <w:jc w:val="both"/>
        <w:rPr>
          <w:rFonts w:ascii="Arial" w:eastAsia="Times New Roman" w:hAnsi="Arial" w:cs="Arial"/>
        </w:rPr>
      </w:pPr>
      <w:r>
        <w:rPr>
          <w:rFonts w:ascii="Arial" w:eastAsia="Times New Roman" w:hAnsi="Arial" w:cs="Arial"/>
        </w:rPr>
        <w:t>-Pravilnik o sadržini</w:t>
      </w:r>
      <w:r w:rsidRPr="00CD0D75">
        <w:rPr>
          <w:rFonts w:ascii="Arial" w:eastAsia="Times New Roman" w:hAnsi="Arial" w:cs="Arial"/>
        </w:rPr>
        <w:t xml:space="preserve"> rudarskih projekata („Sl. list CG“, br. 74/09);</w:t>
      </w:r>
    </w:p>
    <w:p w:rsidR="008A63CC" w:rsidRPr="00CD0D75" w:rsidRDefault="008A63CC" w:rsidP="008A63CC">
      <w:pPr>
        <w:spacing w:after="0"/>
        <w:jc w:val="both"/>
        <w:rPr>
          <w:rFonts w:ascii="Arial" w:eastAsia="Times New Roman" w:hAnsi="Arial" w:cs="Arial"/>
        </w:rPr>
      </w:pPr>
      <w:r>
        <w:rPr>
          <w:rFonts w:ascii="Arial" w:eastAsia="Times New Roman" w:hAnsi="Arial" w:cs="Arial"/>
        </w:rPr>
        <w:t>-</w:t>
      </w:r>
      <w:r w:rsidRPr="00CD0D75">
        <w:rPr>
          <w:rFonts w:ascii="Arial" w:eastAsia="Times New Roman" w:hAnsi="Arial" w:cs="Arial"/>
        </w:rPr>
        <w:t>Pravilnik o tehničkim normativima za površinsku eksploataciju ležišta mineralnih sirovina („Sl. list SFRJ“, br. 62/87);</w:t>
      </w:r>
    </w:p>
    <w:p w:rsidR="008A63CC" w:rsidRPr="00CD0D75" w:rsidRDefault="008A63CC" w:rsidP="008A63CC">
      <w:pPr>
        <w:spacing w:after="0"/>
        <w:jc w:val="both"/>
        <w:rPr>
          <w:rFonts w:ascii="Arial" w:eastAsia="Times New Roman" w:hAnsi="Arial" w:cs="Arial"/>
        </w:rPr>
      </w:pPr>
      <w:r>
        <w:rPr>
          <w:rFonts w:ascii="Arial" w:eastAsia="Times New Roman" w:hAnsi="Arial" w:cs="Arial"/>
        </w:rPr>
        <w:t>-</w:t>
      </w:r>
      <w:r w:rsidRPr="00CD0D75">
        <w:rPr>
          <w:rFonts w:ascii="Arial" w:eastAsia="Times New Roman" w:hAnsi="Arial" w:cs="Arial"/>
        </w:rPr>
        <w:t>Pravilnik o tehničkim normativima za površinsku eksploataciju arhitektonsko-građevinskog (ukrasnog) kamena, tehničko-građevinskog kamena, šljunka i pijeska i preradu arhitektonsko-građevinskog (ukrasnog) kamena („Sl. list SFRJ“, br. 11/86);</w:t>
      </w:r>
    </w:p>
    <w:p w:rsidR="008A63CC" w:rsidRPr="00CD0D75" w:rsidRDefault="008A63CC" w:rsidP="008A63CC">
      <w:pPr>
        <w:spacing w:after="0"/>
        <w:jc w:val="both"/>
        <w:rPr>
          <w:rFonts w:ascii="Arial" w:eastAsia="Times New Roman" w:hAnsi="Arial" w:cs="Arial"/>
        </w:rPr>
      </w:pPr>
      <w:r>
        <w:rPr>
          <w:rFonts w:ascii="Arial" w:eastAsia="Times New Roman" w:hAnsi="Arial" w:cs="Arial"/>
        </w:rPr>
        <w:t>-</w:t>
      </w:r>
      <w:r w:rsidRPr="00CD0D75">
        <w:rPr>
          <w:rFonts w:ascii="Arial" w:eastAsia="Times New Roman" w:hAnsi="Arial" w:cs="Arial"/>
        </w:rPr>
        <w:t xml:space="preserve">Uputstvo o izradi godišnjeg tehničkog izvještaja i godišnjeg finansijskog izvještaja o poslovanju koncesionara koji imaju pravo na eksploataciju mineralnih sirovina („Sl. list RCG“, br. 10/95) i </w:t>
      </w:r>
    </w:p>
    <w:p w:rsidR="008A63CC" w:rsidRPr="00CD0D75" w:rsidRDefault="008A63CC" w:rsidP="008A63CC">
      <w:pPr>
        <w:spacing w:after="0"/>
        <w:jc w:val="both"/>
        <w:rPr>
          <w:rFonts w:ascii="Arial" w:eastAsia="Times New Roman" w:hAnsi="Arial" w:cs="Arial"/>
        </w:rPr>
      </w:pPr>
      <w:r>
        <w:rPr>
          <w:rFonts w:ascii="Arial" w:eastAsia="Times New Roman" w:hAnsi="Arial" w:cs="Arial"/>
        </w:rPr>
        <w:t>-</w:t>
      </w:r>
      <w:r w:rsidRPr="00CD0D75">
        <w:rPr>
          <w:rFonts w:ascii="Arial" w:eastAsia="Times New Roman" w:hAnsi="Arial" w:cs="Arial"/>
        </w:rPr>
        <w:t>ostali propisi.</w:t>
      </w:r>
    </w:p>
    <w:p w:rsidR="008A63CC" w:rsidRPr="00CD0D75" w:rsidRDefault="008A63CC" w:rsidP="008A63CC">
      <w:pPr>
        <w:suppressAutoHyphens/>
        <w:spacing w:after="0"/>
        <w:rPr>
          <w:rFonts w:ascii="Arial" w:hAnsi="Arial" w:cs="Arial"/>
        </w:rPr>
      </w:pPr>
    </w:p>
    <w:p w:rsidR="008A63CC" w:rsidRDefault="008A63CC" w:rsidP="008A63CC">
      <w:pPr>
        <w:spacing w:after="0"/>
        <w:rPr>
          <w:rFonts w:ascii="Arial" w:hAnsi="Arial" w:cs="Arial"/>
        </w:rPr>
      </w:pPr>
    </w:p>
    <w:p w:rsidR="008A63CC" w:rsidRDefault="008A63CC" w:rsidP="008A63CC">
      <w:pPr>
        <w:spacing w:after="0"/>
        <w:rPr>
          <w:rFonts w:ascii="Arial" w:hAnsi="Arial" w:cs="Arial"/>
        </w:rPr>
      </w:pPr>
    </w:p>
    <w:p w:rsidR="008A63CC" w:rsidRDefault="008A63CC" w:rsidP="008A63CC">
      <w:pPr>
        <w:spacing w:after="0"/>
        <w:rPr>
          <w:rFonts w:ascii="Arial" w:hAnsi="Arial" w:cs="Arial"/>
        </w:rPr>
      </w:pPr>
    </w:p>
    <w:p w:rsidR="008A63CC" w:rsidRDefault="008A63CC" w:rsidP="008A63CC">
      <w:pPr>
        <w:spacing w:after="0"/>
        <w:rPr>
          <w:rFonts w:ascii="Arial" w:hAnsi="Arial" w:cs="Arial"/>
        </w:rPr>
      </w:pPr>
    </w:p>
    <w:p w:rsidR="008A63CC" w:rsidRDefault="008A63CC" w:rsidP="008A63CC">
      <w:pPr>
        <w:spacing w:after="0"/>
        <w:rPr>
          <w:rFonts w:ascii="Arial" w:hAnsi="Arial" w:cs="Arial"/>
        </w:rPr>
      </w:pPr>
    </w:p>
    <w:p w:rsidR="008A63CC" w:rsidRDefault="008A63CC" w:rsidP="008A63CC">
      <w:pPr>
        <w:spacing w:after="0"/>
        <w:rPr>
          <w:rFonts w:ascii="Arial" w:hAnsi="Arial" w:cs="Arial"/>
        </w:rPr>
      </w:pPr>
    </w:p>
    <w:p w:rsidR="008A63CC" w:rsidRDefault="008A63CC" w:rsidP="008A63CC">
      <w:pPr>
        <w:spacing w:after="0"/>
        <w:rPr>
          <w:rFonts w:ascii="Arial" w:hAnsi="Arial" w:cs="Arial"/>
        </w:rPr>
      </w:pPr>
    </w:p>
    <w:p w:rsidR="008A63CC" w:rsidRDefault="008A63CC" w:rsidP="008A63CC">
      <w:pPr>
        <w:spacing w:after="0"/>
        <w:rPr>
          <w:rFonts w:ascii="Arial" w:hAnsi="Arial" w:cs="Arial"/>
        </w:rPr>
      </w:pPr>
    </w:p>
    <w:p w:rsidR="008A63CC" w:rsidRDefault="008A63CC" w:rsidP="008A63CC">
      <w:pPr>
        <w:spacing w:after="0"/>
        <w:rPr>
          <w:rFonts w:ascii="Arial" w:hAnsi="Arial" w:cs="Arial"/>
        </w:rPr>
      </w:pPr>
    </w:p>
    <w:p w:rsidR="008A63CC" w:rsidRDefault="008A63CC" w:rsidP="008A63CC">
      <w:pPr>
        <w:spacing w:after="0"/>
        <w:rPr>
          <w:rFonts w:ascii="Arial" w:hAnsi="Arial" w:cs="Arial"/>
        </w:rPr>
      </w:pPr>
    </w:p>
    <w:p w:rsidR="008A63CC" w:rsidRDefault="008A63CC" w:rsidP="008A63CC">
      <w:pPr>
        <w:spacing w:after="0"/>
        <w:rPr>
          <w:rFonts w:ascii="Arial" w:hAnsi="Arial" w:cs="Arial"/>
        </w:rPr>
      </w:pPr>
    </w:p>
    <w:p w:rsidR="008A63CC" w:rsidRDefault="008A63CC" w:rsidP="008A63CC">
      <w:pPr>
        <w:spacing w:after="0"/>
        <w:rPr>
          <w:rFonts w:ascii="Arial" w:hAnsi="Arial" w:cs="Arial"/>
        </w:rPr>
      </w:pPr>
    </w:p>
    <w:p w:rsidR="008A63CC" w:rsidRDefault="008A63CC" w:rsidP="008A63CC">
      <w:pPr>
        <w:spacing w:after="0"/>
        <w:rPr>
          <w:rFonts w:ascii="Arial" w:hAnsi="Arial" w:cs="Arial"/>
        </w:rPr>
      </w:pPr>
    </w:p>
    <w:p w:rsidR="008A63CC" w:rsidRDefault="008A63CC" w:rsidP="008A63CC">
      <w:pPr>
        <w:spacing w:after="0"/>
        <w:rPr>
          <w:rFonts w:ascii="Arial" w:hAnsi="Arial" w:cs="Arial"/>
        </w:rPr>
      </w:pPr>
    </w:p>
    <w:p w:rsidR="008A63CC" w:rsidRDefault="008A63CC" w:rsidP="008A63CC">
      <w:pPr>
        <w:spacing w:after="0"/>
        <w:rPr>
          <w:rFonts w:ascii="Arial" w:hAnsi="Arial" w:cs="Arial"/>
        </w:rPr>
      </w:pPr>
    </w:p>
    <w:p w:rsidR="00881468" w:rsidRDefault="00881468" w:rsidP="008A63CC">
      <w:pPr>
        <w:spacing w:after="0"/>
        <w:rPr>
          <w:rFonts w:ascii="Arial" w:hAnsi="Arial" w:cs="Arial"/>
        </w:rPr>
      </w:pPr>
    </w:p>
    <w:p w:rsidR="00881468" w:rsidRDefault="00881468" w:rsidP="008A63CC">
      <w:pPr>
        <w:spacing w:after="0"/>
        <w:rPr>
          <w:rFonts w:ascii="Arial" w:hAnsi="Arial" w:cs="Arial"/>
        </w:rPr>
      </w:pPr>
    </w:p>
    <w:p w:rsidR="00881468" w:rsidRDefault="00881468" w:rsidP="008A63CC">
      <w:pPr>
        <w:spacing w:after="0"/>
        <w:rPr>
          <w:rFonts w:ascii="Arial" w:hAnsi="Arial" w:cs="Arial"/>
        </w:rPr>
      </w:pPr>
    </w:p>
    <w:p w:rsidR="00881468" w:rsidRDefault="00881468" w:rsidP="008A63CC">
      <w:pPr>
        <w:spacing w:after="0"/>
        <w:rPr>
          <w:rFonts w:ascii="Arial" w:hAnsi="Arial" w:cs="Arial"/>
        </w:rPr>
      </w:pPr>
    </w:p>
    <w:p w:rsidR="00881468" w:rsidRDefault="00881468" w:rsidP="008A63CC">
      <w:pPr>
        <w:spacing w:after="0"/>
        <w:rPr>
          <w:rFonts w:ascii="Arial" w:hAnsi="Arial" w:cs="Arial"/>
        </w:rPr>
      </w:pPr>
    </w:p>
    <w:p w:rsidR="00881468" w:rsidRDefault="00881468" w:rsidP="008A63CC">
      <w:pPr>
        <w:spacing w:after="0"/>
        <w:rPr>
          <w:rFonts w:ascii="Arial" w:hAnsi="Arial" w:cs="Arial"/>
        </w:rPr>
      </w:pPr>
    </w:p>
    <w:p w:rsidR="00881468" w:rsidRDefault="00881468" w:rsidP="008A63CC">
      <w:pPr>
        <w:spacing w:after="0"/>
        <w:rPr>
          <w:rFonts w:ascii="Arial" w:hAnsi="Arial" w:cs="Arial"/>
        </w:rPr>
      </w:pPr>
    </w:p>
    <w:p w:rsidR="00881468" w:rsidRDefault="00881468" w:rsidP="008A63CC">
      <w:pPr>
        <w:spacing w:after="0"/>
        <w:rPr>
          <w:rFonts w:ascii="Arial" w:hAnsi="Arial" w:cs="Arial"/>
        </w:rPr>
      </w:pPr>
    </w:p>
    <w:p w:rsidR="00881468" w:rsidRDefault="00881468" w:rsidP="008A63CC">
      <w:pPr>
        <w:spacing w:after="0"/>
        <w:rPr>
          <w:rFonts w:ascii="Arial" w:hAnsi="Arial" w:cs="Arial"/>
        </w:rPr>
      </w:pPr>
    </w:p>
    <w:p w:rsidR="00881468" w:rsidRDefault="00881468" w:rsidP="008A63CC">
      <w:pPr>
        <w:spacing w:after="0"/>
        <w:rPr>
          <w:rFonts w:ascii="Arial" w:hAnsi="Arial" w:cs="Arial"/>
        </w:rPr>
      </w:pPr>
    </w:p>
    <w:p w:rsidR="00881468" w:rsidRDefault="00881468" w:rsidP="008A63CC">
      <w:pPr>
        <w:spacing w:after="0"/>
        <w:rPr>
          <w:rFonts w:ascii="Arial" w:hAnsi="Arial" w:cs="Arial"/>
        </w:rPr>
      </w:pPr>
    </w:p>
    <w:p w:rsidR="00881468" w:rsidRDefault="00881468" w:rsidP="008A63CC">
      <w:pPr>
        <w:spacing w:after="0"/>
        <w:rPr>
          <w:rFonts w:ascii="Arial" w:hAnsi="Arial" w:cs="Arial"/>
        </w:rPr>
      </w:pPr>
    </w:p>
    <w:p w:rsidR="00881468" w:rsidRDefault="00881468" w:rsidP="008A63CC">
      <w:pPr>
        <w:spacing w:after="0"/>
        <w:rPr>
          <w:rFonts w:ascii="Arial" w:hAnsi="Arial" w:cs="Arial"/>
        </w:rPr>
      </w:pPr>
    </w:p>
    <w:p w:rsidR="00881468" w:rsidRDefault="00881468" w:rsidP="008A63CC">
      <w:pPr>
        <w:spacing w:after="0"/>
        <w:rPr>
          <w:rFonts w:ascii="Arial" w:hAnsi="Arial" w:cs="Arial"/>
        </w:rPr>
      </w:pPr>
    </w:p>
    <w:p w:rsidR="00881468" w:rsidRDefault="00881468" w:rsidP="008A63CC">
      <w:pPr>
        <w:spacing w:after="0"/>
        <w:rPr>
          <w:rFonts w:ascii="Arial" w:hAnsi="Arial" w:cs="Arial"/>
        </w:rPr>
      </w:pPr>
    </w:p>
    <w:p w:rsidR="008A63CC" w:rsidRPr="00CD0D75" w:rsidRDefault="008A63CC" w:rsidP="008A63CC">
      <w:pPr>
        <w:spacing w:after="0"/>
        <w:jc w:val="both"/>
        <w:rPr>
          <w:rFonts w:ascii="Arial" w:hAnsi="Arial" w:cs="Arial"/>
          <w:b/>
          <w:bCs/>
        </w:rPr>
      </w:pPr>
      <w:r w:rsidRPr="00CD0D75">
        <w:rPr>
          <w:rFonts w:ascii="Arial" w:hAnsi="Arial" w:cs="Arial"/>
          <w:b/>
          <w:bCs/>
        </w:rPr>
        <w:lastRenderedPageBreak/>
        <w:t>P R I L O Z I</w:t>
      </w:r>
      <w:r>
        <w:rPr>
          <w:rFonts w:ascii="Arial" w:hAnsi="Arial" w:cs="Arial"/>
          <w:b/>
          <w:bCs/>
        </w:rPr>
        <w:t>:</w:t>
      </w:r>
    </w:p>
    <w:p w:rsidR="008A63CC" w:rsidRPr="00CD0D75" w:rsidRDefault="008A63CC" w:rsidP="008A63CC">
      <w:pPr>
        <w:spacing w:after="0"/>
        <w:jc w:val="both"/>
        <w:rPr>
          <w:rFonts w:ascii="Arial" w:hAnsi="Arial" w:cs="Arial"/>
          <w:b/>
          <w:bCs/>
        </w:rPr>
      </w:pP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EC4EC7">
        <w:rPr>
          <w:rFonts w:ascii="Arial" w:hAnsi="Arial" w:cs="Arial"/>
          <w:b/>
        </w:rPr>
        <w:t>1.</w:t>
      </w:r>
      <w:r w:rsidRPr="00CD0D75">
        <w:rPr>
          <w:rFonts w:ascii="Arial" w:hAnsi="Arial" w:cs="Arial"/>
          <w:b/>
        </w:rPr>
        <w:t xml:space="preserve"> </w:t>
      </w:r>
      <w:r w:rsidRPr="00CD0D75">
        <w:rPr>
          <w:rFonts w:ascii="Arial" w:hAnsi="Arial" w:cs="Arial"/>
        </w:rPr>
        <w:t xml:space="preserve"> Nacrt Ugovora o koncesiji </w:t>
      </w:r>
    </w:p>
    <w:p w:rsidR="008A63CC" w:rsidRPr="00CD0D75" w:rsidRDefault="008A63CC" w:rsidP="008A63CC">
      <w:pPr>
        <w:spacing w:after="0"/>
        <w:jc w:val="both"/>
        <w:rPr>
          <w:rFonts w:ascii="Arial" w:hAnsi="Arial" w:cs="Arial"/>
        </w:rPr>
      </w:pPr>
    </w:p>
    <w:p w:rsidR="008A63CC" w:rsidRDefault="008A63CC" w:rsidP="008A63CC">
      <w:pPr>
        <w:spacing w:after="0"/>
        <w:jc w:val="both"/>
        <w:rPr>
          <w:rFonts w:ascii="Arial" w:hAnsi="Arial" w:cs="Arial"/>
        </w:rPr>
      </w:pPr>
      <w:r w:rsidRPr="00CD0D75">
        <w:rPr>
          <w:rFonts w:ascii="Arial" w:hAnsi="Arial" w:cs="Arial"/>
          <w:b/>
        </w:rPr>
        <w:t>2.</w:t>
      </w:r>
      <w:r w:rsidRPr="00CD0D75">
        <w:rPr>
          <w:rFonts w:ascii="Arial" w:hAnsi="Arial" w:cs="Arial"/>
        </w:rPr>
        <w:t xml:space="preserve">  </w:t>
      </w:r>
      <w:r w:rsidR="007F1AC5">
        <w:rPr>
          <w:rFonts w:ascii="Arial" w:hAnsi="Arial" w:cs="Arial"/>
        </w:rPr>
        <w:t>Uputstva i obrasci</w:t>
      </w:r>
    </w:p>
    <w:p w:rsidR="007F1AC5" w:rsidRPr="00CD0D75" w:rsidRDefault="007F1AC5" w:rsidP="008A63CC">
      <w:pPr>
        <w:spacing w:after="0"/>
        <w:jc w:val="both"/>
        <w:rPr>
          <w:rFonts w:ascii="Arial" w:hAnsi="Arial" w:cs="Arial"/>
        </w:rPr>
      </w:pPr>
    </w:p>
    <w:p w:rsidR="008A63CC" w:rsidRPr="00CD0D75" w:rsidRDefault="008A63CC" w:rsidP="008A63CC">
      <w:pPr>
        <w:pStyle w:val="ListParagraph"/>
        <w:numPr>
          <w:ilvl w:val="0"/>
          <w:numId w:val="14"/>
        </w:numPr>
        <w:spacing w:after="0"/>
        <w:ind w:left="0" w:firstLine="0"/>
        <w:contextualSpacing w:val="0"/>
        <w:jc w:val="both"/>
        <w:rPr>
          <w:rFonts w:ascii="Arial" w:hAnsi="Arial" w:cs="Arial"/>
        </w:rPr>
      </w:pPr>
      <w:r w:rsidRPr="00CD0D75">
        <w:rPr>
          <w:rFonts w:ascii="Arial" w:hAnsi="Arial" w:cs="Arial"/>
        </w:rPr>
        <w:t>Obrazac A – Podaci o ponuđaču</w:t>
      </w:r>
    </w:p>
    <w:p w:rsidR="008A63CC" w:rsidRPr="00CD0D75" w:rsidRDefault="008A63CC" w:rsidP="008A63CC">
      <w:pPr>
        <w:pStyle w:val="ListParagraph"/>
        <w:numPr>
          <w:ilvl w:val="0"/>
          <w:numId w:val="14"/>
        </w:numPr>
        <w:spacing w:after="0"/>
        <w:ind w:left="0" w:firstLine="0"/>
        <w:contextualSpacing w:val="0"/>
        <w:jc w:val="both"/>
        <w:rPr>
          <w:rFonts w:ascii="Arial" w:hAnsi="Arial" w:cs="Arial"/>
        </w:rPr>
      </w:pPr>
      <w:r w:rsidRPr="00CD0D75">
        <w:rPr>
          <w:rFonts w:ascii="Arial" w:hAnsi="Arial" w:cs="Arial"/>
        </w:rPr>
        <w:t>Obrazac B – Tehnička ponuda</w:t>
      </w:r>
    </w:p>
    <w:p w:rsidR="008A63CC" w:rsidRPr="00EE5972" w:rsidRDefault="008A63CC" w:rsidP="008A63CC">
      <w:pPr>
        <w:pStyle w:val="ListParagraph"/>
        <w:numPr>
          <w:ilvl w:val="0"/>
          <w:numId w:val="14"/>
        </w:numPr>
        <w:spacing w:after="0"/>
        <w:ind w:left="0" w:firstLine="0"/>
        <w:contextualSpacing w:val="0"/>
        <w:jc w:val="both"/>
        <w:rPr>
          <w:rFonts w:ascii="Arial" w:hAnsi="Arial" w:cs="Arial"/>
        </w:rPr>
      </w:pPr>
      <w:r w:rsidRPr="00CD0D75">
        <w:rPr>
          <w:rFonts w:ascii="Arial" w:hAnsi="Arial" w:cs="Arial"/>
        </w:rPr>
        <w:t>Obrazac C – Forma bankarske garancije za ponudu</w:t>
      </w:r>
    </w:p>
    <w:p w:rsidR="008A63CC" w:rsidRPr="00CD0D75" w:rsidRDefault="008A63CC" w:rsidP="008A63CC">
      <w:pPr>
        <w:pStyle w:val="ListParagraph"/>
        <w:numPr>
          <w:ilvl w:val="0"/>
          <w:numId w:val="14"/>
        </w:numPr>
        <w:spacing w:after="0"/>
        <w:ind w:left="0" w:firstLine="0"/>
        <w:contextualSpacing w:val="0"/>
        <w:jc w:val="both"/>
        <w:rPr>
          <w:rFonts w:ascii="Arial" w:hAnsi="Arial" w:cs="Arial"/>
        </w:rPr>
      </w:pPr>
      <w:r>
        <w:rPr>
          <w:rFonts w:ascii="Arial" w:hAnsi="Arial" w:cs="Arial"/>
        </w:rPr>
        <w:t>Prilog 1</w:t>
      </w:r>
      <w:r w:rsidRPr="00CD0D75">
        <w:rPr>
          <w:rFonts w:ascii="Arial" w:hAnsi="Arial" w:cs="Arial"/>
        </w:rPr>
        <w:t xml:space="preserve"> –obrazac bankarske garancije za ispunjavanje ugovornih obaveza</w:t>
      </w:r>
    </w:p>
    <w:p w:rsidR="008A63CC" w:rsidRDefault="008A63CC" w:rsidP="008A63CC">
      <w:pPr>
        <w:pStyle w:val="ListParagraph"/>
        <w:numPr>
          <w:ilvl w:val="0"/>
          <w:numId w:val="14"/>
        </w:numPr>
        <w:spacing w:after="0"/>
        <w:ind w:left="0" w:firstLine="0"/>
        <w:contextualSpacing w:val="0"/>
        <w:jc w:val="both"/>
        <w:rPr>
          <w:rFonts w:ascii="Arial" w:hAnsi="Arial" w:cs="Arial"/>
        </w:rPr>
      </w:pPr>
      <w:r>
        <w:rPr>
          <w:rFonts w:ascii="Arial" w:hAnsi="Arial" w:cs="Arial"/>
        </w:rPr>
        <w:t>Prilog 2</w:t>
      </w:r>
      <w:r w:rsidR="007F1AC5">
        <w:rPr>
          <w:rFonts w:ascii="Arial" w:hAnsi="Arial" w:cs="Arial"/>
        </w:rPr>
        <w:t xml:space="preserve"> </w:t>
      </w:r>
      <w:r w:rsidRPr="00CD0D75">
        <w:rPr>
          <w:rFonts w:ascii="Arial" w:hAnsi="Arial" w:cs="Arial"/>
        </w:rPr>
        <w:t>-</w:t>
      </w:r>
      <w:r w:rsidR="007F1AC5">
        <w:rPr>
          <w:rFonts w:ascii="Arial" w:hAnsi="Arial" w:cs="Arial"/>
        </w:rPr>
        <w:t xml:space="preserve"> </w:t>
      </w:r>
      <w:r w:rsidRPr="00CD0D75">
        <w:rPr>
          <w:rFonts w:ascii="Arial" w:hAnsi="Arial" w:cs="Arial"/>
        </w:rPr>
        <w:t>obrazac bankarske garancije za rekultivaciju</w:t>
      </w:r>
    </w:p>
    <w:p w:rsidR="007F1AC5" w:rsidRPr="007F1AC5" w:rsidRDefault="007F1AC5" w:rsidP="007F1AC5">
      <w:pPr>
        <w:pStyle w:val="ListParagraph"/>
        <w:numPr>
          <w:ilvl w:val="0"/>
          <w:numId w:val="14"/>
        </w:numPr>
        <w:spacing w:after="0"/>
        <w:ind w:left="0" w:firstLine="0"/>
        <w:contextualSpacing w:val="0"/>
        <w:jc w:val="both"/>
        <w:rPr>
          <w:rFonts w:ascii="Arial" w:hAnsi="Arial" w:cs="Arial"/>
        </w:rPr>
      </w:pPr>
      <w:r>
        <w:rPr>
          <w:rFonts w:ascii="Arial" w:hAnsi="Arial" w:cs="Arial"/>
        </w:rPr>
        <w:t xml:space="preserve">Prilog 3 - </w:t>
      </w:r>
      <w:r w:rsidRPr="00CD0D75">
        <w:rPr>
          <w:rFonts w:ascii="Arial" w:hAnsi="Arial" w:cs="Arial"/>
        </w:rPr>
        <w:t>Uputstvo za podnošenje ponuda</w:t>
      </w:r>
    </w:p>
    <w:p w:rsidR="008A63CC" w:rsidRPr="00CD0D75" w:rsidRDefault="008A63CC" w:rsidP="008A63CC">
      <w:pPr>
        <w:spacing w:after="0"/>
        <w:jc w:val="both"/>
        <w:rPr>
          <w:rFonts w:ascii="Arial" w:hAnsi="Arial" w:cs="Arial"/>
        </w:rPr>
      </w:pPr>
    </w:p>
    <w:p w:rsidR="008A63CC" w:rsidRPr="00CD0D75" w:rsidRDefault="008A63CC" w:rsidP="008A63CC">
      <w:pPr>
        <w:spacing w:after="0"/>
        <w:jc w:val="both"/>
        <w:rPr>
          <w:rFonts w:ascii="Arial" w:hAnsi="Arial" w:cs="Arial"/>
        </w:rPr>
      </w:pPr>
      <w:r w:rsidRPr="00EC4EC7">
        <w:rPr>
          <w:rFonts w:ascii="Arial" w:hAnsi="Arial" w:cs="Arial"/>
          <w:b/>
        </w:rPr>
        <w:t>3.</w:t>
      </w:r>
      <w:r w:rsidRPr="00CD0D75">
        <w:rPr>
          <w:rFonts w:ascii="Arial" w:hAnsi="Arial" w:cs="Arial"/>
        </w:rPr>
        <w:t xml:space="preserve"> Javni oglas</w:t>
      </w:r>
    </w:p>
    <w:p w:rsidR="008A63CC" w:rsidRPr="00E93BF6" w:rsidRDefault="008A63CC" w:rsidP="008A63CC"/>
    <w:p w:rsidR="008A63CC" w:rsidRDefault="008A63CC" w:rsidP="008A63CC"/>
    <w:p w:rsidR="00EA2E47" w:rsidRDefault="00EA2E47" w:rsidP="008A63CC">
      <w:pPr>
        <w:pStyle w:val="Heading1"/>
        <w:spacing w:before="0" w:after="0"/>
        <w:jc w:val="both"/>
      </w:pPr>
    </w:p>
    <w:sectPr w:rsidR="00EA2E47" w:rsidSect="00CD0D75">
      <w:footerReference w:type="default" r:id="rId9"/>
      <w:pgSz w:w="12240" w:h="15840"/>
      <w:pgMar w:top="851" w:right="1021" w:bottom="851" w:left="102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781" w:rsidRDefault="00F92781" w:rsidP="00EA2E47">
      <w:pPr>
        <w:spacing w:after="0" w:line="240" w:lineRule="auto"/>
      </w:pPr>
      <w:r>
        <w:separator/>
      </w:r>
    </w:p>
  </w:endnote>
  <w:endnote w:type="continuationSeparator" w:id="1">
    <w:p w:rsidR="00F92781" w:rsidRDefault="00F92781" w:rsidP="00EA2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79"/>
      <w:gridCol w:w="9335"/>
    </w:tblGrid>
    <w:tr w:rsidR="008A63CC" w:rsidTr="00EC4EC7">
      <w:trPr>
        <w:trHeight w:val="315"/>
      </w:trPr>
      <w:tc>
        <w:tcPr>
          <w:tcW w:w="918" w:type="dxa"/>
        </w:tcPr>
        <w:p w:rsidR="008A63CC" w:rsidRPr="000B58CD" w:rsidRDefault="008C3F50">
          <w:pPr>
            <w:pStyle w:val="Footer"/>
            <w:jc w:val="right"/>
            <w:rPr>
              <w:b/>
              <w:color w:val="4F81BD" w:themeColor="accent1"/>
            </w:rPr>
          </w:pPr>
          <w:r w:rsidRPr="008C3F50">
            <w:fldChar w:fldCharType="begin"/>
          </w:r>
          <w:r w:rsidR="008A63CC">
            <w:instrText xml:space="preserve"> PAGE   \* MERGEFORMAT </w:instrText>
          </w:r>
          <w:r w:rsidRPr="008C3F50">
            <w:fldChar w:fldCharType="separate"/>
          </w:r>
          <w:r w:rsidR="00881468" w:rsidRPr="00881468">
            <w:rPr>
              <w:b/>
              <w:noProof/>
              <w:color w:val="4F81BD" w:themeColor="accent1"/>
            </w:rPr>
            <w:t>30</w:t>
          </w:r>
          <w:r>
            <w:rPr>
              <w:b/>
              <w:noProof/>
              <w:color w:val="4F81BD" w:themeColor="accent1"/>
            </w:rPr>
            <w:fldChar w:fldCharType="end"/>
          </w:r>
        </w:p>
      </w:tc>
      <w:tc>
        <w:tcPr>
          <w:tcW w:w="7938" w:type="dxa"/>
        </w:tcPr>
        <w:p w:rsidR="008A63CC" w:rsidRPr="00EC4EC7" w:rsidRDefault="008A63CC" w:rsidP="00EC4EC7">
          <w:pPr>
            <w:pStyle w:val="Footer"/>
            <w:jc w:val="both"/>
            <w:rPr>
              <w:rFonts w:ascii="Arial" w:hAnsi="Arial" w:cs="Arial"/>
              <w:sz w:val="20"/>
              <w:szCs w:val="20"/>
            </w:rPr>
          </w:pPr>
          <w:r w:rsidRPr="00EC4EC7">
            <w:rPr>
              <w:rFonts w:ascii="Arial" w:hAnsi="Arial" w:cs="Arial"/>
              <w:sz w:val="20"/>
              <w:szCs w:val="20"/>
            </w:rPr>
            <w:t>Koncesioni akt o mineralnoj sirovini tehničko-građevinskog kamena na ležištu “Otilovići”, opština Pljevlja</w:t>
          </w:r>
        </w:p>
      </w:tc>
    </w:tr>
  </w:tbl>
  <w:p w:rsidR="008A63CC" w:rsidRDefault="008A63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781" w:rsidRDefault="00F92781" w:rsidP="00EA2E47">
      <w:pPr>
        <w:spacing w:after="0" w:line="240" w:lineRule="auto"/>
      </w:pPr>
      <w:r>
        <w:separator/>
      </w:r>
    </w:p>
  </w:footnote>
  <w:footnote w:type="continuationSeparator" w:id="1">
    <w:p w:rsidR="00F92781" w:rsidRDefault="00F92781" w:rsidP="00EA2E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4"/>
    <w:multiLevelType w:val="multilevel"/>
    <w:tmpl w:val="00000004"/>
    <w:name w:val="WWNum13"/>
    <w:lvl w:ilvl="0">
      <w:start w:val="1"/>
      <w:numFmt w:val="bullet"/>
      <w:lvlText w:val="-"/>
      <w:lvlJc w:val="left"/>
      <w:pPr>
        <w:tabs>
          <w:tab w:val="num" w:pos="0"/>
        </w:tabs>
        <w:ind w:left="720" w:hanging="360"/>
      </w:pPr>
      <w:rPr>
        <w:rFonts w:ascii="Arial Narrow" w:hAnsi="Arial Narrow"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6"/>
    <w:multiLevelType w:val="multilevel"/>
    <w:tmpl w:val="00000006"/>
    <w:name w:val="WWNum15"/>
    <w:lvl w:ilvl="0">
      <w:start w:val="1"/>
      <w:numFmt w:val="bullet"/>
      <w:lvlText w:val="-"/>
      <w:lvlJc w:val="left"/>
      <w:pPr>
        <w:tabs>
          <w:tab w:val="num" w:pos="0"/>
        </w:tabs>
        <w:ind w:left="720" w:hanging="360"/>
      </w:pPr>
      <w:rPr>
        <w:rFonts w:ascii="Arial Narrow" w:hAnsi="Arial Narrow"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7"/>
    <w:multiLevelType w:val="multilevel"/>
    <w:tmpl w:val="00000007"/>
    <w:name w:val="WWNum16"/>
    <w:lvl w:ilvl="0">
      <w:start w:val="1"/>
      <w:numFmt w:val="bullet"/>
      <w:lvlText w:val="-"/>
      <w:lvlJc w:val="left"/>
      <w:pPr>
        <w:tabs>
          <w:tab w:val="num" w:pos="0"/>
        </w:tabs>
        <w:ind w:left="720" w:hanging="360"/>
      </w:pPr>
      <w:rPr>
        <w:rFonts w:ascii="Arial Narrow" w:hAnsi="Arial Narrow"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8"/>
    <w:multiLevelType w:val="multilevel"/>
    <w:tmpl w:val="00000008"/>
    <w:name w:val="WWNum17"/>
    <w:lvl w:ilvl="0">
      <w:start w:val="1"/>
      <w:numFmt w:val="bullet"/>
      <w:lvlText w:val="-"/>
      <w:lvlJc w:val="left"/>
      <w:pPr>
        <w:tabs>
          <w:tab w:val="num" w:pos="0"/>
        </w:tabs>
        <w:ind w:left="720" w:hanging="360"/>
      </w:pPr>
      <w:rPr>
        <w:rFonts w:ascii="Arial Narrow" w:hAnsi="Arial Narrow"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A"/>
    <w:multiLevelType w:val="multilevel"/>
    <w:tmpl w:val="0000000A"/>
    <w:name w:val="WWNum19"/>
    <w:lvl w:ilvl="0">
      <w:start w:val="1"/>
      <w:numFmt w:val="bullet"/>
      <w:lvlText w:val="-"/>
      <w:lvlJc w:val="left"/>
      <w:pPr>
        <w:tabs>
          <w:tab w:val="num" w:pos="0"/>
        </w:tabs>
        <w:ind w:left="720" w:hanging="360"/>
      </w:pPr>
      <w:rPr>
        <w:rFonts w:ascii="Arial Narrow" w:hAnsi="Arial Narrow"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B"/>
    <w:multiLevelType w:val="multilevel"/>
    <w:tmpl w:val="0000000B"/>
    <w:name w:val="WWNum20"/>
    <w:lvl w:ilvl="0">
      <w:start w:val="1"/>
      <w:numFmt w:val="bullet"/>
      <w:lvlText w:val="-"/>
      <w:lvlJc w:val="left"/>
      <w:pPr>
        <w:tabs>
          <w:tab w:val="num" w:pos="0"/>
        </w:tabs>
        <w:ind w:left="720" w:hanging="360"/>
      </w:pPr>
      <w:rPr>
        <w:rFonts w:ascii="Arial Narrow" w:hAnsi="Arial Narrow"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F"/>
    <w:multiLevelType w:val="multilevel"/>
    <w:tmpl w:val="0000000F"/>
    <w:name w:val="WWNum27"/>
    <w:lvl w:ilvl="0">
      <w:start w:val="1"/>
      <w:numFmt w:val="bullet"/>
      <w:lvlText w:val="-"/>
      <w:lvlJc w:val="left"/>
      <w:pPr>
        <w:tabs>
          <w:tab w:val="num" w:pos="0"/>
        </w:tabs>
        <w:ind w:left="720" w:hanging="360"/>
      </w:pPr>
      <w:rPr>
        <w:rFonts w:ascii="Arial Narrow" w:hAnsi="Arial Narrow"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10"/>
    <w:multiLevelType w:val="multilevel"/>
    <w:tmpl w:val="00000010"/>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11"/>
    <w:multiLevelType w:val="multilevel"/>
    <w:tmpl w:val="00000011"/>
    <w:name w:val="WWNum29"/>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AA80EC2"/>
    <w:multiLevelType w:val="hybridMultilevel"/>
    <w:tmpl w:val="7926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ED4A05"/>
    <w:multiLevelType w:val="hybridMultilevel"/>
    <w:tmpl w:val="EB4EA45E"/>
    <w:lvl w:ilvl="0" w:tplc="AE6E48CC">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A238A8"/>
    <w:multiLevelType w:val="hybridMultilevel"/>
    <w:tmpl w:val="64E8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142AE4"/>
    <w:multiLevelType w:val="hybridMultilevel"/>
    <w:tmpl w:val="92240D1C"/>
    <w:lvl w:ilvl="0" w:tplc="04090001">
      <w:start w:val="1"/>
      <w:numFmt w:val="bullet"/>
      <w:lvlText w:val=""/>
      <w:lvlJc w:val="left"/>
      <w:pPr>
        <w:tabs>
          <w:tab w:val="num" w:pos="720"/>
        </w:tabs>
        <w:ind w:left="720" w:hanging="360"/>
      </w:pPr>
      <w:rPr>
        <w:rFonts w:ascii="Symbol" w:hAnsi="Symbol" w:cs="Symbol" w:hint="default"/>
      </w:rPr>
    </w:lvl>
    <w:lvl w:ilvl="1" w:tplc="C1ECFCE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7A71DDE"/>
    <w:multiLevelType w:val="hybridMultilevel"/>
    <w:tmpl w:val="C43006E8"/>
    <w:lvl w:ilvl="0" w:tplc="18389828">
      <w:start w:val="10"/>
      <w:numFmt w:val="decimal"/>
      <w:lvlText w:val="%1."/>
      <w:lvlJc w:val="left"/>
      <w:pPr>
        <w:tabs>
          <w:tab w:val="num" w:pos="394"/>
        </w:tabs>
        <w:ind w:left="394" w:hanging="360"/>
      </w:pPr>
      <w:rPr>
        <w:rFonts w:ascii="Calibri" w:hAnsi="Calibri" w:cs="Calibri" w:hint="default"/>
        <w:color w:val="00000A"/>
        <w:sz w:val="24"/>
      </w:rPr>
    </w:lvl>
    <w:lvl w:ilvl="1" w:tplc="081A0019" w:tentative="1">
      <w:start w:val="1"/>
      <w:numFmt w:val="lowerLetter"/>
      <w:lvlText w:val="%2."/>
      <w:lvlJc w:val="left"/>
      <w:pPr>
        <w:tabs>
          <w:tab w:val="num" w:pos="1114"/>
        </w:tabs>
        <w:ind w:left="1114" w:hanging="360"/>
      </w:pPr>
    </w:lvl>
    <w:lvl w:ilvl="2" w:tplc="081A001B" w:tentative="1">
      <w:start w:val="1"/>
      <w:numFmt w:val="lowerRoman"/>
      <w:lvlText w:val="%3."/>
      <w:lvlJc w:val="right"/>
      <w:pPr>
        <w:tabs>
          <w:tab w:val="num" w:pos="1834"/>
        </w:tabs>
        <w:ind w:left="1834" w:hanging="180"/>
      </w:pPr>
    </w:lvl>
    <w:lvl w:ilvl="3" w:tplc="081A000F" w:tentative="1">
      <w:start w:val="1"/>
      <w:numFmt w:val="decimal"/>
      <w:lvlText w:val="%4."/>
      <w:lvlJc w:val="left"/>
      <w:pPr>
        <w:tabs>
          <w:tab w:val="num" w:pos="2554"/>
        </w:tabs>
        <w:ind w:left="2554" w:hanging="360"/>
      </w:pPr>
    </w:lvl>
    <w:lvl w:ilvl="4" w:tplc="081A0019" w:tentative="1">
      <w:start w:val="1"/>
      <w:numFmt w:val="lowerLetter"/>
      <w:lvlText w:val="%5."/>
      <w:lvlJc w:val="left"/>
      <w:pPr>
        <w:tabs>
          <w:tab w:val="num" w:pos="3274"/>
        </w:tabs>
        <w:ind w:left="3274" w:hanging="360"/>
      </w:pPr>
    </w:lvl>
    <w:lvl w:ilvl="5" w:tplc="081A001B" w:tentative="1">
      <w:start w:val="1"/>
      <w:numFmt w:val="lowerRoman"/>
      <w:lvlText w:val="%6."/>
      <w:lvlJc w:val="right"/>
      <w:pPr>
        <w:tabs>
          <w:tab w:val="num" w:pos="3994"/>
        </w:tabs>
        <w:ind w:left="3994" w:hanging="180"/>
      </w:pPr>
    </w:lvl>
    <w:lvl w:ilvl="6" w:tplc="081A000F" w:tentative="1">
      <w:start w:val="1"/>
      <w:numFmt w:val="decimal"/>
      <w:lvlText w:val="%7."/>
      <w:lvlJc w:val="left"/>
      <w:pPr>
        <w:tabs>
          <w:tab w:val="num" w:pos="4714"/>
        </w:tabs>
        <w:ind w:left="4714" w:hanging="360"/>
      </w:pPr>
    </w:lvl>
    <w:lvl w:ilvl="7" w:tplc="081A0019" w:tentative="1">
      <w:start w:val="1"/>
      <w:numFmt w:val="lowerLetter"/>
      <w:lvlText w:val="%8."/>
      <w:lvlJc w:val="left"/>
      <w:pPr>
        <w:tabs>
          <w:tab w:val="num" w:pos="5434"/>
        </w:tabs>
        <w:ind w:left="5434" w:hanging="360"/>
      </w:pPr>
    </w:lvl>
    <w:lvl w:ilvl="8" w:tplc="081A001B" w:tentative="1">
      <w:start w:val="1"/>
      <w:numFmt w:val="lowerRoman"/>
      <w:lvlText w:val="%9."/>
      <w:lvlJc w:val="right"/>
      <w:pPr>
        <w:tabs>
          <w:tab w:val="num" w:pos="6154"/>
        </w:tabs>
        <w:ind w:left="6154" w:hanging="180"/>
      </w:pPr>
    </w:lvl>
  </w:abstractNum>
  <w:abstractNum w:abstractNumId="15">
    <w:nsid w:val="1A002F4E"/>
    <w:multiLevelType w:val="hybridMultilevel"/>
    <w:tmpl w:val="F37A4D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0A1DD0"/>
    <w:multiLevelType w:val="hybridMultilevel"/>
    <w:tmpl w:val="306646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2A7FD0"/>
    <w:multiLevelType w:val="hybridMultilevel"/>
    <w:tmpl w:val="4DB47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1C075CE"/>
    <w:multiLevelType w:val="hybridMultilevel"/>
    <w:tmpl w:val="D206BC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991080"/>
    <w:multiLevelType w:val="multilevel"/>
    <w:tmpl w:val="504E21B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242E221A"/>
    <w:multiLevelType w:val="hybridMultilevel"/>
    <w:tmpl w:val="0464D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EE0473"/>
    <w:multiLevelType w:val="hybridMultilevel"/>
    <w:tmpl w:val="3570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6F5CA4"/>
    <w:multiLevelType w:val="hybridMultilevel"/>
    <w:tmpl w:val="9AE25FA6"/>
    <w:lvl w:ilvl="0" w:tplc="E15ABA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B90743"/>
    <w:multiLevelType w:val="hybridMultilevel"/>
    <w:tmpl w:val="82AC6F5C"/>
    <w:lvl w:ilvl="0" w:tplc="72941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4F36CC"/>
    <w:multiLevelType w:val="hybridMultilevel"/>
    <w:tmpl w:val="82B4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EA3DE0"/>
    <w:multiLevelType w:val="hybridMultilevel"/>
    <w:tmpl w:val="F110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9C781B"/>
    <w:multiLevelType w:val="hybridMultilevel"/>
    <w:tmpl w:val="C67E7492"/>
    <w:lvl w:ilvl="0" w:tplc="081A0001">
      <w:start w:val="1"/>
      <w:numFmt w:val="bullet"/>
      <w:lvlText w:val=""/>
      <w:lvlJc w:val="left"/>
      <w:pPr>
        <w:tabs>
          <w:tab w:val="num" w:pos="1080"/>
        </w:tabs>
        <w:ind w:left="1080" w:hanging="360"/>
      </w:pPr>
      <w:rPr>
        <w:rFonts w:ascii="Symbol" w:hAnsi="Symbo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27">
    <w:nsid w:val="49F3323E"/>
    <w:multiLevelType w:val="hybridMultilevel"/>
    <w:tmpl w:val="8040AA0C"/>
    <w:lvl w:ilvl="0" w:tplc="773A73D8">
      <w:start w:val="14"/>
      <w:numFmt w:val="decimal"/>
      <w:lvlText w:val="Čla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044A73"/>
    <w:multiLevelType w:val="hybridMultilevel"/>
    <w:tmpl w:val="5130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D35C27"/>
    <w:multiLevelType w:val="hybridMultilevel"/>
    <w:tmpl w:val="40FE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FD784D"/>
    <w:multiLevelType w:val="hybridMultilevel"/>
    <w:tmpl w:val="BDD8AE88"/>
    <w:lvl w:ilvl="0" w:tplc="2F180BB2">
      <w:start w:val="7"/>
      <w:numFmt w:val="bullet"/>
      <w:lvlText w:val="-"/>
      <w:lvlJc w:val="left"/>
      <w:pPr>
        <w:ind w:left="720" w:hanging="360"/>
      </w:pPr>
      <w:rPr>
        <w:rFonts w:ascii="Arial Narrow" w:eastAsia="Calibri" w:hAnsi="Arial Narrow" w:cs="Arial" w:hint="default"/>
      </w:rPr>
    </w:lvl>
    <w:lvl w:ilvl="1" w:tplc="F3E640FC" w:tentative="1">
      <w:start w:val="1"/>
      <w:numFmt w:val="bullet"/>
      <w:lvlText w:val="o"/>
      <w:lvlJc w:val="left"/>
      <w:pPr>
        <w:ind w:left="1440" w:hanging="360"/>
      </w:pPr>
      <w:rPr>
        <w:rFonts w:ascii="Courier New" w:hAnsi="Courier New" w:cs="Courier New" w:hint="default"/>
      </w:rPr>
    </w:lvl>
    <w:lvl w:ilvl="2" w:tplc="8EDAA516" w:tentative="1">
      <w:start w:val="1"/>
      <w:numFmt w:val="bullet"/>
      <w:lvlText w:val=""/>
      <w:lvlJc w:val="left"/>
      <w:pPr>
        <w:ind w:left="2160" w:hanging="360"/>
      </w:pPr>
      <w:rPr>
        <w:rFonts w:ascii="Wingdings" w:hAnsi="Wingdings" w:hint="default"/>
      </w:rPr>
    </w:lvl>
    <w:lvl w:ilvl="3" w:tplc="B66E4FC0" w:tentative="1">
      <w:start w:val="1"/>
      <w:numFmt w:val="bullet"/>
      <w:lvlText w:val=""/>
      <w:lvlJc w:val="left"/>
      <w:pPr>
        <w:ind w:left="2880" w:hanging="360"/>
      </w:pPr>
      <w:rPr>
        <w:rFonts w:ascii="Symbol" w:hAnsi="Symbol" w:hint="default"/>
      </w:rPr>
    </w:lvl>
    <w:lvl w:ilvl="4" w:tplc="0610E56A" w:tentative="1">
      <w:start w:val="1"/>
      <w:numFmt w:val="bullet"/>
      <w:lvlText w:val="o"/>
      <w:lvlJc w:val="left"/>
      <w:pPr>
        <w:ind w:left="3600" w:hanging="360"/>
      </w:pPr>
      <w:rPr>
        <w:rFonts w:ascii="Courier New" w:hAnsi="Courier New" w:cs="Courier New" w:hint="default"/>
      </w:rPr>
    </w:lvl>
    <w:lvl w:ilvl="5" w:tplc="A650D94C" w:tentative="1">
      <w:start w:val="1"/>
      <w:numFmt w:val="bullet"/>
      <w:lvlText w:val=""/>
      <w:lvlJc w:val="left"/>
      <w:pPr>
        <w:ind w:left="4320" w:hanging="360"/>
      </w:pPr>
      <w:rPr>
        <w:rFonts w:ascii="Wingdings" w:hAnsi="Wingdings" w:hint="default"/>
      </w:rPr>
    </w:lvl>
    <w:lvl w:ilvl="6" w:tplc="D32E06D2" w:tentative="1">
      <w:start w:val="1"/>
      <w:numFmt w:val="bullet"/>
      <w:lvlText w:val=""/>
      <w:lvlJc w:val="left"/>
      <w:pPr>
        <w:ind w:left="5040" w:hanging="360"/>
      </w:pPr>
      <w:rPr>
        <w:rFonts w:ascii="Symbol" w:hAnsi="Symbol" w:hint="default"/>
      </w:rPr>
    </w:lvl>
    <w:lvl w:ilvl="7" w:tplc="2062A1D4" w:tentative="1">
      <w:start w:val="1"/>
      <w:numFmt w:val="bullet"/>
      <w:lvlText w:val="o"/>
      <w:lvlJc w:val="left"/>
      <w:pPr>
        <w:ind w:left="5760" w:hanging="360"/>
      </w:pPr>
      <w:rPr>
        <w:rFonts w:ascii="Courier New" w:hAnsi="Courier New" w:cs="Courier New" w:hint="default"/>
      </w:rPr>
    </w:lvl>
    <w:lvl w:ilvl="8" w:tplc="D960E816" w:tentative="1">
      <w:start w:val="1"/>
      <w:numFmt w:val="bullet"/>
      <w:lvlText w:val=""/>
      <w:lvlJc w:val="left"/>
      <w:pPr>
        <w:ind w:left="6480" w:hanging="360"/>
      </w:pPr>
      <w:rPr>
        <w:rFonts w:ascii="Wingdings" w:hAnsi="Wingdings" w:hint="default"/>
      </w:rPr>
    </w:lvl>
  </w:abstractNum>
  <w:abstractNum w:abstractNumId="31">
    <w:nsid w:val="56082E7A"/>
    <w:multiLevelType w:val="multilevel"/>
    <w:tmpl w:val="6464B824"/>
    <w:lvl w:ilvl="0">
      <w:start w:val="1"/>
      <w:numFmt w:val="decimal"/>
      <w:lvlText w:val="%1."/>
      <w:lvlJc w:val="left"/>
      <w:pPr>
        <w:ind w:left="360" w:hanging="360"/>
      </w:pPr>
      <w:rPr>
        <w:rFonts w:hint="default"/>
        <w:b/>
        <w:i w:val="0"/>
        <w:sz w:val="22"/>
      </w:rPr>
    </w:lvl>
    <w:lvl w:ilvl="1">
      <w:start w:val="1"/>
      <w:numFmt w:val="decimal"/>
      <w:lvlText w:val="%1.%2."/>
      <w:lvlJc w:val="left"/>
      <w:pPr>
        <w:ind w:left="432" w:hanging="432"/>
      </w:pPr>
      <w:rPr>
        <w:rFonts w:ascii="Calibri" w:hAnsi="Calibri" w:cs="Calibri" w:hint="default"/>
        <w:b/>
        <w:i w:val="0"/>
        <w:sz w:val="24"/>
        <w:szCs w:val="24"/>
      </w:rPr>
    </w:lvl>
    <w:lvl w:ilvl="2">
      <w:start w:val="1"/>
      <w:numFmt w:val="decimal"/>
      <w:lvlText w:val="%1.%2.%3."/>
      <w:lvlJc w:val="left"/>
      <w:pPr>
        <w:ind w:left="1944" w:hanging="504"/>
      </w:pPr>
      <w:rPr>
        <w:rFonts w:ascii="Calibri" w:hAnsi="Calibri" w:cs="Calibri" w:hint="default"/>
        <w:b/>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97369A7"/>
    <w:multiLevelType w:val="hybridMultilevel"/>
    <w:tmpl w:val="A36E397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1C2E54"/>
    <w:multiLevelType w:val="hybridMultilevel"/>
    <w:tmpl w:val="1242A9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110C39"/>
    <w:multiLevelType w:val="hybridMultilevel"/>
    <w:tmpl w:val="2A6259F4"/>
    <w:lvl w:ilvl="0" w:tplc="49FA5E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875316"/>
    <w:multiLevelType w:val="hybridMultilevel"/>
    <w:tmpl w:val="3968D53E"/>
    <w:lvl w:ilvl="0" w:tplc="04090017">
      <w:start w:val="1"/>
      <w:numFmt w:val="lowerLetter"/>
      <w:lvlText w:val="%1)"/>
      <w:lvlJc w:val="left"/>
      <w:pPr>
        <w:tabs>
          <w:tab w:val="num" w:pos="1530"/>
        </w:tabs>
        <w:ind w:left="153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6">
    <w:nsid w:val="601424EF"/>
    <w:multiLevelType w:val="hybridMultilevel"/>
    <w:tmpl w:val="3694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945B3C"/>
    <w:multiLevelType w:val="hybridMultilevel"/>
    <w:tmpl w:val="E924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9B714E"/>
    <w:multiLevelType w:val="hybridMultilevel"/>
    <w:tmpl w:val="F88805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B874F0"/>
    <w:multiLevelType w:val="hybridMultilevel"/>
    <w:tmpl w:val="F6D4E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C6352E"/>
    <w:multiLevelType w:val="hybridMultilevel"/>
    <w:tmpl w:val="D298C602"/>
    <w:lvl w:ilvl="0" w:tplc="057CA0DC">
      <w:start w:val="1"/>
      <w:numFmt w:val="bullet"/>
      <w:lvlText w:val=""/>
      <w:lvlJc w:val="left"/>
      <w:pPr>
        <w:tabs>
          <w:tab w:val="num" w:pos="720"/>
        </w:tabs>
        <w:ind w:left="720" w:hanging="360"/>
      </w:pPr>
      <w:rPr>
        <w:rFonts w:ascii="Symbol" w:hAnsi="Symbol" w:hint="default"/>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41">
    <w:nsid w:val="7345608A"/>
    <w:multiLevelType w:val="hybridMultilevel"/>
    <w:tmpl w:val="4476F078"/>
    <w:lvl w:ilvl="0" w:tplc="0B46CA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C237FC"/>
    <w:multiLevelType w:val="hybridMultilevel"/>
    <w:tmpl w:val="78A0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FC2FE1"/>
    <w:multiLevelType w:val="hybridMultilevel"/>
    <w:tmpl w:val="385EC4C4"/>
    <w:lvl w:ilvl="0" w:tplc="971C9A7A">
      <w:start w:val="5"/>
      <w:numFmt w:val="bullet"/>
      <w:lvlText w:val="-"/>
      <w:lvlJc w:val="left"/>
      <w:pPr>
        <w:tabs>
          <w:tab w:val="num" w:pos="720"/>
        </w:tabs>
        <w:ind w:left="720" w:hanging="360"/>
      </w:pPr>
      <w:rPr>
        <w:rFonts w:ascii="Book Antiqua" w:eastAsia="Times New Roman" w:hAnsi="Book Antiqua"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3407C5"/>
    <w:multiLevelType w:val="hybridMultilevel"/>
    <w:tmpl w:val="714267E6"/>
    <w:lvl w:ilvl="0" w:tplc="2F180BB2">
      <w:start w:val="7"/>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911FB2"/>
    <w:multiLevelType w:val="hybridMultilevel"/>
    <w:tmpl w:val="308CB220"/>
    <w:lvl w:ilvl="0" w:tplc="CBA4C758">
      <w:numFmt w:val="bullet"/>
      <w:lvlText w:val="-"/>
      <w:lvlJc w:val="left"/>
      <w:pPr>
        <w:ind w:left="720" w:hanging="360"/>
      </w:pPr>
      <w:rPr>
        <w:rFonts w:ascii="Arial Narrow" w:eastAsia="Calibri" w:hAnsi="Arial Narrow" w:cs="Arial" w:hint="default"/>
      </w:rPr>
    </w:lvl>
    <w:lvl w:ilvl="1" w:tplc="230AAD38" w:tentative="1">
      <w:start w:val="1"/>
      <w:numFmt w:val="bullet"/>
      <w:lvlText w:val="o"/>
      <w:lvlJc w:val="left"/>
      <w:pPr>
        <w:ind w:left="1440" w:hanging="360"/>
      </w:pPr>
      <w:rPr>
        <w:rFonts w:ascii="Courier New" w:hAnsi="Courier New" w:cs="Courier New" w:hint="default"/>
      </w:rPr>
    </w:lvl>
    <w:lvl w:ilvl="2" w:tplc="BDAABEB8" w:tentative="1">
      <w:start w:val="1"/>
      <w:numFmt w:val="bullet"/>
      <w:lvlText w:val=""/>
      <w:lvlJc w:val="left"/>
      <w:pPr>
        <w:ind w:left="2160" w:hanging="360"/>
      </w:pPr>
      <w:rPr>
        <w:rFonts w:ascii="Wingdings" w:hAnsi="Wingdings" w:hint="default"/>
      </w:rPr>
    </w:lvl>
    <w:lvl w:ilvl="3" w:tplc="54801536" w:tentative="1">
      <w:start w:val="1"/>
      <w:numFmt w:val="bullet"/>
      <w:lvlText w:val=""/>
      <w:lvlJc w:val="left"/>
      <w:pPr>
        <w:ind w:left="2880" w:hanging="360"/>
      </w:pPr>
      <w:rPr>
        <w:rFonts w:ascii="Symbol" w:hAnsi="Symbol" w:hint="default"/>
      </w:rPr>
    </w:lvl>
    <w:lvl w:ilvl="4" w:tplc="2F7E757A" w:tentative="1">
      <w:start w:val="1"/>
      <w:numFmt w:val="bullet"/>
      <w:lvlText w:val="o"/>
      <w:lvlJc w:val="left"/>
      <w:pPr>
        <w:ind w:left="3600" w:hanging="360"/>
      </w:pPr>
      <w:rPr>
        <w:rFonts w:ascii="Courier New" w:hAnsi="Courier New" w:cs="Courier New" w:hint="default"/>
      </w:rPr>
    </w:lvl>
    <w:lvl w:ilvl="5" w:tplc="2C1A6A46" w:tentative="1">
      <w:start w:val="1"/>
      <w:numFmt w:val="bullet"/>
      <w:lvlText w:val=""/>
      <w:lvlJc w:val="left"/>
      <w:pPr>
        <w:ind w:left="4320" w:hanging="360"/>
      </w:pPr>
      <w:rPr>
        <w:rFonts w:ascii="Wingdings" w:hAnsi="Wingdings" w:hint="default"/>
      </w:rPr>
    </w:lvl>
    <w:lvl w:ilvl="6" w:tplc="A1AA95A4" w:tentative="1">
      <w:start w:val="1"/>
      <w:numFmt w:val="bullet"/>
      <w:lvlText w:val=""/>
      <w:lvlJc w:val="left"/>
      <w:pPr>
        <w:ind w:left="5040" w:hanging="360"/>
      </w:pPr>
      <w:rPr>
        <w:rFonts w:ascii="Symbol" w:hAnsi="Symbol" w:hint="default"/>
      </w:rPr>
    </w:lvl>
    <w:lvl w:ilvl="7" w:tplc="4154BF1C" w:tentative="1">
      <w:start w:val="1"/>
      <w:numFmt w:val="bullet"/>
      <w:lvlText w:val="o"/>
      <w:lvlJc w:val="left"/>
      <w:pPr>
        <w:ind w:left="5760" w:hanging="360"/>
      </w:pPr>
      <w:rPr>
        <w:rFonts w:ascii="Courier New" w:hAnsi="Courier New" w:cs="Courier New" w:hint="default"/>
      </w:rPr>
    </w:lvl>
    <w:lvl w:ilvl="8" w:tplc="08B0C432"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40"/>
  </w:num>
  <w:num w:numId="13">
    <w:abstractNumId w:val="14"/>
  </w:num>
  <w:num w:numId="14">
    <w:abstractNumId w:val="25"/>
  </w:num>
  <w:num w:numId="15">
    <w:abstractNumId w:val="19"/>
  </w:num>
  <w:num w:numId="16">
    <w:abstractNumId w:val="31"/>
  </w:num>
  <w:num w:numId="17">
    <w:abstractNumId w:val="32"/>
  </w:num>
  <w:num w:numId="18">
    <w:abstractNumId w:val="41"/>
  </w:num>
  <w:num w:numId="19">
    <w:abstractNumId w:val="44"/>
  </w:num>
  <w:num w:numId="20">
    <w:abstractNumId w:val="33"/>
  </w:num>
  <w:num w:numId="21">
    <w:abstractNumId w:val="20"/>
  </w:num>
  <w:num w:numId="22">
    <w:abstractNumId w:val="38"/>
  </w:num>
  <w:num w:numId="23">
    <w:abstractNumId w:val="16"/>
  </w:num>
  <w:num w:numId="24">
    <w:abstractNumId w:val="39"/>
  </w:num>
  <w:num w:numId="25">
    <w:abstractNumId w:val="18"/>
  </w:num>
  <w:num w:numId="26">
    <w:abstractNumId w:val="11"/>
  </w:num>
  <w:num w:numId="27">
    <w:abstractNumId w:val="45"/>
  </w:num>
  <w:num w:numId="28">
    <w:abstractNumId w:val="17"/>
  </w:num>
  <w:num w:numId="2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4"/>
  </w:num>
  <w:num w:numId="32">
    <w:abstractNumId w:val="26"/>
  </w:num>
  <w:num w:numId="33">
    <w:abstractNumId w:val="23"/>
  </w:num>
  <w:num w:numId="34">
    <w:abstractNumId w:val="27"/>
  </w:num>
  <w:num w:numId="35">
    <w:abstractNumId w:val="22"/>
  </w:num>
  <w:num w:numId="36">
    <w:abstractNumId w:val="43"/>
  </w:num>
  <w:num w:numId="37">
    <w:abstractNumId w:val="13"/>
  </w:num>
  <w:num w:numId="38">
    <w:abstractNumId w:val="29"/>
  </w:num>
  <w:num w:numId="39">
    <w:abstractNumId w:val="36"/>
  </w:num>
  <w:num w:numId="40">
    <w:abstractNumId w:val="24"/>
  </w:num>
  <w:num w:numId="41">
    <w:abstractNumId w:val="42"/>
  </w:num>
  <w:num w:numId="42">
    <w:abstractNumId w:val="12"/>
  </w:num>
  <w:num w:numId="43">
    <w:abstractNumId w:val="37"/>
  </w:num>
  <w:num w:numId="44">
    <w:abstractNumId w:val="15"/>
  </w:num>
  <w:num w:numId="45">
    <w:abstractNumId w:val="21"/>
  </w:num>
  <w:num w:numId="46">
    <w:abstractNumId w:val="10"/>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6E77"/>
    <w:rsid w:val="00010DA8"/>
    <w:rsid w:val="00016311"/>
    <w:rsid w:val="00084069"/>
    <w:rsid w:val="000B04F1"/>
    <w:rsid w:val="000B58CD"/>
    <w:rsid w:val="000C02DD"/>
    <w:rsid w:val="000C7686"/>
    <w:rsid w:val="000E3A14"/>
    <w:rsid w:val="000F3B54"/>
    <w:rsid w:val="00105BA6"/>
    <w:rsid w:val="001072EE"/>
    <w:rsid w:val="001573A8"/>
    <w:rsid w:val="00194753"/>
    <w:rsid w:val="0024523A"/>
    <w:rsid w:val="002C09AD"/>
    <w:rsid w:val="00301657"/>
    <w:rsid w:val="00336931"/>
    <w:rsid w:val="003513E9"/>
    <w:rsid w:val="003A4A05"/>
    <w:rsid w:val="003B48F5"/>
    <w:rsid w:val="003C1478"/>
    <w:rsid w:val="003E16FA"/>
    <w:rsid w:val="003F144A"/>
    <w:rsid w:val="00424A61"/>
    <w:rsid w:val="00452157"/>
    <w:rsid w:val="00475091"/>
    <w:rsid w:val="00484B61"/>
    <w:rsid w:val="004A25A4"/>
    <w:rsid w:val="004B1D4B"/>
    <w:rsid w:val="00582533"/>
    <w:rsid w:val="00594630"/>
    <w:rsid w:val="005B6F12"/>
    <w:rsid w:val="005C6832"/>
    <w:rsid w:val="005D31DC"/>
    <w:rsid w:val="00602B54"/>
    <w:rsid w:val="00606A8B"/>
    <w:rsid w:val="00615675"/>
    <w:rsid w:val="00660C02"/>
    <w:rsid w:val="00685FED"/>
    <w:rsid w:val="006C059B"/>
    <w:rsid w:val="006D79BB"/>
    <w:rsid w:val="00745686"/>
    <w:rsid w:val="00750751"/>
    <w:rsid w:val="00772217"/>
    <w:rsid w:val="00772941"/>
    <w:rsid w:val="007C2B35"/>
    <w:rsid w:val="007F1AC5"/>
    <w:rsid w:val="008035CC"/>
    <w:rsid w:val="00853304"/>
    <w:rsid w:val="008731ED"/>
    <w:rsid w:val="00881468"/>
    <w:rsid w:val="00883B7D"/>
    <w:rsid w:val="008A2B25"/>
    <w:rsid w:val="008A63CC"/>
    <w:rsid w:val="008B7FEA"/>
    <w:rsid w:val="008C3F50"/>
    <w:rsid w:val="00923DAE"/>
    <w:rsid w:val="00955C5F"/>
    <w:rsid w:val="00966C38"/>
    <w:rsid w:val="00973E75"/>
    <w:rsid w:val="009E0E4A"/>
    <w:rsid w:val="009F7BDE"/>
    <w:rsid w:val="00A037ED"/>
    <w:rsid w:val="00A07D73"/>
    <w:rsid w:val="00A155CA"/>
    <w:rsid w:val="00A217EB"/>
    <w:rsid w:val="00A27972"/>
    <w:rsid w:val="00A5538F"/>
    <w:rsid w:val="00A674BE"/>
    <w:rsid w:val="00A7304F"/>
    <w:rsid w:val="00A82082"/>
    <w:rsid w:val="00AC38DC"/>
    <w:rsid w:val="00AC4522"/>
    <w:rsid w:val="00AE4A35"/>
    <w:rsid w:val="00AF427C"/>
    <w:rsid w:val="00B5031A"/>
    <w:rsid w:val="00B874D8"/>
    <w:rsid w:val="00C21F03"/>
    <w:rsid w:val="00C26E77"/>
    <w:rsid w:val="00C625A0"/>
    <w:rsid w:val="00C73ADA"/>
    <w:rsid w:val="00C762D4"/>
    <w:rsid w:val="00CD0D75"/>
    <w:rsid w:val="00CD6F96"/>
    <w:rsid w:val="00D428A0"/>
    <w:rsid w:val="00D57887"/>
    <w:rsid w:val="00DA5206"/>
    <w:rsid w:val="00DA59A6"/>
    <w:rsid w:val="00DC23A1"/>
    <w:rsid w:val="00DD1865"/>
    <w:rsid w:val="00E0254F"/>
    <w:rsid w:val="00E14305"/>
    <w:rsid w:val="00E46C99"/>
    <w:rsid w:val="00E86439"/>
    <w:rsid w:val="00E93BF6"/>
    <w:rsid w:val="00EA2E47"/>
    <w:rsid w:val="00EB586F"/>
    <w:rsid w:val="00EB6E4C"/>
    <w:rsid w:val="00EC4EC7"/>
    <w:rsid w:val="00ED1BB0"/>
    <w:rsid w:val="00EE4A79"/>
    <w:rsid w:val="00F30436"/>
    <w:rsid w:val="00F506F6"/>
    <w:rsid w:val="00F5204A"/>
    <w:rsid w:val="00F60531"/>
    <w:rsid w:val="00F92781"/>
    <w:rsid w:val="00FB044D"/>
    <w:rsid w:val="00FC3C4A"/>
    <w:rsid w:val="00FF7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E77"/>
    <w:rPr>
      <w:rFonts w:ascii="Calibri" w:eastAsia="Calibri" w:hAnsi="Calibri" w:cs="Times New Roman"/>
    </w:rPr>
  </w:style>
  <w:style w:type="paragraph" w:styleId="Heading1">
    <w:name w:val="heading 1"/>
    <w:basedOn w:val="Normal"/>
    <w:next w:val="Normal"/>
    <w:link w:val="Heading1Char"/>
    <w:qFormat/>
    <w:rsid w:val="00C26E77"/>
    <w:pPr>
      <w:keepNext/>
      <w:suppressAutoHyphens/>
      <w:spacing w:before="240" w:after="60"/>
      <w:outlineLvl w:val="0"/>
    </w:pPr>
    <w:rPr>
      <w:rFonts w:ascii="Arial" w:eastAsia="Arial Unicode MS" w:hAnsi="Arial" w:cs="Arial"/>
      <w:b/>
      <w:bCs/>
      <w:kern w:val="32"/>
      <w:sz w:val="32"/>
      <w:szCs w:val="32"/>
    </w:rPr>
  </w:style>
  <w:style w:type="paragraph" w:styleId="Heading2">
    <w:name w:val="heading 2"/>
    <w:basedOn w:val="Normal"/>
    <w:next w:val="Normal"/>
    <w:link w:val="Heading2Char"/>
    <w:qFormat/>
    <w:rsid w:val="00C26E77"/>
    <w:pPr>
      <w:keepNext/>
      <w:suppressAutoHyphens/>
      <w:spacing w:before="240" w:after="60"/>
      <w:outlineLvl w:val="1"/>
    </w:pPr>
    <w:rPr>
      <w:rFonts w:ascii="Arial" w:eastAsia="Arial Unicode MS" w:hAnsi="Arial" w:cs="Arial"/>
      <w:b/>
      <w:bCs/>
      <w:i/>
      <w:iCs/>
      <w:kern w:val="1"/>
      <w:sz w:val="28"/>
      <w:szCs w:val="28"/>
    </w:rPr>
  </w:style>
  <w:style w:type="paragraph" w:styleId="Heading3">
    <w:name w:val="heading 3"/>
    <w:basedOn w:val="Normal"/>
    <w:next w:val="Normal"/>
    <w:link w:val="Heading3Char"/>
    <w:qFormat/>
    <w:rsid w:val="00C26E77"/>
    <w:pPr>
      <w:keepNext/>
      <w:spacing w:after="0" w:line="240" w:lineRule="auto"/>
      <w:jc w:val="center"/>
      <w:outlineLvl w:val="2"/>
    </w:pPr>
    <w:rPr>
      <w:rFonts w:ascii="Times New Roman" w:eastAsia="Times New Roman" w:hAnsi="Times New Roman"/>
      <w:sz w:val="28"/>
      <w:szCs w:val="24"/>
    </w:rPr>
  </w:style>
  <w:style w:type="paragraph" w:styleId="Heading4">
    <w:name w:val="heading 4"/>
    <w:basedOn w:val="Normal"/>
    <w:next w:val="Normal"/>
    <w:link w:val="Heading4Char"/>
    <w:qFormat/>
    <w:rsid w:val="00C26E77"/>
    <w:pPr>
      <w:keepNext/>
      <w:spacing w:after="0" w:line="240" w:lineRule="auto"/>
      <w:ind w:left="2880" w:firstLine="720"/>
      <w:outlineLvl w:val="3"/>
    </w:pPr>
    <w:rPr>
      <w:rFonts w:ascii="Times New Roman" w:eastAsia="Times New Roman" w:hAnsi="Times New Roman"/>
      <w:sz w:val="28"/>
      <w:szCs w:val="24"/>
    </w:rPr>
  </w:style>
  <w:style w:type="paragraph" w:styleId="Heading5">
    <w:name w:val="heading 5"/>
    <w:basedOn w:val="Normal"/>
    <w:next w:val="Normal"/>
    <w:link w:val="Heading5Char"/>
    <w:qFormat/>
    <w:rsid w:val="00C26E77"/>
    <w:pPr>
      <w:keepNext/>
      <w:spacing w:after="0" w:line="240" w:lineRule="auto"/>
      <w:outlineLvl w:val="4"/>
    </w:pPr>
    <w:rPr>
      <w:rFonts w:ascii="Times New Roman" w:eastAsia="Times New Roman" w:hAnsi="Times New Roman"/>
      <w:sz w:val="28"/>
      <w:szCs w:val="24"/>
      <w:lang w:val="hr-HR"/>
    </w:rPr>
  </w:style>
  <w:style w:type="paragraph" w:styleId="Heading6">
    <w:name w:val="heading 6"/>
    <w:basedOn w:val="Normal"/>
    <w:next w:val="Normal"/>
    <w:link w:val="Heading6Char"/>
    <w:semiHidden/>
    <w:unhideWhenUsed/>
    <w:qFormat/>
    <w:rsid w:val="00C26E77"/>
    <w:pPr>
      <w:suppressAutoHyphens/>
      <w:spacing w:before="240" w:after="60"/>
      <w:ind w:left="1152" w:hanging="1152"/>
      <w:outlineLvl w:val="5"/>
    </w:pPr>
    <w:rPr>
      <w:rFonts w:eastAsia="Times New Roman"/>
      <w:b/>
      <w:bCs/>
      <w:kern w:val="1"/>
    </w:rPr>
  </w:style>
  <w:style w:type="paragraph" w:styleId="Heading7">
    <w:name w:val="heading 7"/>
    <w:basedOn w:val="Normal"/>
    <w:next w:val="Normal"/>
    <w:link w:val="Heading7Char"/>
    <w:qFormat/>
    <w:rsid w:val="00C26E77"/>
    <w:pPr>
      <w:keepNext/>
      <w:spacing w:after="0" w:line="240" w:lineRule="auto"/>
      <w:jc w:val="center"/>
      <w:outlineLvl w:val="6"/>
    </w:pPr>
    <w:rPr>
      <w:rFonts w:ascii="Times New Roman" w:eastAsia="Times New Roman" w:hAnsi="Times New Roman"/>
      <w:b/>
      <w:bCs/>
      <w:sz w:val="28"/>
      <w:szCs w:val="24"/>
    </w:rPr>
  </w:style>
  <w:style w:type="paragraph" w:styleId="Heading8">
    <w:name w:val="heading 8"/>
    <w:basedOn w:val="Normal"/>
    <w:next w:val="Normal"/>
    <w:link w:val="Heading8Char"/>
    <w:qFormat/>
    <w:rsid w:val="00C26E77"/>
    <w:pPr>
      <w:keepNext/>
      <w:spacing w:after="0" w:line="240" w:lineRule="auto"/>
      <w:jc w:val="both"/>
      <w:outlineLvl w:val="7"/>
    </w:pPr>
    <w:rPr>
      <w:rFonts w:ascii="Times New Roman" w:eastAsia="Times New Roman" w:hAnsi="Times New Roman"/>
      <w:b/>
      <w:bCs/>
      <w:sz w:val="28"/>
      <w:szCs w:val="24"/>
    </w:rPr>
  </w:style>
  <w:style w:type="paragraph" w:styleId="Heading9">
    <w:name w:val="heading 9"/>
    <w:basedOn w:val="Normal"/>
    <w:next w:val="Normal"/>
    <w:link w:val="Heading9Char"/>
    <w:qFormat/>
    <w:rsid w:val="00C26E77"/>
    <w:pPr>
      <w:keepNext/>
      <w:spacing w:after="0" w:line="240" w:lineRule="auto"/>
      <w:jc w:val="both"/>
      <w:outlineLvl w:val="8"/>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E77"/>
    <w:rPr>
      <w:rFonts w:ascii="Arial" w:eastAsia="Arial Unicode MS" w:hAnsi="Arial" w:cs="Arial"/>
      <w:b/>
      <w:bCs/>
      <w:kern w:val="32"/>
      <w:sz w:val="32"/>
      <w:szCs w:val="32"/>
    </w:rPr>
  </w:style>
  <w:style w:type="character" w:customStyle="1" w:styleId="Heading2Char">
    <w:name w:val="Heading 2 Char"/>
    <w:basedOn w:val="DefaultParagraphFont"/>
    <w:link w:val="Heading2"/>
    <w:rsid w:val="00C26E77"/>
    <w:rPr>
      <w:rFonts w:ascii="Arial" w:eastAsia="Arial Unicode MS" w:hAnsi="Arial" w:cs="Arial"/>
      <w:b/>
      <w:bCs/>
      <w:i/>
      <w:iCs/>
      <w:kern w:val="1"/>
      <w:sz w:val="28"/>
      <w:szCs w:val="28"/>
    </w:rPr>
  </w:style>
  <w:style w:type="character" w:customStyle="1" w:styleId="Heading3Char">
    <w:name w:val="Heading 3 Char"/>
    <w:basedOn w:val="DefaultParagraphFont"/>
    <w:link w:val="Heading3"/>
    <w:rsid w:val="00C26E77"/>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C26E77"/>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C26E77"/>
    <w:rPr>
      <w:rFonts w:ascii="Times New Roman" w:eastAsia="Times New Roman" w:hAnsi="Times New Roman" w:cs="Times New Roman"/>
      <w:sz w:val="28"/>
      <w:szCs w:val="24"/>
      <w:lang w:val="hr-HR"/>
    </w:rPr>
  </w:style>
  <w:style w:type="character" w:customStyle="1" w:styleId="Heading6Char">
    <w:name w:val="Heading 6 Char"/>
    <w:basedOn w:val="DefaultParagraphFont"/>
    <w:link w:val="Heading6"/>
    <w:semiHidden/>
    <w:rsid w:val="00C26E77"/>
    <w:rPr>
      <w:rFonts w:ascii="Calibri" w:eastAsia="Times New Roman" w:hAnsi="Calibri" w:cs="Times New Roman"/>
      <w:b/>
      <w:bCs/>
      <w:kern w:val="1"/>
    </w:rPr>
  </w:style>
  <w:style w:type="character" w:customStyle="1" w:styleId="Heading7Char">
    <w:name w:val="Heading 7 Char"/>
    <w:basedOn w:val="DefaultParagraphFont"/>
    <w:link w:val="Heading7"/>
    <w:rsid w:val="00C26E77"/>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rsid w:val="00C26E77"/>
    <w:rPr>
      <w:rFonts w:ascii="Times New Roman" w:eastAsia="Times New Roman" w:hAnsi="Times New Roman" w:cs="Times New Roman"/>
      <w:b/>
      <w:bCs/>
      <w:sz w:val="28"/>
      <w:szCs w:val="24"/>
    </w:rPr>
  </w:style>
  <w:style w:type="character" w:customStyle="1" w:styleId="Heading9Char">
    <w:name w:val="Heading 9 Char"/>
    <w:basedOn w:val="DefaultParagraphFont"/>
    <w:link w:val="Heading9"/>
    <w:rsid w:val="00C26E77"/>
    <w:rPr>
      <w:rFonts w:ascii="Times New Roman" w:eastAsia="Times New Roman" w:hAnsi="Times New Roman" w:cs="Times New Roman"/>
      <w:sz w:val="28"/>
      <w:szCs w:val="24"/>
    </w:rPr>
  </w:style>
  <w:style w:type="paragraph" w:styleId="BalloonText">
    <w:name w:val="Balloon Text"/>
    <w:basedOn w:val="Normal"/>
    <w:link w:val="BalloonTextChar"/>
    <w:unhideWhenUsed/>
    <w:rsid w:val="00C26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26E77"/>
    <w:rPr>
      <w:rFonts w:ascii="Tahoma" w:eastAsia="Calibri" w:hAnsi="Tahoma" w:cs="Tahoma"/>
      <w:sz w:val="16"/>
      <w:szCs w:val="16"/>
    </w:rPr>
  </w:style>
  <w:style w:type="paragraph" w:styleId="ListParagraph">
    <w:name w:val="List Paragraph"/>
    <w:basedOn w:val="Normal"/>
    <w:uiPriority w:val="99"/>
    <w:qFormat/>
    <w:rsid w:val="00C26E77"/>
    <w:pPr>
      <w:ind w:left="720"/>
      <w:contextualSpacing/>
    </w:pPr>
  </w:style>
  <w:style w:type="table" w:styleId="TableGrid">
    <w:name w:val="Table Grid"/>
    <w:basedOn w:val="TableNormal"/>
    <w:rsid w:val="00C26E7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rsid w:val="00C26E77"/>
    <w:pPr>
      <w:spacing w:after="120" w:line="240" w:lineRule="auto"/>
    </w:pPr>
    <w:rPr>
      <w:rFonts w:ascii="Times New Roman" w:eastAsia="Times New Roman" w:hAnsi="Times New Roman"/>
      <w:sz w:val="16"/>
      <w:szCs w:val="16"/>
      <w:lang w:val="sr-Cyrl-CS" w:eastAsia="sr-Cyrl-CS"/>
    </w:rPr>
  </w:style>
  <w:style w:type="character" w:customStyle="1" w:styleId="BodyText3Char">
    <w:name w:val="Body Text 3 Char"/>
    <w:basedOn w:val="DefaultParagraphFont"/>
    <w:link w:val="BodyText3"/>
    <w:rsid w:val="00C26E77"/>
    <w:rPr>
      <w:rFonts w:ascii="Times New Roman" w:eastAsia="Times New Roman" w:hAnsi="Times New Roman" w:cs="Times New Roman"/>
      <w:sz w:val="16"/>
      <w:szCs w:val="16"/>
      <w:lang w:val="sr-Cyrl-CS" w:eastAsia="sr-Cyrl-CS"/>
    </w:rPr>
  </w:style>
  <w:style w:type="paragraph" w:styleId="BodyText">
    <w:name w:val="Body Text"/>
    <w:basedOn w:val="Normal"/>
    <w:link w:val="BodyTextChar"/>
    <w:unhideWhenUsed/>
    <w:rsid w:val="00C26E77"/>
    <w:pPr>
      <w:spacing w:after="120"/>
    </w:pPr>
  </w:style>
  <w:style w:type="character" w:customStyle="1" w:styleId="BodyTextChar">
    <w:name w:val="Body Text Char"/>
    <w:basedOn w:val="DefaultParagraphFont"/>
    <w:link w:val="BodyText"/>
    <w:rsid w:val="00C26E77"/>
    <w:rPr>
      <w:rFonts w:ascii="Calibri" w:eastAsia="Calibri" w:hAnsi="Calibri" w:cs="Times New Roman"/>
    </w:rPr>
  </w:style>
  <w:style w:type="paragraph" w:styleId="Header">
    <w:name w:val="header"/>
    <w:basedOn w:val="Normal"/>
    <w:link w:val="HeaderChar"/>
    <w:uiPriority w:val="99"/>
    <w:unhideWhenUsed/>
    <w:rsid w:val="00C26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E77"/>
    <w:rPr>
      <w:rFonts w:ascii="Calibri" w:eastAsia="Calibri" w:hAnsi="Calibri" w:cs="Times New Roman"/>
    </w:rPr>
  </w:style>
  <w:style w:type="paragraph" w:styleId="Footer">
    <w:name w:val="footer"/>
    <w:basedOn w:val="Normal"/>
    <w:link w:val="FooterChar"/>
    <w:uiPriority w:val="99"/>
    <w:unhideWhenUsed/>
    <w:rsid w:val="00C26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E77"/>
    <w:rPr>
      <w:rFonts w:ascii="Calibri" w:eastAsia="Calibri" w:hAnsi="Calibri" w:cs="Times New Roman"/>
    </w:rPr>
  </w:style>
  <w:style w:type="paragraph" w:styleId="TOC1">
    <w:name w:val="toc 1"/>
    <w:basedOn w:val="Normal"/>
    <w:next w:val="Normal"/>
    <w:autoRedefine/>
    <w:uiPriority w:val="39"/>
    <w:rsid w:val="00C26E77"/>
    <w:pPr>
      <w:suppressAutoHyphens/>
    </w:pPr>
    <w:rPr>
      <w:rFonts w:eastAsia="Arial Unicode MS" w:cs="Calibri"/>
      <w:kern w:val="1"/>
    </w:rPr>
  </w:style>
  <w:style w:type="paragraph" w:styleId="TOC2">
    <w:name w:val="toc 2"/>
    <w:basedOn w:val="Normal"/>
    <w:next w:val="Normal"/>
    <w:autoRedefine/>
    <w:uiPriority w:val="39"/>
    <w:rsid w:val="00C26E77"/>
    <w:pPr>
      <w:tabs>
        <w:tab w:val="left" w:pos="880"/>
        <w:tab w:val="right" w:leader="dot" w:pos="9911"/>
      </w:tabs>
      <w:suppressAutoHyphens/>
    </w:pPr>
    <w:rPr>
      <w:rFonts w:eastAsia="Arial Unicode MS" w:cs="Calibri"/>
      <w:kern w:val="1"/>
    </w:rPr>
  </w:style>
  <w:style w:type="paragraph" w:styleId="TOC3">
    <w:name w:val="toc 3"/>
    <w:basedOn w:val="Normal"/>
    <w:next w:val="Normal"/>
    <w:autoRedefine/>
    <w:uiPriority w:val="39"/>
    <w:rsid w:val="00C26E77"/>
    <w:pPr>
      <w:suppressAutoHyphens/>
      <w:ind w:left="440"/>
    </w:pPr>
    <w:rPr>
      <w:rFonts w:eastAsia="Arial Unicode MS" w:cs="Calibri"/>
      <w:kern w:val="1"/>
    </w:rPr>
  </w:style>
  <w:style w:type="character" w:styleId="Hyperlink">
    <w:name w:val="Hyperlink"/>
    <w:basedOn w:val="DefaultParagraphFont"/>
    <w:unhideWhenUsed/>
    <w:rsid w:val="00C26E77"/>
    <w:rPr>
      <w:color w:val="0000FF"/>
      <w:u w:val="single"/>
    </w:rPr>
  </w:style>
  <w:style w:type="table" w:customStyle="1" w:styleId="TableGrid1">
    <w:name w:val="Table Grid1"/>
    <w:basedOn w:val="TableNormal"/>
    <w:next w:val="TableGrid"/>
    <w:uiPriority w:val="59"/>
    <w:rsid w:val="00C26E7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C26E77"/>
    <w:pPr>
      <w:keepLines/>
      <w:suppressAutoHyphens w:val="0"/>
      <w:spacing w:before="480" w:after="0"/>
      <w:outlineLvl w:val="9"/>
    </w:pPr>
    <w:rPr>
      <w:rFonts w:ascii="Cambria" w:eastAsia="Times New Roman" w:hAnsi="Cambria" w:cs="Times New Roman"/>
      <w:color w:val="365F91"/>
      <w:kern w:val="0"/>
      <w:sz w:val="28"/>
      <w:szCs w:val="28"/>
    </w:rPr>
  </w:style>
  <w:style w:type="paragraph" w:customStyle="1" w:styleId="Default">
    <w:name w:val="Default"/>
    <w:rsid w:val="00C26E77"/>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uiPriority w:val="59"/>
    <w:rsid w:val="00C26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C26E77"/>
    <w:pPr>
      <w:spacing w:after="0" w:line="240" w:lineRule="auto"/>
    </w:pPr>
    <w:rPr>
      <w:rFonts w:eastAsiaTheme="minorEastAsia"/>
    </w:rPr>
  </w:style>
  <w:style w:type="character" w:customStyle="1" w:styleId="NoSpacingChar">
    <w:name w:val="No Spacing Char"/>
    <w:basedOn w:val="DefaultParagraphFont"/>
    <w:link w:val="NoSpacing"/>
    <w:uiPriority w:val="1"/>
    <w:rsid w:val="00C26E7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CC961-0FD9-46C9-9FB7-22C5753E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30</Pages>
  <Words>8976</Words>
  <Characters>51166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vesna.vujacic</dc:creator>
  <cp:lastModifiedBy>vesna.vujacic</cp:lastModifiedBy>
  <cp:revision>12</cp:revision>
  <cp:lastPrinted>2017-12-22T08:20:00Z</cp:lastPrinted>
  <dcterms:created xsi:type="dcterms:W3CDTF">2017-12-18T07:49:00Z</dcterms:created>
  <dcterms:modified xsi:type="dcterms:W3CDTF">2018-01-19T11:34:00Z</dcterms:modified>
</cp:coreProperties>
</file>