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A" w:rsidRPr="00370754" w:rsidRDefault="00C20E0A" w:rsidP="003A6DB5">
      <w:pPr>
        <w:rPr>
          <w:rFonts w:ascii="Arial" w:hAnsi="Arial" w:cs="Arial"/>
        </w:rPr>
      </w:pPr>
      <w:bookmarkStart w:id="0" w:name="_GoBack"/>
      <w:bookmarkEnd w:id="0"/>
    </w:p>
    <w:p w:rsidR="000F2BFC" w:rsidRPr="00370754" w:rsidRDefault="00370754" w:rsidP="00376FD0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0"/>
        </w:rPr>
      </w:pPr>
      <w:r w:rsidRPr="00370754">
        <w:rPr>
          <w:rFonts w:ascii="Arial" w:hAnsi="Arial" w:cs="Arial"/>
          <w:bCs/>
          <w:sz w:val="20"/>
        </w:rPr>
        <w:tab/>
      </w:r>
      <w:r w:rsidRPr="00370754">
        <w:rPr>
          <w:rFonts w:ascii="Arial" w:hAnsi="Arial" w:cs="Arial"/>
          <w:bCs/>
          <w:sz w:val="20"/>
        </w:rPr>
        <w:tab/>
      </w:r>
      <w:r w:rsidRPr="00370754">
        <w:rPr>
          <w:rFonts w:ascii="Arial" w:hAnsi="Arial" w:cs="Arial"/>
          <w:bCs/>
          <w:sz w:val="20"/>
        </w:rPr>
        <w:tab/>
      </w:r>
      <w:r w:rsidRPr="00370754">
        <w:rPr>
          <w:rFonts w:ascii="Arial" w:hAnsi="Arial" w:cs="Arial"/>
          <w:bCs/>
          <w:sz w:val="20"/>
        </w:rPr>
        <w:tab/>
      </w:r>
      <w:r w:rsidRPr="00370754">
        <w:rPr>
          <w:rFonts w:ascii="Arial" w:hAnsi="Arial" w:cs="Arial"/>
          <w:bCs/>
          <w:sz w:val="20"/>
        </w:rPr>
        <w:tab/>
      </w:r>
      <w:r w:rsidRPr="00370754">
        <w:rPr>
          <w:rFonts w:ascii="Arial" w:hAnsi="Arial" w:cs="Arial"/>
          <w:bCs/>
          <w:sz w:val="20"/>
        </w:rPr>
        <w:tab/>
      </w:r>
      <w:r w:rsidRPr="00370754">
        <w:rPr>
          <w:rFonts w:ascii="Arial" w:hAnsi="Arial" w:cs="Arial"/>
          <w:bCs/>
          <w:sz w:val="20"/>
        </w:rPr>
        <w:tab/>
      </w:r>
      <w:r w:rsidR="005E2CF3" w:rsidRPr="00370754">
        <w:rPr>
          <w:rFonts w:ascii="Arial" w:hAnsi="Arial" w:cs="Arial"/>
          <w:bCs/>
          <w:sz w:val="20"/>
        </w:rPr>
        <w:t xml:space="preserve"> </w:t>
      </w:r>
      <w:r w:rsidR="00376FD0">
        <w:rPr>
          <w:rFonts w:ascii="Arial" w:hAnsi="Arial" w:cs="Arial"/>
          <w:bCs/>
          <w:sz w:val="20"/>
        </w:rPr>
        <w:t>03</w:t>
      </w:r>
      <w:r w:rsidR="00886BB7">
        <w:rPr>
          <w:rFonts w:ascii="Arial" w:hAnsi="Arial" w:cs="Arial"/>
          <w:bCs/>
          <w:sz w:val="20"/>
        </w:rPr>
        <w:t>.04.2019. godina</w:t>
      </w:r>
      <w:r w:rsidR="00683884">
        <w:rPr>
          <w:rFonts w:ascii="Arial" w:hAnsi="Arial" w:cs="Arial"/>
          <w:bCs/>
          <w:sz w:val="20"/>
        </w:rPr>
        <w:tab/>
      </w:r>
    </w:p>
    <w:p w:rsidR="001C1AF1" w:rsidRDefault="001C1AF1" w:rsidP="0037075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NACRT</w:t>
      </w:r>
    </w:p>
    <w:p w:rsidR="00370754" w:rsidRPr="00370754" w:rsidRDefault="00370754" w:rsidP="00370754">
      <w:pPr>
        <w:jc w:val="center"/>
        <w:rPr>
          <w:rFonts w:ascii="Arial" w:hAnsi="Arial" w:cs="Arial"/>
          <w:b/>
        </w:rPr>
      </w:pPr>
      <w:r w:rsidRPr="00370754">
        <w:rPr>
          <w:rFonts w:ascii="Arial" w:hAnsi="Arial" w:cs="Arial"/>
          <w:b/>
          <w:sz w:val="36"/>
          <w:szCs w:val="36"/>
        </w:rPr>
        <w:t>S E K T O R S K A   A N A L I Z A</w:t>
      </w:r>
      <w:r w:rsidRPr="00370754">
        <w:rPr>
          <w:rFonts w:ascii="Arial" w:hAnsi="Arial" w:cs="Arial"/>
          <w:b/>
          <w:sz w:val="36"/>
          <w:szCs w:val="36"/>
        </w:rPr>
        <w:br/>
      </w:r>
      <w:r w:rsidRPr="00370754">
        <w:rPr>
          <w:rFonts w:ascii="Arial" w:hAnsi="Arial" w:cs="Arial"/>
          <w:b/>
        </w:rPr>
        <w:t xml:space="preserve">za utvrđivanje predloga prioritetnih oblasti od javnog interesa i potrebnih sredstava </w:t>
      </w:r>
      <w:r w:rsidRPr="00370754">
        <w:rPr>
          <w:rFonts w:ascii="Arial" w:hAnsi="Arial" w:cs="Arial"/>
          <w:b/>
        </w:rPr>
        <w:br/>
        <w:t>za finansiranje projekata i programa nevladinih organizacija</w:t>
      </w:r>
      <w:r w:rsidRPr="00370754">
        <w:rPr>
          <w:rFonts w:ascii="Arial" w:hAnsi="Arial" w:cs="Arial"/>
          <w:b/>
        </w:rPr>
        <w:br/>
        <w:t xml:space="preserve">iz Budžeta Crne Gore u </w:t>
      </w:r>
      <w:r w:rsidR="001C1AF1">
        <w:rPr>
          <w:rFonts w:ascii="Arial" w:hAnsi="Arial" w:cs="Arial"/>
          <w:b/>
        </w:rPr>
        <w:t>2020.</w:t>
      </w:r>
      <w:r w:rsidRPr="00370754">
        <w:rPr>
          <w:rFonts w:ascii="Arial" w:hAnsi="Arial" w:cs="Arial"/>
          <w:b/>
        </w:rPr>
        <w:t xml:space="preserve"> godini</w:t>
      </w:r>
    </w:p>
    <w:tbl>
      <w:tblPr>
        <w:tblStyle w:val="TableGrid"/>
        <w:tblW w:w="0" w:type="auto"/>
        <w:tblInd w:w="600" w:type="dxa"/>
        <w:tblLook w:val="04A0"/>
      </w:tblPr>
      <w:tblGrid>
        <w:gridCol w:w="14538"/>
      </w:tblGrid>
      <w:tr w:rsidR="00370754" w:rsidRPr="00370754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i/>
              </w:rPr>
            </w:pPr>
            <w:r w:rsidRPr="00370754">
              <w:rPr>
                <w:rFonts w:ascii="Arial" w:hAnsi="Arial" w:cs="Arial"/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107D7D" w:rsidRPr="00370754" w:rsidRDefault="00107D7D" w:rsidP="00370754">
      <w:pPr>
        <w:rPr>
          <w:rFonts w:ascii="Arial" w:hAnsi="Arial" w:cs="Arial"/>
        </w:rPr>
      </w:pPr>
    </w:p>
    <w:p w:rsidR="00370754" w:rsidRPr="00370754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370754">
        <w:rPr>
          <w:rFonts w:ascii="Arial" w:hAnsi="Arial" w:cs="Arial"/>
          <w:b/>
          <w:u w:val="single"/>
        </w:rPr>
        <w:t>OBLASTI OD JAVNOG INTERESA U KOJIMA SE PLANIRA FINANSIJSKA PODRŠKA ZA PROJEKTE I PROGRAME NVO</w:t>
      </w:r>
    </w:p>
    <w:p w:rsidR="00370754" w:rsidRDefault="00A640F0" w:rsidP="001C1AF1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370754" w:rsidRPr="00370754">
        <w:rPr>
          <w:rFonts w:ascii="Arial" w:hAnsi="Arial" w:cs="Arial"/>
        </w:rPr>
        <w:t>Navesti u kojim oblastima od javnog interesa (iz člana 32 Zakona o NVO) iz nadležnosti ministarstva planirate finansijsku podršku iz budžeta za projekte i programe NVO:</w:t>
      </w:r>
    </w:p>
    <w:p w:rsidR="00985834" w:rsidRPr="00370754" w:rsidRDefault="00985834" w:rsidP="001C1AF1">
      <w:pPr>
        <w:pStyle w:val="ListParagraph"/>
        <w:spacing w:line="276" w:lineRule="auto"/>
        <w:rPr>
          <w:rFonts w:ascii="Arial" w:hAnsi="Arial" w:cs="Arial"/>
        </w:rPr>
      </w:pP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370754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borba protiv korupcije i organizovanog kriminala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074A7B" w:rsidRDefault="00370754" w:rsidP="001C1AF1">
            <w:pPr>
              <w:rPr>
                <w:rFonts w:ascii="Arial" w:hAnsi="Arial" w:cs="Arial"/>
                <w:b/>
                <w:szCs w:val="24"/>
              </w:rPr>
            </w:pPr>
            <w:r w:rsidRPr="00074A7B">
              <w:rPr>
                <w:rFonts w:ascii="Arial" w:hAnsi="Arial" w:cs="Arial"/>
                <w:b/>
                <w:szCs w:val="24"/>
              </w:rPr>
              <w:t xml:space="preserve">druge  oblasti  od  javnog  interesa  utvrđene posebnim zakonom (navesti koje): 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 xml:space="preserve">Saobraćaj </w:t>
            </w:r>
            <w:r w:rsidR="001C1AF1" w:rsidRPr="00074A7B">
              <w:rPr>
                <w:rFonts w:ascii="Arial" w:hAnsi="Arial" w:cs="Arial"/>
                <w:b/>
                <w:spacing w:val="-42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je</w:t>
            </w:r>
            <w:r w:rsidR="001C1AF1" w:rsidRPr="00074A7B">
              <w:rPr>
                <w:rFonts w:ascii="Arial" w:hAnsi="Arial" w:cs="Arial"/>
                <w:b/>
                <w:spacing w:val="-41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definisan</w:t>
            </w:r>
            <w:r w:rsidR="001C1AF1" w:rsidRPr="00074A7B">
              <w:rPr>
                <w:rFonts w:ascii="Arial" w:hAnsi="Arial" w:cs="Arial"/>
                <w:b/>
                <w:spacing w:val="-41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kao</w:t>
            </w:r>
            <w:r w:rsidR="001C1AF1" w:rsidRPr="00074A7B">
              <w:rPr>
                <w:rFonts w:ascii="Arial" w:hAnsi="Arial" w:cs="Arial"/>
                <w:b/>
                <w:spacing w:val="-42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oblast</w:t>
            </w:r>
            <w:r w:rsidR="001C1AF1" w:rsidRPr="00074A7B">
              <w:rPr>
                <w:rFonts w:ascii="Arial" w:hAnsi="Arial" w:cs="Arial"/>
                <w:b/>
                <w:spacing w:val="-42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 xml:space="preserve">od </w:t>
            </w:r>
            <w:r w:rsidR="001C1AF1" w:rsidRPr="00074A7B">
              <w:rPr>
                <w:rFonts w:ascii="Arial" w:hAnsi="Arial" w:cs="Arial"/>
                <w:b/>
                <w:spacing w:val="-41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javnog</w:t>
            </w:r>
            <w:r w:rsidR="001C1AF1" w:rsidRPr="00074A7B">
              <w:rPr>
                <w:rFonts w:ascii="Arial" w:hAnsi="Arial" w:cs="Arial"/>
                <w:b/>
                <w:spacing w:val="-42"/>
                <w:szCs w:val="24"/>
              </w:rPr>
              <w:t xml:space="preserve"> 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interesa,</w:t>
            </w:r>
            <w:r w:rsidR="001C1AF1" w:rsidRPr="00074A7B">
              <w:rPr>
                <w:rFonts w:ascii="Arial" w:hAnsi="Arial" w:cs="Arial"/>
                <w:b/>
                <w:spacing w:val="-41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koja</w:t>
            </w:r>
            <w:r w:rsidR="001C1AF1" w:rsidRPr="00074A7B">
              <w:rPr>
                <w:rFonts w:ascii="Arial" w:hAnsi="Arial" w:cs="Arial"/>
                <w:b/>
                <w:spacing w:val="-42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 xml:space="preserve">je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uređena</w:t>
            </w:r>
            <w:r w:rsidR="001C1AF1" w:rsidRPr="00074A7B">
              <w:rPr>
                <w:rFonts w:ascii="Arial" w:hAnsi="Arial" w:cs="Arial"/>
                <w:b/>
                <w:spacing w:val="-39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sljedećim</w:t>
            </w:r>
            <w:r w:rsidR="001C1AF1" w:rsidRPr="00074A7B">
              <w:rPr>
                <w:rFonts w:ascii="Arial" w:hAnsi="Arial" w:cs="Arial"/>
                <w:b/>
                <w:spacing w:val="-38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zakonima</w:t>
            </w:r>
            <w:r w:rsidR="001C1AF1" w:rsidRPr="00074A7B">
              <w:rPr>
                <w:rFonts w:ascii="Arial" w:hAnsi="Arial" w:cs="Arial"/>
                <w:b/>
                <w:spacing w:val="-38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:</w:t>
            </w:r>
            <w:r w:rsidR="001C1AF1" w:rsidRPr="00074A7B">
              <w:rPr>
                <w:rFonts w:ascii="Arial" w:hAnsi="Arial" w:cs="Arial"/>
                <w:b/>
                <w:spacing w:val="-37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Zakon</w:t>
            </w:r>
            <w:r w:rsidR="001C1AF1" w:rsidRPr="00074A7B">
              <w:rPr>
                <w:rFonts w:ascii="Arial" w:hAnsi="Arial" w:cs="Arial"/>
                <w:b/>
                <w:spacing w:val="-39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o</w:t>
            </w:r>
            <w:r w:rsidR="001C1AF1" w:rsidRPr="00074A7B">
              <w:rPr>
                <w:rFonts w:ascii="Arial" w:hAnsi="Arial" w:cs="Arial"/>
                <w:b/>
                <w:spacing w:val="-38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putevima,</w:t>
            </w:r>
            <w:r w:rsidR="001C1AF1" w:rsidRPr="00074A7B">
              <w:rPr>
                <w:rFonts w:ascii="Arial" w:hAnsi="Arial" w:cs="Arial"/>
                <w:b/>
                <w:spacing w:val="-38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Zakon</w:t>
            </w:r>
            <w:r w:rsidR="001C1AF1" w:rsidRPr="00074A7B">
              <w:rPr>
                <w:rFonts w:ascii="Arial" w:hAnsi="Arial" w:cs="Arial"/>
                <w:b/>
                <w:spacing w:val="-38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o</w:t>
            </w:r>
            <w:r w:rsidR="001C1AF1" w:rsidRPr="00074A7B">
              <w:rPr>
                <w:rFonts w:ascii="Arial" w:hAnsi="Arial" w:cs="Arial"/>
                <w:b/>
                <w:spacing w:val="-38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prevozu</w:t>
            </w:r>
            <w:r w:rsidR="001C1AF1" w:rsidRPr="00074A7B">
              <w:rPr>
                <w:rFonts w:ascii="Arial" w:hAnsi="Arial" w:cs="Arial"/>
                <w:b/>
                <w:spacing w:val="-39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u</w:t>
            </w:r>
            <w:r w:rsidR="001C1AF1" w:rsidRPr="00074A7B">
              <w:rPr>
                <w:rFonts w:ascii="Arial" w:hAnsi="Arial" w:cs="Arial"/>
                <w:b/>
                <w:spacing w:val="-37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drumskom</w:t>
            </w:r>
            <w:r w:rsidR="001C1AF1" w:rsidRPr="00074A7B">
              <w:rPr>
                <w:rFonts w:ascii="Arial" w:hAnsi="Arial" w:cs="Arial"/>
                <w:b/>
                <w:spacing w:val="-38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saobraćaju,</w:t>
            </w:r>
            <w:r w:rsidR="001C1AF1" w:rsidRPr="00074A7B">
              <w:rPr>
                <w:rFonts w:ascii="Arial" w:hAnsi="Arial" w:cs="Arial"/>
                <w:b/>
                <w:spacing w:val="-39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Zakon</w:t>
            </w:r>
            <w:r w:rsidR="001C1AF1" w:rsidRPr="00074A7B">
              <w:rPr>
                <w:rFonts w:ascii="Arial" w:hAnsi="Arial" w:cs="Arial"/>
                <w:b/>
                <w:spacing w:val="-38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o</w:t>
            </w:r>
            <w:r w:rsidR="001C1AF1" w:rsidRPr="00074A7B">
              <w:rPr>
                <w:rFonts w:ascii="Arial" w:hAnsi="Arial" w:cs="Arial"/>
                <w:b/>
                <w:spacing w:val="-38"/>
                <w:w w:val="95"/>
                <w:szCs w:val="24"/>
              </w:rPr>
              <w:t xml:space="preserve"> 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željeznici,</w:t>
            </w:r>
            <w:r w:rsidR="001C1AF1" w:rsidRPr="00074A7B">
              <w:rPr>
                <w:rFonts w:ascii="Arial" w:hAnsi="Arial" w:cs="Arial"/>
                <w:b/>
                <w:spacing w:val="-38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Zakon</w:t>
            </w:r>
            <w:r w:rsidR="001C1AF1" w:rsidRPr="00074A7B">
              <w:rPr>
                <w:rFonts w:ascii="Arial" w:hAnsi="Arial" w:cs="Arial"/>
                <w:b/>
                <w:spacing w:val="-37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o</w:t>
            </w:r>
            <w:r w:rsidR="001C1AF1" w:rsidRPr="00074A7B">
              <w:rPr>
                <w:rFonts w:ascii="Arial" w:hAnsi="Arial" w:cs="Arial"/>
                <w:b/>
                <w:spacing w:val="-39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>vazdušnom</w:t>
            </w:r>
            <w:r w:rsidR="001C1AF1" w:rsidRPr="00074A7B">
              <w:rPr>
                <w:rFonts w:ascii="Arial" w:hAnsi="Arial" w:cs="Arial"/>
                <w:b/>
                <w:spacing w:val="-37"/>
                <w:w w:val="9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w w:val="95"/>
                <w:szCs w:val="24"/>
              </w:rPr>
              <w:t xml:space="preserve">saobraćaju,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Zakon</w:t>
            </w:r>
            <w:r w:rsidR="001C1AF1" w:rsidRPr="00074A7B">
              <w:rPr>
                <w:rFonts w:ascii="Arial" w:hAnsi="Arial" w:cs="Arial"/>
                <w:b/>
                <w:spacing w:val="-24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o</w:t>
            </w:r>
            <w:r w:rsidR="001C1AF1" w:rsidRPr="00074A7B">
              <w:rPr>
                <w:rFonts w:ascii="Arial" w:hAnsi="Arial" w:cs="Arial"/>
                <w:b/>
                <w:spacing w:val="-26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bezbijednosti,</w:t>
            </w:r>
            <w:r w:rsidR="001C1AF1" w:rsidRPr="00074A7B">
              <w:rPr>
                <w:rFonts w:ascii="Arial" w:hAnsi="Arial" w:cs="Arial"/>
                <w:b/>
                <w:spacing w:val="-26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organizaciji</w:t>
            </w:r>
            <w:r w:rsidR="001C1AF1" w:rsidRPr="00074A7B">
              <w:rPr>
                <w:rFonts w:ascii="Arial" w:hAnsi="Arial" w:cs="Arial"/>
                <w:b/>
                <w:spacing w:val="-25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i</w:t>
            </w:r>
            <w:r w:rsidR="001C1AF1" w:rsidRPr="00074A7B">
              <w:rPr>
                <w:rFonts w:ascii="Arial" w:hAnsi="Arial" w:cs="Arial"/>
                <w:b/>
                <w:spacing w:val="-26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efikasnosti</w:t>
            </w:r>
            <w:r w:rsidR="001C1AF1" w:rsidRPr="00074A7B">
              <w:rPr>
                <w:rFonts w:ascii="Arial" w:hAnsi="Arial" w:cs="Arial"/>
                <w:b/>
                <w:spacing w:val="-26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željezničkog</w:t>
            </w:r>
            <w:r w:rsidR="001C1AF1" w:rsidRPr="00074A7B">
              <w:rPr>
                <w:rFonts w:ascii="Arial" w:hAnsi="Arial" w:cs="Arial"/>
                <w:b/>
                <w:spacing w:val="-26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prevoza,</w:t>
            </w:r>
            <w:r w:rsidR="001C1AF1" w:rsidRPr="00074A7B">
              <w:rPr>
                <w:rFonts w:ascii="Arial" w:hAnsi="Arial" w:cs="Arial"/>
                <w:b/>
                <w:spacing w:val="-24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Zakon</w:t>
            </w:r>
            <w:r w:rsidR="001C1AF1" w:rsidRPr="00074A7B">
              <w:rPr>
                <w:rFonts w:ascii="Arial" w:hAnsi="Arial" w:cs="Arial"/>
                <w:b/>
                <w:spacing w:val="-26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o</w:t>
            </w:r>
            <w:r w:rsidR="001C1AF1" w:rsidRPr="00074A7B">
              <w:rPr>
                <w:rFonts w:ascii="Arial" w:hAnsi="Arial" w:cs="Arial"/>
                <w:b/>
                <w:spacing w:val="-17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sigurnosti</w:t>
            </w:r>
            <w:r w:rsidR="001C1AF1" w:rsidRPr="00074A7B">
              <w:rPr>
                <w:rFonts w:ascii="Arial" w:hAnsi="Arial" w:cs="Arial"/>
                <w:b/>
                <w:spacing w:val="-24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pomorske</w:t>
            </w:r>
            <w:r w:rsidR="001C1AF1" w:rsidRPr="00074A7B">
              <w:rPr>
                <w:rFonts w:ascii="Arial" w:hAnsi="Arial" w:cs="Arial"/>
                <w:b/>
                <w:spacing w:val="-26"/>
                <w:szCs w:val="24"/>
              </w:rPr>
              <w:t xml:space="preserve"> </w:t>
            </w:r>
            <w:r w:rsidR="001C1AF1" w:rsidRPr="00074A7B">
              <w:rPr>
                <w:rFonts w:ascii="Arial" w:hAnsi="Arial" w:cs="Arial"/>
                <w:b/>
                <w:szCs w:val="24"/>
              </w:rPr>
              <w:t>plovidbe.</w:t>
            </w:r>
          </w:p>
        </w:tc>
      </w:tr>
    </w:tbl>
    <w:p w:rsidR="00370754" w:rsidRPr="00370754" w:rsidRDefault="00370754" w:rsidP="00370754">
      <w:pPr>
        <w:pStyle w:val="ListParagraph"/>
        <w:rPr>
          <w:rFonts w:ascii="Arial" w:hAnsi="Arial" w:cs="Arial"/>
          <w:b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PRIORITETNI PROBLEMI I POTR</w:t>
      </w:r>
      <w:r w:rsidR="00EA22A1">
        <w:rPr>
          <w:rFonts w:ascii="Arial" w:hAnsi="Arial" w:cs="Arial"/>
          <w:b/>
        </w:rPr>
        <w:t xml:space="preserve">EBE KOJE TREBA RIJEŠITI U </w:t>
      </w:r>
      <w:r w:rsidR="001C1AF1">
        <w:rPr>
          <w:rFonts w:ascii="Arial" w:hAnsi="Arial" w:cs="Arial"/>
          <w:b/>
        </w:rPr>
        <w:t>2020.</w:t>
      </w:r>
      <w:r w:rsidRPr="00370754">
        <w:rPr>
          <w:rFonts w:ascii="Arial" w:hAnsi="Arial" w:cs="Arial"/>
          <w:b/>
        </w:rPr>
        <w:t xml:space="preserve"> GODINI FINANSIRANJEM PROJEKATA I</w:t>
      </w:r>
      <w:r w:rsidR="00A640F0">
        <w:rPr>
          <w:rFonts w:ascii="Arial" w:hAnsi="Arial" w:cs="Arial"/>
          <w:b/>
        </w:rPr>
        <w:t xml:space="preserve"> </w:t>
      </w:r>
      <w:r w:rsidRPr="00370754">
        <w:rPr>
          <w:rFonts w:ascii="Arial" w:hAnsi="Arial" w:cs="Arial"/>
          <w:b/>
        </w:rPr>
        <w:t>PROGRAMA NVO</w:t>
      </w:r>
    </w:p>
    <w:p w:rsidR="00074A7B" w:rsidRDefault="00074A7B" w:rsidP="001C1AF1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370754" w:rsidRDefault="00A640F0" w:rsidP="001C1AF1">
      <w:pPr>
        <w:pStyle w:val="ListParagraph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370754" w:rsidRPr="00370754">
        <w:rPr>
          <w:rFonts w:ascii="Arial" w:hAnsi="Arial" w:cs="Arial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p w:rsidR="001C1AF1" w:rsidRPr="00370754" w:rsidRDefault="001C1AF1" w:rsidP="001C1AF1">
      <w:pPr>
        <w:pStyle w:val="ListParagraph"/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792" w:type="dxa"/>
        <w:tblLook w:val="04A0"/>
      </w:tblPr>
      <w:tblGrid>
        <w:gridCol w:w="6884"/>
        <w:gridCol w:w="6862"/>
      </w:tblGrid>
      <w:tr w:rsidR="00370754" w:rsidRPr="00370754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lastRenderedPageBreak/>
              <w:t>Opis problema:</w:t>
            </w:r>
          </w:p>
        </w:tc>
      </w:tr>
      <w:tr w:rsidR="00370754" w:rsidRPr="00370754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1C1AF1" w:rsidRDefault="001C1AF1" w:rsidP="001C1AF1">
            <w:pPr>
              <w:widowControl w:val="0"/>
              <w:autoSpaceDE w:val="0"/>
              <w:autoSpaceDN w:val="0"/>
              <w:spacing w:before="17" w:after="0" w:line="276" w:lineRule="auto"/>
              <w:ind w:right="696"/>
              <w:rPr>
                <w:rFonts w:ascii="Arial" w:eastAsia="Arial" w:hAnsi="Arial" w:cs="Arial"/>
                <w:sz w:val="22"/>
                <w:szCs w:val="22"/>
              </w:rPr>
            </w:pPr>
          </w:p>
          <w:p w:rsidR="003D4742" w:rsidRDefault="001C1AF1" w:rsidP="0066131B">
            <w:pPr>
              <w:widowControl w:val="0"/>
              <w:autoSpaceDE w:val="0"/>
              <w:autoSpaceDN w:val="0"/>
              <w:spacing w:before="17" w:after="0" w:line="360" w:lineRule="auto"/>
              <w:ind w:right="696"/>
              <w:rPr>
                <w:rFonts w:ascii="Arial" w:hAnsi="Arial" w:cs="Arial"/>
                <w:sz w:val="22"/>
                <w:szCs w:val="22"/>
              </w:rPr>
            </w:pPr>
            <w:r w:rsidRPr="001C1AF1">
              <w:rPr>
                <w:rFonts w:ascii="Arial" w:eastAsia="Arial" w:hAnsi="Arial" w:cs="Arial"/>
                <w:sz w:val="22"/>
                <w:szCs w:val="22"/>
              </w:rPr>
              <w:t>Ekonomski i društveni  razvoj savremenog svijeta neprestano zahtijeva br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ži i efikasniji transport ljudi, dobara i usluga. </w:t>
            </w:r>
            <w:r w:rsidRPr="001C1AF1">
              <w:rPr>
                <w:rFonts w:ascii="Arial" w:eastAsia="Arial" w:hAnsi="Arial" w:cs="Arial"/>
                <w:sz w:val="22"/>
                <w:szCs w:val="22"/>
              </w:rPr>
              <w:t xml:space="preserve">Ovo je dovelo do </w:t>
            </w:r>
            <w:r w:rsidR="003D4742">
              <w:rPr>
                <w:rFonts w:ascii="Arial" w:eastAsia="Arial" w:hAnsi="Arial" w:cs="Arial"/>
                <w:sz w:val="22"/>
                <w:szCs w:val="22"/>
              </w:rPr>
              <w:t>upotrebe različitih vrsta prevoznih sredstava.</w:t>
            </w:r>
            <w:r w:rsidRPr="001C1AF1">
              <w:rPr>
                <w:rFonts w:ascii="Arial" w:eastAsia="Arial" w:hAnsi="Arial" w:cs="Arial"/>
                <w:sz w:val="22"/>
                <w:szCs w:val="22"/>
              </w:rPr>
              <w:t xml:space="preserve">  Međutim, dok motorizovano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kretanje donosi mnoge benefite, </w:t>
            </w:r>
            <w:r w:rsidRPr="001C1AF1">
              <w:rPr>
                <w:rFonts w:ascii="Arial" w:eastAsia="Arial" w:hAnsi="Arial" w:cs="Arial"/>
                <w:sz w:val="22"/>
                <w:szCs w:val="22"/>
              </w:rPr>
              <w:t xml:space="preserve">ono takođe može izazvati i ozbiljne štete ako se </w:t>
            </w:r>
            <w:r>
              <w:rPr>
                <w:rFonts w:ascii="Arial" w:eastAsia="Arial" w:hAnsi="Arial" w:cs="Arial"/>
                <w:sz w:val="22"/>
                <w:szCs w:val="22"/>
              </w:rPr>
              <w:t>ne poštuju postulati bezbjednosti i sigurnosti u saobraćaju</w:t>
            </w:r>
            <w:r w:rsidR="003D4742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3D4742" w:rsidRPr="003D4742">
              <w:rPr>
                <w:rFonts w:ascii="Arial" w:hAnsi="Arial" w:cs="Arial"/>
                <w:sz w:val="22"/>
                <w:szCs w:val="22"/>
              </w:rPr>
              <w:t>Brojna istraživanja potvrđuju da je čovek kao učesnik u saobraćaju, pored ostalih faktora (motorna vozila, karakteristike puta,...) presudan faktor efikasnosti i bezb</w:t>
            </w:r>
            <w:r w:rsidR="003D4742">
              <w:rPr>
                <w:rFonts w:ascii="Arial" w:hAnsi="Arial" w:cs="Arial"/>
                <w:sz w:val="22"/>
                <w:szCs w:val="22"/>
              </w:rPr>
              <w:t>j</w:t>
            </w:r>
            <w:r w:rsidR="003D4742" w:rsidRPr="003D4742">
              <w:rPr>
                <w:rFonts w:ascii="Arial" w:hAnsi="Arial" w:cs="Arial"/>
                <w:sz w:val="22"/>
                <w:szCs w:val="22"/>
              </w:rPr>
              <w:t xml:space="preserve">ednosti saobraćaja. </w:t>
            </w:r>
          </w:p>
          <w:p w:rsidR="003D4742" w:rsidRPr="003D4742" w:rsidRDefault="003D4742" w:rsidP="0066131B">
            <w:pPr>
              <w:widowControl w:val="0"/>
              <w:autoSpaceDE w:val="0"/>
              <w:autoSpaceDN w:val="0"/>
              <w:spacing w:before="17" w:after="0" w:line="360" w:lineRule="auto"/>
              <w:ind w:right="696"/>
              <w:rPr>
                <w:rFonts w:ascii="Arial" w:hAnsi="Arial" w:cs="Arial"/>
                <w:sz w:val="22"/>
                <w:szCs w:val="22"/>
              </w:rPr>
            </w:pPr>
            <w:r w:rsidRPr="003D4742">
              <w:rPr>
                <w:rFonts w:ascii="Arial" w:hAnsi="Arial" w:cs="Arial"/>
                <w:sz w:val="22"/>
                <w:szCs w:val="22"/>
              </w:rPr>
              <w:t>Čovek je akter brojnih različitih složenih saobraćajnih situacija u koj</w:t>
            </w:r>
            <w:r>
              <w:rPr>
                <w:rFonts w:ascii="Arial" w:hAnsi="Arial" w:cs="Arial"/>
                <w:sz w:val="22"/>
                <w:szCs w:val="22"/>
              </w:rPr>
              <w:t>ima učestvuje sa svim svojim obi</w:t>
            </w:r>
            <w:r w:rsidRPr="003D4742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D4742">
              <w:rPr>
                <w:rFonts w:ascii="Arial" w:hAnsi="Arial" w:cs="Arial"/>
                <w:sz w:val="22"/>
                <w:szCs w:val="22"/>
              </w:rPr>
              <w:t>ežjima, dimenzijama i kapacitetima. Čovek u svim saobraćajnim situacijama projektuje svoju ličnost, svoja znanja, svoja shvatanja i stavove – svoju opštu i posebnu saobraćajnu kulturu. Saobraćajna kultura je visoko korespondentna sa psihosocijalnom profilom ličnosti.</w:t>
            </w:r>
          </w:p>
          <w:p w:rsidR="001C1AF1" w:rsidRPr="001C1AF1" w:rsidRDefault="003D4742" w:rsidP="0066131B">
            <w:pPr>
              <w:widowControl w:val="0"/>
              <w:autoSpaceDE w:val="0"/>
              <w:autoSpaceDN w:val="0"/>
              <w:spacing w:before="17" w:after="0" w:line="360" w:lineRule="auto"/>
              <w:ind w:right="6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D81080">
              <w:rPr>
                <w:rFonts w:ascii="Arial" w:eastAsia="Arial" w:hAnsi="Arial" w:cs="Arial"/>
                <w:sz w:val="22"/>
                <w:szCs w:val="22"/>
              </w:rPr>
              <w:t>rema različitim statitstikama na putevima širom svijeta s</w:t>
            </w:r>
            <w:r w:rsidR="001C1AF1" w:rsidRPr="001C1AF1">
              <w:rPr>
                <w:rFonts w:ascii="Arial" w:eastAsia="Arial" w:hAnsi="Arial" w:cs="Arial"/>
                <w:sz w:val="22"/>
                <w:szCs w:val="22"/>
              </w:rPr>
              <w:t xml:space="preserve">vake godine u saobraćaju </w:t>
            </w:r>
            <w:r w:rsidR="00D81080">
              <w:rPr>
                <w:rFonts w:ascii="Arial" w:eastAsia="Arial" w:hAnsi="Arial" w:cs="Arial"/>
                <w:sz w:val="22"/>
                <w:szCs w:val="22"/>
              </w:rPr>
              <w:t>izgubi život</w:t>
            </w:r>
            <w:r w:rsidR="001C1AF1" w:rsidRPr="001C1AF1">
              <w:rPr>
                <w:rFonts w:ascii="Arial" w:eastAsia="Arial" w:hAnsi="Arial" w:cs="Arial"/>
                <w:sz w:val="22"/>
                <w:szCs w:val="22"/>
              </w:rPr>
              <w:t xml:space="preserve"> oko 1,2 miliona ljudi a </w:t>
            </w:r>
            <w:r w:rsidR="00D81080">
              <w:rPr>
                <w:rFonts w:ascii="Arial" w:eastAsia="Arial" w:hAnsi="Arial" w:cs="Arial"/>
                <w:sz w:val="22"/>
                <w:szCs w:val="22"/>
              </w:rPr>
              <w:t>još 50 miliona biva povrijeđeno, gdje se na svakih šest sekundi desi jedna saobraćajna nezgoda.</w:t>
            </w:r>
          </w:p>
          <w:p w:rsidR="001C1AF1" w:rsidRPr="001C1AF1" w:rsidRDefault="001C1AF1" w:rsidP="0066131B">
            <w:pPr>
              <w:widowControl w:val="0"/>
              <w:autoSpaceDE w:val="0"/>
              <w:autoSpaceDN w:val="0"/>
              <w:spacing w:before="17" w:after="0" w:line="360" w:lineRule="auto"/>
              <w:ind w:right="696"/>
              <w:rPr>
                <w:rFonts w:ascii="Arial" w:eastAsia="Arial" w:hAnsi="Arial" w:cs="Arial"/>
                <w:sz w:val="22"/>
                <w:szCs w:val="22"/>
              </w:rPr>
            </w:pPr>
            <w:r w:rsidRPr="001C1AF1">
              <w:rPr>
                <w:rFonts w:ascii="Arial" w:eastAsia="Arial" w:hAnsi="Arial" w:cs="Arial"/>
                <w:sz w:val="22"/>
                <w:szCs w:val="22"/>
              </w:rPr>
              <w:t>Postoji širok opseg efikasnih mjera, a iskustva zemalja sa dugom tradicijom motorizovanog kretanja pokazala su da je za rješavanje problema potreban sistemski pristup.</w:t>
            </w:r>
          </w:p>
          <w:p w:rsidR="001C1AF1" w:rsidRPr="00D81080" w:rsidRDefault="001C1AF1" w:rsidP="0066131B">
            <w:pPr>
              <w:widowControl w:val="0"/>
              <w:autoSpaceDE w:val="0"/>
              <w:autoSpaceDN w:val="0"/>
              <w:spacing w:after="0" w:line="360" w:lineRule="auto"/>
              <w:ind w:right="695"/>
              <w:rPr>
                <w:rFonts w:ascii="Arial" w:eastAsia="Arial" w:hAnsi="Arial" w:cs="Arial"/>
                <w:sz w:val="22"/>
                <w:szCs w:val="22"/>
              </w:rPr>
            </w:pP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Prema</w:t>
            </w:r>
            <w:r w:rsidRPr="00D81080">
              <w:rPr>
                <w:rFonts w:ascii="Arial" w:eastAsia="Arial" w:hAnsi="Arial" w:cs="Arial"/>
                <w:spacing w:val="-28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podacima</w:t>
            </w:r>
            <w:r w:rsidRPr="00D81080">
              <w:rPr>
                <w:rFonts w:ascii="Arial" w:eastAsia="Arial" w:hAnsi="Arial" w:cs="Arial"/>
                <w:spacing w:val="-27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Monstata</w:t>
            </w:r>
            <w:r w:rsidRPr="00D81080">
              <w:rPr>
                <w:rFonts w:ascii="Arial" w:eastAsia="Arial" w:hAnsi="Arial" w:cs="Arial"/>
                <w:spacing w:val="-27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ukupan</w:t>
            </w:r>
            <w:r w:rsidRPr="00D81080">
              <w:rPr>
                <w:rFonts w:ascii="Arial" w:eastAsia="Arial" w:hAnsi="Arial" w:cs="Arial"/>
                <w:spacing w:val="-26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broj</w:t>
            </w:r>
            <w:r w:rsidRPr="00D81080">
              <w:rPr>
                <w:rFonts w:ascii="Arial" w:eastAsia="Arial" w:hAnsi="Arial" w:cs="Arial"/>
                <w:spacing w:val="-28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saobraćajnih</w:t>
            </w:r>
            <w:r w:rsidRPr="00D81080">
              <w:rPr>
                <w:rFonts w:ascii="Arial" w:eastAsia="Arial" w:hAnsi="Arial" w:cs="Arial"/>
                <w:spacing w:val="-26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nezgoda</w:t>
            </w:r>
            <w:r w:rsidRPr="00D81080">
              <w:rPr>
                <w:rFonts w:ascii="Arial" w:eastAsia="Arial" w:hAnsi="Arial" w:cs="Arial"/>
                <w:spacing w:val="-28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u</w:t>
            </w:r>
            <w:r w:rsidRPr="00D81080">
              <w:rPr>
                <w:rFonts w:ascii="Arial" w:eastAsia="Arial" w:hAnsi="Arial" w:cs="Arial"/>
                <w:spacing w:val="-26"/>
                <w:w w:val="95"/>
                <w:sz w:val="22"/>
                <w:szCs w:val="22"/>
              </w:rPr>
              <w:t xml:space="preserve"> </w:t>
            </w:r>
            <w:r w:rsidR="007959EF">
              <w:rPr>
                <w:rFonts w:ascii="Arial" w:eastAsia="Arial" w:hAnsi="Arial" w:cs="Arial"/>
                <w:w w:val="95"/>
                <w:sz w:val="22"/>
                <w:szCs w:val="22"/>
              </w:rPr>
              <w:t>četrtom</w:t>
            </w:r>
            <w:r w:rsidRPr="00D81080">
              <w:rPr>
                <w:rFonts w:ascii="Arial" w:eastAsia="Arial" w:hAnsi="Arial" w:cs="Arial"/>
                <w:spacing w:val="-27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kvartalu</w:t>
            </w:r>
            <w:r w:rsidRPr="00D81080">
              <w:rPr>
                <w:rFonts w:ascii="Arial" w:eastAsia="Arial" w:hAnsi="Arial" w:cs="Arial"/>
                <w:spacing w:val="-27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2018.</w:t>
            </w:r>
            <w:r w:rsidRPr="00D81080">
              <w:rPr>
                <w:rFonts w:ascii="Arial" w:eastAsia="Arial" w:hAnsi="Arial" w:cs="Arial"/>
                <w:spacing w:val="-27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godine</w:t>
            </w:r>
            <w:r w:rsidRPr="00D81080">
              <w:rPr>
                <w:rFonts w:ascii="Arial" w:eastAsia="Arial" w:hAnsi="Arial" w:cs="Arial"/>
                <w:spacing w:val="-27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iznosio</w:t>
            </w:r>
            <w:r w:rsidRPr="00D81080">
              <w:rPr>
                <w:rFonts w:ascii="Arial" w:eastAsia="Arial" w:hAnsi="Arial" w:cs="Arial"/>
                <w:spacing w:val="-26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je</w:t>
            </w:r>
            <w:r w:rsidRPr="00D81080">
              <w:rPr>
                <w:rFonts w:ascii="Arial" w:eastAsia="Arial" w:hAnsi="Arial" w:cs="Arial"/>
                <w:spacing w:val="-28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1</w:t>
            </w:r>
            <w:r w:rsidRPr="00D81080">
              <w:rPr>
                <w:rFonts w:ascii="Arial" w:eastAsia="Arial" w:hAnsi="Arial" w:cs="Arial"/>
                <w:spacing w:val="-27"/>
                <w:w w:val="95"/>
                <w:sz w:val="22"/>
                <w:szCs w:val="22"/>
              </w:rPr>
              <w:t xml:space="preserve"> </w:t>
            </w:r>
            <w:r w:rsidR="007959EF">
              <w:rPr>
                <w:rFonts w:ascii="Arial" w:eastAsia="Arial" w:hAnsi="Arial" w:cs="Arial"/>
                <w:w w:val="95"/>
                <w:sz w:val="22"/>
                <w:szCs w:val="22"/>
              </w:rPr>
              <w:t>450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,</w:t>
            </w:r>
            <w:r w:rsidRPr="00D81080">
              <w:rPr>
                <w:rFonts w:ascii="Arial" w:eastAsia="Arial" w:hAnsi="Arial" w:cs="Arial"/>
                <w:spacing w:val="-27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što</w:t>
            </w:r>
            <w:r w:rsidRPr="00D81080">
              <w:rPr>
                <w:rFonts w:ascii="Arial" w:eastAsia="Arial" w:hAnsi="Arial" w:cs="Arial"/>
                <w:spacing w:val="-27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je</w:t>
            </w:r>
            <w:r w:rsidRPr="00D81080">
              <w:rPr>
                <w:rFonts w:ascii="Arial" w:eastAsia="Arial" w:hAnsi="Arial" w:cs="Arial"/>
                <w:spacing w:val="-28"/>
                <w:w w:val="95"/>
                <w:sz w:val="22"/>
                <w:szCs w:val="22"/>
              </w:rPr>
              <w:t xml:space="preserve"> </w:t>
            </w:r>
            <w:r w:rsidR="007959EF">
              <w:rPr>
                <w:rFonts w:ascii="Arial" w:eastAsia="Arial" w:hAnsi="Arial" w:cs="Arial"/>
                <w:w w:val="95"/>
                <w:sz w:val="22"/>
                <w:szCs w:val="22"/>
              </w:rPr>
              <w:t>2,7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%</w:t>
            </w:r>
            <w:r w:rsidRPr="00D81080">
              <w:rPr>
                <w:rFonts w:ascii="Arial" w:eastAsia="Arial" w:hAnsi="Arial" w:cs="Arial"/>
                <w:spacing w:val="-26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više</w:t>
            </w:r>
            <w:r w:rsidRPr="00D81080">
              <w:rPr>
                <w:rFonts w:ascii="Arial" w:eastAsia="Arial" w:hAnsi="Arial" w:cs="Arial"/>
                <w:spacing w:val="-27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u</w:t>
            </w:r>
            <w:r w:rsidRPr="00D81080">
              <w:rPr>
                <w:rFonts w:ascii="Arial" w:eastAsia="Arial" w:hAnsi="Arial" w:cs="Arial"/>
                <w:spacing w:val="-27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>odnosu</w:t>
            </w:r>
            <w:r w:rsidRPr="00D81080">
              <w:rPr>
                <w:rFonts w:ascii="Arial" w:eastAsia="Arial" w:hAnsi="Arial" w:cs="Arial"/>
                <w:spacing w:val="-28"/>
                <w:w w:val="9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w w:val="95"/>
                <w:sz w:val="22"/>
                <w:szCs w:val="22"/>
              </w:rPr>
              <w:t xml:space="preserve">na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isti</w:t>
            </w:r>
            <w:r w:rsidRPr="00D81080">
              <w:rPr>
                <w:rFonts w:ascii="Arial" w:eastAsia="Arial" w:hAnsi="Arial" w:cs="Arial"/>
                <w:spacing w:val="-30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kvartal</w:t>
            </w:r>
            <w:r w:rsidRPr="00D81080">
              <w:rPr>
                <w:rFonts w:ascii="Arial" w:eastAsia="Arial" w:hAnsi="Arial" w:cs="Arial"/>
                <w:spacing w:val="-30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2017.</w:t>
            </w:r>
            <w:r w:rsidRPr="00D81080"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godine.</w:t>
            </w:r>
            <w:r w:rsidRPr="00D81080"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Broj</w:t>
            </w:r>
            <w:r w:rsidRPr="00D81080"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nastradalih</w:t>
            </w:r>
            <w:r w:rsidRPr="00D81080"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lica</w:t>
            </w:r>
            <w:r w:rsidR="007959EF">
              <w:rPr>
                <w:rStyle w:val="FootnoteReference"/>
                <w:rFonts w:ascii="Arial" w:eastAsia="Arial" w:hAnsi="Arial" w:cs="Arial"/>
                <w:sz w:val="22"/>
                <w:szCs w:val="22"/>
              </w:rPr>
              <w:footnoteReference w:id="2"/>
            </w:r>
            <w:r w:rsidRPr="00D81080">
              <w:rPr>
                <w:rFonts w:ascii="Arial" w:eastAsia="Arial" w:hAnsi="Arial" w:cs="Arial"/>
                <w:spacing w:val="-30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D81080">
              <w:rPr>
                <w:rFonts w:ascii="Arial" w:eastAsia="Arial" w:hAnsi="Arial" w:cs="Arial"/>
                <w:spacing w:val="-30"/>
                <w:sz w:val="22"/>
                <w:szCs w:val="22"/>
              </w:rPr>
              <w:t xml:space="preserve"> </w:t>
            </w:r>
            <w:r w:rsidR="007959EF">
              <w:rPr>
                <w:rFonts w:ascii="Arial" w:eastAsia="Arial" w:hAnsi="Arial" w:cs="Arial"/>
                <w:sz w:val="22"/>
                <w:szCs w:val="22"/>
              </w:rPr>
              <w:t>četvrtom</w:t>
            </w:r>
            <w:r w:rsidRPr="00D81080"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kvartalu</w:t>
            </w:r>
            <w:r w:rsidRPr="00D81080">
              <w:rPr>
                <w:rFonts w:ascii="Arial" w:eastAsia="Arial" w:hAnsi="Arial" w:cs="Arial"/>
                <w:spacing w:val="-30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2018.</w:t>
            </w:r>
            <w:r w:rsidRPr="00D81080">
              <w:rPr>
                <w:rFonts w:ascii="Arial" w:eastAsia="Arial" w:hAnsi="Arial" w:cs="Arial"/>
                <w:spacing w:val="-30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godine</w:t>
            </w:r>
            <w:r w:rsidRPr="00D81080">
              <w:rPr>
                <w:rFonts w:ascii="Arial" w:eastAsia="Arial" w:hAnsi="Arial" w:cs="Arial"/>
                <w:spacing w:val="-30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iznosio</w:t>
            </w:r>
            <w:r w:rsidRPr="00D81080"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je</w:t>
            </w:r>
            <w:r w:rsidR="007959EF">
              <w:rPr>
                <w:rFonts w:ascii="Arial" w:eastAsia="Arial" w:hAnsi="Arial" w:cs="Arial"/>
                <w:sz w:val="22"/>
                <w:szCs w:val="22"/>
              </w:rPr>
              <w:t xml:space="preserve"> 644, dok je broj </w:t>
            </w:r>
            <w:r w:rsidRPr="00D81080"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 w:rsidR="007959EF">
              <w:rPr>
                <w:rFonts w:ascii="Arial" w:eastAsia="Arial" w:hAnsi="Arial" w:cs="Arial"/>
                <w:sz w:val="22"/>
                <w:szCs w:val="22"/>
              </w:rPr>
              <w:t xml:space="preserve">634 </w:t>
            </w:r>
            <w:r w:rsidRPr="00D81080">
              <w:rPr>
                <w:rFonts w:ascii="Arial" w:eastAsia="Arial" w:hAnsi="Arial" w:cs="Arial"/>
                <w:spacing w:val="-30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povrijeđenih</w:t>
            </w:r>
            <w:r w:rsidRPr="00D81080">
              <w:rPr>
                <w:rFonts w:ascii="Arial" w:eastAsia="Arial" w:hAnsi="Arial" w:cs="Arial"/>
                <w:spacing w:val="-28"/>
                <w:sz w:val="22"/>
                <w:szCs w:val="22"/>
              </w:rPr>
              <w:t xml:space="preserve"> </w:t>
            </w:r>
            <w:r w:rsidR="007959EF">
              <w:rPr>
                <w:rFonts w:ascii="Arial" w:eastAsia="Arial" w:hAnsi="Arial" w:cs="Arial"/>
                <w:sz w:val="22"/>
                <w:szCs w:val="22"/>
              </w:rPr>
              <w:t>lica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D81080">
              <w:rPr>
                <w:rFonts w:ascii="Arial" w:eastAsia="Arial" w:hAnsi="Arial" w:cs="Arial"/>
                <w:spacing w:val="-30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što</w:t>
            </w:r>
            <w:r w:rsidRPr="00D81080">
              <w:rPr>
                <w:rFonts w:ascii="Arial" w:eastAsia="Arial" w:hAnsi="Arial" w:cs="Arial"/>
                <w:spacing w:val="-30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je</w:t>
            </w:r>
            <w:r w:rsidRPr="00D81080">
              <w:rPr>
                <w:rFonts w:ascii="Arial" w:eastAsia="Arial" w:hAnsi="Arial" w:cs="Arial"/>
                <w:spacing w:val="-30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 xml:space="preserve">za </w:t>
            </w:r>
            <w:r w:rsidR="007959EF">
              <w:rPr>
                <w:rFonts w:ascii="Arial" w:eastAsia="Arial" w:hAnsi="Arial" w:cs="Arial"/>
                <w:sz w:val="22"/>
                <w:szCs w:val="22"/>
              </w:rPr>
              <w:t xml:space="preserve">4,2% manje </w:t>
            </w:r>
            <w:r w:rsidRPr="00D81080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D81080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odnosu</w:t>
            </w:r>
            <w:r w:rsidRPr="00D81080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00D81080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isti</w:t>
            </w:r>
            <w:r w:rsidRPr="00D81080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kvartal</w:t>
            </w:r>
            <w:r w:rsidRPr="00D81080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="007959EF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2017.</w:t>
            </w:r>
            <w:r w:rsidRPr="00D81080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godine.</w:t>
            </w:r>
            <w:r w:rsidRPr="00D81080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Dakle</w:t>
            </w:r>
            <w:r w:rsidRPr="00D81080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D81080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pored</w:t>
            </w:r>
            <w:r w:rsidRPr="00D81080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učinjenog,</w:t>
            </w:r>
            <w:r w:rsidRPr="00D81080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bezbjednost</w:t>
            </w:r>
            <w:r w:rsidRPr="00D81080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D81080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sigurnost</w:t>
            </w:r>
            <w:r w:rsidRPr="00D81080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D81080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saobraćaju,</w:t>
            </w:r>
            <w:r w:rsidRPr="00D81080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dok</w:t>
            </w:r>
            <w:r w:rsidRPr="00D81080">
              <w:rPr>
                <w:rFonts w:ascii="Arial" w:eastAsia="Arial" w:hAnsi="Arial" w:cs="Arial"/>
                <w:spacing w:val="-20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god</w:t>
            </w:r>
            <w:r w:rsidRPr="00D81080"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ima</w:t>
            </w:r>
            <w:r w:rsidRPr="00D81080"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 xml:space="preserve">toliko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stradalih</w:t>
            </w:r>
            <w:r w:rsidR="007959EF"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 xml:space="preserve"> i povrijeđenih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="007959EF"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u saobraćajnim nezgodama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,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može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da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se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poboljša,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pri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čemu</w:t>
            </w:r>
            <w:r w:rsidRPr="003D4742">
              <w:rPr>
                <w:rFonts w:ascii="Arial" w:eastAsia="Arial" w:hAnsi="Arial" w:cs="Arial"/>
                <w:spacing w:val="-16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je</w:t>
            </w:r>
            <w:r w:rsidRPr="003D4742">
              <w:rPr>
                <w:rFonts w:ascii="Arial" w:eastAsia="Arial" w:hAnsi="Arial" w:cs="Arial"/>
                <w:spacing w:val="-15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važno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podići</w:t>
            </w:r>
            <w:r w:rsidRPr="003D4742">
              <w:rPr>
                <w:rFonts w:ascii="Arial" w:eastAsia="Arial" w:hAnsi="Arial" w:cs="Arial"/>
                <w:spacing w:val="-19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nivo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svijesti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o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saobraćajnim</w:t>
            </w:r>
            <w:r w:rsidRPr="003D4742">
              <w:rPr>
                <w:rFonts w:ascii="Arial" w:eastAsia="Arial" w:hAnsi="Arial" w:cs="Arial"/>
                <w:spacing w:val="-20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propisima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i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pravilima,</w:t>
            </w:r>
            <w:r w:rsidRPr="003D4742">
              <w:rPr>
                <w:rFonts w:ascii="Arial" w:eastAsia="Arial" w:hAnsi="Arial" w:cs="Arial"/>
                <w:spacing w:val="-17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a</w:t>
            </w:r>
            <w:r w:rsidRPr="003D4742">
              <w:rPr>
                <w:rFonts w:ascii="Arial" w:eastAsia="Arial" w:hAnsi="Arial" w:cs="Arial"/>
                <w:spacing w:val="-20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u</w:t>
            </w:r>
            <w:r w:rsidRPr="003D4742">
              <w:rPr>
                <w:rFonts w:ascii="Arial" w:eastAsia="Arial" w:hAnsi="Arial" w:cs="Arial"/>
                <w:spacing w:val="40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>tome</w:t>
            </w:r>
            <w:r w:rsidRPr="003D4742">
              <w:rPr>
                <w:rFonts w:ascii="Arial" w:eastAsia="Arial" w:hAnsi="Arial" w:cs="Arial"/>
                <w:spacing w:val="-18"/>
                <w:w w:val="9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w w:val="95"/>
                <w:sz w:val="22"/>
                <w:szCs w:val="22"/>
              </w:rPr>
              <w:t xml:space="preserve">državne </w:t>
            </w:r>
            <w:r w:rsidRPr="003D4742">
              <w:rPr>
                <w:rFonts w:ascii="Arial" w:eastAsia="Arial" w:hAnsi="Arial" w:cs="Arial"/>
                <w:sz w:val="22"/>
                <w:szCs w:val="22"/>
              </w:rPr>
              <w:t>institucije</w:t>
            </w:r>
            <w:r w:rsidRPr="003D4742"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3D4742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sz w:val="22"/>
                <w:szCs w:val="22"/>
              </w:rPr>
              <w:t>organi</w:t>
            </w:r>
            <w:r w:rsidRPr="003D4742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sz w:val="22"/>
                <w:szCs w:val="22"/>
              </w:rPr>
              <w:t>najveću</w:t>
            </w:r>
            <w:r w:rsidRPr="003D4742"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sz w:val="22"/>
                <w:szCs w:val="22"/>
              </w:rPr>
              <w:t>pomoć</w:t>
            </w:r>
            <w:r w:rsidRPr="003D4742"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3D4742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sz w:val="22"/>
                <w:szCs w:val="22"/>
              </w:rPr>
              <w:t>podršku</w:t>
            </w:r>
            <w:r w:rsidRPr="003D4742"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sz w:val="22"/>
                <w:szCs w:val="22"/>
              </w:rPr>
              <w:t>dobijaju</w:t>
            </w:r>
            <w:r w:rsidRPr="003D4742"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sz w:val="22"/>
                <w:szCs w:val="22"/>
              </w:rPr>
              <w:t>iz</w:t>
            </w:r>
            <w:r w:rsidRPr="003D4742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sz w:val="22"/>
                <w:szCs w:val="22"/>
              </w:rPr>
              <w:t>NVO</w:t>
            </w:r>
            <w:r w:rsidRPr="003D4742"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 w:rsidRPr="003D4742">
              <w:rPr>
                <w:rFonts w:ascii="Arial" w:eastAsia="Arial" w:hAnsi="Arial" w:cs="Arial"/>
                <w:sz w:val="22"/>
                <w:szCs w:val="22"/>
              </w:rPr>
              <w:t>sektora.</w:t>
            </w:r>
          </w:p>
          <w:p w:rsidR="00DC6E86" w:rsidRPr="008A280C" w:rsidRDefault="001C1AF1" w:rsidP="008A280C">
            <w:pPr>
              <w:widowControl w:val="0"/>
              <w:autoSpaceDE w:val="0"/>
              <w:autoSpaceDN w:val="0"/>
              <w:spacing w:before="4" w:after="0" w:line="360" w:lineRule="auto"/>
              <w:ind w:right="693"/>
              <w:rPr>
                <w:rFonts w:ascii="Arial" w:eastAsia="Arial" w:hAnsi="Arial" w:cs="Arial"/>
                <w:sz w:val="22"/>
                <w:szCs w:val="22"/>
              </w:rPr>
            </w:pPr>
            <w:r w:rsidRPr="00D81080">
              <w:rPr>
                <w:rFonts w:ascii="Arial" w:eastAsia="Arial" w:hAnsi="Arial" w:cs="Arial"/>
                <w:sz w:val="22"/>
                <w:szCs w:val="22"/>
              </w:rPr>
              <w:t xml:space="preserve">Izvještajem Monstata, na crnogorskim putevima, broj poginulih u starosnoj granici iznad 34 godine se smanjuje, što znači da </w:t>
            </w:r>
            <w:r w:rsidRPr="00D81080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sa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lastRenderedPageBreak/>
              <w:t>povećanjem</w:t>
            </w:r>
            <w:r w:rsidRPr="00D81080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godina</w:t>
            </w:r>
            <w:r w:rsidRPr="00D81080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raste</w:t>
            </w:r>
            <w:r w:rsidRPr="00D8108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D81080">
              <w:rPr>
                <w:rFonts w:ascii="Arial" w:eastAsia="Arial" w:hAnsi="Arial" w:cs="Arial"/>
                <w:spacing w:val="-33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nivo</w:t>
            </w:r>
            <w:r w:rsidRPr="00D81080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="007959EF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iskustva</w:t>
            </w:r>
            <w:r w:rsidRPr="00D81080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D81080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pažnje,</w:t>
            </w:r>
            <w:r w:rsidRPr="00D81080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D81080">
              <w:rPr>
                <w:rFonts w:ascii="Arial" w:eastAsia="Arial" w:hAnsi="Arial" w:cs="Arial"/>
                <w:spacing w:val="-33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obuka</w:t>
            </w:r>
            <w:r w:rsidRPr="00D81080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D81080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saobraćaju</w:t>
            </w:r>
            <w:r w:rsidRPr="00D81080">
              <w:rPr>
                <w:rFonts w:ascii="Arial" w:eastAsia="Arial" w:hAnsi="Arial" w:cs="Arial"/>
                <w:spacing w:val="-33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D81080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saobraćajnim</w:t>
            </w:r>
            <w:r w:rsidRPr="00D81080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propisima</w:t>
            </w:r>
            <w:r w:rsidRPr="00D81080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treba</w:t>
            </w:r>
            <w:r w:rsidRPr="00D81080">
              <w:rPr>
                <w:rFonts w:ascii="Arial" w:eastAsia="Arial" w:hAnsi="Arial" w:cs="Arial"/>
                <w:spacing w:val="-33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otpočeti</w:t>
            </w:r>
            <w:r w:rsidRPr="00D81080">
              <w:rPr>
                <w:rFonts w:ascii="Arial" w:eastAsia="Arial" w:hAnsi="Arial" w:cs="Arial"/>
                <w:spacing w:val="-3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D81080">
              <w:rPr>
                <w:rFonts w:ascii="Arial" w:eastAsia="Arial" w:hAnsi="Arial" w:cs="Arial"/>
                <w:spacing w:val="-33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najranijem</w:t>
            </w:r>
            <w:r w:rsidRPr="00D81080">
              <w:rPr>
                <w:rFonts w:ascii="Arial" w:eastAsia="Arial" w:hAnsi="Arial" w:cs="Arial"/>
                <w:spacing w:val="-35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period</w:t>
            </w:r>
            <w:r w:rsidR="008A280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A280C" w:rsidRPr="008A280C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8A280C" w:rsidRPr="008A280C">
              <w:rPr>
                <w:rFonts w:ascii="Arial" w:hAnsi="Arial" w:cs="Arial"/>
                <w:sz w:val="22"/>
                <w:szCs w:val="22"/>
              </w:rPr>
              <w:t>Pješaci često prilikom prelaska saobraćajnica ne koriste podvožnjake niti nadvožnjake (pasarele) što je uslovljeno nedovoljnom saobraćajnom edukacijom).</w:t>
            </w:r>
            <w:r w:rsidR="008A280C"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Zbog</w:t>
            </w:r>
            <w:r w:rsidRPr="00D81080">
              <w:rPr>
                <w:rFonts w:ascii="Arial" w:eastAsia="Arial" w:hAnsi="Arial" w:cs="Arial"/>
                <w:spacing w:val="-2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toga</w:t>
            </w:r>
            <w:r w:rsidRPr="00D81080"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dio</w:t>
            </w:r>
            <w:r w:rsidRPr="00D81080">
              <w:rPr>
                <w:rFonts w:ascii="Arial" w:eastAsia="Arial" w:hAnsi="Arial" w:cs="Arial"/>
                <w:spacing w:val="-26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projektnih</w:t>
            </w:r>
            <w:r w:rsidRPr="00D81080">
              <w:rPr>
                <w:rFonts w:ascii="Arial" w:eastAsia="Arial" w:hAnsi="Arial" w:cs="Arial"/>
                <w:spacing w:val="-2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aktivnosti</w:t>
            </w:r>
            <w:r w:rsidRPr="00D81080">
              <w:rPr>
                <w:rFonts w:ascii="Arial" w:eastAsia="Arial" w:hAnsi="Arial" w:cs="Arial"/>
                <w:spacing w:val="-27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mora</w:t>
            </w:r>
            <w:r w:rsidRPr="00D81080">
              <w:rPr>
                <w:rFonts w:ascii="Arial" w:eastAsia="Arial" w:hAnsi="Arial" w:cs="Arial"/>
                <w:spacing w:val="-2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biti</w:t>
            </w:r>
            <w:r w:rsidRPr="00D81080"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usmjeren</w:t>
            </w:r>
            <w:r w:rsidRPr="00D81080">
              <w:rPr>
                <w:rFonts w:ascii="Arial" w:eastAsia="Arial" w:hAnsi="Arial" w:cs="Arial"/>
                <w:spacing w:val="-27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upravo</w:t>
            </w:r>
            <w:r w:rsidRPr="00D81080">
              <w:rPr>
                <w:rFonts w:ascii="Arial" w:eastAsia="Arial" w:hAnsi="Arial" w:cs="Arial"/>
                <w:spacing w:val="-27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00D81080">
              <w:rPr>
                <w:rFonts w:ascii="Arial" w:eastAsia="Arial" w:hAnsi="Arial" w:cs="Arial"/>
                <w:spacing w:val="-2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edukaciju,</w:t>
            </w:r>
            <w:r w:rsidRPr="00D81080">
              <w:rPr>
                <w:rFonts w:ascii="Arial" w:eastAsia="Arial" w:hAnsi="Arial" w:cs="Arial"/>
                <w:spacing w:val="-27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D81080">
              <w:rPr>
                <w:rFonts w:ascii="Arial" w:eastAsia="Arial" w:hAnsi="Arial" w:cs="Arial"/>
                <w:spacing w:val="-2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unapređenje</w:t>
            </w:r>
            <w:r w:rsidRPr="00D81080">
              <w:rPr>
                <w:rFonts w:ascii="Arial" w:eastAsia="Arial" w:hAnsi="Arial" w:cs="Arial"/>
                <w:spacing w:val="-2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saobraćajne kulture djece i</w:t>
            </w:r>
            <w:r w:rsidRPr="00D81080">
              <w:rPr>
                <w:rFonts w:ascii="Arial" w:eastAsia="Arial" w:hAnsi="Arial" w:cs="Arial"/>
                <w:spacing w:val="-28"/>
                <w:sz w:val="22"/>
                <w:szCs w:val="22"/>
              </w:rPr>
              <w:t xml:space="preserve"> </w:t>
            </w:r>
            <w:r w:rsidRPr="00D81080">
              <w:rPr>
                <w:rFonts w:ascii="Arial" w:eastAsia="Arial" w:hAnsi="Arial" w:cs="Arial"/>
                <w:sz w:val="22"/>
                <w:szCs w:val="22"/>
              </w:rPr>
              <w:t>omladine.</w:t>
            </w:r>
            <w:r w:rsidR="008A280C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BD7827" w:rsidRPr="00BD7827">
              <w:rPr>
                <w:rFonts w:ascii="Arial" w:hAnsi="Arial" w:cs="Arial"/>
                <w:sz w:val="22"/>
                <w:szCs w:val="22"/>
              </w:rPr>
              <w:t>Saobraćajnu kulturu čine međusobni odnosi svih učesnika u saobraćaju, njihove komunikacije, transakcije poruka, usluga, pažnje, zaštite i sporazumevanja.</w:t>
            </w:r>
            <w:r w:rsidR="008A2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80C" w:rsidRPr="008A280C">
              <w:rPr>
                <w:rFonts w:ascii="Arial" w:hAnsi="Arial" w:cs="Arial"/>
                <w:sz w:val="22"/>
                <w:szCs w:val="22"/>
              </w:rPr>
              <w:t>Značajan segment opšte i saobraćajne kulture je odnos vozača prema putu</w:t>
            </w:r>
            <w:r w:rsidR="00F4688B">
              <w:rPr>
                <w:rFonts w:ascii="Arial" w:hAnsi="Arial" w:cs="Arial"/>
                <w:sz w:val="22"/>
                <w:szCs w:val="22"/>
              </w:rPr>
              <w:t>, i ostalim učesnicima u saobraćaju,</w:t>
            </w:r>
            <w:r w:rsidR="008A280C" w:rsidRPr="008A280C">
              <w:rPr>
                <w:rFonts w:ascii="Arial" w:hAnsi="Arial" w:cs="Arial"/>
                <w:sz w:val="22"/>
                <w:szCs w:val="22"/>
              </w:rPr>
              <w:t xml:space="preserve"> kao i opštih mentalnih, senzornih i psihomotornih sposobnosti.</w:t>
            </w:r>
            <w:r w:rsidR="000B64CD">
              <w:t xml:space="preserve"> </w:t>
            </w:r>
            <w:r w:rsidR="000B64CD" w:rsidRPr="000B64CD">
              <w:rPr>
                <w:rFonts w:ascii="Arial" w:hAnsi="Arial" w:cs="Arial"/>
                <w:sz w:val="22"/>
                <w:szCs w:val="22"/>
              </w:rPr>
              <w:t xml:space="preserve">Da bi se izbjegle nezgode vozač treba da usvoji i da se adaptira na optimalne bezbjednosne granice. To znači da vozač treba da usvoji vozačku praksu i postavi veće margine za bezbjednost, odnosno manevre za izbjegavanje nezgode, ako u takvu situaciju dođe. Ovo podrazumijeva i takvo ponašanje koje mu omogućava da izbjegne nezgodu i kad se nađe u rijetkim saobraćajnim situacijama. Mnogi vozači prihvataju neadekvatne bezbjednosne granice. Stariji vozači zadržavaju bezbjednosne granice iz mlađih dana, iako su njihove sposobnosti za obradu informacija i uopšte upravljanje vozilom smanjene.  </w:t>
            </w:r>
          </w:p>
          <w:p w:rsidR="001C1AF1" w:rsidRPr="00DC6E86" w:rsidRDefault="001C1AF1" w:rsidP="00DC6E86">
            <w:pPr>
              <w:widowControl w:val="0"/>
              <w:autoSpaceDE w:val="0"/>
              <w:autoSpaceDN w:val="0"/>
              <w:spacing w:before="1" w:after="0" w:line="360" w:lineRule="auto"/>
              <w:ind w:right="699"/>
              <w:rPr>
                <w:rFonts w:ascii="Arial" w:hAnsi="Arial" w:cs="Arial"/>
                <w:sz w:val="22"/>
                <w:szCs w:val="22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 xml:space="preserve">Na osnovu analitičkog praćenja i proučavanja saobraćajnih nezgoda i njihovih posljedica, glavni uzroci saobraćajnih nezgoda su: </w:t>
            </w:r>
          </w:p>
          <w:p w:rsidR="001C1AF1" w:rsidRPr="001C1AF1" w:rsidRDefault="001C1AF1" w:rsidP="0066131B">
            <w:pPr>
              <w:numPr>
                <w:ilvl w:val="0"/>
                <w:numId w:val="7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 xml:space="preserve">nedovoljan nivo svijesti kod građana o opasnostima koje im prijete kao učesnicima u saobraćaju; </w:t>
            </w:r>
          </w:p>
          <w:p w:rsidR="001C1AF1" w:rsidRPr="001C1AF1" w:rsidRDefault="001C1AF1" w:rsidP="0066131B">
            <w:pPr>
              <w:numPr>
                <w:ilvl w:val="0"/>
                <w:numId w:val="7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 xml:space="preserve">nizak nivo saobraćajne kulture kod učesnika u saobraćaju; </w:t>
            </w:r>
          </w:p>
          <w:p w:rsidR="001C1AF1" w:rsidRPr="001C1AF1" w:rsidRDefault="001C1AF1" w:rsidP="0066131B">
            <w:pPr>
              <w:numPr>
                <w:ilvl w:val="0"/>
                <w:numId w:val="7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 xml:space="preserve">nepoštovanje ili nepoznavanje propisa iz oblasti bezbjednosti saobraćaja; </w:t>
            </w:r>
          </w:p>
          <w:p w:rsidR="001C1AF1" w:rsidRPr="001C1AF1" w:rsidRDefault="001C1AF1" w:rsidP="0066131B">
            <w:pPr>
              <w:numPr>
                <w:ilvl w:val="0"/>
                <w:numId w:val="7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>nedovoljna obučenost – edukovanost kandidata za vozače i vozača.</w:t>
            </w:r>
          </w:p>
          <w:p w:rsidR="001C1AF1" w:rsidRPr="001A6C7E" w:rsidRDefault="001C1AF1" w:rsidP="0066131B">
            <w:pPr>
              <w:numPr>
                <w:ilvl w:val="0"/>
                <w:numId w:val="7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>nedovoljna informisanost djece i omladine o bezbjednosti u saobra</w:t>
            </w:r>
            <w:r w:rsidRPr="001C1AF1">
              <w:rPr>
                <w:rFonts w:ascii="Arial" w:hAnsi="Arial" w:cs="Arial"/>
                <w:sz w:val="22"/>
                <w:szCs w:val="22"/>
                <w:lang w:val="bs-Latn-BA"/>
              </w:rPr>
              <w:t>ćaju;</w:t>
            </w:r>
          </w:p>
          <w:p w:rsidR="001C1AF1" w:rsidRPr="001C1AF1" w:rsidRDefault="001C1AF1" w:rsidP="0066131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 xml:space="preserve">Navedeni uzroci se najčešće manifestuju kroz: </w:t>
            </w:r>
          </w:p>
          <w:p w:rsidR="00F4688B" w:rsidRDefault="001C1AF1" w:rsidP="0066131B">
            <w:pPr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4688B">
              <w:rPr>
                <w:rFonts w:ascii="Arial" w:hAnsi="Arial" w:cs="Arial"/>
                <w:sz w:val="22"/>
                <w:szCs w:val="22"/>
                <w:lang w:val="sr-Latn-CS"/>
              </w:rPr>
              <w:t>slabu koncentraciju učesnika na uslo</w:t>
            </w:r>
            <w:r w:rsidR="00F4688B">
              <w:rPr>
                <w:rFonts w:ascii="Arial" w:hAnsi="Arial" w:cs="Arial"/>
                <w:sz w:val="22"/>
                <w:szCs w:val="22"/>
                <w:lang w:val="sr-Latn-CS"/>
              </w:rPr>
              <w:t>ve u kojima se odvija saobraćaj;</w:t>
            </w:r>
          </w:p>
          <w:p w:rsidR="001C1AF1" w:rsidRPr="00F4688B" w:rsidRDefault="001C1AF1" w:rsidP="0066131B">
            <w:pPr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4688B">
              <w:rPr>
                <w:rFonts w:ascii="Arial" w:hAnsi="Arial" w:cs="Arial"/>
                <w:sz w:val="22"/>
                <w:szCs w:val="22"/>
                <w:lang w:val="sr-Latn-CS"/>
              </w:rPr>
              <w:t xml:space="preserve">nepoštovanje prava prvenstva prolaza drugih učesnika u saobraćaju; </w:t>
            </w:r>
          </w:p>
          <w:p w:rsidR="001C1AF1" w:rsidRPr="001C1AF1" w:rsidRDefault="001C1AF1" w:rsidP="0066131B">
            <w:pPr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 xml:space="preserve">kretanje vozilom brzinom većom od dozvoljene; </w:t>
            </w:r>
          </w:p>
          <w:p w:rsidR="001C1AF1" w:rsidRPr="001C1AF1" w:rsidRDefault="001C1AF1" w:rsidP="0066131B">
            <w:pPr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 xml:space="preserve">neprilagodjavanje brzine kretanja vozila osobinama i stanju puta i drugim saobraćajnim uslovima; </w:t>
            </w:r>
          </w:p>
          <w:p w:rsidR="001C1AF1" w:rsidRPr="001C1AF1" w:rsidRDefault="001C1AF1" w:rsidP="0066131B">
            <w:pPr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 xml:space="preserve">nepropisno preticanje i obilaženje vozila; </w:t>
            </w:r>
          </w:p>
          <w:p w:rsidR="001C1AF1" w:rsidRPr="001C1AF1" w:rsidRDefault="001C1AF1" w:rsidP="0066131B">
            <w:pPr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 xml:space="preserve">upravljanje vozilom pod dejstvom alkohola, i drugih psihoaktivnih supstanci; </w:t>
            </w:r>
          </w:p>
          <w:p w:rsidR="001C1AF1" w:rsidRPr="001C1AF1" w:rsidRDefault="001C1AF1" w:rsidP="0066131B">
            <w:pPr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 xml:space="preserve">upravljanje neregistrovanim i tehnički neispravnim vozilom; </w:t>
            </w:r>
          </w:p>
          <w:p w:rsidR="00143117" w:rsidRDefault="001C1AF1" w:rsidP="0066131B">
            <w:pPr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sz w:val="22"/>
                <w:szCs w:val="22"/>
                <w:lang w:val="sr-Latn-CS"/>
              </w:rPr>
              <w:t xml:space="preserve">upravljanje vozilom prije sticanja prava na upravljanje i dr. </w:t>
            </w:r>
          </w:p>
          <w:p w:rsidR="00143117" w:rsidRDefault="001C1AF1" w:rsidP="0066131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43117">
              <w:rPr>
                <w:rFonts w:ascii="Arial" w:hAnsi="Arial" w:cs="Arial"/>
                <w:sz w:val="22"/>
                <w:szCs w:val="22"/>
                <w:lang w:val="sr-Latn-CS"/>
              </w:rPr>
              <w:br/>
            </w:r>
            <w:r w:rsidRPr="001431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Dakle, čov</w:t>
            </w:r>
            <w:r w:rsidR="00074A7B" w:rsidRPr="001431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</w:t>
            </w:r>
            <w:r w:rsidRPr="001431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ek, put i vozilo</w:t>
            </w:r>
            <w:r w:rsidR="00074A7B" w:rsidRPr="001431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osnovni su činioci koji određ</w:t>
            </w:r>
            <w:r w:rsidRPr="001431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uju bezbjednost saobraćaja, s toga se i sistem prevencije, a i represije, kao i njihovi nosioci, moraju razmatrati u kontekstu ova tri glavna činioca, pri tome ne zanemarujući ni druge </w:t>
            </w:r>
            <w:r w:rsidR="00074A7B" w:rsidRPr="001431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koji samostalno ostvaruju određ</w:t>
            </w:r>
            <w:r w:rsidRPr="001431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ene uticaje ili ih bliže usm</w:t>
            </w:r>
            <w:r w:rsidR="00074A7B" w:rsidRPr="001431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</w:t>
            </w:r>
            <w:r w:rsidRPr="001431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eravaju ka osnovnim činiocima.</w:t>
            </w:r>
          </w:p>
          <w:p w:rsidR="001C1AF1" w:rsidRPr="00143117" w:rsidRDefault="001C1AF1" w:rsidP="0066131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C1AF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Preventivnih mjera ima zaista mnogo. Medjutim, značajnu ulogu imaju pre svih saobraćajno vaspitanje i obrazovanje djece, omladine i odraslih, zdravstvena selekcija, obuka vozača motornih vozila i vozački ispit, kontrola i regulisanje javnog saobraćaja, sredstva javnog informisanja, auto moto savez i savez vozača, tehnička ispravnost vozila, propisi iz oblasti bezbjednosti saobra</w:t>
            </w:r>
            <w:r w:rsidR="00074A7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ćaja i naučno istraživački radovi.</w:t>
            </w:r>
            <w:r w:rsidR="00F4688B">
              <w:t xml:space="preserve"> </w:t>
            </w:r>
            <w:r w:rsidR="00F4688B" w:rsidRPr="00F4688B">
              <w:rPr>
                <w:rFonts w:ascii="Arial" w:hAnsi="Arial" w:cs="Arial"/>
                <w:sz w:val="22"/>
                <w:szCs w:val="22"/>
              </w:rPr>
              <w:t>Osnovna svrha edukativnih programa je da se kod učesnika u saobraćaju razvijaju adekvatne stavove i navike ponašanja u saobraćaju. Rana valjana edukacija je osnova blagovremenog razvoja opšte i saobraćajne kulture budućih učesnika u saobraćaju, a ujedno prevencija svih neželjenih ishoda u saobraćaju</w:t>
            </w:r>
            <w:r w:rsidR="00F4688B">
              <w:t xml:space="preserve">. </w:t>
            </w:r>
            <w:r w:rsidR="00F4688B" w:rsidRPr="00F4688B">
              <w:rPr>
                <w:rFonts w:ascii="Arial" w:hAnsi="Arial" w:cs="Arial"/>
                <w:sz w:val="22"/>
                <w:szCs w:val="22"/>
              </w:rPr>
              <w:t>Pored znanja za bezbjdno učešće u saobraćaju kod svih uzrasta neophodno je razvijati stavove koji će značajno uticati na promjene u stvarnom ponašanju svih aktera u saobraćaju.</w:t>
            </w:r>
            <w:r w:rsidR="00F468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776DA" w:rsidRPr="00D64D0D" w:rsidRDefault="00F4688B" w:rsidP="00D64D0D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D64D0D">
              <w:rPr>
                <w:rFonts w:ascii="Arial" w:hAnsi="Arial" w:cs="Arial"/>
                <w:sz w:val="22"/>
                <w:szCs w:val="22"/>
              </w:rPr>
              <w:t>Opšti cilj bezbjednosti saobraćaja je smanjivanje svih štetnih efekata uz n</w:t>
            </w:r>
            <w:r w:rsidR="00D64D0D">
              <w:rPr>
                <w:rFonts w:ascii="Arial" w:hAnsi="Arial" w:cs="Arial"/>
                <w:sz w:val="22"/>
                <w:szCs w:val="22"/>
              </w:rPr>
              <w:t>es</w:t>
            </w:r>
            <w:r w:rsidRPr="00D64D0D">
              <w:rPr>
                <w:rFonts w:ascii="Arial" w:hAnsi="Arial" w:cs="Arial"/>
                <w:sz w:val="22"/>
                <w:szCs w:val="22"/>
              </w:rPr>
              <w:t xml:space="preserve">metano odvijanje saobraćaja. Ako se suzi predmet bezbjednosti saobraćaja, onda se i cilj može suziti na smanjivanje broja i sveukupnih posljedica saobraćajnih nezgoda. Na primjer, kvalitetna obuka ljudi u ukazivanju prve pomoći, konstrukcija i upotreba sistema zaštite na vozilu, (sigurnosni pojasevi, vazdušni jastuci, nasloni za glavu itd.), koncept </w:t>
            </w:r>
            <w:r w:rsidR="00D64D0D" w:rsidRPr="00D64D0D">
              <w:rPr>
                <w:rFonts w:ascii="Arial" w:hAnsi="Arial" w:cs="Arial"/>
                <w:sz w:val="22"/>
                <w:szCs w:val="22"/>
              </w:rPr>
              <w:t>prepoznavanja</w:t>
            </w:r>
            <w:r w:rsidRPr="00D64D0D">
              <w:rPr>
                <w:rFonts w:ascii="Arial" w:hAnsi="Arial" w:cs="Arial"/>
                <w:sz w:val="22"/>
                <w:szCs w:val="22"/>
              </w:rPr>
              <w:t xml:space="preserve"> (ob</w:t>
            </w:r>
            <w:r w:rsidR="00D64D0D" w:rsidRPr="00D64D0D">
              <w:rPr>
                <w:rFonts w:ascii="Arial" w:hAnsi="Arial" w:cs="Arial"/>
                <w:sz w:val="22"/>
                <w:szCs w:val="22"/>
              </w:rPr>
              <w:t>ilj</w:t>
            </w:r>
            <w:r w:rsidRPr="00D64D0D">
              <w:rPr>
                <w:rFonts w:ascii="Arial" w:hAnsi="Arial" w:cs="Arial"/>
                <w:sz w:val="22"/>
                <w:szCs w:val="22"/>
              </w:rPr>
              <w:t xml:space="preserve">ežja </w:t>
            </w:r>
            <w:r w:rsidR="00D64D0D" w:rsidRPr="00D64D0D">
              <w:rPr>
                <w:rFonts w:ascii="Arial" w:hAnsi="Arial" w:cs="Arial"/>
                <w:sz w:val="22"/>
                <w:szCs w:val="22"/>
              </w:rPr>
              <w:t>i znakovi) i slično.</w:t>
            </w:r>
          </w:p>
        </w:tc>
      </w:tr>
      <w:tr w:rsidR="00370754" w:rsidRPr="00370754" w:rsidTr="000A502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Izvor(i) podataka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66131B" w:rsidRDefault="0066131B" w:rsidP="0066131B">
            <w:pPr>
              <w:pStyle w:val="TableParagraph"/>
              <w:spacing w:before="1" w:line="360" w:lineRule="auto"/>
              <w:ind w:left="827"/>
              <w:rPr>
                <w:szCs w:val="22"/>
              </w:rPr>
            </w:pPr>
          </w:p>
          <w:p w:rsidR="00F776DA" w:rsidRPr="00F776DA" w:rsidRDefault="00F776DA" w:rsidP="0066131B">
            <w:pPr>
              <w:pStyle w:val="TableParagraph"/>
              <w:numPr>
                <w:ilvl w:val="0"/>
                <w:numId w:val="8"/>
              </w:numPr>
              <w:spacing w:before="1" w:line="360" w:lineRule="auto"/>
              <w:rPr>
                <w:szCs w:val="22"/>
              </w:rPr>
            </w:pPr>
            <w:r w:rsidRPr="00F776DA">
              <w:rPr>
                <w:szCs w:val="22"/>
              </w:rPr>
              <w:t>Strategija razvoja saobraćaja;</w:t>
            </w:r>
          </w:p>
          <w:p w:rsidR="00F776DA" w:rsidRPr="00F776DA" w:rsidRDefault="00F776DA" w:rsidP="0066131B">
            <w:pPr>
              <w:pStyle w:val="TableParagraph"/>
              <w:numPr>
                <w:ilvl w:val="0"/>
                <w:numId w:val="8"/>
              </w:numPr>
              <w:spacing w:before="16" w:line="360" w:lineRule="auto"/>
              <w:rPr>
                <w:szCs w:val="22"/>
              </w:rPr>
            </w:pPr>
            <w:r w:rsidRPr="00F776DA">
              <w:rPr>
                <w:szCs w:val="22"/>
              </w:rPr>
              <w:t>Zakon o putevima;</w:t>
            </w:r>
          </w:p>
          <w:p w:rsidR="00F776DA" w:rsidRPr="00F776DA" w:rsidRDefault="00F776DA" w:rsidP="0066131B">
            <w:pPr>
              <w:pStyle w:val="TableParagraph"/>
              <w:numPr>
                <w:ilvl w:val="0"/>
                <w:numId w:val="8"/>
              </w:numPr>
              <w:spacing w:before="16" w:line="360" w:lineRule="auto"/>
              <w:rPr>
                <w:szCs w:val="22"/>
              </w:rPr>
            </w:pPr>
            <w:r w:rsidRPr="00F776DA">
              <w:rPr>
                <w:szCs w:val="22"/>
              </w:rPr>
              <w:t xml:space="preserve">Zakon o </w:t>
            </w:r>
            <w:r w:rsidRPr="00F776DA">
              <w:rPr>
                <w:w w:val="95"/>
                <w:szCs w:val="22"/>
              </w:rPr>
              <w:t xml:space="preserve">bezbjednosti,organizaciji i efikasnosti </w:t>
            </w:r>
            <w:r w:rsidRPr="00F776DA">
              <w:rPr>
                <w:spacing w:val="-2"/>
                <w:w w:val="90"/>
                <w:szCs w:val="22"/>
              </w:rPr>
              <w:t xml:space="preserve">željezničkog </w:t>
            </w:r>
            <w:r w:rsidRPr="00F776DA">
              <w:rPr>
                <w:szCs w:val="22"/>
              </w:rPr>
              <w:t>saobraćaja;</w:t>
            </w:r>
          </w:p>
          <w:p w:rsidR="00F776DA" w:rsidRPr="00F776DA" w:rsidRDefault="00F776DA" w:rsidP="0066131B">
            <w:pPr>
              <w:pStyle w:val="TableParagraph"/>
              <w:numPr>
                <w:ilvl w:val="0"/>
                <w:numId w:val="8"/>
              </w:numPr>
              <w:spacing w:before="1" w:line="360" w:lineRule="auto"/>
              <w:jc w:val="both"/>
              <w:rPr>
                <w:szCs w:val="22"/>
              </w:rPr>
            </w:pPr>
            <w:r w:rsidRPr="00F776DA">
              <w:rPr>
                <w:szCs w:val="22"/>
              </w:rPr>
              <w:t>Zakon o prevozu u drumskom saobraćaju;</w:t>
            </w:r>
          </w:p>
          <w:p w:rsidR="00F776DA" w:rsidRPr="00F776DA" w:rsidRDefault="00F776DA" w:rsidP="0066131B">
            <w:pPr>
              <w:pStyle w:val="TableParagraph"/>
              <w:numPr>
                <w:ilvl w:val="0"/>
                <w:numId w:val="8"/>
              </w:numPr>
              <w:spacing w:before="17" w:line="360" w:lineRule="auto"/>
              <w:jc w:val="both"/>
              <w:rPr>
                <w:szCs w:val="22"/>
              </w:rPr>
            </w:pPr>
            <w:r w:rsidRPr="00F776DA">
              <w:rPr>
                <w:szCs w:val="22"/>
              </w:rPr>
              <w:t>Zakon o željeznici;</w:t>
            </w:r>
          </w:p>
          <w:p w:rsidR="00F776DA" w:rsidRPr="00F776DA" w:rsidRDefault="00F776DA" w:rsidP="0066131B">
            <w:pPr>
              <w:pStyle w:val="TableParagraph"/>
              <w:numPr>
                <w:ilvl w:val="0"/>
                <w:numId w:val="8"/>
              </w:numPr>
              <w:spacing w:before="17" w:line="360" w:lineRule="auto"/>
              <w:jc w:val="both"/>
              <w:rPr>
                <w:szCs w:val="22"/>
              </w:rPr>
            </w:pPr>
            <w:r w:rsidRPr="00F776DA">
              <w:rPr>
                <w:szCs w:val="22"/>
              </w:rPr>
              <w:t xml:space="preserve">Zakon o vazdušnom </w:t>
            </w:r>
            <w:r w:rsidRPr="00F776DA">
              <w:rPr>
                <w:spacing w:val="-52"/>
                <w:szCs w:val="22"/>
              </w:rPr>
              <w:t xml:space="preserve"> </w:t>
            </w:r>
            <w:r w:rsidRPr="00F776DA">
              <w:rPr>
                <w:szCs w:val="22"/>
              </w:rPr>
              <w:t>saobraćaju;</w:t>
            </w:r>
          </w:p>
          <w:p w:rsidR="00F776DA" w:rsidRDefault="00F776DA" w:rsidP="0066131B">
            <w:pPr>
              <w:pStyle w:val="TableParagraph"/>
              <w:numPr>
                <w:ilvl w:val="0"/>
                <w:numId w:val="8"/>
              </w:numPr>
              <w:spacing w:before="17" w:line="360" w:lineRule="auto"/>
              <w:jc w:val="both"/>
              <w:rPr>
                <w:szCs w:val="22"/>
              </w:rPr>
            </w:pPr>
            <w:r w:rsidRPr="00F776DA">
              <w:rPr>
                <w:szCs w:val="22"/>
              </w:rPr>
              <w:t>Zakon o sigurnosti pomorske plovidbe;</w:t>
            </w:r>
          </w:p>
          <w:p w:rsidR="00183589" w:rsidRPr="00F776DA" w:rsidRDefault="00183589" w:rsidP="0066131B">
            <w:pPr>
              <w:pStyle w:val="TableParagraph"/>
              <w:numPr>
                <w:ilvl w:val="0"/>
                <w:numId w:val="8"/>
              </w:numPr>
              <w:spacing w:before="17" w:line="36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Zakon o vazdušnom saobraćaju</w:t>
            </w:r>
          </w:p>
          <w:p w:rsidR="00F776DA" w:rsidRPr="002D3D91" w:rsidRDefault="00F776DA" w:rsidP="0066131B">
            <w:pPr>
              <w:pStyle w:val="TableParagraph"/>
              <w:numPr>
                <w:ilvl w:val="0"/>
                <w:numId w:val="8"/>
              </w:numPr>
              <w:spacing w:before="17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776DA">
              <w:rPr>
                <w:szCs w:val="22"/>
              </w:rPr>
              <w:t>Strategija poboljšanja bezbjednosti u drumskom saobraćaju od 2010 – 2019 godine</w:t>
            </w: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F776DA" w:rsidRDefault="00F776DA" w:rsidP="00F776DA">
            <w:pPr>
              <w:pStyle w:val="TableParagraph"/>
              <w:spacing w:before="1"/>
              <w:rPr>
                <w:szCs w:val="22"/>
              </w:rPr>
            </w:pPr>
          </w:p>
          <w:p w:rsidR="00F776DA" w:rsidRPr="00F776DA" w:rsidRDefault="00F776DA" w:rsidP="0066131B">
            <w:pPr>
              <w:pStyle w:val="TableParagraph"/>
              <w:spacing w:before="1" w:line="360" w:lineRule="auto"/>
              <w:rPr>
                <w:szCs w:val="22"/>
              </w:rPr>
            </w:pPr>
            <w:r w:rsidRPr="00F776DA">
              <w:rPr>
                <w:szCs w:val="22"/>
              </w:rPr>
              <w:t>Ministarstvo saobraćaja i pomorstva:</w:t>
            </w:r>
          </w:p>
          <w:p w:rsidR="00F776DA" w:rsidRPr="00F776DA" w:rsidRDefault="00F776DA" w:rsidP="0066131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2" w:line="360" w:lineRule="auto"/>
              <w:rPr>
                <w:szCs w:val="22"/>
              </w:rPr>
            </w:pPr>
            <w:r w:rsidRPr="00F776DA">
              <w:rPr>
                <w:szCs w:val="22"/>
              </w:rPr>
              <w:t>Direktorat za</w:t>
            </w:r>
            <w:r w:rsidRPr="00F776DA">
              <w:rPr>
                <w:spacing w:val="-52"/>
                <w:szCs w:val="22"/>
              </w:rPr>
              <w:t xml:space="preserve"> </w:t>
            </w:r>
            <w:r w:rsidRPr="00F776DA">
              <w:rPr>
                <w:szCs w:val="22"/>
              </w:rPr>
              <w:t>drumski saobraćaj</w:t>
            </w:r>
            <w:r w:rsidR="00770F21">
              <w:rPr>
                <w:szCs w:val="22"/>
              </w:rPr>
              <w:t>;</w:t>
            </w:r>
          </w:p>
          <w:p w:rsidR="00F776DA" w:rsidRPr="00F776DA" w:rsidRDefault="00F776DA" w:rsidP="0066131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1" w:line="360" w:lineRule="auto"/>
              <w:rPr>
                <w:szCs w:val="22"/>
              </w:rPr>
            </w:pPr>
            <w:r w:rsidRPr="00F776DA">
              <w:rPr>
                <w:szCs w:val="22"/>
              </w:rPr>
              <w:t>Direktorat za državne</w:t>
            </w:r>
            <w:r w:rsidRPr="00F776DA">
              <w:rPr>
                <w:spacing w:val="-51"/>
                <w:szCs w:val="22"/>
              </w:rPr>
              <w:t xml:space="preserve"> </w:t>
            </w:r>
            <w:r w:rsidRPr="00F776DA">
              <w:rPr>
                <w:szCs w:val="22"/>
              </w:rPr>
              <w:t>puteve</w:t>
            </w:r>
            <w:r w:rsidR="00770F21">
              <w:rPr>
                <w:szCs w:val="22"/>
              </w:rPr>
              <w:t>;</w:t>
            </w:r>
          </w:p>
          <w:p w:rsidR="00F776DA" w:rsidRPr="00F776DA" w:rsidRDefault="00F776DA" w:rsidP="0066131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1" w:line="360" w:lineRule="auto"/>
              <w:rPr>
                <w:szCs w:val="22"/>
              </w:rPr>
            </w:pPr>
            <w:r w:rsidRPr="00F776DA">
              <w:rPr>
                <w:szCs w:val="22"/>
              </w:rPr>
              <w:t>Direktorat</w:t>
            </w:r>
            <w:r w:rsidRPr="00F776DA">
              <w:rPr>
                <w:spacing w:val="-18"/>
                <w:szCs w:val="22"/>
              </w:rPr>
              <w:t xml:space="preserve"> </w:t>
            </w:r>
            <w:r w:rsidRPr="00F776DA">
              <w:rPr>
                <w:szCs w:val="22"/>
              </w:rPr>
              <w:t>za</w:t>
            </w:r>
            <w:r w:rsidRPr="00F776DA">
              <w:rPr>
                <w:spacing w:val="-19"/>
                <w:szCs w:val="22"/>
              </w:rPr>
              <w:t xml:space="preserve"> </w:t>
            </w:r>
            <w:r w:rsidRPr="00F776DA">
              <w:rPr>
                <w:szCs w:val="22"/>
              </w:rPr>
              <w:t>pomorski</w:t>
            </w:r>
            <w:r w:rsidRPr="00F776DA">
              <w:rPr>
                <w:spacing w:val="-16"/>
                <w:szCs w:val="22"/>
              </w:rPr>
              <w:t xml:space="preserve"> </w:t>
            </w:r>
            <w:r w:rsidRPr="00F776DA">
              <w:rPr>
                <w:szCs w:val="22"/>
              </w:rPr>
              <w:t>saobraćaj</w:t>
            </w:r>
            <w:r w:rsidR="00770F21">
              <w:rPr>
                <w:szCs w:val="22"/>
              </w:rPr>
              <w:t>;</w:t>
            </w:r>
          </w:p>
          <w:p w:rsidR="00F776DA" w:rsidRPr="00F776DA" w:rsidRDefault="00F776DA" w:rsidP="0066131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4" w:line="360" w:lineRule="auto"/>
              <w:rPr>
                <w:szCs w:val="22"/>
              </w:rPr>
            </w:pPr>
            <w:r w:rsidRPr="00F776DA">
              <w:rPr>
                <w:szCs w:val="22"/>
              </w:rPr>
              <w:t>Direktorat</w:t>
            </w:r>
            <w:r w:rsidRPr="00F776DA">
              <w:rPr>
                <w:spacing w:val="-19"/>
                <w:szCs w:val="22"/>
              </w:rPr>
              <w:t xml:space="preserve"> </w:t>
            </w:r>
            <w:r w:rsidRPr="00F776DA">
              <w:rPr>
                <w:szCs w:val="22"/>
              </w:rPr>
              <w:t>za</w:t>
            </w:r>
            <w:r w:rsidRPr="00F776DA">
              <w:rPr>
                <w:spacing w:val="-20"/>
                <w:szCs w:val="22"/>
              </w:rPr>
              <w:t xml:space="preserve"> </w:t>
            </w:r>
            <w:r w:rsidRPr="00F776DA">
              <w:rPr>
                <w:szCs w:val="22"/>
              </w:rPr>
              <w:t>željeznički</w:t>
            </w:r>
            <w:r w:rsidRPr="00F776DA">
              <w:rPr>
                <w:spacing w:val="-17"/>
                <w:szCs w:val="22"/>
              </w:rPr>
              <w:t xml:space="preserve"> </w:t>
            </w:r>
            <w:r w:rsidRPr="00F776DA">
              <w:rPr>
                <w:szCs w:val="22"/>
              </w:rPr>
              <w:t>saobraćaj</w:t>
            </w:r>
            <w:r w:rsidR="00770F21">
              <w:rPr>
                <w:szCs w:val="22"/>
              </w:rPr>
              <w:t>;</w:t>
            </w:r>
          </w:p>
          <w:p w:rsidR="00F776DA" w:rsidRPr="0066131B" w:rsidRDefault="00F776DA" w:rsidP="0066131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0" w:line="360" w:lineRule="auto"/>
              <w:rPr>
                <w:szCs w:val="22"/>
              </w:rPr>
            </w:pPr>
            <w:r w:rsidRPr="00F776DA">
              <w:rPr>
                <w:szCs w:val="22"/>
              </w:rPr>
              <w:t>Direktorat za vazdzšni saobraćaj</w:t>
            </w:r>
            <w:r w:rsidR="00770F21">
              <w:rPr>
                <w:szCs w:val="22"/>
              </w:rPr>
              <w:t>;</w:t>
            </w:r>
          </w:p>
          <w:p w:rsidR="00F776DA" w:rsidRPr="00F776DA" w:rsidRDefault="00913DB8" w:rsidP="0066131B">
            <w:pPr>
              <w:spacing w:after="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9" w:history="1">
              <w:r w:rsidR="00F776DA" w:rsidRPr="00F776D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http://www.minsaob.gov.me/biblioteka/strategije</w:t>
              </w:r>
            </w:hyperlink>
          </w:p>
          <w:p w:rsidR="00F776DA" w:rsidRPr="00F776DA" w:rsidRDefault="00913DB8" w:rsidP="0066131B">
            <w:pPr>
              <w:spacing w:after="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0" w:history="1">
              <w:r w:rsidR="00F776DA" w:rsidRPr="00F776D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http://www.minsaob.gov.me/biblioteka/zakoni</w:t>
              </w:r>
            </w:hyperlink>
          </w:p>
          <w:p w:rsidR="00F776DA" w:rsidRPr="00F776DA" w:rsidRDefault="00913DB8" w:rsidP="0066131B">
            <w:pPr>
              <w:spacing w:after="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1" w:history="1">
              <w:r w:rsidR="00F776DA" w:rsidRPr="00F776D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http://www.minsaob.gov.me/biblioteka/pravilnici</w:t>
              </w:r>
            </w:hyperlink>
          </w:p>
          <w:p w:rsidR="00F776DA" w:rsidRPr="00F776DA" w:rsidRDefault="00913DB8" w:rsidP="0066131B">
            <w:pPr>
              <w:spacing w:after="0"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2" w:history="1">
              <w:r w:rsidR="00F776DA" w:rsidRPr="00F776D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http://www.minsaob.gov.me/biblioteka/uredbe</w:t>
              </w:r>
            </w:hyperlink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A640F0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="00370754" w:rsidRPr="00370754">
        <w:rPr>
          <w:rFonts w:ascii="Arial" w:hAnsi="Arial" w:cs="Arial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/>
      </w:tblPr>
      <w:tblGrid>
        <w:gridCol w:w="6884"/>
        <w:gridCol w:w="6862"/>
      </w:tblGrid>
      <w:tr w:rsidR="00370754" w:rsidRPr="00370754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Naziv poglavlja/ mjere/ aktivnosti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DE5376" w:rsidRPr="0066131B" w:rsidRDefault="00DE5376" w:rsidP="0066131B">
            <w:pPr>
              <w:spacing w:line="360" w:lineRule="auto"/>
              <w:rPr>
                <w:rFonts w:ascii="Arial" w:hAnsi="Arial" w:cs="Arial"/>
                <w:b/>
                <w:w w:val="95"/>
                <w:sz w:val="22"/>
                <w:szCs w:val="22"/>
              </w:rPr>
            </w:pPr>
            <w:r w:rsidRPr="0066131B">
              <w:rPr>
                <w:rFonts w:ascii="Arial" w:hAnsi="Arial" w:cs="Arial"/>
                <w:b/>
                <w:w w:val="95"/>
                <w:sz w:val="22"/>
                <w:szCs w:val="22"/>
              </w:rPr>
              <w:t>Strategija razvoja saobraćaja i pomorstva</w:t>
            </w:r>
          </w:p>
          <w:p w:rsidR="00DE5376" w:rsidRPr="0066131B" w:rsidRDefault="00DE5376" w:rsidP="0066131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131B">
              <w:rPr>
                <w:rFonts w:ascii="Arial" w:hAnsi="Arial" w:cs="Arial"/>
                <w:w w:val="95"/>
                <w:sz w:val="22"/>
                <w:szCs w:val="22"/>
              </w:rPr>
              <w:t>Osnovni ciljevi strateškog razvoja saobraćajnog sistema Crne Gore</w:t>
            </w:r>
          </w:p>
          <w:p w:rsidR="00DE5376" w:rsidRPr="0066131B" w:rsidRDefault="00DE5376" w:rsidP="0066131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6131B">
              <w:rPr>
                <w:rFonts w:ascii="Arial" w:hAnsi="Arial" w:cs="Arial"/>
                <w:sz w:val="22"/>
                <w:szCs w:val="22"/>
              </w:rPr>
              <w:lastRenderedPageBreak/>
              <w:t>su:</w:t>
            </w:r>
          </w:p>
          <w:p w:rsidR="00DE5376" w:rsidRPr="00770F21" w:rsidRDefault="00DE5376" w:rsidP="00770F2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0F21">
              <w:rPr>
                <w:rFonts w:ascii="Arial" w:hAnsi="Arial" w:cs="Arial"/>
                <w:w w:val="95"/>
                <w:sz w:val="22"/>
              </w:rPr>
              <w:t>Poboljšanje</w:t>
            </w:r>
            <w:r w:rsidRPr="00770F21">
              <w:rPr>
                <w:rFonts w:ascii="Arial" w:hAnsi="Arial" w:cs="Arial"/>
                <w:spacing w:val="-19"/>
                <w:w w:val="95"/>
                <w:sz w:val="22"/>
              </w:rPr>
              <w:t xml:space="preserve"> </w:t>
            </w:r>
            <w:r w:rsidRPr="00770F21">
              <w:rPr>
                <w:rFonts w:ascii="Arial" w:hAnsi="Arial" w:cs="Arial"/>
                <w:w w:val="95"/>
                <w:sz w:val="22"/>
              </w:rPr>
              <w:t>sigurnosti</w:t>
            </w:r>
            <w:r w:rsidRPr="00770F21">
              <w:rPr>
                <w:rFonts w:ascii="Arial" w:hAnsi="Arial" w:cs="Arial"/>
                <w:spacing w:val="-19"/>
                <w:w w:val="95"/>
                <w:sz w:val="22"/>
              </w:rPr>
              <w:t xml:space="preserve"> </w:t>
            </w:r>
            <w:r w:rsidRPr="00770F21">
              <w:rPr>
                <w:rFonts w:ascii="Arial" w:hAnsi="Arial" w:cs="Arial"/>
                <w:w w:val="95"/>
                <w:sz w:val="22"/>
              </w:rPr>
              <w:t>i</w:t>
            </w:r>
            <w:r w:rsidRPr="00770F21">
              <w:rPr>
                <w:rFonts w:ascii="Arial" w:hAnsi="Arial" w:cs="Arial"/>
                <w:spacing w:val="-20"/>
                <w:w w:val="95"/>
                <w:sz w:val="22"/>
              </w:rPr>
              <w:t xml:space="preserve"> </w:t>
            </w:r>
            <w:r w:rsidRPr="00770F21">
              <w:rPr>
                <w:rFonts w:ascii="Arial" w:hAnsi="Arial" w:cs="Arial"/>
                <w:w w:val="95"/>
                <w:sz w:val="22"/>
              </w:rPr>
              <w:t>bezbjednosti, u</w:t>
            </w:r>
            <w:r w:rsidRPr="00770F21">
              <w:rPr>
                <w:rFonts w:ascii="Arial" w:hAnsi="Arial" w:cs="Arial"/>
                <w:spacing w:val="-18"/>
                <w:w w:val="95"/>
                <w:sz w:val="22"/>
              </w:rPr>
              <w:t xml:space="preserve"> </w:t>
            </w:r>
            <w:r w:rsidRPr="00770F21">
              <w:rPr>
                <w:rFonts w:ascii="Arial" w:hAnsi="Arial" w:cs="Arial"/>
                <w:w w:val="95"/>
                <w:sz w:val="22"/>
              </w:rPr>
              <w:t>cilju</w:t>
            </w:r>
            <w:r w:rsidRPr="00770F21">
              <w:rPr>
                <w:rFonts w:ascii="Arial" w:hAnsi="Arial" w:cs="Arial"/>
                <w:spacing w:val="-18"/>
                <w:w w:val="95"/>
                <w:sz w:val="22"/>
              </w:rPr>
              <w:t xml:space="preserve"> </w:t>
            </w:r>
            <w:r w:rsidRPr="00770F21">
              <w:rPr>
                <w:rFonts w:ascii="Arial" w:hAnsi="Arial" w:cs="Arial"/>
                <w:w w:val="95"/>
                <w:sz w:val="22"/>
              </w:rPr>
              <w:t>očuvanja</w:t>
            </w:r>
            <w:r w:rsidRPr="00770F21">
              <w:rPr>
                <w:rFonts w:ascii="Arial" w:hAnsi="Arial" w:cs="Arial"/>
                <w:spacing w:val="-17"/>
                <w:w w:val="95"/>
                <w:sz w:val="22"/>
              </w:rPr>
              <w:t xml:space="preserve"> </w:t>
            </w:r>
            <w:r w:rsidRPr="00770F21">
              <w:rPr>
                <w:rFonts w:ascii="Arial" w:hAnsi="Arial" w:cs="Arial"/>
                <w:w w:val="95"/>
                <w:sz w:val="22"/>
              </w:rPr>
              <w:t xml:space="preserve">ljudskih </w:t>
            </w:r>
            <w:r w:rsidRPr="00770F21">
              <w:rPr>
                <w:rFonts w:ascii="Arial" w:hAnsi="Arial" w:cs="Arial"/>
                <w:sz w:val="22"/>
              </w:rPr>
              <w:t>života, materijalnih vrijednosti i državnih sredstava;</w:t>
            </w:r>
          </w:p>
          <w:p w:rsidR="00DE5376" w:rsidRPr="00770F21" w:rsidRDefault="00DE5376" w:rsidP="00770F2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0F21">
              <w:rPr>
                <w:rFonts w:ascii="Arial" w:hAnsi="Arial" w:cs="Arial"/>
                <w:w w:val="95"/>
                <w:sz w:val="22"/>
              </w:rPr>
              <w:t>Integracija</w:t>
            </w:r>
            <w:r w:rsidRPr="00770F21">
              <w:rPr>
                <w:rFonts w:ascii="Arial" w:hAnsi="Arial" w:cs="Arial"/>
                <w:spacing w:val="-33"/>
                <w:w w:val="95"/>
                <w:sz w:val="22"/>
              </w:rPr>
              <w:t xml:space="preserve"> </w:t>
            </w:r>
            <w:r w:rsidRPr="00770F21">
              <w:rPr>
                <w:rFonts w:ascii="Arial" w:hAnsi="Arial" w:cs="Arial"/>
                <w:w w:val="95"/>
                <w:sz w:val="22"/>
              </w:rPr>
              <w:t>u</w:t>
            </w:r>
            <w:r w:rsidRPr="00770F21">
              <w:rPr>
                <w:rFonts w:ascii="Arial" w:hAnsi="Arial" w:cs="Arial"/>
                <w:spacing w:val="-32"/>
                <w:w w:val="95"/>
                <w:sz w:val="22"/>
              </w:rPr>
              <w:t xml:space="preserve"> </w:t>
            </w:r>
            <w:r w:rsidRPr="00770F21">
              <w:rPr>
                <w:rFonts w:ascii="Arial" w:hAnsi="Arial" w:cs="Arial"/>
                <w:w w:val="95"/>
                <w:sz w:val="22"/>
              </w:rPr>
              <w:t>EU,</w:t>
            </w:r>
            <w:r w:rsidRPr="00770F21">
              <w:rPr>
                <w:rFonts w:ascii="Arial" w:hAnsi="Arial" w:cs="Arial"/>
                <w:spacing w:val="-31"/>
                <w:w w:val="95"/>
                <w:sz w:val="22"/>
              </w:rPr>
              <w:t xml:space="preserve">  </w:t>
            </w:r>
            <w:r w:rsidRPr="00770F21">
              <w:rPr>
                <w:rFonts w:ascii="Arial" w:hAnsi="Arial" w:cs="Arial"/>
                <w:w w:val="95"/>
                <w:sz w:val="22"/>
              </w:rPr>
              <w:t>kroz</w:t>
            </w:r>
            <w:r w:rsidRPr="00770F21">
              <w:rPr>
                <w:rFonts w:ascii="Arial" w:hAnsi="Arial" w:cs="Arial"/>
                <w:spacing w:val="-32"/>
                <w:w w:val="95"/>
                <w:sz w:val="22"/>
              </w:rPr>
              <w:t xml:space="preserve">  </w:t>
            </w:r>
            <w:r w:rsidRPr="00770F21">
              <w:rPr>
                <w:rFonts w:ascii="Arial" w:hAnsi="Arial" w:cs="Arial"/>
                <w:w w:val="95"/>
                <w:sz w:val="22"/>
              </w:rPr>
              <w:t>povezivanje</w:t>
            </w:r>
            <w:r w:rsidRPr="00770F21">
              <w:rPr>
                <w:rFonts w:ascii="Arial" w:hAnsi="Arial" w:cs="Arial"/>
                <w:spacing w:val="-31"/>
                <w:w w:val="95"/>
                <w:sz w:val="22"/>
              </w:rPr>
              <w:t xml:space="preserve"> </w:t>
            </w:r>
            <w:r w:rsidRPr="00770F21">
              <w:rPr>
                <w:rFonts w:ascii="Arial" w:hAnsi="Arial" w:cs="Arial"/>
                <w:w w:val="95"/>
                <w:sz w:val="22"/>
              </w:rPr>
              <w:t>i</w:t>
            </w:r>
            <w:r w:rsidRPr="00770F21">
              <w:rPr>
                <w:rFonts w:ascii="Arial" w:hAnsi="Arial" w:cs="Arial"/>
                <w:spacing w:val="-33"/>
                <w:w w:val="95"/>
                <w:sz w:val="22"/>
              </w:rPr>
              <w:t xml:space="preserve"> </w:t>
            </w:r>
            <w:r w:rsidRPr="00770F21">
              <w:rPr>
                <w:rFonts w:ascii="Arial" w:hAnsi="Arial" w:cs="Arial"/>
                <w:w w:val="95"/>
                <w:sz w:val="22"/>
              </w:rPr>
              <w:t>povećanje</w:t>
            </w:r>
            <w:r w:rsidRPr="00770F21">
              <w:rPr>
                <w:rFonts w:ascii="Arial" w:hAnsi="Arial" w:cs="Arial"/>
                <w:spacing w:val="-31"/>
                <w:w w:val="95"/>
                <w:sz w:val="22"/>
              </w:rPr>
              <w:t xml:space="preserve"> </w:t>
            </w:r>
            <w:r w:rsidRPr="00770F21">
              <w:rPr>
                <w:rFonts w:ascii="Arial" w:hAnsi="Arial" w:cs="Arial"/>
                <w:w w:val="95"/>
                <w:sz w:val="22"/>
              </w:rPr>
              <w:t>konkurentnosti</w:t>
            </w:r>
            <w:r w:rsidRPr="00770F21">
              <w:rPr>
                <w:rFonts w:ascii="Arial" w:hAnsi="Arial" w:cs="Arial"/>
                <w:sz w:val="22"/>
              </w:rPr>
              <w:t xml:space="preserve"> iz date oblasti;                   </w:t>
            </w:r>
          </w:p>
          <w:p w:rsidR="00DE5376" w:rsidRPr="00770F21" w:rsidRDefault="00DE5376" w:rsidP="00770F2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70F21">
              <w:rPr>
                <w:rFonts w:ascii="Arial" w:hAnsi="Arial" w:cs="Arial"/>
                <w:sz w:val="22"/>
              </w:rPr>
              <w:t>Siguran i bezbjedan transport u svim vidovima saobraćaja</w:t>
            </w:r>
            <w:r w:rsidR="00183589" w:rsidRPr="00770F21">
              <w:rPr>
                <w:rFonts w:ascii="Arial" w:hAnsi="Arial" w:cs="Arial"/>
                <w:sz w:val="22"/>
              </w:rPr>
              <w:t>,</w:t>
            </w:r>
            <w:r w:rsidRPr="00770F21">
              <w:rPr>
                <w:rFonts w:ascii="Arial" w:hAnsi="Arial" w:cs="Arial"/>
                <w:sz w:val="22"/>
              </w:rPr>
              <w:t>.</w:t>
            </w:r>
          </w:p>
          <w:p w:rsidR="00DE5376" w:rsidRPr="00DE5376" w:rsidRDefault="00DE5376" w:rsidP="0066131B">
            <w:pPr>
              <w:spacing w:line="360" w:lineRule="auto"/>
              <w:ind w:right="-9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E5376">
              <w:rPr>
                <w:rFonts w:ascii="Arial" w:hAnsi="Arial" w:cs="Arial"/>
                <w:sz w:val="22"/>
                <w:szCs w:val="22"/>
                <w:lang w:val="sr-Latn-CS"/>
              </w:rPr>
              <w:t>Oblast drumskog saobraćaja regulisana je:</w:t>
            </w:r>
          </w:p>
          <w:p w:rsidR="00DE5376" w:rsidRPr="00770F21" w:rsidRDefault="0066131B" w:rsidP="00770F21">
            <w:pPr>
              <w:pStyle w:val="ListParagraph"/>
              <w:numPr>
                <w:ilvl w:val="0"/>
                <w:numId w:val="21"/>
              </w:numPr>
              <w:spacing w:line="360" w:lineRule="auto"/>
              <w:ind w:right="-99"/>
              <w:rPr>
                <w:rFonts w:ascii="Arial" w:hAnsi="Arial" w:cs="Arial"/>
                <w:b/>
                <w:sz w:val="22"/>
                <w:lang w:val="sr-Latn-CS"/>
              </w:rPr>
            </w:pPr>
            <w:r w:rsidRPr="00770F21">
              <w:rPr>
                <w:rFonts w:ascii="Arial" w:hAnsi="Arial" w:cs="Arial"/>
                <w:b/>
                <w:sz w:val="22"/>
                <w:lang w:val="sr-Latn-CS"/>
              </w:rPr>
              <w:t>Zakonom o putevima</w:t>
            </w:r>
          </w:p>
          <w:p w:rsidR="00DE5376" w:rsidRPr="00770F21" w:rsidRDefault="00DE5376" w:rsidP="00770F21">
            <w:pPr>
              <w:pStyle w:val="ListParagraph"/>
              <w:numPr>
                <w:ilvl w:val="0"/>
                <w:numId w:val="21"/>
              </w:numPr>
              <w:spacing w:line="360" w:lineRule="auto"/>
              <w:ind w:right="-99"/>
              <w:rPr>
                <w:rStyle w:val="Strong"/>
                <w:rFonts w:ascii="Arial" w:hAnsi="Arial" w:cs="Arial"/>
                <w:b w:val="0"/>
                <w:sz w:val="22"/>
                <w:szCs w:val="22"/>
                <w:lang w:val="sr-Latn-CS"/>
              </w:rPr>
            </w:pPr>
            <w:r w:rsidRPr="00770F21">
              <w:rPr>
                <w:rFonts w:ascii="Arial" w:hAnsi="Arial" w:cs="Arial"/>
                <w:b/>
                <w:sz w:val="22"/>
                <w:lang w:val="sr-Latn-CS"/>
              </w:rPr>
              <w:t>Zakonom o prevozu u drumskom saobraćaju;</w:t>
            </w:r>
            <w:r w:rsidRPr="00770F21">
              <w:rPr>
                <w:rStyle w:val="Strong"/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DE5376" w:rsidRPr="00770F21" w:rsidRDefault="00DE5376" w:rsidP="00770F21">
            <w:pPr>
              <w:pStyle w:val="ListParagraph"/>
              <w:numPr>
                <w:ilvl w:val="0"/>
                <w:numId w:val="21"/>
              </w:numPr>
              <w:spacing w:line="360" w:lineRule="auto"/>
              <w:ind w:right="-99"/>
              <w:rPr>
                <w:rFonts w:ascii="Arial" w:hAnsi="Arial" w:cs="Arial"/>
                <w:b/>
                <w:sz w:val="22"/>
                <w:lang w:val="sr-Latn-CS"/>
              </w:rPr>
            </w:pPr>
            <w:r w:rsidRPr="00770F21">
              <w:rPr>
                <w:rFonts w:ascii="Arial" w:hAnsi="Arial" w:cs="Arial"/>
                <w:b/>
                <w:sz w:val="22"/>
                <w:lang w:val="sr-Latn-CS"/>
              </w:rPr>
              <w:t xml:space="preserve">Odlukama jedinica lokalne samouprave. </w:t>
            </w:r>
          </w:p>
          <w:p w:rsidR="00DE5376" w:rsidRPr="00DE5376" w:rsidRDefault="00DE5376" w:rsidP="0066131B">
            <w:pPr>
              <w:spacing w:line="360" w:lineRule="auto"/>
              <w:ind w:right="-9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E5376">
              <w:rPr>
                <w:rFonts w:ascii="Arial" w:hAnsi="Arial" w:cs="Arial"/>
                <w:sz w:val="22"/>
                <w:szCs w:val="22"/>
                <w:lang w:val="sr-Latn-CS"/>
              </w:rPr>
              <w:t>Krivična djela protiv bezbjednosti javnog saobraćaja propisana</w:t>
            </w:r>
          </w:p>
          <w:p w:rsidR="00DE5376" w:rsidRPr="00DE5376" w:rsidRDefault="00DE5376" w:rsidP="0066131B">
            <w:pPr>
              <w:spacing w:line="360" w:lineRule="auto"/>
              <w:ind w:right="-9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E5376">
              <w:rPr>
                <w:rFonts w:ascii="Arial" w:hAnsi="Arial" w:cs="Arial"/>
                <w:sz w:val="22"/>
                <w:szCs w:val="22"/>
                <w:lang w:val="sr-Latn-CS"/>
              </w:rPr>
              <w:t>su :</w:t>
            </w:r>
          </w:p>
          <w:p w:rsidR="00DE5376" w:rsidRPr="00770F21" w:rsidRDefault="00DE5376" w:rsidP="00770F2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-99"/>
              <w:rPr>
                <w:rFonts w:ascii="Arial" w:hAnsi="Arial" w:cs="Arial"/>
                <w:b/>
                <w:sz w:val="22"/>
                <w:lang w:val="sr-Latn-CS"/>
              </w:rPr>
            </w:pPr>
            <w:r w:rsidRPr="00770F21">
              <w:rPr>
                <w:rFonts w:ascii="Arial" w:hAnsi="Arial" w:cs="Arial"/>
                <w:b/>
                <w:sz w:val="22"/>
                <w:lang w:val="sr-Latn-CS"/>
              </w:rPr>
              <w:t>Krivičnim Zakonikom o krivičnom postupku.</w:t>
            </w:r>
          </w:p>
          <w:p w:rsidR="00DE5376" w:rsidRPr="00DE5376" w:rsidRDefault="00DE5376" w:rsidP="0066131B">
            <w:pPr>
              <w:spacing w:line="360" w:lineRule="auto"/>
              <w:ind w:right="-9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E5376">
              <w:rPr>
                <w:rFonts w:ascii="Arial" w:hAnsi="Arial" w:cs="Arial"/>
                <w:sz w:val="22"/>
                <w:szCs w:val="22"/>
                <w:lang w:val="sr-Latn-CS"/>
              </w:rPr>
              <w:t>Vođenje prekršajnog postupka i nadležnost organa propisani su:</w:t>
            </w:r>
          </w:p>
          <w:p w:rsidR="00370754" w:rsidRPr="00770F21" w:rsidRDefault="00DE5376" w:rsidP="00770F21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  <w:sz w:val="22"/>
                <w:lang w:val="sr-Latn-CS"/>
              </w:rPr>
            </w:pPr>
            <w:r w:rsidRPr="00770F21">
              <w:rPr>
                <w:rFonts w:ascii="Arial" w:hAnsi="Arial" w:cs="Arial"/>
                <w:b/>
                <w:sz w:val="22"/>
                <w:lang w:val="sr-Latn-CS"/>
              </w:rPr>
              <w:t>Zakonom o prekršajima</w:t>
            </w:r>
          </w:p>
          <w:p w:rsidR="00C55F65" w:rsidRDefault="00C55F65" w:rsidP="0066131B">
            <w:pPr>
              <w:spacing w:line="360" w:lineRule="auto"/>
              <w:ind w:right="-9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E5376">
              <w:rPr>
                <w:rFonts w:ascii="Arial" w:hAnsi="Arial" w:cs="Arial"/>
                <w:sz w:val="22"/>
                <w:szCs w:val="22"/>
                <w:lang w:val="sr-Latn-CS"/>
              </w:rPr>
              <w:t xml:space="preserve">Oblast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željezničkog</w:t>
            </w:r>
            <w:r w:rsidRPr="00DE537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saobraćaja regulisana je:</w:t>
            </w:r>
          </w:p>
          <w:p w:rsidR="00C55F65" w:rsidRPr="00770F21" w:rsidRDefault="00C55F65" w:rsidP="00770F2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-99"/>
              <w:rPr>
                <w:rFonts w:ascii="Arial" w:hAnsi="Arial" w:cs="Arial"/>
                <w:b/>
                <w:sz w:val="22"/>
                <w:lang w:val="sr-Latn-CS"/>
              </w:rPr>
            </w:pPr>
            <w:r w:rsidRPr="00770F21">
              <w:rPr>
                <w:rFonts w:ascii="Arial" w:hAnsi="Arial" w:cs="Arial"/>
                <w:b/>
                <w:sz w:val="22"/>
                <w:lang w:val="sr-Latn-CS"/>
              </w:rPr>
              <w:t>Zakonom o željeznici</w:t>
            </w:r>
          </w:p>
          <w:p w:rsidR="00C55F65" w:rsidRPr="00770F21" w:rsidRDefault="00C55F65" w:rsidP="00770F2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-99"/>
              <w:rPr>
                <w:rFonts w:ascii="Arial" w:hAnsi="Arial" w:cs="Arial"/>
                <w:b/>
                <w:sz w:val="22"/>
                <w:lang w:val="sr-Latn-CS"/>
              </w:rPr>
            </w:pPr>
            <w:r w:rsidRPr="00770F21">
              <w:rPr>
                <w:rFonts w:ascii="Arial" w:hAnsi="Arial" w:cs="Arial"/>
                <w:b/>
                <w:sz w:val="22"/>
                <w:lang w:val="sr-Latn-CS"/>
              </w:rPr>
              <w:t>Strategijom razvoja željeznice za period 2017-2027 godine</w:t>
            </w:r>
          </w:p>
          <w:p w:rsidR="0066131B" w:rsidRPr="00183589" w:rsidRDefault="00183589" w:rsidP="0066131B">
            <w:pPr>
              <w:spacing w:line="360" w:lineRule="auto"/>
              <w:ind w:right="-9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83589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>Oblast pomorstva i civlinog vazduhoplovstva r</w:t>
            </w:r>
            <w:r w:rsidR="0066131B" w:rsidRPr="00183589">
              <w:rPr>
                <w:rFonts w:ascii="Arial" w:hAnsi="Arial" w:cs="Arial"/>
                <w:sz w:val="22"/>
                <w:szCs w:val="22"/>
                <w:lang w:val="sr-Latn-CS"/>
              </w:rPr>
              <w:t>egulisana je:</w:t>
            </w:r>
          </w:p>
          <w:p w:rsidR="00183589" w:rsidRPr="00770F21" w:rsidRDefault="00183589" w:rsidP="00770F21">
            <w:pPr>
              <w:pStyle w:val="ListParagraph"/>
              <w:numPr>
                <w:ilvl w:val="0"/>
                <w:numId w:val="23"/>
              </w:numPr>
              <w:spacing w:line="360" w:lineRule="auto"/>
              <w:ind w:right="-99"/>
              <w:jc w:val="both"/>
              <w:rPr>
                <w:rFonts w:ascii="Arial" w:hAnsi="Arial" w:cs="Arial"/>
                <w:b/>
                <w:sz w:val="22"/>
                <w:lang w:val="sr-Latn-CS"/>
              </w:rPr>
            </w:pPr>
            <w:r w:rsidRPr="00770F21">
              <w:rPr>
                <w:rFonts w:ascii="Arial" w:hAnsi="Arial" w:cs="Arial"/>
                <w:b/>
                <w:sz w:val="22"/>
                <w:lang w:val="sr-Latn-CS"/>
              </w:rPr>
              <w:t>Zakonom o unutrašnjoj i pomorskoj plovidni;</w:t>
            </w:r>
          </w:p>
          <w:p w:rsidR="00183589" w:rsidRPr="00770F21" w:rsidRDefault="00183589" w:rsidP="00770F21">
            <w:pPr>
              <w:pStyle w:val="ListParagraph"/>
              <w:numPr>
                <w:ilvl w:val="0"/>
                <w:numId w:val="23"/>
              </w:numPr>
              <w:spacing w:line="360" w:lineRule="auto"/>
              <w:ind w:right="-99"/>
              <w:jc w:val="both"/>
              <w:rPr>
                <w:rFonts w:ascii="Arial" w:hAnsi="Arial" w:cs="Arial"/>
                <w:b/>
                <w:sz w:val="22"/>
                <w:lang w:val="sr-Latn-CS"/>
              </w:rPr>
            </w:pPr>
            <w:r w:rsidRPr="00770F21">
              <w:rPr>
                <w:rFonts w:ascii="Arial" w:hAnsi="Arial" w:cs="Arial"/>
                <w:b/>
                <w:sz w:val="22"/>
                <w:lang w:val="sr-Latn-CS"/>
              </w:rPr>
              <w:t>Zakonom o sigurnosti pomorske plovidbe;</w:t>
            </w:r>
          </w:p>
          <w:p w:rsidR="00183589" w:rsidRPr="00770F21" w:rsidRDefault="00183589" w:rsidP="00770F21">
            <w:pPr>
              <w:pStyle w:val="ListParagraph"/>
              <w:numPr>
                <w:ilvl w:val="0"/>
                <w:numId w:val="23"/>
              </w:numPr>
              <w:spacing w:line="360" w:lineRule="auto"/>
              <w:ind w:right="-99"/>
              <w:jc w:val="both"/>
              <w:rPr>
                <w:rFonts w:ascii="Arial" w:hAnsi="Arial" w:cs="Arial"/>
                <w:b/>
                <w:sz w:val="22"/>
                <w:lang w:val="sr-Latn-CS"/>
              </w:rPr>
            </w:pPr>
            <w:r w:rsidRPr="00770F21">
              <w:rPr>
                <w:rFonts w:ascii="Arial" w:hAnsi="Arial" w:cs="Arial"/>
                <w:b/>
                <w:sz w:val="22"/>
                <w:lang w:val="sr-Latn-CS"/>
              </w:rPr>
              <w:t>Zakonom o vazdušnom saobraćaju;</w:t>
            </w:r>
          </w:p>
          <w:p w:rsidR="00183589" w:rsidRPr="00770F21" w:rsidRDefault="00183589" w:rsidP="00770F21">
            <w:pPr>
              <w:pStyle w:val="ListParagraph"/>
              <w:numPr>
                <w:ilvl w:val="0"/>
                <w:numId w:val="23"/>
              </w:numPr>
              <w:spacing w:line="360" w:lineRule="auto"/>
              <w:ind w:right="-99"/>
              <w:jc w:val="both"/>
              <w:rPr>
                <w:rFonts w:ascii="Arial" w:hAnsi="Arial" w:cs="Arial"/>
                <w:b/>
                <w:sz w:val="22"/>
                <w:lang w:val="sr-Latn-CS"/>
              </w:rPr>
            </w:pPr>
            <w:r w:rsidRPr="00770F21">
              <w:rPr>
                <w:rFonts w:ascii="Arial" w:hAnsi="Arial" w:cs="Arial"/>
                <w:b/>
                <w:sz w:val="22"/>
                <w:lang w:val="sr-Latn-CS"/>
              </w:rPr>
              <w:t>Zakonom o obligacionim odnosima u vazdušnom saobraćaju.</w:t>
            </w:r>
          </w:p>
          <w:p w:rsidR="0066131B" w:rsidRPr="0066131B" w:rsidRDefault="0066131B" w:rsidP="0066131B">
            <w:pPr>
              <w:spacing w:line="360" w:lineRule="auto"/>
              <w:ind w:right="-99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C55F65" w:rsidRPr="00370754" w:rsidRDefault="00C55F65" w:rsidP="00DE5376">
            <w:pPr>
              <w:rPr>
                <w:rFonts w:ascii="Arial" w:hAnsi="Arial" w:cs="Arial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DE5376" w:rsidRPr="00DE5376" w:rsidRDefault="00DE5376" w:rsidP="00DE5376">
            <w:pPr>
              <w:pStyle w:val="TableParagraph"/>
              <w:spacing w:before="1"/>
              <w:rPr>
                <w:szCs w:val="22"/>
              </w:rPr>
            </w:pPr>
          </w:p>
          <w:p w:rsidR="0066131B" w:rsidRPr="0066131B" w:rsidRDefault="0066131B" w:rsidP="0066131B">
            <w:pPr>
              <w:widowControl w:val="0"/>
              <w:autoSpaceDE w:val="0"/>
              <w:autoSpaceDN w:val="0"/>
              <w:spacing w:before="60" w:after="0"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6131B">
              <w:rPr>
                <w:rFonts w:ascii="Arial" w:eastAsia="Arial" w:hAnsi="Arial" w:cs="Arial"/>
                <w:b/>
                <w:sz w:val="22"/>
                <w:szCs w:val="22"/>
              </w:rPr>
              <w:t>Transportna politika-Siguran i bezbjedan saobraćaj</w:t>
            </w:r>
          </w:p>
          <w:p w:rsidR="00672FAA" w:rsidRDefault="00672FAA" w:rsidP="0066131B">
            <w:pPr>
              <w:widowControl w:val="0"/>
              <w:autoSpaceDE w:val="0"/>
              <w:autoSpaceDN w:val="0"/>
              <w:spacing w:before="16" w:after="0"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672FAA" w:rsidRPr="0066131B" w:rsidRDefault="0066131B" w:rsidP="0066131B">
            <w:pPr>
              <w:widowControl w:val="0"/>
              <w:autoSpaceDE w:val="0"/>
              <w:autoSpaceDN w:val="0"/>
              <w:spacing w:before="16" w:after="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131B">
              <w:rPr>
                <w:rFonts w:ascii="Arial" w:eastAsia="Arial" w:hAnsi="Arial" w:cs="Arial"/>
                <w:sz w:val="22"/>
                <w:szCs w:val="22"/>
              </w:rPr>
              <w:lastRenderedPageBreak/>
              <w:t>Aktivnosti:</w:t>
            </w:r>
          </w:p>
          <w:p w:rsidR="0066131B" w:rsidRPr="0066131B" w:rsidRDefault="0066131B" w:rsidP="0066131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6" w:after="0" w:line="360" w:lineRule="auto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 xml:space="preserve">U aktivnosti NVO uključiti osiguravajuća društva u proces poboljšanja bezbjednosti i </w:t>
            </w:r>
            <w:r w:rsidRPr="0066131B">
              <w:rPr>
                <w:rFonts w:ascii="Arial" w:eastAsia="Arial" w:hAnsi="Arial" w:cs="Arial"/>
                <w:sz w:val="22"/>
                <w:szCs w:val="22"/>
                <w:lang w:eastAsia="en-US"/>
              </w:rPr>
              <w:t>sigurnosti u saobraćaju;</w:t>
            </w:r>
          </w:p>
          <w:p w:rsidR="0066131B" w:rsidRPr="0066131B" w:rsidRDefault="0066131B" w:rsidP="0066131B">
            <w:pPr>
              <w:pStyle w:val="BodyText"/>
              <w:numPr>
                <w:ilvl w:val="0"/>
                <w:numId w:val="11"/>
              </w:numPr>
              <w:spacing w:before="63" w:line="360" w:lineRule="auto"/>
              <w:ind w:right="697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66131B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Povezivanje NVO i organa koji su 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 xml:space="preserve">zaduženi </w:t>
            </w:r>
            <w:r w:rsidRPr="0066131B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za 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 xml:space="preserve">sprovođenje </w:t>
            </w:r>
            <w:r w:rsidRPr="0066131B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pravne 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>(zakonske)</w:t>
            </w:r>
            <w:r w:rsidRPr="0066131B">
              <w:rPr>
                <w:rFonts w:ascii="Arial" w:eastAsia="Arial" w:hAnsi="Arial" w:cs="Arial"/>
                <w:spacing w:val="-27"/>
                <w:w w:val="95"/>
                <w:sz w:val="22"/>
                <w:szCs w:val="22"/>
                <w:lang w:eastAsia="en-US"/>
              </w:rPr>
              <w:t xml:space="preserve"> 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>regulative, bli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val="bs-Latn-BA" w:eastAsia="en-US"/>
              </w:rPr>
              <w:t>že upoznavanje</w:t>
            </w:r>
            <w:r w:rsidRPr="0066131B">
              <w:rPr>
                <w:rFonts w:ascii="Arial" w:eastAsia="Arial" w:hAnsi="Arial" w:cs="Arial"/>
                <w:spacing w:val="-27"/>
                <w:w w:val="95"/>
                <w:sz w:val="22"/>
                <w:szCs w:val="22"/>
                <w:lang w:eastAsia="en-US"/>
              </w:rPr>
              <w:t xml:space="preserve"> 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>sa</w:t>
            </w:r>
            <w:r w:rsidRPr="0066131B">
              <w:rPr>
                <w:rFonts w:ascii="Arial" w:eastAsia="Arial" w:hAnsi="Arial" w:cs="Arial"/>
                <w:spacing w:val="-28"/>
                <w:w w:val="95"/>
                <w:sz w:val="22"/>
                <w:szCs w:val="22"/>
                <w:lang w:eastAsia="en-US"/>
              </w:rPr>
              <w:t xml:space="preserve"> 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>EU</w:t>
            </w:r>
            <w:r w:rsidRPr="0066131B">
              <w:rPr>
                <w:rFonts w:ascii="Arial" w:eastAsia="Arial" w:hAnsi="Arial" w:cs="Arial"/>
                <w:spacing w:val="-26"/>
                <w:w w:val="95"/>
                <w:sz w:val="22"/>
                <w:szCs w:val="22"/>
                <w:lang w:eastAsia="en-US"/>
              </w:rPr>
              <w:t xml:space="preserve"> 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>standardima</w:t>
            </w:r>
            <w:r w:rsidRPr="0066131B">
              <w:rPr>
                <w:rFonts w:ascii="Arial" w:eastAsia="Arial" w:hAnsi="Arial" w:cs="Arial"/>
                <w:spacing w:val="-27"/>
                <w:w w:val="95"/>
                <w:sz w:val="22"/>
                <w:szCs w:val="22"/>
                <w:lang w:eastAsia="en-US"/>
              </w:rPr>
              <w:t xml:space="preserve"> 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>vezanim</w:t>
            </w:r>
            <w:r w:rsidRPr="0066131B">
              <w:rPr>
                <w:rFonts w:ascii="Arial" w:eastAsia="Arial" w:hAnsi="Arial" w:cs="Arial"/>
                <w:spacing w:val="-27"/>
                <w:w w:val="95"/>
                <w:sz w:val="22"/>
                <w:szCs w:val="22"/>
                <w:lang w:eastAsia="en-US"/>
              </w:rPr>
              <w:t xml:space="preserve"> 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>za</w:t>
            </w:r>
            <w:r w:rsidRPr="0066131B">
              <w:rPr>
                <w:rFonts w:ascii="Arial" w:eastAsia="Arial" w:hAnsi="Arial" w:cs="Arial"/>
                <w:spacing w:val="-27"/>
                <w:w w:val="95"/>
                <w:sz w:val="22"/>
                <w:szCs w:val="22"/>
                <w:lang w:eastAsia="en-US"/>
              </w:rPr>
              <w:t xml:space="preserve"> 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>bezbjednost</w:t>
            </w:r>
            <w:r w:rsidRPr="0066131B">
              <w:rPr>
                <w:rFonts w:ascii="Arial" w:eastAsia="Arial" w:hAnsi="Arial" w:cs="Arial"/>
                <w:spacing w:val="-26"/>
                <w:w w:val="95"/>
                <w:sz w:val="22"/>
                <w:szCs w:val="22"/>
                <w:lang w:eastAsia="en-US"/>
              </w:rPr>
              <w:t xml:space="preserve"> </w:t>
            </w:r>
            <w:r w:rsidRPr="0066131B">
              <w:rPr>
                <w:rFonts w:ascii="Arial" w:eastAsia="Arial" w:hAnsi="Arial" w:cs="Arial"/>
                <w:w w:val="95"/>
                <w:sz w:val="22"/>
                <w:szCs w:val="22"/>
                <w:lang w:eastAsia="en-US"/>
              </w:rPr>
              <w:t xml:space="preserve">i </w:t>
            </w:r>
            <w:r w:rsidRPr="0066131B">
              <w:rPr>
                <w:rFonts w:ascii="Arial" w:eastAsia="Arial" w:hAnsi="Arial" w:cs="Arial"/>
                <w:sz w:val="22"/>
                <w:szCs w:val="22"/>
                <w:lang w:eastAsia="en-US"/>
              </w:rPr>
              <w:t>sigurnost za sve vidove saobraćaja;</w:t>
            </w:r>
          </w:p>
          <w:p w:rsidR="0066131B" w:rsidRPr="0066131B" w:rsidRDefault="0066131B" w:rsidP="0066131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 w:after="0" w:line="360" w:lineRule="auto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66131B">
              <w:rPr>
                <w:rFonts w:ascii="Arial" w:eastAsia="Arial" w:hAnsi="Arial" w:cs="Arial"/>
                <w:sz w:val="22"/>
                <w:szCs w:val="22"/>
                <w:lang w:eastAsia="en-US"/>
              </w:rPr>
              <w:t>Promovisati sigurnosne i bezbjednosne procedure u funkcionisanju saobraćaja;</w:t>
            </w:r>
          </w:p>
          <w:p w:rsidR="0066131B" w:rsidRPr="0066131B" w:rsidRDefault="0066131B" w:rsidP="0066131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6" w:after="0" w:line="360" w:lineRule="auto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66131B">
              <w:rPr>
                <w:rFonts w:ascii="Arial" w:eastAsia="Arial" w:hAnsi="Arial" w:cs="Arial"/>
                <w:sz w:val="22"/>
                <w:szCs w:val="22"/>
                <w:lang w:eastAsia="en-US"/>
              </w:rPr>
              <w:t>Stimulisati praksu nabavke nove sigurnosne i bezbjednosne opreme od strane korisnika motornih vozila.</w:t>
            </w:r>
          </w:p>
          <w:p w:rsidR="00770F21" w:rsidRDefault="0066131B" w:rsidP="00770F2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6" w:after="0" w:line="360" w:lineRule="auto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66131B">
              <w:rPr>
                <w:rFonts w:ascii="Arial" w:eastAsia="Arial" w:hAnsi="Arial" w:cs="Arial"/>
                <w:sz w:val="22"/>
                <w:szCs w:val="22"/>
                <w:lang w:eastAsia="en-US"/>
              </w:rPr>
              <w:t>Razvoj sistema obuke u oblasti bezbjednosti u svim vidovima saobraćaja;</w:t>
            </w:r>
          </w:p>
          <w:p w:rsidR="0066131B" w:rsidRPr="00770F21" w:rsidRDefault="0066131B" w:rsidP="00770F21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770F21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 xml:space="preserve">Sistem obrazovanja predstavlja značajan segment bezbjednosti u </w:t>
            </w:r>
            <w:r w:rsidR="00672FAA" w:rsidRPr="00770F21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>svim vidovima saobraćaja</w:t>
            </w:r>
            <w:r w:rsidRPr="00770F21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 xml:space="preserve">. Nedovoljna </w:t>
            </w:r>
            <w:r w:rsidR="00672FAA" w:rsidRPr="00770F21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 xml:space="preserve">edukacija, nepoznavanje saobraćajni propisa </w:t>
            </w:r>
            <w:r w:rsidRPr="00770F21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 xml:space="preserve">značajan su uzrok saobraćajnih nezgoda. Posebna pažnja mora se posvetiti poboljšanju procesa edukacije učesnika u saobraćaju i unapređenju svijesti o posljedicama saobraćajnih nezgoda, koja je osnov podizanja nivoa bezbjednosti saobraćaja i dostizanju evropskih standarda. Iskustva razvijenih zemalja ukazuju da posebno treba obratiti pažnju na djecu školskog uzrasta i mlade vozače. Neformalno obrazovanje se obezbjeđuje </w:t>
            </w:r>
            <w:r w:rsidRPr="00770F21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lastRenderedPageBreak/>
              <w:t>programima redovnog obrazovanja za sticanje znanja i podizanje saobraćajne kulture, putem različitih vidova edukacija, seminara, okruglih stolova, rasprava i slično.</w:t>
            </w:r>
          </w:p>
          <w:p w:rsidR="00370754" w:rsidRPr="00370754" w:rsidRDefault="00370754" w:rsidP="00770F2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Default="00A640F0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 w:rsidR="00370754" w:rsidRPr="00370754">
        <w:rPr>
          <w:rFonts w:ascii="Arial" w:hAnsi="Arial" w:cs="Arial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p w:rsidR="00886BB7" w:rsidRPr="00370754" w:rsidRDefault="00886BB7" w:rsidP="00AD29CE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792" w:type="dxa"/>
        <w:tblLook w:val="04A0"/>
      </w:tblPr>
      <w:tblGrid>
        <w:gridCol w:w="4582"/>
        <w:gridCol w:w="4582"/>
        <w:gridCol w:w="4582"/>
      </w:tblGrid>
      <w:tr w:rsidR="00370754" w:rsidRPr="00370754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Izvor(i) podataka</w:t>
            </w: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672FAA" w:rsidRPr="00672FAA" w:rsidRDefault="00672FAA" w:rsidP="00004FB2">
            <w:pPr>
              <w:widowControl w:val="0"/>
              <w:autoSpaceDE w:val="0"/>
              <w:autoSpaceDN w:val="0"/>
              <w:spacing w:before="60" w:after="0" w:line="360" w:lineRule="auto"/>
              <w:ind w:right="95"/>
              <w:rPr>
                <w:rFonts w:ascii="Arial" w:eastAsia="Arial" w:hAnsi="Arial" w:cs="Arial"/>
                <w:sz w:val="22"/>
                <w:szCs w:val="22"/>
                <w:shd w:val="clear" w:color="auto" w:fill="F2F2F2"/>
              </w:rPr>
            </w:pP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br/>
            </w:r>
            <w:r w:rsidRPr="00672FAA">
              <w:rPr>
                <w:rFonts w:ascii="Arial" w:eastAsia="Arial" w:hAnsi="Arial" w:cs="Arial"/>
                <w:w w:val="95"/>
                <w:sz w:val="22"/>
                <w:szCs w:val="22"/>
              </w:rPr>
              <w:t>Ogroman</w:t>
            </w:r>
            <w:r w:rsidRPr="00672FAA">
              <w:rPr>
                <w:rFonts w:ascii="Arial" w:eastAsia="Arial" w:hAnsi="Arial" w:cs="Arial"/>
                <w:spacing w:val="-31"/>
                <w:w w:val="95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w w:val="95"/>
                <w:sz w:val="22"/>
                <w:szCs w:val="22"/>
              </w:rPr>
              <w:t>doprinos</w:t>
            </w:r>
            <w:r w:rsidRPr="00672FAA">
              <w:rPr>
                <w:rFonts w:ascii="Arial" w:eastAsia="Arial" w:hAnsi="Arial" w:cs="Arial"/>
                <w:spacing w:val="-31"/>
                <w:w w:val="95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w w:val="95"/>
                <w:sz w:val="22"/>
                <w:szCs w:val="22"/>
              </w:rPr>
              <w:t>podizanju</w:t>
            </w:r>
            <w:r w:rsidRPr="00672FAA">
              <w:rPr>
                <w:rFonts w:ascii="Arial" w:eastAsia="Arial" w:hAnsi="Arial" w:cs="Arial"/>
                <w:spacing w:val="-30"/>
                <w:w w:val="95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w w:val="95"/>
                <w:sz w:val="22"/>
                <w:szCs w:val="22"/>
              </w:rPr>
              <w:t>nivoa</w:t>
            </w:r>
            <w:r w:rsidRPr="00672FAA">
              <w:rPr>
                <w:rFonts w:ascii="Arial" w:eastAsia="Arial" w:hAnsi="Arial" w:cs="Arial"/>
                <w:spacing w:val="-31"/>
                <w:w w:val="95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w w:val="95"/>
                <w:sz w:val="22"/>
                <w:szCs w:val="22"/>
              </w:rPr>
              <w:t>svijesti</w:t>
            </w:r>
            <w:r w:rsidRPr="00672FAA">
              <w:rPr>
                <w:rFonts w:ascii="Arial" w:eastAsia="Arial" w:hAnsi="Arial" w:cs="Arial"/>
                <w:spacing w:val="-31"/>
                <w:w w:val="95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w w:val="95"/>
                <w:sz w:val="22"/>
                <w:szCs w:val="22"/>
              </w:rPr>
              <w:t xml:space="preserve">građana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daju</w:t>
            </w:r>
            <w:r w:rsidRPr="00672FAA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akcije</w:t>
            </w:r>
            <w:r w:rsidRPr="00672FAA">
              <w:rPr>
                <w:rFonts w:ascii="Arial" w:eastAsia="Arial" w:hAnsi="Arial" w:cs="Arial"/>
                <w:spacing w:val="-33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72FAA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projekti</w:t>
            </w:r>
            <w:r w:rsidRPr="00672FAA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nevladinih</w:t>
            </w:r>
            <w:r w:rsidRPr="00672FAA">
              <w:rPr>
                <w:rFonts w:ascii="Arial" w:eastAsia="Arial" w:hAnsi="Arial" w:cs="Arial"/>
                <w:spacing w:val="-33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organizacija.</w:t>
            </w:r>
            <w:r w:rsidRPr="00672FAA">
              <w:rPr>
                <w:rFonts w:ascii="Arial" w:eastAsia="Arial" w:hAnsi="Arial" w:cs="Arial"/>
                <w:spacing w:val="-35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UN</w:t>
            </w:r>
            <w:r w:rsidRPr="00672FAA">
              <w:rPr>
                <w:rFonts w:ascii="Arial" w:eastAsia="Arial" w:hAnsi="Arial" w:cs="Arial"/>
                <w:spacing w:val="-32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u mnogim</w:t>
            </w:r>
            <w:r w:rsidRPr="00672FAA">
              <w:rPr>
                <w:rFonts w:ascii="Arial" w:eastAsia="Arial" w:hAnsi="Arial" w:cs="Arial"/>
                <w:spacing w:val="-36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od</w:t>
            </w:r>
            <w:r w:rsidRPr="00672FAA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svojih</w:t>
            </w:r>
            <w:r w:rsidRPr="00672FAA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rezolucija</w:t>
            </w:r>
            <w:r w:rsidRPr="00672FAA"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672FAA">
              <w:rPr>
                <w:rFonts w:ascii="Arial" w:eastAsia="Arial" w:hAnsi="Arial" w:cs="Arial"/>
                <w:spacing w:val="-35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konvencija,</w:t>
            </w:r>
            <w:r w:rsidRPr="00672FAA">
              <w:rPr>
                <w:rFonts w:ascii="Arial" w:eastAsia="Arial" w:hAnsi="Arial" w:cs="Arial"/>
                <w:spacing w:val="-36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 xml:space="preserve">priznaju </w:t>
            </w:r>
            <w:r w:rsidRPr="00672FAA">
              <w:rPr>
                <w:rFonts w:ascii="Arial" w:eastAsia="Arial" w:hAnsi="Arial" w:cs="Arial"/>
                <w:w w:val="95"/>
                <w:sz w:val="22"/>
                <w:szCs w:val="22"/>
              </w:rPr>
              <w:t xml:space="preserve">ulogu civilnog </w:t>
            </w:r>
            <w:r w:rsidRPr="00672FAA">
              <w:rPr>
                <w:rFonts w:ascii="Arial" w:eastAsia="Arial" w:hAnsi="Arial" w:cs="Arial"/>
                <w:w w:val="95"/>
                <w:sz w:val="22"/>
                <w:szCs w:val="22"/>
              </w:rPr>
              <w:lastRenderedPageBreak/>
              <w:t xml:space="preserve">sektora u promociji razvoja društva,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zaštite okoline i ljudskih prava, demokratije i dobrog</w:t>
            </w:r>
            <w:r w:rsidRPr="00672FAA">
              <w:rPr>
                <w:rFonts w:ascii="Arial" w:eastAsia="Arial" w:hAnsi="Arial" w:cs="Arial"/>
                <w:spacing w:val="-15"/>
                <w:sz w:val="22"/>
                <w:szCs w:val="2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</w:rPr>
              <w:t>upravljanja.</w:t>
            </w:r>
            <w:r w:rsidRPr="00672FAA">
              <w:rPr>
                <w:rFonts w:ascii="Arial" w:eastAsia="Arial" w:hAnsi="Arial" w:cs="Arial"/>
                <w:color w:val="4C4C4C"/>
                <w:sz w:val="22"/>
                <w:szCs w:val="22"/>
                <w:shd w:val="clear" w:color="auto" w:fill="F2F2F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  <w:shd w:val="clear" w:color="auto" w:fill="FFFFFF" w:themeFill="background1"/>
              </w:rPr>
              <w:t>NVO,</w:t>
            </w:r>
            <w:r w:rsidRPr="00672FAA">
              <w:rPr>
                <w:rFonts w:ascii="Arial" w:eastAsia="Arial" w:hAnsi="Arial" w:cs="Arial"/>
                <w:sz w:val="22"/>
                <w:szCs w:val="22"/>
                <w:shd w:val="clear" w:color="auto" w:fill="F2F2F2"/>
              </w:rPr>
              <w:t xml:space="preserve"> </w:t>
            </w:r>
            <w:r w:rsidRPr="00672FAA">
              <w:rPr>
                <w:rFonts w:ascii="Arial" w:eastAsia="Arial" w:hAnsi="Arial" w:cs="Arial"/>
                <w:sz w:val="22"/>
                <w:szCs w:val="22"/>
                <w:shd w:val="clear" w:color="auto" w:fill="FFFFFF" w:themeFill="background1"/>
              </w:rPr>
              <w:t>može da da najveći doprinos u prevenciji potencijalnih saobraćajnih nezgoda koje u Crnoj Gori, kao i svuda u svijetu</w:t>
            </w:r>
            <w:r w:rsidRPr="00672FAA">
              <w:rPr>
                <w:rFonts w:ascii="Arial" w:eastAsia="Arial" w:hAnsi="Arial" w:cs="Arial"/>
                <w:sz w:val="22"/>
                <w:szCs w:val="22"/>
                <w:shd w:val="clear" w:color="auto" w:fill="F2F2F2"/>
              </w:rPr>
              <w:t>.</w:t>
            </w:r>
          </w:p>
          <w:p w:rsidR="00672FAA" w:rsidRPr="00672FAA" w:rsidRDefault="00672FAA" w:rsidP="00004FB2">
            <w:pPr>
              <w:widowControl w:val="0"/>
              <w:autoSpaceDE w:val="0"/>
              <w:autoSpaceDN w:val="0"/>
              <w:spacing w:before="60" w:after="0" w:line="360" w:lineRule="auto"/>
              <w:ind w:right="95"/>
              <w:rPr>
                <w:rFonts w:ascii="Arial" w:eastAsia="Arial" w:hAnsi="Arial" w:cs="Arial"/>
                <w:sz w:val="22"/>
                <w:szCs w:val="22"/>
                <w:shd w:val="clear" w:color="auto" w:fill="F2F2F2"/>
              </w:rPr>
            </w:pPr>
            <w:r w:rsidRPr="00672FAA">
              <w:rPr>
                <w:rFonts w:ascii="Arial" w:eastAsia="Arial" w:hAnsi="Arial" w:cs="Arial"/>
                <w:sz w:val="22"/>
                <w:szCs w:val="22"/>
                <w:shd w:val="clear" w:color="auto" w:fill="FFFFFF" w:themeFill="background1"/>
              </w:rPr>
              <w:t>NVO su dale značajan doprinos u bezbjednosti saobraćaja, zajednički organizovanjem velikog broja kampanja, edukativnih seminara i časova</w:t>
            </w:r>
            <w:r w:rsidRPr="00672FAA">
              <w:rPr>
                <w:rFonts w:ascii="Arial" w:eastAsia="Arial" w:hAnsi="Arial" w:cs="Arial"/>
                <w:sz w:val="22"/>
                <w:szCs w:val="22"/>
                <w:shd w:val="clear" w:color="auto" w:fill="F2F2F2"/>
              </w:rPr>
              <w:t>.</w:t>
            </w:r>
          </w:p>
          <w:p w:rsidR="00672FAA" w:rsidRPr="00672FAA" w:rsidRDefault="00672FAA" w:rsidP="00004FB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60" w:after="0" w:line="360" w:lineRule="auto"/>
              <w:ind w:right="95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672FAA">
              <w:rPr>
                <w:rFonts w:ascii="Arial" w:eastAsia="Arial" w:hAnsi="Arial" w:cs="Arial"/>
                <w:sz w:val="22"/>
                <w:szCs w:val="22"/>
                <w:lang w:eastAsia="en-US"/>
              </w:rPr>
              <w:t>Veći stepen promocije sigurnosne i bezbjednosne procedure u funkcionisanju saobraćaja;</w:t>
            </w:r>
          </w:p>
          <w:p w:rsidR="00672FAA" w:rsidRPr="00672FAA" w:rsidRDefault="00672FAA" w:rsidP="00004FB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60" w:after="0" w:line="360" w:lineRule="auto"/>
              <w:ind w:right="95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672FAA">
              <w:rPr>
                <w:rFonts w:ascii="Arial" w:eastAsia="Arial" w:hAnsi="Arial" w:cs="Arial"/>
                <w:sz w:val="22"/>
                <w:szCs w:val="22"/>
                <w:lang w:eastAsia="en-US"/>
              </w:rPr>
              <w:t>Stimulisane prakse nabavke nove sigurnosne i bezbjednosne opreme od strane korisnika motornih vozila.</w:t>
            </w:r>
          </w:p>
          <w:p w:rsidR="00672FAA" w:rsidRPr="00672FAA" w:rsidRDefault="00672FAA" w:rsidP="00004FB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60" w:after="0" w:line="360" w:lineRule="auto"/>
              <w:ind w:right="95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shd w:val="clear" w:color="auto" w:fill="F2F2F2"/>
                <w:lang w:eastAsia="en-US"/>
              </w:rPr>
            </w:pPr>
            <w:r w:rsidRPr="00672FAA">
              <w:rPr>
                <w:rFonts w:ascii="Arial" w:eastAsia="Arial" w:hAnsi="Arial" w:cs="Arial"/>
                <w:sz w:val="22"/>
                <w:szCs w:val="22"/>
                <w:lang w:eastAsia="en-US"/>
              </w:rPr>
              <w:t>Doprinos razvoj sistema obuke u oblasti bezbjednosti u svim vidovima saobraćaja;</w:t>
            </w:r>
          </w:p>
          <w:p w:rsidR="00672FAA" w:rsidRPr="00672FAA" w:rsidRDefault="00672FAA" w:rsidP="00004FB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60" w:after="0" w:line="360" w:lineRule="auto"/>
              <w:ind w:right="95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shd w:val="clear" w:color="auto" w:fill="F2F2F2"/>
                <w:lang w:eastAsia="en-US"/>
              </w:rPr>
            </w:pPr>
            <w:r w:rsidRPr="00672FAA"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Izrada portal, publikacija  koja predstavlja vrstu vodiča za građane, u kojem oni mogu pronaći veliki broj </w:t>
            </w:r>
            <w:r w:rsidRPr="00672FAA"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/>
              </w:rPr>
              <w:lastRenderedPageBreak/>
              <w:t>korisnih informacija, koje će im pomagati u svakodnevniom saobraćajnom situacijama</w:t>
            </w:r>
            <w:r w:rsidR="00004FB2">
              <w:rPr>
                <w:rFonts w:ascii="Arial" w:eastAsia="Arial" w:hAnsi="Arial" w:cs="Arial"/>
                <w:sz w:val="22"/>
                <w:szCs w:val="22"/>
                <w:shd w:val="clear" w:color="auto" w:fill="F2F2F2"/>
                <w:lang w:eastAsia="en-US"/>
              </w:rPr>
              <w:t>;</w:t>
            </w:r>
          </w:p>
          <w:p w:rsidR="00672FAA" w:rsidRPr="00672FAA" w:rsidRDefault="00672FAA" w:rsidP="00004FB2">
            <w:pPr>
              <w:pStyle w:val="ListParagraph"/>
              <w:widowControl w:val="0"/>
              <w:numPr>
                <w:ilvl w:val="0"/>
                <w:numId w:val="12"/>
              </w:numPr>
              <w:shd w:val="clear" w:color="auto" w:fill="FFFFFF" w:themeFill="background1"/>
              <w:autoSpaceDE w:val="0"/>
              <w:autoSpaceDN w:val="0"/>
              <w:spacing w:before="60" w:after="0" w:line="360" w:lineRule="auto"/>
              <w:ind w:right="95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shd w:val="clear" w:color="auto" w:fill="F2F2F2"/>
                <w:lang w:eastAsia="en-US"/>
              </w:rPr>
            </w:pPr>
            <w:r w:rsidRPr="00672FAA">
              <w:rPr>
                <w:rFonts w:ascii="Arial" w:eastAsia="Arial" w:hAnsi="Arial" w:cs="Arial"/>
                <w:sz w:val="22"/>
                <w:szCs w:val="22"/>
                <w:shd w:val="clear" w:color="auto" w:fill="FFFFFF" w:themeFill="background1"/>
                <w:lang w:eastAsia="en-US"/>
              </w:rPr>
              <w:t>Podizanje ukupnog nivao znanja i kapaciteta u vezi sa saobraćajem i bezbjednosti u istom;</w:t>
            </w:r>
          </w:p>
          <w:p w:rsidR="00370754" w:rsidRPr="00672FAA" w:rsidRDefault="00672FAA" w:rsidP="00004FB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672FAA">
              <w:rPr>
                <w:rFonts w:ascii="Arial" w:eastAsia="Arial" w:hAnsi="Arial" w:cs="Arial"/>
                <w:sz w:val="22"/>
                <w:shd w:val="clear" w:color="auto" w:fill="FFFFFF" w:themeFill="background1"/>
              </w:rPr>
              <w:t>Podsticanje na veću uključenost građanki i građana jedne lokalne zajednice na učešće u donošenju bitnih odluka u vezi sa temama iz oblasti saobraćaja</w:t>
            </w:r>
            <w:r w:rsidR="00004FB2">
              <w:rPr>
                <w:rFonts w:ascii="Arial" w:eastAsia="Arial" w:hAnsi="Arial" w:cs="Arial"/>
                <w:sz w:val="22"/>
                <w:shd w:val="clear" w:color="auto" w:fill="F2F2F2"/>
              </w:rPr>
              <w:t>;</w:t>
            </w:r>
          </w:p>
          <w:p w:rsidR="00672FAA" w:rsidRPr="00004FB2" w:rsidRDefault="00672FAA" w:rsidP="00004FB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004FB2">
              <w:rPr>
                <w:rFonts w:ascii="Arial" w:eastAsia="Arial" w:hAnsi="Arial" w:cs="Arial"/>
                <w:sz w:val="22"/>
                <w:shd w:val="clear" w:color="auto" w:fill="FFFFFF" w:themeFill="background1"/>
              </w:rPr>
              <w:t>Podsticanje na predstavljanje problema putem slike, organizacija likovnih sekcija</w:t>
            </w:r>
            <w:r w:rsidR="00004FB2" w:rsidRPr="00004FB2">
              <w:rPr>
                <w:rFonts w:ascii="Arial" w:eastAsia="Arial" w:hAnsi="Arial" w:cs="Arial"/>
                <w:sz w:val="22"/>
                <w:shd w:val="clear" w:color="auto" w:fill="FFFFFF" w:themeFill="background1"/>
              </w:rPr>
              <w:t xml:space="preserve"> i izložbi</w:t>
            </w:r>
            <w:r w:rsidR="00004FB2">
              <w:rPr>
                <w:rFonts w:ascii="Arial" w:eastAsia="Arial" w:hAnsi="Arial" w:cs="Arial"/>
                <w:sz w:val="22"/>
                <w:shd w:val="clear" w:color="auto" w:fill="F2F2F2"/>
              </w:rPr>
              <w:t>;</w:t>
            </w:r>
          </w:p>
          <w:p w:rsidR="00004FB2" w:rsidRPr="00004FB2" w:rsidRDefault="00004FB2" w:rsidP="00004FB2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004FB2">
              <w:rPr>
                <w:rFonts w:ascii="Arial" w:eastAsia="Arial" w:hAnsi="Arial" w:cs="Arial"/>
                <w:sz w:val="22"/>
                <w:shd w:val="clear" w:color="auto" w:fill="FFFFFF" w:themeFill="background1"/>
              </w:rPr>
              <w:t>Promocija snimanja kratkometražnih filmova na konkretnu temu u trajanju od 10-20 minuta</w:t>
            </w:r>
            <w:r>
              <w:rPr>
                <w:rFonts w:ascii="Arial" w:eastAsia="Arial" w:hAnsi="Arial" w:cs="Arial"/>
                <w:sz w:val="22"/>
                <w:shd w:val="clear" w:color="auto" w:fill="F2F2F2"/>
              </w:rPr>
              <w:t>;</w:t>
            </w:r>
          </w:p>
          <w:p w:rsidR="00004FB2" w:rsidRPr="00770F21" w:rsidRDefault="00004FB2" w:rsidP="00004FB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004FB2">
              <w:rPr>
                <w:rFonts w:ascii="Arial" w:eastAsia="Arial" w:hAnsi="Arial" w:cs="Arial"/>
                <w:sz w:val="22"/>
                <w:shd w:val="clear" w:color="auto" w:fill="FFFFFF" w:themeFill="background1"/>
              </w:rPr>
              <w:t>Uključivanje savremene tehnologije u izradi nekog idejnog rješenja, na primjer aplikacija za promociju sigurnosti u saobraćaju</w:t>
            </w:r>
            <w:r>
              <w:rPr>
                <w:rFonts w:ascii="Arial" w:eastAsia="Arial" w:hAnsi="Arial" w:cs="Arial"/>
                <w:sz w:val="22"/>
                <w:shd w:val="clear" w:color="auto" w:fill="FFFFFF" w:themeFill="background1"/>
              </w:rPr>
              <w:t>;</w:t>
            </w:r>
          </w:p>
          <w:p w:rsidR="00770F21" w:rsidRPr="00770F21" w:rsidRDefault="00770F21" w:rsidP="00004FB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770F21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t xml:space="preserve">Sprovesti odgovarajuću medijsku </w:t>
            </w:r>
            <w:r w:rsidRPr="00770F21">
              <w:rPr>
                <w:rFonts w:ascii="Arial" w:hAnsi="Arial" w:cs="Arial"/>
                <w:color w:val="000000" w:themeColor="text1"/>
                <w:sz w:val="22"/>
                <w:szCs w:val="22"/>
                <w:lang w:val="sr-Latn-CS"/>
              </w:rPr>
              <w:lastRenderedPageBreak/>
              <w:t>kampanju usmjerenu na popularizaciju saobraćajne kulture svih učesnika. Kroz televizijske spotove edukativno plasirati sadržaje koji ukazuju na drastične primjere kršenja pravila saobraćaja (brza vožnja, vožnja pod uticajem alkohola i drugih opojnih sredstava, upotreba sigurnosnih pojaseva, upotreba mobilnog telefona, nošenje zaštitne kacige, nepropisno preticanje, poštovanje prava prvenstva prolaza, agresivna vožnja i dr.) i posljedice izazvane takvim ponašanjem učesnika.</w:t>
            </w:r>
          </w:p>
          <w:p w:rsidR="00770F21" w:rsidRPr="00672FAA" w:rsidRDefault="00770F21" w:rsidP="00886BB7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72FAA" w:rsidRPr="00672FAA" w:rsidRDefault="00672FAA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  <w:r w:rsidRPr="00672FAA">
              <w:rPr>
                <w:rFonts w:ascii="Arial" w:hAnsi="Arial" w:cs="Arial"/>
                <w:sz w:val="22"/>
                <w:szCs w:val="22"/>
              </w:rPr>
              <w:t>Broj organizovanih seminara i obuka iz oblasti podizanja nivoa saobraćajne kulture;</w:t>
            </w:r>
          </w:p>
          <w:p w:rsidR="00672FAA" w:rsidRPr="00672FAA" w:rsidRDefault="00672FAA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FAA">
              <w:rPr>
                <w:rFonts w:ascii="Arial" w:hAnsi="Arial" w:cs="Arial"/>
                <w:sz w:val="22"/>
                <w:szCs w:val="22"/>
              </w:rPr>
              <w:t xml:space="preserve">Broj edukativnih seminara i časova za djecu </w:t>
            </w:r>
            <w:r w:rsidRPr="00672FAA">
              <w:rPr>
                <w:rFonts w:ascii="Arial" w:hAnsi="Arial" w:cs="Arial"/>
                <w:sz w:val="22"/>
                <w:szCs w:val="22"/>
              </w:rPr>
              <w:lastRenderedPageBreak/>
              <w:t>i mlade o saobraćajnoj kulturi i bezbjednosti u saobraćaju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72FAA" w:rsidRPr="00672FAA" w:rsidRDefault="00672FAA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FAA">
              <w:rPr>
                <w:rFonts w:ascii="Arial" w:hAnsi="Arial" w:cs="Arial"/>
                <w:sz w:val="22"/>
                <w:szCs w:val="22"/>
              </w:rPr>
              <w:t>Broj učesnika koji su uzeli učešća u sprovedenim aktivnostima projekata;</w:t>
            </w:r>
          </w:p>
          <w:p w:rsidR="00672FAA" w:rsidRPr="00672FAA" w:rsidRDefault="00672FAA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469A8">
              <w:rPr>
                <w:rFonts w:ascii="Arial" w:hAnsi="Arial" w:cs="Arial"/>
                <w:w w:val="95"/>
                <w:sz w:val="22"/>
                <w:szCs w:val="22"/>
              </w:rPr>
              <w:t>Mjere</w:t>
            </w:r>
            <w:r w:rsidR="00F469A8" w:rsidRPr="00F469A8">
              <w:rPr>
                <w:rFonts w:ascii="Arial" w:hAnsi="Arial" w:cs="Arial"/>
                <w:w w:val="95"/>
                <w:sz w:val="22"/>
                <w:szCs w:val="22"/>
              </w:rPr>
              <w:t>nje</w:t>
            </w:r>
            <w:r w:rsidRPr="00F469A8">
              <w:rPr>
                <w:rFonts w:ascii="Arial" w:hAnsi="Arial" w:cs="Arial"/>
                <w:w w:val="95"/>
                <w:sz w:val="22"/>
                <w:szCs w:val="22"/>
              </w:rPr>
              <w:t xml:space="preserve"> nivoa</w:t>
            </w:r>
            <w:r w:rsidRPr="00672FAA">
              <w:rPr>
                <w:rFonts w:ascii="Arial" w:hAnsi="Arial" w:cs="Arial"/>
                <w:w w:val="95"/>
                <w:sz w:val="22"/>
                <w:szCs w:val="22"/>
              </w:rPr>
              <w:t xml:space="preserve"> stečenog znanja u upozavanje</w:t>
            </w:r>
            <w:r w:rsidRPr="00672FAA">
              <w:rPr>
                <w:rFonts w:ascii="Arial" w:hAnsi="Arial" w:cs="Arial"/>
                <w:spacing w:val="-35"/>
                <w:w w:val="95"/>
                <w:sz w:val="22"/>
                <w:szCs w:val="22"/>
              </w:rPr>
              <w:t xml:space="preserve"> </w:t>
            </w:r>
            <w:r w:rsidRPr="00672FAA">
              <w:rPr>
                <w:rFonts w:ascii="Arial" w:hAnsi="Arial" w:cs="Arial"/>
                <w:w w:val="95"/>
                <w:sz w:val="22"/>
                <w:szCs w:val="22"/>
              </w:rPr>
              <w:t>sa</w:t>
            </w:r>
            <w:r w:rsidRPr="00672FAA">
              <w:rPr>
                <w:rFonts w:ascii="Arial" w:hAnsi="Arial" w:cs="Arial"/>
                <w:spacing w:val="-37"/>
                <w:w w:val="95"/>
                <w:sz w:val="22"/>
                <w:szCs w:val="22"/>
              </w:rPr>
              <w:t xml:space="preserve"> </w:t>
            </w:r>
            <w:r w:rsidRPr="00672FAA">
              <w:rPr>
                <w:rFonts w:ascii="Arial" w:hAnsi="Arial" w:cs="Arial"/>
                <w:w w:val="95"/>
                <w:sz w:val="22"/>
                <w:szCs w:val="22"/>
              </w:rPr>
              <w:t>saobraćajnim</w:t>
            </w:r>
            <w:r w:rsidRPr="00672FAA">
              <w:rPr>
                <w:rFonts w:ascii="Arial" w:hAnsi="Arial" w:cs="Arial"/>
                <w:spacing w:val="-34"/>
                <w:w w:val="95"/>
                <w:sz w:val="22"/>
                <w:szCs w:val="22"/>
              </w:rPr>
              <w:t xml:space="preserve"> </w:t>
            </w:r>
            <w:r w:rsidRPr="00672FAA">
              <w:rPr>
                <w:rFonts w:ascii="Arial" w:hAnsi="Arial" w:cs="Arial"/>
                <w:w w:val="95"/>
                <w:sz w:val="22"/>
                <w:szCs w:val="22"/>
              </w:rPr>
              <w:t>pravilima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672FAA">
              <w:rPr>
                <w:rFonts w:ascii="Arial" w:hAnsi="Arial" w:cs="Arial"/>
                <w:sz w:val="22"/>
                <w:szCs w:val="22"/>
              </w:rPr>
              <w:t>signalizacijom. Na primjer, organizovanje međuškolskih takmičenja za učenike u oblasti saobraćaja i bezbjednosti u istom;</w:t>
            </w:r>
          </w:p>
          <w:p w:rsidR="00672FAA" w:rsidRPr="00672FAA" w:rsidRDefault="00672FAA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FAA">
              <w:rPr>
                <w:rFonts w:ascii="Arial" w:hAnsi="Arial" w:cs="Arial"/>
                <w:sz w:val="22"/>
                <w:szCs w:val="22"/>
              </w:rPr>
              <w:t>Broj relevantnih organizacija, udruženja, institucija koji su obuhvaćeni projektnim aktivnostima;</w:t>
            </w:r>
          </w:p>
          <w:p w:rsidR="00672FAA" w:rsidRPr="00672FAA" w:rsidRDefault="00672FAA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FAA">
              <w:rPr>
                <w:rFonts w:ascii="Arial" w:hAnsi="Arial" w:cs="Arial"/>
                <w:sz w:val="22"/>
                <w:szCs w:val="22"/>
              </w:rPr>
              <w:t>Broj i vrsta oglašavanja u medijima, pisanim, elektronkim, radio-difuznim i slično;</w:t>
            </w:r>
          </w:p>
          <w:p w:rsidR="00672FAA" w:rsidRPr="00672FAA" w:rsidRDefault="00672FAA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FAA">
              <w:rPr>
                <w:rFonts w:ascii="Arial" w:hAnsi="Arial" w:cs="Arial"/>
                <w:sz w:val="22"/>
                <w:szCs w:val="22"/>
              </w:rPr>
              <w:t>Broj medijskih objava za vrijeme sprovođenja projektnih aktivnosti;</w:t>
            </w:r>
          </w:p>
          <w:p w:rsidR="00672FAA" w:rsidRPr="00672FAA" w:rsidRDefault="00672FAA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FAA">
              <w:rPr>
                <w:rFonts w:ascii="Arial" w:hAnsi="Arial" w:cs="Arial"/>
                <w:sz w:val="22"/>
                <w:szCs w:val="22"/>
              </w:rPr>
              <w:t>Broj i vrsta materijala koji se koriste u sprovođenju projektnih aktivnosti;</w:t>
            </w:r>
          </w:p>
          <w:p w:rsidR="00672FAA" w:rsidRPr="00672FAA" w:rsidRDefault="00672FAA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FAA">
              <w:rPr>
                <w:rFonts w:ascii="Arial" w:hAnsi="Arial" w:cs="Arial"/>
                <w:sz w:val="22"/>
                <w:szCs w:val="22"/>
              </w:rPr>
              <w:t xml:space="preserve">Broj, vrsta i namjena štampanog materijala sa motivima saobraćaja: flajeri, posteri, brošure, hemijske olovke, rokovnici, </w:t>
            </w:r>
            <w:r w:rsidRPr="00672FAA">
              <w:rPr>
                <w:rFonts w:ascii="Arial" w:hAnsi="Arial" w:cs="Arial"/>
                <w:sz w:val="22"/>
                <w:szCs w:val="22"/>
              </w:rPr>
              <w:lastRenderedPageBreak/>
              <w:t>privjesci, i slično;</w:t>
            </w:r>
          </w:p>
          <w:p w:rsidR="00672FAA" w:rsidRPr="00672FAA" w:rsidRDefault="00672FAA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FAA">
              <w:rPr>
                <w:rFonts w:ascii="Arial" w:hAnsi="Arial" w:cs="Arial"/>
                <w:sz w:val="22"/>
                <w:szCs w:val="22"/>
              </w:rPr>
              <w:t>Broj i vrsta organizovanih kampanja;</w:t>
            </w:r>
          </w:p>
          <w:p w:rsidR="00672FAA" w:rsidRDefault="00672FAA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72FAA">
              <w:rPr>
                <w:rFonts w:ascii="Arial" w:hAnsi="Arial" w:cs="Arial"/>
                <w:sz w:val="22"/>
                <w:szCs w:val="22"/>
              </w:rPr>
              <w:t>Fotografije i video zapisi sa događaja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video materijala na konkretnu temu;</w:t>
            </w:r>
          </w:p>
          <w:p w:rsid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izrađenih aplikacija;</w:t>
            </w:r>
          </w:p>
          <w:p w:rsidR="00F469A8" w:rsidRPr="00672FAA" w:rsidRDefault="00F469A8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izrađenih studija, ili istraživanja na temu saobraćaja, i bezbjednosti u istom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004FB2" w:rsidRP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/>
            </w:r>
            <w:r w:rsidRPr="00004FB2">
              <w:rPr>
                <w:rFonts w:ascii="Arial" w:hAnsi="Arial" w:cs="Arial"/>
                <w:sz w:val="22"/>
                <w:szCs w:val="22"/>
              </w:rPr>
              <w:t>Izvještaji-finansijski i programski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4FB2" w:rsidRP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4FB2">
              <w:rPr>
                <w:rFonts w:ascii="Arial" w:hAnsi="Arial" w:cs="Arial"/>
                <w:sz w:val="22"/>
                <w:szCs w:val="22"/>
              </w:rPr>
              <w:t>Fotografije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4FB2" w:rsidRP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4FB2">
              <w:rPr>
                <w:rFonts w:ascii="Arial" w:hAnsi="Arial" w:cs="Arial"/>
                <w:sz w:val="22"/>
                <w:szCs w:val="22"/>
              </w:rPr>
              <w:t>Linkovi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4FB2" w:rsidRP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4FB2">
              <w:rPr>
                <w:rFonts w:ascii="Arial" w:hAnsi="Arial" w:cs="Arial"/>
                <w:sz w:val="22"/>
                <w:szCs w:val="22"/>
              </w:rPr>
              <w:lastRenderedPageBreak/>
              <w:t>Video zapisi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4FB2" w:rsidRP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4FB2">
              <w:rPr>
                <w:rFonts w:ascii="Arial" w:hAnsi="Arial" w:cs="Arial"/>
                <w:sz w:val="22"/>
                <w:szCs w:val="22"/>
              </w:rPr>
              <w:t>Promotivni materijal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4FB2" w:rsidRP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4FB2">
              <w:rPr>
                <w:rFonts w:ascii="Arial" w:hAnsi="Arial" w:cs="Arial"/>
                <w:sz w:val="22"/>
                <w:szCs w:val="22"/>
              </w:rPr>
              <w:t>Ankete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4FB2" w:rsidRP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4FB2">
              <w:rPr>
                <w:rFonts w:ascii="Arial" w:hAnsi="Arial" w:cs="Arial"/>
                <w:sz w:val="22"/>
                <w:szCs w:val="22"/>
              </w:rPr>
              <w:t>Analize stanja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4FB2" w:rsidRP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4FB2">
              <w:rPr>
                <w:rFonts w:ascii="Arial" w:hAnsi="Arial" w:cs="Arial"/>
                <w:sz w:val="22"/>
                <w:szCs w:val="22"/>
              </w:rPr>
              <w:t>Nivo propraćenosti od strane medija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4FB2" w:rsidRP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4FB2">
              <w:rPr>
                <w:rFonts w:ascii="Arial" w:hAnsi="Arial" w:cs="Arial"/>
                <w:sz w:val="22"/>
                <w:szCs w:val="22"/>
              </w:rPr>
              <w:t>Liste učesnika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04FB2" w:rsidRP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4FB2">
              <w:rPr>
                <w:rFonts w:ascii="Arial" w:hAnsi="Arial" w:cs="Arial"/>
                <w:sz w:val="22"/>
                <w:szCs w:val="22"/>
              </w:rPr>
              <w:t>Zastupljenost na druđtvenim mrežama ( facebook, instagram.. ), broj pregleda, lajkova, podjela linka aktivnosti.</w:t>
            </w:r>
          </w:p>
          <w:p w:rsidR="00004FB2" w:rsidRPr="00004FB2" w:rsidRDefault="00004FB2" w:rsidP="00004F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04FB2">
              <w:rPr>
                <w:rFonts w:ascii="Arial" w:eastAsia="Arial" w:hAnsi="Arial" w:cs="Arial"/>
                <w:sz w:val="22"/>
                <w:szCs w:val="22"/>
              </w:rPr>
              <w:t>Broj</w:t>
            </w:r>
            <w:r w:rsidRPr="00004FB2">
              <w:rPr>
                <w:rFonts w:ascii="Arial" w:eastAsia="Arial" w:hAnsi="Arial" w:cs="Arial"/>
                <w:spacing w:val="-25"/>
                <w:sz w:val="22"/>
                <w:szCs w:val="22"/>
              </w:rPr>
              <w:t xml:space="preserve"> </w:t>
            </w:r>
            <w:r w:rsidRPr="00004FB2">
              <w:rPr>
                <w:rFonts w:ascii="Arial" w:eastAsia="Arial" w:hAnsi="Arial" w:cs="Arial"/>
                <w:sz w:val="22"/>
                <w:szCs w:val="22"/>
              </w:rPr>
              <w:t>poslatih</w:t>
            </w:r>
            <w:r w:rsidRPr="00004FB2">
              <w:rPr>
                <w:rFonts w:ascii="Arial" w:eastAsia="Arial" w:hAnsi="Arial" w:cs="Arial"/>
                <w:spacing w:val="-22"/>
                <w:sz w:val="22"/>
                <w:szCs w:val="22"/>
              </w:rPr>
              <w:t xml:space="preserve"> </w:t>
            </w:r>
            <w:r w:rsidRPr="00004FB2">
              <w:rPr>
                <w:rFonts w:ascii="Arial" w:eastAsia="Arial" w:hAnsi="Arial" w:cs="Arial"/>
                <w:sz w:val="22"/>
                <w:szCs w:val="22"/>
              </w:rPr>
              <w:t>saopšten</w:t>
            </w:r>
            <w:r w:rsidRPr="00004FB2">
              <w:rPr>
                <w:rFonts w:ascii="Arial" w:eastAsia="Arial" w:hAnsi="Arial" w:cs="Arial"/>
                <w:spacing w:val="-23"/>
                <w:sz w:val="22"/>
                <w:szCs w:val="22"/>
              </w:rPr>
              <w:t xml:space="preserve"> </w:t>
            </w:r>
            <w:r w:rsidRPr="00004FB2">
              <w:rPr>
                <w:rFonts w:ascii="Arial" w:eastAsia="Arial" w:hAnsi="Arial" w:cs="Arial"/>
                <w:sz w:val="22"/>
                <w:szCs w:val="22"/>
              </w:rPr>
              <w:t>ja;</w:t>
            </w:r>
          </w:p>
          <w:p w:rsidR="00370754" w:rsidRDefault="00004FB2" w:rsidP="00004FB2">
            <w:pPr>
              <w:spacing w:line="360" w:lineRule="auto"/>
              <w:rPr>
                <w:rFonts w:ascii="Arial" w:eastAsia="Arial" w:hAnsi="Arial" w:cs="Arial"/>
                <w:w w:val="95"/>
                <w:sz w:val="22"/>
                <w:szCs w:val="22"/>
              </w:rPr>
            </w:pPr>
            <w:r w:rsidRPr="00004FB2">
              <w:rPr>
                <w:rFonts w:ascii="Arial" w:eastAsia="Arial" w:hAnsi="Arial" w:cs="Arial"/>
                <w:w w:val="95"/>
                <w:sz w:val="22"/>
                <w:szCs w:val="22"/>
              </w:rPr>
              <w:t>Izvještaj sa programskih događaja;</w:t>
            </w:r>
          </w:p>
          <w:p w:rsidR="00004FB2" w:rsidRDefault="00004FB2" w:rsidP="00004FB2">
            <w:pPr>
              <w:spacing w:line="360" w:lineRule="auto"/>
              <w:rPr>
                <w:rFonts w:ascii="Arial" w:eastAsia="Arial" w:hAnsi="Arial" w:cs="Arial"/>
                <w:w w:val="95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Broj kreiranih aplikacija;</w:t>
            </w:r>
          </w:p>
          <w:p w:rsidR="00004FB2" w:rsidRDefault="00004FB2" w:rsidP="00004FB2">
            <w:pPr>
              <w:spacing w:line="360" w:lineRule="auto"/>
              <w:rPr>
                <w:rFonts w:ascii="Arial" w:eastAsia="Arial" w:hAnsi="Arial" w:cs="Arial"/>
                <w:w w:val="95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Radovi likovnih sekcija;</w:t>
            </w:r>
          </w:p>
          <w:p w:rsidR="00004FB2" w:rsidRPr="00370754" w:rsidRDefault="00004FB2" w:rsidP="00004FB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OSTVARIVANJE STRATEŠKIH CILJEVA</w:t>
      </w:r>
    </w:p>
    <w:p w:rsidR="00C059BC" w:rsidRDefault="00C059BC" w:rsidP="00AD29CE">
      <w:pPr>
        <w:pStyle w:val="ListParagraph"/>
        <w:jc w:val="both"/>
        <w:rPr>
          <w:rFonts w:ascii="Arial" w:hAnsi="Arial" w:cs="Arial"/>
        </w:rPr>
      </w:pPr>
    </w:p>
    <w:p w:rsid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370754" w:rsidRPr="00370754">
        <w:rPr>
          <w:rFonts w:ascii="Arial" w:hAnsi="Arial" w:cs="Arial"/>
        </w:rPr>
        <w:t xml:space="preserve">Navesti ključne strateške ciljeve iz sektorske nadležnosti čijem će ostvarenju u </w:t>
      </w:r>
      <w:r w:rsidR="00ED47D6">
        <w:rPr>
          <w:rFonts w:ascii="Arial" w:hAnsi="Arial" w:cs="Arial"/>
        </w:rPr>
        <w:t>2020.</w:t>
      </w:r>
      <w:r w:rsidR="00370754" w:rsidRPr="00370754">
        <w:rPr>
          <w:rFonts w:ascii="Arial" w:hAnsi="Arial" w:cs="Arial"/>
        </w:rPr>
        <w:t xml:space="preserve"> godini doprinijeti projekti i programi nevladinih organizacija.</w:t>
      </w:r>
    </w:p>
    <w:p w:rsidR="00886BB7" w:rsidRPr="00370754" w:rsidRDefault="00886BB7" w:rsidP="00AD29CE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792" w:type="dxa"/>
        <w:tblLook w:val="04A0"/>
      </w:tblPr>
      <w:tblGrid>
        <w:gridCol w:w="6884"/>
        <w:gridCol w:w="6862"/>
      </w:tblGrid>
      <w:tr w:rsidR="00370754" w:rsidRPr="00370754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ED47D6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lastRenderedPageBreak/>
              <w:t>Strateški cilj(evi) čijem ostvarenju će doprinijeti javni konkurs za projekte i programe nevladinih organizacija u</w:t>
            </w:r>
            <w:r w:rsidR="00ED47D6">
              <w:rPr>
                <w:rFonts w:ascii="Arial" w:hAnsi="Arial" w:cs="Arial"/>
              </w:rPr>
              <w:t xml:space="preserve"> 2020.</w:t>
            </w:r>
            <w:r w:rsidRPr="00370754">
              <w:rPr>
                <w:rFonts w:ascii="Arial" w:hAnsi="Arial" w:cs="Arial"/>
              </w:rPr>
              <w:t>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ED47D6" w:rsidRPr="00ED47D6" w:rsidRDefault="00ED47D6" w:rsidP="00ED47D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t>Poboljšanje sigurnosti i bezbijednosti u saobraćaju radi očuvanaja ljudskih života, materijalnih vrijednosti i državnih resursa;</w:t>
            </w:r>
          </w:p>
          <w:p w:rsidR="00ED47D6" w:rsidRPr="00ED47D6" w:rsidRDefault="00ED47D6" w:rsidP="00ED47D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t>Smanjenje saobraćajnih ne</w:t>
            </w:r>
            <w:r>
              <w:rPr>
                <w:rFonts w:ascii="Arial" w:hAnsi="Arial" w:cs="Arial"/>
                <w:sz w:val="22"/>
                <w:szCs w:val="22"/>
              </w:rPr>
              <w:t>zgoda;</w:t>
            </w:r>
          </w:p>
          <w:p w:rsidR="00ED47D6" w:rsidRPr="00ED47D6" w:rsidRDefault="00ED47D6" w:rsidP="00ED47D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t>Povećanje stepena svijesti o poštovanju saobraćajnih propisa i pravila;</w:t>
            </w:r>
          </w:p>
          <w:p w:rsidR="00ED47D6" w:rsidRPr="00ED47D6" w:rsidRDefault="00ED47D6" w:rsidP="00ED47D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t xml:space="preserve">Ozbiljnije izučavanje i unapređenje saobraćajne kulture; </w:t>
            </w:r>
          </w:p>
          <w:p w:rsidR="00ED47D6" w:rsidRPr="00ED47D6" w:rsidRDefault="00ED47D6" w:rsidP="00ED47D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t>Unapri</w:t>
            </w:r>
            <w:r w:rsidR="00C059BC">
              <w:rPr>
                <w:rFonts w:ascii="Arial" w:hAnsi="Arial" w:cs="Arial"/>
                <w:sz w:val="22"/>
                <w:szCs w:val="22"/>
              </w:rPr>
              <w:t>jeđenje oblika</w:t>
            </w:r>
            <w:r w:rsidRPr="00ED47D6">
              <w:rPr>
                <w:rFonts w:ascii="Arial" w:hAnsi="Arial" w:cs="Arial"/>
                <w:sz w:val="22"/>
                <w:szCs w:val="22"/>
              </w:rPr>
              <w:t xml:space="preserve"> vaninstitucionalnog obrazovanja za mlade osnovnog i srednjoškolskog uzrasta;</w:t>
            </w:r>
          </w:p>
          <w:p w:rsidR="00ED47D6" w:rsidRPr="00ED47D6" w:rsidRDefault="00ED47D6" w:rsidP="00ED47D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t>Povećanje stepena</w:t>
            </w:r>
            <w:r w:rsidR="00C059BC">
              <w:rPr>
                <w:rFonts w:ascii="Arial" w:hAnsi="Arial" w:cs="Arial"/>
                <w:sz w:val="22"/>
                <w:szCs w:val="22"/>
              </w:rPr>
              <w:t xml:space="preserve"> lične i društvene odgovornosti;</w:t>
            </w:r>
          </w:p>
          <w:p w:rsidR="00ED47D6" w:rsidRPr="00ED47D6" w:rsidRDefault="00ED47D6" w:rsidP="00ED47D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t>Usvaj</w:t>
            </w:r>
            <w:r w:rsidR="00C059BC">
              <w:rPr>
                <w:rFonts w:ascii="Arial" w:hAnsi="Arial" w:cs="Arial"/>
                <w:sz w:val="22"/>
                <w:szCs w:val="22"/>
              </w:rPr>
              <w:t>anje novih znanja i proširenje</w:t>
            </w:r>
            <w:r w:rsidRPr="00ED47D6">
              <w:rPr>
                <w:rFonts w:ascii="Arial" w:hAnsi="Arial" w:cs="Arial"/>
                <w:sz w:val="22"/>
                <w:szCs w:val="22"/>
              </w:rPr>
              <w:t xml:space="preserve"> postojećih kada su u pitanju saobraćajna kultura kao i poznavanje i poštovanje saobraćajnih propisa;</w:t>
            </w:r>
          </w:p>
          <w:p w:rsidR="00ED47D6" w:rsidRPr="00ED47D6" w:rsidRDefault="00ED47D6" w:rsidP="00ED47D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t>Podizanje nivoa svijesti o saobraćajnoj kulturi svih građana, a posebno mlađe populacije koja je veoma aktivna u saobraćajnoj komunikaciji (pješaci,vozači bicikla, rolera itd.);</w:t>
            </w:r>
          </w:p>
          <w:p w:rsidR="00ED47D6" w:rsidRPr="00ED47D6" w:rsidRDefault="00ED47D6" w:rsidP="00ED47D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t xml:space="preserve">Povećavanje budnosti i pažnje svih učesnika u saobraćaju u skladu sa poštovanjem normi propisanih Zakonom o bezbjednosti </w:t>
            </w:r>
            <w:r w:rsidRPr="00ED47D6">
              <w:rPr>
                <w:rFonts w:ascii="Arial" w:hAnsi="Arial" w:cs="Arial"/>
                <w:sz w:val="22"/>
                <w:szCs w:val="22"/>
              </w:rPr>
              <w:lastRenderedPageBreak/>
              <w:t>saobraćaja, što bi dovelo do povećanja saobraćajne kulture i značajnog smanjenja saobraćajnih nezgoda.</w:t>
            </w: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ED47D6" w:rsidRPr="00ED47D6" w:rsidRDefault="00ED47D6" w:rsidP="00ED47D6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lastRenderedPageBreak/>
              <w:t>Podizanje nivoa svijesti o saobraćajnoj kulturi jos od najmlađeg uzrasta dugoročno djeluje na rješavanje problema saobraćajnih</w:t>
            </w:r>
          </w:p>
          <w:p w:rsidR="00ED47D6" w:rsidRPr="00ED47D6" w:rsidRDefault="00ED47D6" w:rsidP="00ED47D6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t>nezgoda, nepoštovanju saobraćajnih pravila i propisa, kroz posjete vrtićma  osnovnim i srednjim školama i pokrenutim kampanjama koje  promovišu bezbijednost u saobraćaju, kao i javnim časovima. Na atraktivan način gdje postoje uslovi putem sportskih vozila i motora u dvorištima škola,</w:t>
            </w:r>
            <w:r w:rsidR="00C059BC">
              <w:rPr>
                <w:rFonts w:ascii="Arial" w:hAnsi="Arial" w:cs="Arial"/>
                <w:sz w:val="22"/>
                <w:szCs w:val="22"/>
              </w:rPr>
              <w:t xml:space="preserve"> privući pažnju mladih i ukazat</w:t>
            </w:r>
            <w:r w:rsidRPr="00ED47D6">
              <w:rPr>
                <w:rFonts w:ascii="Arial" w:hAnsi="Arial" w:cs="Arial"/>
                <w:sz w:val="22"/>
                <w:szCs w:val="22"/>
              </w:rPr>
              <w:t>i im na preventivne bezb</w:t>
            </w:r>
            <w:r w:rsidR="00C059BC">
              <w:rPr>
                <w:rFonts w:ascii="Arial" w:hAnsi="Arial" w:cs="Arial"/>
                <w:sz w:val="22"/>
                <w:szCs w:val="22"/>
              </w:rPr>
              <w:t>j</w:t>
            </w:r>
            <w:r w:rsidRPr="00ED47D6">
              <w:rPr>
                <w:rFonts w:ascii="Arial" w:hAnsi="Arial" w:cs="Arial"/>
                <w:sz w:val="22"/>
                <w:szCs w:val="22"/>
              </w:rPr>
              <w:t>edonosne mjere u saobraćaju</w:t>
            </w:r>
          </w:p>
          <w:p w:rsidR="00ED47D6" w:rsidRPr="00ED47D6" w:rsidRDefault="00ED47D6" w:rsidP="00ED47D6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t xml:space="preserve"> S obzirom na to da statistika pokazuje da je najveći uzrok saobraćajnih nezgoda u kojima učestvuju mladi vozači preveliko samopouzdanje i manjak iskustva, preventivno djelovanje  bi trebalo da  omogući mladim vozačima da kroz razne treninge, seminare, reklamne spotove, steknu nova znanja i veštine kada je reč o bezbjednom upravljanju vozilom. Iskustva pokazuju  da se obukama ove vrste utiče na mlade vozače da se odgovornije ponašaju u saobraćaju, i da  ređe prave saobraćajne prekršaje. Kroz edukaciju primjenom</w:t>
            </w:r>
            <w:r w:rsidR="00C059BC">
              <w:rPr>
                <w:rFonts w:ascii="Arial" w:hAnsi="Arial" w:cs="Arial"/>
                <w:sz w:val="22"/>
                <w:szCs w:val="22"/>
              </w:rPr>
              <w:t xml:space="preserve"> različitih metoda ide se ka ovim strateški</w:t>
            </w:r>
            <w:r w:rsidRPr="00ED47D6">
              <w:rPr>
                <w:rFonts w:ascii="Arial" w:hAnsi="Arial" w:cs="Arial"/>
                <w:sz w:val="22"/>
                <w:szCs w:val="22"/>
              </w:rPr>
              <w:t>m cilju</w:t>
            </w:r>
            <w:r w:rsidR="00C059BC">
              <w:rPr>
                <w:rFonts w:ascii="Arial" w:hAnsi="Arial" w:cs="Arial"/>
                <w:sz w:val="22"/>
                <w:szCs w:val="22"/>
              </w:rPr>
              <w:t>evima</w:t>
            </w:r>
            <w:r w:rsidRPr="00ED47D6">
              <w:rPr>
                <w:rFonts w:ascii="Arial" w:hAnsi="Arial" w:cs="Arial"/>
                <w:sz w:val="22"/>
                <w:szCs w:val="22"/>
              </w:rPr>
              <w:t>. Jako važnu ulogu u tom procesu ima NVO sektor.</w:t>
            </w:r>
          </w:p>
          <w:p w:rsidR="00C059BC" w:rsidRPr="00C059BC" w:rsidRDefault="00ED47D6" w:rsidP="00C059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47D6">
              <w:rPr>
                <w:rFonts w:ascii="Arial" w:hAnsi="Arial" w:cs="Arial"/>
                <w:sz w:val="22"/>
                <w:szCs w:val="22"/>
              </w:rPr>
              <w:lastRenderedPageBreak/>
              <w:t>Takođe od projekata se očekuje stavljanje akcenta na starija lica kao učesnika u saobraćaju, jer se oni po mogu svrstati u ranjive grupe poput djece. Jako je bitno da se radi i na bezbjednosti istih u saobraćaju, jer su i oni ravnopravni učesnici u tokovima pomenutog.</w:t>
            </w:r>
            <w:r w:rsidR="00C059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59BC" w:rsidRPr="00C059BC">
              <w:rPr>
                <w:rFonts w:ascii="Arial" w:hAnsi="Arial" w:cs="Arial"/>
                <w:sz w:val="22"/>
                <w:szCs w:val="22"/>
              </w:rPr>
              <w:t>Efikasno reagovanje odgovornog društva na negativne pojave u saobraćaju zahtijeva stvaranje smišljenog, razgranatog, planskog, razrađenog, sinhronizovanog sistema raznovrsnih i uzajamno povezanih organizacionih socijalnih, vaspitnih, obrazovnih, tehničkih, ekonomskih i drugih mjera i aktivnosti, kojima će se rizik koji prati odvijanje složenog sistema kretanja ljudi i robe svesti u društveno odgovorno postupanje u sistemu saobraćaja. Poboljšanje bezbjednosti saobraćaja ima širi značaj i predstavlja u krajnjoj liniji poboljšanja kvaliteta života.</w:t>
            </w:r>
          </w:p>
          <w:p w:rsidR="00C059BC" w:rsidRPr="00370754" w:rsidRDefault="00C059BC" w:rsidP="00C059B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886BB7" w:rsidRDefault="00886BB7" w:rsidP="00886BB7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JAVNI KONKURSI ZA FINANSIRANJE PROJEKATA I PROGRAMA NVO - DOPRINOS OSTVARENJU STRATEŠKIH CILJEVA IZ SEKTORSKE NADLEŽNOSTI MINISTARSTVA</w:t>
      </w:r>
    </w:p>
    <w:p w:rsidR="00D56E34" w:rsidRDefault="00D56E34" w:rsidP="00AD29CE">
      <w:pPr>
        <w:pStyle w:val="ListParagraph"/>
        <w:jc w:val="both"/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370754" w:rsidRPr="00370754">
        <w:rPr>
          <w:rFonts w:ascii="Arial" w:hAnsi="Arial" w:cs="Arial"/>
        </w:rPr>
        <w:t xml:space="preserve">Navesti javne konkurse koji se predlažu za objavljivanje u </w:t>
      </w:r>
      <w:r w:rsidR="00D56E34">
        <w:rPr>
          <w:rFonts w:ascii="Arial" w:hAnsi="Arial" w:cs="Arial"/>
        </w:rPr>
        <w:t xml:space="preserve">2020. </w:t>
      </w:r>
      <w:r w:rsidR="00370754" w:rsidRPr="00370754">
        <w:rPr>
          <w:rFonts w:ascii="Arial" w:hAnsi="Arial" w:cs="Arial"/>
        </w:rPr>
        <w:t>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/>
      </w:tblPr>
      <w:tblGrid>
        <w:gridCol w:w="6132"/>
        <w:gridCol w:w="1846"/>
        <w:gridCol w:w="5768"/>
      </w:tblGrid>
      <w:tr w:rsidR="00370754" w:rsidRPr="00370754" w:rsidTr="000A502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lastRenderedPageBreak/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Drugi donatori s kojima je potrebno koordinirati oblasti finansiranja</w:t>
            </w:r>
          </w:p>
        </w:tc>
      </w:tr>
      <w:tr w:rsidR="00370754" w:rsidRPr="00370754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902CC9" w:rsidRDefault="00EC0376" w:rsidP="00634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2343150" cy="1533589"/>
                  <wp:effectExtent l="19050" t="0" r="0" b="0"/>
                  <wp:docPr id="2" name="Picture 1" descr="semafor 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afor 77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501" cy="153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54" w:rsidRPr="00CA42F4" w:rsidRDefault="0063441E" w:rsidP="006344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42F4">
              <w:rPr>
                <w:rFonts w:ascii="Arial" w:hAnsi="Arial" w:cs="Arial"/>
                <w:b/>
                <w:sz w:val="28"/>
                <w:szCs w:val="28"/>
              </w:rPr>
              <w:t>Čuvaš sebe- čuvaš druge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CA42F4" w:rsidRDefault="000661B8" w:rsidP="006344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</w:t>
            </w:r>
            <w:r w:rsidR="0063441E" w:rsidRPr="00CA42F4">
              <w:rPr>
                <w:rFonts w:ascii="Arial" w:hAnsi="Arial" w:cs="Arial"/>
                <w:b/>
                <w:sz w:val="28"/>
                <w:szCs w:val="28"/>
              </w:rPr>
              <w:t>.000,00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="00370754" w:rsidRPr="00370754">
        <w:rPr>
          <w:rFonts w:ascii="Arial" w:hAnsi="Arial" w:cs="Arial"/>
        </w:rPr>
        <w:t xml:space="preserve">Navesti ko su predviđeni glavni korisnici projekata i programa koji će se finansirati putem javnog konkursa. Ukratko navesti glavna obilježja svake grupe korisnika, njihov broj i njihove potrebe na koje projekti i programi treba da odgovore u </w:t>
      </w:r>
      <w:r w:rsidR="00886BB7">
        <w:rPr>
          <w:rFonts w:ascii="Arial" w:hAnsi="Arial" w:cs="Arial"/>
        </w:rPr>
        <w:t>2020</w:t>
      </w:r>
      <w:r w:rsidR="00370754" w:rsidRPr="00370754">
        <w:rPr>
          <w:rFonts w:ascii="Arial" w:hAnsi="Arial" w:cs="Arial"/>
        </w:rPr>
        <w:t>. godini.</w:t>
      </w:r>
    </w:p>
    <w:p w:rsidR="00886BB7" w:rsidRPr="00370754" w:rsidRDefault="00886BB7" w:rsidP="00AD29CE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792" w:type="dxa"/>
        <w:tblLook w:val="04A0"/>
      </w:tblPr>
      <w:tblGrid>
        <w:gridCol w:w="13746"/>
      </w:tblGrid>
      <w:tr w:rsidR="00370754" w:rsidRPr="00370754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Opis glavnih grupa korisnika, njihov broj i potrebe</w:t>
            </w:r>
          </w:p>
        </w:tc>
      </w:tr>
      <w:tr w:rsidR="00370754" w:rsidRPr="00370754" w:rsidTr="000A502D">
        <w:tc>
          <w:tcPr>
            <w:tcW w:w="13746" w:type="dxa"/>
            <w:tcMar>
              <w:top w:w="57" w:type="dxa"/>
              <w:bottom w:w="57" w:type="dxa"/>
            </w:tcMar>
          </w:tcPr>
          <w:p w:rsidR="007A1AB7" w:rsidRPr="007A1AB7" w:rsidRDefault="007A1AB7" w:rsidP="007A1AB7">
            <w:pPr>
              <w:widowControl w:val="0"/>
              <w:tabs>
                <w:tab w:val="left" w:pos="823"/>
                <w:tab w:val="left" w:pos="824"/>
              </w:tabs>
              <w:autoSpaceDE w:val="0"/>
              <w:autoSpaceDN w:val="0"/>
              <w:spacing w:before="56" w:after="0"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A1AB7">
              <w:rPr>
                <w:rFonts w:ascii="Arial" w:eastAsia="Arial" w:hAnsi="Arial" w:cs="Arial"/>
                <w:b/>
                <w:sz w:val="22"/>
                <w:szCs w:val="22"/>
              </w:rPr>
              <w:t>Direktne ciljne grupe:</w:t>
            </w:r>
          </w:p>
          <w:p w:rsidR="007A1AB7" w:rsidRPr="007A1AB7" w:rsidRDefault="007A1AB7" w:rsidP="007A1AB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before="56" w:after="0" w:line="360" w:lineRule="auto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7A1AB7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Djeca i mladi </w:t>
            </w:r>
            <w:r w:rsidRPr="007A1AB7">
              <w:rPr>
                <w:rFonts w:ascii="Arial" w:eastAsia="Arial" w:hAnsi="Arial" w:cs="Arial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7A1AB7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osnovnog i srednjeg </w:t>
            </w:r>
            <w:r w:rsidRPr="007A1AB7">
              <w:rPr>
                <w:rFonts w:ascii="Arial" w:eastAsia="Arial" w:hAnsi="Arial" w:cs="Arial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7A1AB7">
              <w:rPr>
                <w:rFonts w:ascii="Arial" w:eastAsia="Arial" w:hAnsi="Arial" w:cs="Arial"/>
                <w:sz w:val="22"/>
                <w:szCs w:val="22"/>
                <w:lang w:eastAsia="en-US"/>
              </w:rPr>
              <w:t>obrazovanja</w:t>
            </w:r>
          </w:p>
          <w:p w:rsidR="007A1AB7" w:rsidRPr="007A1AB7" w:rsidRDefault="007A1AB7" w:rsidP="007A1AB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before="56" w:after="0" w:line="360" w:lineRule="auto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7A1AB7">
              <w:rPr>
                <w:rFonts w:ascii="Arial" w:eastAsia="Arial" w:hAnsi="Arial" w:cs="Arial"/>
                <w:sz w:val="22"/>
                <w:szCs w:val="22"/>
                <w:lang w:eastAsia="en-US"/>
              </w:rPr>
              <w:t>Mladi</w:t>
            </w:r>
          </w:p>
          <w:p w:rsidR="007A1AB7" w:rsidRPr="007A1AB7" w:rsidRDefault="007A1AB7" w:rsidP="007A1AB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before="56" w:after="0" w:line="360" w:lineRule="auto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7A1AB7">
              <w:rPr>
                <w:rFonts w:ascii="Arial" w:eastAsia="Arial" w:hAnsi="Arial" w:cs="Arial"/>
                <w:sz w:val="22"/>
                <w:szCs w:val="22"/>
                <w:lang w:eastAsia="en-US"/>
              </w:rPr>
              <w:t>Starija lica</w:t>
            </w:r>
          </w:p>
          <w:p w:rsidR="007A1AB7" w:rsidRPr="007A1AB7" w:rsidRDefault="007A1AB7" w:rsidP="007A1AB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before="11" w:after="0" w:line="360" w:lineRule="auto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7A1AB7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Učesnici u saobraćaju( vozači, pješaci, putnici ) </w:t>
            </w:r>
          </w:p>
          <w:p w:rsidR="007A1AB7" w:rsidRPr="00C62210" w:rsidRDefault="007A1AB7" w:rsidP="00C622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1AB7">
              <w:lastRenderedPageBreak/>
              <w:br/>
            </w:r>
            <w:r w:rsidRPr="00C62210">
              <w:rPr>
                <w:rFonts w:ascii="Arial" w:hAnsi="Arial" w:cs="Arial"/>
                <w:b/>
                <w:sz w:val="22"/>
                <w:szCs w:val="22"/>
              </w:rPr>
              <w:t>Indirektne ciljne grupe:</w:t>
            </w:r>
          </w:p>
          <w:p w:rsidR="007A1AB7" w:rsidRPr="007A1AB7" w:rsidRDefault="007A1AB7" w:rsidP="007A1AB7">
            <w:pPr>
              <w:pStyle w:val="ListParagraph"/>
              <w:numPr>
                <w:ilvl w:val="0"/>
                <w:numId w:val="18"/>
              </w:numPr>
              <w:spacing w:line="360" w:lineRule="auto"/>
              <w:contextualSpacing w:val="0"/>
              <w:jc w:val="both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7A1AB7">
              <w:rPr>
                <w:rFonts w:ascii="Arial" w:hAnsi="Arial" w:cs="Arial"/>
                <w:sz w:val="22"/>
                <w:szCs w:val="22"/>
                <w:lang w:eastAsia="en-US"/>
              </w:rPr>
              <w:t>Građani jedne lokalne zajednice</w:t>
            </w:r>
          </w:p>
          <w:p w:rsidR="007A1AB7" w:rsidRPr="007A1AB7" w:rsidRDefault="007A1AB7" w:rsidP="007A1AB7">
            <w:pPr>
              <w:pStyle w:val="ListParagraph"/>
              <w:numPr>
                <w:ilvl w:val="0"/>
                <w:numId w:val="17"/>
              </w:numPr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1AB7">
              <w:rPr>
                <w:rFonts w:ascii="Arial" w:eastAsia="Arial" w:hAnsi="Arial" w:cs="Arial"/>
                <w:sz w:val="22"/>
                <w:szCs w:val="22"/>
                <w:lang w:eastAsia="en-US"/>
              </w:rPr>
              <w:t>Zainteresovana</w:t>
            </w:r>
            <w:r w:rsidRPr="007A1AB7">
              <w:rPr>
                <w:rFonts w:ascii="Arial" w:eastAsia="Arial" w:hAnsi="Arial" w:cs="Arial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7A1AB7">
              <w:rPr>
                <w:rFonts w:ascii="Arial" w:eastAsia="Arial" w:hAnsi="Arial" w:cs="Arial"/>
                <w:sz w:val="22"/>
                <w:szCs w:val="22"/>
                <w:lang w:eastAsia="en-US"/>
              </w:rPr>
              <w:t>javnost</w:t>
            </w:r>
          </w:p>
          <w:p w:rsidR="00C62210" w:rsidRPr="00C62210" w:rsidRDefault="007A1AB7" w:rsidP="00C6221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autoSpaceDE w:val="0"/>
              <w:autoSpaceDN w:val="0"/>
              <w:spacing w:before="11" w:after="0" w:line="360" w:lineRule="auto"/>
              <w:contextualSpacing w:val="0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7A1AB7">
              <w:rPr>
                <w:rFonts w:ascii="Arial" w:eastAsia="Arial" w:hAnsi="Arial" w:cs="Arial"/>
                <w:sz w:val="22"/>
                <w:szCs w:val="22"/>
                <w:lang w:eastAsia="en-US"/>
              </w:rPr>
              <w:t>Mediji</w:t>
            </w:r>
          </w:p>
          <w:p w:rsidR="007A1AB7" w:rsidRPr="0094125C" w:rsidRDefault="007A1AB7" w:rsidP="007A1AB7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62210">
              <w:rPr>
                <w:rFonts w:ascii="Arial" w:hAnsi="Arial" w:cs="Arial"/>
                <w:sz w:val="22"/>
                <w:szCs w:val="22"/>
                <w:shd w:val="clear" w:color="auto" w:fill="FFFFFF"/>
                <w:lang w:val="hr-HR"/>
              </w:rPr>
              <w:t>Djeca, prve pojmove o saobraćaju i ponašanju u njemu stiču u porodici i u predškolskim ustanovama. Nosioci njihovog vaspitno-obrazovnog rada iz ove oblasti su roditelji i vaspitači. Od njihovog nivoa opšte kulture, saobraćajnog obrazovanja i zrelosti da obave tu složenu dužnost zavisi kvalitet razvoja saobraćajne kulture kod djece.</w:t>
            </w:r>
            <w:r w:rsidR="0094125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7A1AB7">
              <w:rPr>
                <w:rFonts w:ascii="Arial" w:hAnsi="Arial" w:cs="Arial"/>
                <w:sz w:val="22"/>
                <w:szCs w:val="22"/>
                <w:shd w:val="clear" w:color="auto" w:fill="FFFFFF"/>
                <w:lang w:val="hr-HR"/>
              </w:rPr>
              <w:t xml:space="preserve">Omladina, kroz saobraćajno vaspitanje i obrazovanje, takođe u školama stiče veoma oskudno znanje. Ova znanja se mogu proširiti načinima vanistitucionalnog obrazovanja u cilju jednog kontinuiteta,  a što bi takođe trebalo da prati tokove razvoja saobraćaja. </w:t>
            </w:r>
          </w:p>
          <w:p w:rsidR="00C62210" w:rsidRDefault="007A1AB7" w:rsidP="00C62210">
            <w:pPr>
              <w:spacing w:after="0" w:line="360" w:lineRule="auto"/>
            </w:pPr>
            <w:r w:rsidRPr="007A1AB7">
              <w:rPr>
                <w:rFonts w:ascii="Arial" w:hAnsi="Arial" w:cs="Arial"/>
                <w:sz w:val="22"/>
                <w:szCs w:val="22"/>
              </w:rPr>
              <w:t xml:space="preserve">Okvirno, očekivani broj korisnika, a za koje se očekuje da će </w:t>
            </w:r>
            <w:r w:rsidR="0094125C">
              <w:rPr>
                <w:rFonts w:ascii="Arial" w:hAnsi="Arial" w:cs="Arial"/>
                <w:sz w:val="22"/>
                <w:szCs w:val="22"/>
              </w:rPr>
              <w:t xml:space="preserve">posredno ili </w:t>
            </w:r>
            <w:r w:rsidRPr="007A1AB7">
              <w:rPr>
                <w:rFonts w:ascii="Arial" w:hAnsi="Arial" w:cs="Arial"/>
                <w:sz w:val="22"/>
                <w:szCs w:val="22"/>
              </w:rPr>
              <w:t xml:space="preserve">neposredno </w:t>
            </w:r>
            <w:r w:rsidR="0094125C">
              <w:rPr>
                <w:rFonts w:ascii="Arial" w:hAnsi="Arial" w:cs="Arial"/>
                <w:sz w:val="22"/>
                <w:szCs w:val="22"/>
              </w:rPr>
              <w:t>biti dio projektnih aktivnosti nalazi se u rasponu od 1500-2500 ljudi,</w:t>
            </w:r>
            <w:r w:rsidRPr="007A1AB7">
              <w:rPr>
                <w:rFonts w:ascii="Arial" w:hAnsi="Arial" w:cs="Arial"/>
                <w:sz w:val="22"/>
                <w:szCs w:val="22"/>
              </w:rPr>
              <w:t xml:space="preserve"> ak</w:t>
            </w:r>
            <w:r w:rsidR="0094125C">
              <w:rPr>
                <w:rFonts w:ascii="Arial" w:hAnsi="Arial" w:cs="Arial"/>
                <w:sz w:val="22"/>
                <w:szCs w:val="22"/>
              </w:rPr>
              <w:t xml:space="preserve">o uzmemo u obzir da će u istim, </w:t>
            </w:r>
            <w:r w:rsidRPr="007A1AB7">
              <w:rPr>
                <w:rFonts w:ascii="Arial" w:hAnsi="Arial" w:cs="Arial"/>
                <w:sz w:val="22"/>
                <w:szCs w:val="22"/>
              </w:rPr>
              <w:t xml:space="preserve">uzeti i učešće učenici srednjih i osnovnih škola, zatim omladina, starija lica, vozači. </w:t>
            </w:r>
          </w:p>
          <w:p w:rsidR="00C62210" w:rsidRDefault="007A1AB7" w:rsidP="007A1AB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C62210">
              <w:rPr>
                <w:rFonts w:ascii="Arial" w:hAnsi="Arial" w:cs="Arial"/>
                <w:sz w:val="22"/>
                <w:szCs w:val="22"/>
                <w:shd w:val="clear" w:color="auto" w:fill="FFFFFF"/>
                <w:lang w:val="hr-HR"/>
              </w:rPr>
              <w:t>Odrasli čine u saobraćaju najveću kategoriju učesnika.</w:t>
            </w:r>
          </w:p>
          <w:p w:rsidR="007A1AB7" w:rsidRPr="00C62210" w:rsidRDefault="007A1AB7" w:rsidP="007A1AB7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7A1AB7">
              <w:rPr>
                <w:rFonts w:ascii="Arial" w:hAnsi="Arial" w:cs="Arial"/>
                <w:b/>
                <w:sz w:val="22"/>
                <w:szCs w:val="22"/>
              </w:rPr>
              <w:t>Potrebe ciljnih grupa:</w:t>
            </w:r>
          </w:p>
          <w:p w:rsidR="007A1AB7" w:rsidRPr="007A1AB7" w:rsidRDefault="007A1AB7" w:rsidP="007A1AB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1AB7">
              <w:rPr>
                <w:rFonts w:ascii="Arial" w:hAnsi="Arial" w:cs="Arial"/>
                <w:sz w:val="22"/>
                <w:szCs w:val="22"/>
              </w:rPr>
              <w:t xml:space="preserve">Sistematičan </w:t>
            </w:r>
            <w:r w:rsidR="0094125C">
              <w:rPr>
                <w:rFonts w:ascii="Arial" w:hAnsi="Arial" w:cs="Arial"/>
                <w:sz w:val="22"/>
                <w:szCs w:val="22"/>
              </w:rPr>
              <w:t>rad na saobraćajnom vaspitanju;</w:t>
            </w:r>
          </w:p>
          <w:p w:rsidR="007A1AB7" w:rsidRPr="007A1AB7" w:rsidRDefault="007A1AB7" w:rsidP="007A1AB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1AB7">
              <w:rPr>
                <w:rFonts w:ascii="Arial" w:hAnsi="Arial" w:cs="Arial"/>
                <w:sz w:val="22"/>
                <w:szCs w:val="22"/>
              </w:rPr>
              <w:t>Informisanost, kao jedan značajan postulat u kreiranju saobraćajne kulture;</w:t>
            </w:r>
          </w:p>
          <w:p w:rsidR="007A1AB7" w:rsidRPr="007A1AB7" w:rsidRDefault="007A1AB7" w:rsidP="007A1AB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1AB7">
              <w:rPr>
                <w:rFonts w:ascii="Arial" w:hAnsi="Arial" w:cs="Arial"/>
                <w:sz w:val="22"/>
                <w:szCs w:val="22"/>
              </w:rPr>
              <w:t>Kreiranje osjećaja bezbjednosti i sigurnosti;</w:t>
            </w:r>
          </w:p>
          <w:p w:rsidR="007A1AB7" w:rsidRPr="007A1AB7" w:rsidRDefault="007A1AB7" w:rsidP="007A1AB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1AB7">
              <w:rPr>
                <w:rFonts w:ascii="Arial" w:hAnsi="Arial" w:cs="Arial"/>
                <w:sz w:val="22"/>
                <w:szCs w:val="22"/>
              </w:rPr>
              <w:t>Podizanje novoa svijesti o upotrebi sigurnosnih pojaseva, i poštovanje saobraćajnih znakova i upozorenja.</w:t>
            </w: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AD29CE" w:rsidRDefault="00370754" w:rsidP="00AD29CE">
      <w:pPr>
        <w:rPr>
          <w:rFonts w:ascii="Arial" w:hAnsi="Arial" w:cs="Arial"/>
        </w:rPr>
      </w:pPr>
    </w:p>
    <w:p w:rsid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4.3.</w:t>
      </w:r>
      <w:r w:rsidR="00370754" w:rsidRPr="00370754">
        <w:rPr>
          <w:rFonts w:ascii="Arial" w:hAnsi="Arial" w:cs="Arial"/>
        </w:rPr>
        <w:t>Navesti očekivani ukupni broj ugovorenih projekata, odnosno ugovora koji se planira zaključiti s nevladinim organizacijama na osnovu javnog konkursa.</w:t>
      </w:r>
    </w:p>
    <w:p w:rsidR="00886BB7" w:rsidRDefault="00886BB7" w:rsidP="00AD29CE">
      <w:pPr>
        <w:pStyle w:val="ListParagraph"/>
        <w:jc w:val="both"/>
        <w:rPr>
          <w:rFonts w:ascii="Arial" w:hAnsi="Arial" w:cs="Arial"/>
        </w:rPr>
      </w:pPr>
    </w:p>
    <w:p w:rsidR="00886BB7" w:rsidRDefault="00886BB7" w:rsidP="00AD29CE">
      <w:pPr>
        <w:pStyle w:val="ListParagraph"/>
        <w:jc w:val="both"/>
        <w:rPr>
          <w:rFonts w:ascii="Arial" w:hAnsi="Arial" w:cs="Arial"/>
        </w:rPr>
      </w:pPr>
    </w:p>
    <w:p w:rsidR="00886BB7" w:rsidRDefault="00886BB7" w:rsidP="00AD29CE">
      <w:pPr>
        <w:pStyle w:val="ListParagraph"/>
        <w:jc w:val="both"/>
        <w:rPr>
          <w:rFonts w:ascii="Arial" w:hAnsi="Arial" w:cs="Arial"/>
        </w:rPr>
      </w:pPr>
    </w:p>
    <w:p w:rsidR="00886BB7" w:rsidRPr="00370754" w:rsidRDefault="00886BB7" w:rsidP="00AD29CE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792" w:type="dxa"/>
        <w:tblLook w:val="04A0"/>
      </w:tblPr>
      <w:tblGrid>
        <w:gridCol w:w="6884"/>
        <w:gridCol w:w="6862"/>
      </w:tblGrid>
      <w:tr w:rsidR="00370754" w:rsidRPr="00370754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Očekivani broj projekata koji se planira finansirati / broj ugovora koje se planira zaključiti s NVO</w:t>
            </w:r>
          </w:p>
        </w:tc>
      </w:tr>
      <w:tr w:rsidR="00370754" w:rsidRPr="00370754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03E67" w:rsidRDefault="00403E67" w:rsidP="00403E67">
            <w:pPr>
              <w:jc w:val="center"/>
              <w:rPr>
                <w:rFonts w:ascii="Arial" w:hAnsi="Arial" w:cs="Arial"/>
                <w:b/>
              </w:rPr>
            </w:pPr>
            <w:r w:rsidRPr="00403E67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2343150" cy="1533589"/>
                  <wp:effectExtent l="19050" t="0" r="0" b="0"/>
                  <wp:docPr id="3" name="Picture 1" descr="semafor 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afor 77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501" cy="153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54" w:rsidRPr="00403E67" w:rsidRDefault="0063441E" w:rsidP="00403E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03E67">
              <w:rPr>
                <w:rFonts w:ascii="Arial" w:hAnsi="Arial" w:cs="Arial"/>
                <w:b/>
                <w:sz w:val="32"/>
                <w:szCs w:val="32"/>
              </w:rPr>
              <w:t>Čuvaš sebe-čuvaš druge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03E67" w:rsidRDefault="00403E67" w:rsidP="0063441E">
            <w:pPr>
              <w:jc w:val="center"/>
              <w:rPr>
                <w:rFonts w:ascii="Arial" w:hAnsi="Arial" w:cs="Arial"/>
              </w:rPr>
            </w:pPr>
          </w:p>
          <w:p w:rsidR="00403E67" w:rsidRDefault="00403E67" w:rsidP="0063441E">
            <w:pPr>
              <w:jc w:val="center"/>
              <w:rPr>
                <w:rFonts w:ascii="Arial" w:hAnsi="Arial" w:cs="Arial"/>
              </w:rPr>
            </w:pPr>
          </w:p>
          <w:p w:rsidR="00403E67" w:rsidRDefault="00403E67" w:rsidP="0063441E">
            <w:pPr>
              <w:jc w:val="center"/>
              <w:rPr>
                <w:rFonts w:ascii="Arial" w:hAnsi="Arial" w:cs="Arial"/>
              </w:rPr>
            </w:pPr>
          </w:p>
          <w:p w:rsidR="00370754" w:rsidRPr="00403E67" w:rsidRDefault="000661B8" w:rsidP="006344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4.4.</w:t>
      </w:r>
      <w:r w:rsidR="00370754" w:rsidRPr="00370754">
        <w:rPr>
          <w:rFonts w:ascii="Arial" w:hAnsi="Arial" w:cs="Arial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/>
      </w:tblPr>
      <w:tblGrid>
        <w:gridCol w:w="6876"/>
        <w:gridCol w:w="6870"/>
      </w:tblGrid>
      <w:tr w:rsidR="00370754" w:rsidRPr="00370754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Naziv javnog konkursa:</w:t>
            </w:r>
          </w:p>
        </w:tc>
      </w:tr>
      <w:tr w:rsidR="00370754" w:rsidRPr="00370754" w:rsidTr="000A502D">
        <w:tc>
          <w:tcPr>
            <w:tcW w:w="6876" w:type="dxa"/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 xml:space="preserve">Najniži iznos finansijske podrške koju će biti moguće ostvariti na osnovu javnog konkursa:  </w:t>
            </w:r>
            <w:r w:rsidR="00C853D0">
              <w:rPr>
                <w:rFonts w:ascii="Arial" w:hAnsi="Arial" w:cs="Arial"/>
                <w:b/>
              </w:rPr>
              <w:t>9</w:t>
            </w:r>
            <w:r w:rsidR="0063441E" w:rsidRPr="00376FD0">
              <w:rPr>
                <w:rFonts w:ascii="Arial" w:hAnsi="Arial" w:cs="Arial"/>
                <w:b/>
              </w:rPr>
              <w:t>.000,00</w:t>
            </w:r>
            <w:r w:rsidRPr="00370754">
              <w:rPr>
                <w:rFonts w:ascii="Arial" w:hAnsi="Arial" w:cs="Arial"/>
              </w:rPr>
              <w:t xml:space="preserve"> EURA</w:t>
            </w: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370754" w:rsidRPr="00370754" w:rsidRDefault="00370754" w:rsidP="000661B8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lastRenderedPageBreak/>
              <w:t xml:space="preserve">Najviši iznos finansijske podrške koju će biti moguće ostvariti na osnovu javnog konkursa:  </w:t>
            </w:r>
            <w:r w:rsidR="00C853D0">
              <w:rPr>
                <w:rFonts w:ascii="Arial" w:hAnsi="Arial" w:cs="Arial"/>
                <w:b/>
              </w:rPr>
              <w:t>1</w:t>
            </w:r>
            <w:r w:rsidR="000661B8">
              <w:rPr>
                <w:rFonts w:ascii="Arial" w:hAnsi="Arial" w:cs="Arial"/>
                <w:b/>
              </w:rPr>
              <w:t>3</w:t>
            </w:r>
            <w:r w:rsidR="0063441E" w:rsidRPr="00376FD0">
              <w:rPr>
                <w:rFonts w:ascii="Arial" w:hAnsi="Arial" w:cs="Arial"/>
                <w:b/>
              </w:rPr>
              <w:t>.000,00</w:t>
            </w:r>
            <w:r w:rsidR="0063441E">
              <w:rPr>
                <w:rFonts w:ascii="Arial" w:hAnsi="Arial" w:cs="Arial"/>
              </w:rPr>
              <w:t xml:space="preserve"> </w:t>
            </w:r>
            <w:r w:rsidRPr="00370754">
              <w:rPr>
                <w:rFonts w:ascii="Arial" w:hAnsi="Arial" w:cs="Arial"/>
              </w:rPr>
              <w:t>EURA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D1FB1" w:rsidRDefault="00370754" w:rsidP="00AD29CE">
      <w:pPr>
        <w:rPr>
          <w:rFonts w:ascii="Arial" w:hAnsi="Arial" w:cs="Arial"/>
          <w:b/>
          <w:i/>
        </w:rPr>
      </w:pPr>
      <w:r w:rsidRPr="00370754">
        <w:rPr>
          <w:rFonts w:ascii="Arial" w:hAnsi="Arial" w:cs="Arial"/>
          <w:b/>
        </w:rPr>
        <w:t>NAPOMENA:</w:t>
      </w:r>
      <w:r w:rsidRPr="00370754">
        <w:rPr>
          <w:rFonts w:ascii="Arial" w:hAnsi="Arial" w:cs="Arial"/>
        </w:rPr>
        <w:t xml:space="preserve"> stavom 4 člana 32ž Zakona o NVO, definisano je: </w:t>
      </w:r>
      <w:r w:rsidRPr="00370754">
        <w:rPr>
          <w:rFonts w:ascii="Arial" w:hAnsi="Arial" w:cs="Arial"/>
          <w:b/>
          <w:i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886BB7" w:rsidRDefault="00886BB7" w:rsidP="00AD29CE">
      <w:pPr>
        <w:rPr>
          <w:rFonts w:ascii="Arial" w:hAnsi="Arial" w:cs="Arial"/>
          <w:b/>
          <w:i/>
        </w:rPr>
      </w:pPr>
    </w:p>
    <w:p w:rsidR="0063441E" w:rsidRPr="003D1FB1" w:rsidRDefault="0063441E" w:rsidP="00AD29CE">
      <w:pPr>
        <w:rPr>
          <w:rFonts w:ascii="Arial" w:hAnsi="Arial" w:cs="Arial"/>
          <w:b/>
          <w:i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KONSULTACIJE SA ZAINTERESOVANIM NEVLADINIM ORGANIZAICJAMA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="00370754" w:rsidRPr="00370754">
        <w:rPr>
          <w:rFonts w:ascii="Arial" w:hAnsi="Arial" w:cs="Arial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/>
      </w:tblPr>
      <w:tblGrid>
        <w:gridCol w:w="4582"/>
        <w:gridCol w:w="4582"/>
        <w:gridCol w:w="4582"/>
      </w:tblGrid>
      <w:tr w:rsidR="00370754" w:rsidRPr="00370754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Naziv  NVO koje su učestvovale u konsultacijama</w:t>
            </w: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KAPACITETI ZA SPROVOĐENJE JAVNOG KONKURSA</w:t>
      </w:r>
    </w:p>
    <w:p w:rsidR="00370754" w:rsidRPr="00370754" w:rsidRDefault="004B794D" w:rsidP="0037075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="00370754" w:rsidRPr="00370754">
        <w:rPr>
          <w:rFonts w:ascii="Arial" w:hAnsi="Arial" w:cs="Arial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/>
      </w:tblPr>
      <w:tblGrid>
        <w:gridCol w:w="3436"/>
        <w:gridCol w:w="3437"/>
        <w:gridCol w:w="3437"/>
      </w:tblGrid>
      <w:tr w:rsidR="00370754" w:rsidRPr="00370754" w:rsidTr="000A502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lastRenderedPageBreak/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5A2821">
            <w:pPr>
              <w:jc w:val="left"/>
              <w:rPr>
                <w:rFonts w:ascii="Arial" w:hAnsi="Arial" w:cs="Arial"/>
              </w:rPr>
            </w:pPr>
            <w:r w:rsidRPr="00370754">
              <w:rPr>
                <w:rFonts w:ascii="Arial" w:hAnsi="Arial" w:cs="Arial"/>
              </w:rPr>
              <w:t>Broj službenika/ica zaduženih</w:t>
            </w:r>
            <w:r w:rsidR="005A2821">
              <w:rPr>
                <w:rFonts w:ascii="Arial" w:hAnsi="Arial" w:cs="Arial"/>
              </w:rPr>
              <w:t xml:space="preserve"> za sprovođenje javnog konkursa </w:t>
            </w:r>
            <w:r w:rsidRPr="00370754">
              <w:rPr>
                <w:rFonts w:ascii="Arial" w:hAnsi="Arial" w:cs="Arial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5A2821" w:rsidP="005A282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Imena </w:t>
            </w:r>
            <w:r w:rsidR="00370754" w:rsidRPr="00370754">
              <w:rPr>
                <w:rFonts w:ascii="Arial" w:hAnsi="Arial" w:cs="Arial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3D1FB1">
      <w:pPr>
        <w:jc w:val="center"/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/>
      </w:tblPr>
      <w:tblGrid>
        <w:gridCol w:w="284"/>
        <w:gridCol w:w="4260"/>
        <w:gridCol w:w="4544"/>
        <w:gridCol w:w="4396"/>
        <w:gridCol w:w="236"/>
      </w:tblGrid>
      <w:tr w:rsidR="00370754" w:rsidRPr="00370754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370754" w:rsidRPr="00370754">
              <w:rPr>
                <w:rFonts w:ascii="Arial" w:hAnsi="Arial" w:cs="Arial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="00370754" w:rsidRPr="00370754">
              <w:rPr>
                <w:rFonts w:ascii="Arial" w:hAnsi="Arial" w:cs="Arial"/>
              </w:rPr>
              <w:t>M.P.</w:t>
            </w: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370754" w:rsidRPr="00370754">
              <w:rPr>
                <w:rFonts w:ascii="Arial" w:hAnsi="Arial" w:cs="Arial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C20E0A" w:rsidRPr="00370754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370754" w:rsidSect="00370754">
      <w:headerReference w:type="default" r:id="rId14"/>
      <w:headerReference w:type="first" r:id="rId15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C58" w:rsidRDefault="00380C58" w:rsidP="00A6505B">
      <w:pPr>
        <w:spacing w:before="0" w:after="0" w:line="240" w:lineRule="auto"/>
      </w:pPr>
      <w:r>
        <w:separator/>
      </w:r>
    </w:p>
  </w:endnote>
  <w:endnote w:type="continuationSeparator" w:id="1">
    <w:p w:rsidR="00380C58" w:rsidRDefault="00380C5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C58" w:rsidRDefault="00380C58" w:rsidP="00A6505B">
      <w:pPr>
        <w:spacing w:before="0" w:after="0" w:line="240" w:lineRule="auto"/>
      </w:pPr>
      <w:r>
        <w:separator/>
      </w:r>
    </w:p>
  </w:footnote>
  <w:footnote w:type="continuationSeparator" w:id="1">
    <w:p w:rsidR="00380C58" w:rsidRDefault="00380C58" w:rsidP="00A6505B">
      <w:pPr>
        <w:spacing w:before="0" w:after="0" w:line="240" w:lineRule="auto"/>
      </w:pPr>
      <w:r>
        <w:continuationSeparator/>
      </w:r>
    </w:p>
  </w:footnote>
  <w:footnote w:id="2">
    <w:p w:rsidR="007959EF" w:rsidRPr="007959EF" w:rsidRDefault="007959EF">
      <w:pPr>
        <w:pStyle w:val="FootnoteText"/>
      </w:pPr>
      <w:r>
        <w:rPr>
          <w:rStyle w:val="FootnoteReference"/>
        </w:rPr>
        <w:footnoteRef/>
      </w:r>
      <w:r>
        <w:t xml:space="preserve"> Broj nastradalih se odnosi na ukupan broj povrijeđenih i poginulih lica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D0" w:rsidRDefault="0070005F" w:rsidP="00376FD0">
    <w:pPr>
      <w:pStyle w:val="Title"/>
      <w:rPr>
        <w:rFonts w:eastAsiaTheme="majorEastAsia" w:cstheme="majorBidi"/>
      </w:rPr>
    </w:pPr>
    <w:r>
      <w:t xml:space="preserve">MINISTARSTVO </w:t>
    </w:r>
    <w:r w:rsidR="00913DB8" w:rsidRPr="00913DB8">
      <w:pict>
        <v:line id="Straight Connector 27" o:spid="_x0000_s4098" style="position:absolute;left:0;text-align:left;z-index:251662336;visibility:visible;mso-position-horizontal-relative:text;mso-position-vertical-relative:text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376FD0" w:rsidRPr="00451F6C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6FD0">
      <w:rPr>
        <w:rFonts w:eastAsiaTheme="majorEastAsia" w:cstheme="majorBidi"/>
      </w:rPr>
      <w:t>Crna Gora</w:t>
    </w:r>
  </w:p>
  <w:p w:rsidR="00376FD0" w:rsidRDefault="00376FD0" w:rsidP="00376FD0">
    <w:pPr>
      <w:pStyle w:val="Title"/>
      <w:rPr>
        <w:rFonts w:asciiTheme="majorHAnsi" w:hAnsiTheme="majorHAnsi"/>
        <w:sz w:val="20"/>
      </w:rPr>
    </w:pPr>
    <w:r>
      <w:t xml:space="preserve">Ministarstvo saobraćaja i pomorstva                                                                                                                                                </w:t>
    </w:r>
    <w:r w:rsidRPr="008759AD">
      <w:rPr>
        <w:rFonts w:asciiTheme="majorHAnsi" w:hAnsiTheme="majorHAnsi"/>
        <w:sz w:val="20"/>
      </w:rPr>
      <w:t xml:space="preserve">Adresa: Rimski trg 46, </w:t>
    </w:r>
  </w:p>
  <w:p w:rsidR="00376FD0" w:rsidRPr="004C439D" w:rsidRDefault="00376FD0" w:rsidP="00376FD0">
    <w:pPr>
      <w:pStyle w:val="Title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759AD">
      <w:rPr>
        <w:rFonts w:asciiTheme="majorHAnsi" w:hAnsiTheme="majorHAnsi"/>
        <w:sz w:val="20"/>
      </w:rPr>
      <w:t>81000 Podgorica, Crna Gora</w:t>
    </w:r>
  </w:p>
  <w:p w:rsidR="007904A7" w:rsidRDefault="007904A7" w:rsidP="005E2CF3">
    <w:pPr>
      <w:pStyle w:val="Title"/>
      <w:spacing w:after="0"/>
      <w:rPr>
        <w:strike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812"/>
    <w:multiLevelType w:val="hybridMultilevel"/>
    <w:tmpl w:val="930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16EB8"/>
    <w:multiLevelType w:val="hybridMultilevel"/>
    <w:tmpl w:val="E714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B3CA2"/>
    <w:multiLevelType w:val="hybridMultilevel"/>
    <w:tmpl w:val="B86A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B798E"/>
    <w:multiLevelType w:val="hybridMultilevel"/>
    <w:tmpl w:val="2B3C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973D7"/>
    <w:multiLevelType w:val="multilevel"/>
    <w:tmpl w:val="295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E7185"/>
    <w:multiLevelType w:val="hybridMultilevel"/>
    <w:tmpl w:val="8020B5C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3DE95B05"/>
    <w:multiLevelType w:val="hybridMultilevel"/>
    <w:tmpl w:val="3D6C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B4265"/>
    <w:multiLevelType w:val="hybridMultilevel"/>
    <w:tmpl w:val="B21A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00FF5"/>
    <w:multiLevelType w:val="multilevel"/>
    <w:tmpl w:val="295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B2C5E"/>
    <w:multiLevelType w:val="hybridMultilevel"/>
    <w:tmpl w:val="7A0C858A"/>
    <w:lvl w:ilvl="0" w:tplc="655036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668B8AE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A1E4586E"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E7868BFA">
      <w:numFmt w:val="bullet"/>
      <w:lvlText w:val="•"/>
      <w:lvlJc w:val="left"/>
      <w:pPr>
        <w:ind w:left="2630" w:hanging="360"/>
      </w:pPr>
      <w:rPr>
        <w:rFonts w:hint="default"/>
      </w:rPr>
    </w:lvl>
    <w:lvl w:ilvl="4" w:tplc="96D4F02A">
      <w:numFmt w:val="bullet"/>
      <w:lvlText w:val="•"/>
      <w:lvlJc w:val="left"/>
      <w:pPr>
        <w:ind w:left="3234" w:hanging="360"/>
      </w:pPr>
      <w:rPr>
        <w:rFonts w:hint="default"/>
      </w:rPr>
    </w:lvl>
    <w:lvl w:ilvl="5" w:tplc="0ABACBAE">
      <w:numFmt w:val="bullet"/>
      <w:lvlText w:val="•"/>
      <w:lvlJc w:val="left"/>
      <w:pPr>
        <w:ind w:left="3837" w:hanging="360"/>
      </w:pPr>
      <w:rPr>
        <w:rFonts w:hint="default"/>
      </w:rPr>
    </w:lvl>
    <w:lvl w:ilvl="6" w:tplc="553AF6DA">
      <w:numFmt w:val="bullet"/>
      <w:lvlText w:val="•"/>
      <w:lvlJc w:val="left"/>
      <w:pPr>
        <w:ind w:left="4441" w:hanging="360"/>
      </w:pPr>
      <w:rPr>
        <w:rFonts w:hint="default"/>
      </w:rPr>
    </w:lvl>
    <w:lvl w:ilvl="7" w:tplc="C69AAAE4">
      <w:numFmt w:val="bullet"/>
      <w:lvlText w:val="•"/>
      <w:lvlJc w:val="left"/>
      <w:pPr>
        <w:ind w:left="5044" w:hanging="360"/>
      </w:pPr>
      <w:rPr>
        <w:rFonts w:hint="default"/>
      </w:rPr>
    </w:lvl>
    <w:lvl w:ilvl="8" w:tplc="67520CE4">
      <w:numFmt w:val="bullet"/>
      <w:lvlText w:val="•"/>
      <w:lvlJc w:val="left"/>
      <w:pPr>
        <w:ind w:left="5648" w:hanging="360"/>
      </w:pPr>
      <w:rPr>
        <w:rFonts w:hint="default"/>
      </w:rPr>
    </w:lvl>
  </w:abstractNum>
  <w:abstractNum w:abstractNumId="12">
    <w:nsid w:val="574A695A"/>
    <w:multiLevelType w:val="hybridMultilevel"/>
    <w:tmpl w:val="D1CE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85EB6"/>
    <w:multiLevelType w:val="hybridMultilevel"/>
    <w:tmpl w:val="5E10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2225D"/>
    <w:multiLevelType w:val="multilevel"/>
    <w:tmpl w:val="295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33104"/>
    <w:multiLevelType w:val="hybridMultilevel"/>
    <w:tmpl w:val="299A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7240B"/>
    <w:multiLevelType w:val="hybridMultilevel"/>
    <w:tmpl w:val="E220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31490"/>
    <w:multiLevelType w:val="multilevel"/>
    <w:tmpl w:val="295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2738C"/>
    <w:multiLevelType w:val="multilevel"/>
    <w:tmpl w:val="295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C6106A"/>
    <w:multiLevelType w:val="multilevel"/>
    <w:tmpl w:val="295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6"/>
  </w:num>
  <w:num w:numId="5">
    <w:abstractNumId w:val="1"/>
  </w:num>
  <w:num w:numId="6">
    <w:abstractNumId w:val="21"/>
  </w:num>
  <w:num w:numId="7">
    <w:abstractNumId w:val="20"/>
  </w:num>
  <w:num w:numId="8">
    <w:abstractNumId w:val="7"/>
  </w:num>
  <w:num w:numId="9">
    <w:abstractNumId w:val="11"/>
  </w:num>
  <w:num w:numId="10">
    <w:abstractNumId w:val="17"/>
  </w:num>
  <w:num w:numId="11">
    <w:abstractNumId w:val="4"/>
  </w:num>
  <w:num w:numId="12">
    <w:abstractNumId w:val="2"/>
  </w:num>
  <w:num w:numId="13">
    <w:abstractNumId w:val="13"/>
  </w:num>
  <w:num w:numId="14">
    <w:abstractNumId w:val="16"/>
  </w:num>
  <w:num w:numId="15">
    <w:abstractNumId w:val="5"/>
  </w:num>
  <w:num w:numId="16">
    <w:abstractNumId w:val="18"/>
  </w:num>
  <w:num w:numId="17">
    <w:abstractNumId w:val="14"/>
  </w:num>
  <w:num w:numId="18">
    <w:abstractNumId w:val="10"/>
  </w:num>
  <w:num w:numId="19">
    <w:abstractNumId w:val="8"/>
  </w:num>
  <w:num w:numId="20">
    <w:abstractNumId w:val="3"/>
  </w:num>
  <w:num w:numId="21">
    <w:abstractNumId w:val="9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defaultTabStop w:val="709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4FB2"/>
    <w:rsid w:val="0001284A"/>
    <w:rsid w:val="00020673"/>
    <w:rsid w:val="000661B8"/>
    <w:rsid w:val="00071E3B"/>
    <w:rsid w:val="00074A7B"/>
    <w:rsid w:val="000B64CD"/>
    <w:rsid w:val="000F2AA0"/>
    <w:rsid w:val="000F2B95"/>
    <w:rsid w:val="000F2BFC"/>
    <w:rsid w:val="001053EE"/>
    <w:rsid w:val="00107821"/>
    <w:rsid w:val="00107D7D"/>
    <w:rsid w:val="00143117"/>
    <w:rsid w:val="00154D42"/>
    <w:rsid w:val="001653F8"/>
    <w:rsid w:val="001822FC"/>
    <w:rsid w:val="00183589"/>
    <w:rsid w:val="001847FD"/>
    <w:rsid w:val="00196664"/>
    <w:rsid w:val="001A6C7E"/>
    <w:rsid w:val="001A79B6"/>
    <w:rsid w:val="001A7E96"/>
    <w:rsid w:val="001C1AF1"/>
    <w:rsid w:val="001C2DA5"/>
    <w:rsid w:val="001D3909"/>
    <w:rsid w:val="001F1805"/>
    <w:rsid w:val="001F75D5"/>
    <w:rsid w:val="00205759"/>
    <w:rsid w:val="002220F0"/>
    <w:rsid w:val="00250B84"/>
    <w:rsid w:val="002511E4"/>
    <w:rsid w:val="00252A36"/>
    <w:rsid w:val="00292D5E"/>
    <w:rsid w:val="002A31CB"/>
    <w:rsid w:val="002A7CB3"/>
    <w:rsid w:val="002D3C17"/>
    <w:rsid w:val="002F461C"/>
    <w:rsid w:val="00302662"/>
    <w:rsid w:val="003168DA"/>
    <w:rsid w:val="003417B8"/>
    <w:rsid w:val="003426A2"/>
    <w:rsid w:val="00350578"/>
    <w:rsid w:val="00354D08"/>
    <w:rsid w:val="00370754"/>
    <w:rsid w:val="00374FC4"/>
    <w:rsid w:val="00375D08"/>
    <w:rsid w:val="00376FD0"/>
    <w:rsid w:val="00380C58"/>
    <w:rsid w:val="00395EE6"/>
    <w:rsid w:val="003A0FEC"/>
    <w:rsid w:val="003A6DB5"/>
    <w:rsid w:val="003D1FB1"/>
    <w:rsid w:val="003D4742"/>
    <w:rsid w:val="00403E67"/>
    <w:rsid w:val="004112D5"/>
    <w:rsid w:val="00417530"/>
    <w:rsid w:val="004378E1"/>
    <w:rsid w:val="004501E6"/>
    <w:rsid w:val="00451F6C"/>
    <w:rsid w:val="00451FF9"/>
    <w:rsid w:val="004679C3"/>
    <w:rsid w:val="00480B7D"/>
    <w:rsid w:val="004B76A4"/>
    <w:rsid w:val="004B794D"/>
    <w:rsid w:val="004D6E8D"/>
    <w:rsid w:val="004E3DA7"/>
    <w:rsid w:val="004E6346"/>
    <w:rsid w:val="004F24B0"/>
    <w:rsid w:val="005069B0"/>
    <w:rsid w:val="00523147"/>
    <w:rsid w:val="00531FDF"/>
    <w:rsid w:val="00554737"/>
    <w:rsid w:val="005602F4"/>
    <w:rsid w:val="005723C7"/>
    <w:rsid w:val="005A2821"/>
    <w:rsid w:val="005A4E7E"/>
    <w:rsid w:val="005A6478"/>
    <w:rsid w:val="005A6AD9"/>
    <w:rsid w:val="005B44BF"/>
    <w:rsid w:val="005C6F24"/>
    <w:rsid w:val="005E2CF3"/>
    <w:rsid w:val="005F56D9"/>
    <w:rsid w:val="00612213"/>
    <w:rsid w:val="0061550E"/>
    <w:rsid w:val="006170FC"/>
    <w:rsid w:val="00630A76"/>
    <w:rsid w:val="0063441E"/>
    <w:rsid w:val="0066131B"/>
    <w:rsid w:val="00670FF6"/>
    <w:rsid w:val="00672FAA"/>
    <w:rsid w:val="006739CA"/>
    <w:rsid w:val="00683884"/>
    <w:rsid w:val="0068793B"/>
    <w:rsid w:val="006A24FA"/>
    <w:rsid w:val="006A2C40"/>
    <w:rsid w:val="006B0CEE"/>
    <w:rsid w:val="006C002C"/>
    <w:rsid w:val="006D711E"/>
    <w:rsid w:val="006E262C"/>
    <w:rsid w:val="0070005F"/>
    <w:rsid w:val="00722040"/>
    <w:rsid w:val="0073561A"/>
    <w:rsid w:val="007626D6"/>
    <w:rsid w:val="00770F21"/>
    <w:rsid w:val="0077100B"/>
    <w:rsid w:val="00786F2E"/>
    <w:rsid w:val="007904A7"/>
    <w:rsid w:val="007929A7"/>
    <w:rsid w:val="00794586"/>
    <w:rsid w:val="007959EF"/>
    <w:rsid w:val="007978B6"/>
    <w:rsid w:val="007A0248"/>
    <w:rsid w:val="007A118F"/>
    <w:rsid w:val="007A1AB7"/>
    <w:rsid w:val="007B2B13"/>
    <w:rsid w:val="00810444"/>
    <w:rsid w:val="0088156B"/>
    <w:rsid w:val="00885190"/>
    <w:rsid w:val="00886BB7"/>
    <w:rsid w:val="008A280C"/>
    <w:rsid w:val="008C7F82"/>
    <w:rsid w:val="008E6F47"/>
    <w:rsid w:val="00902CC9"/>
    <w:rsid w:val="00902E6C"/>
    <w:rsid w:val="00907170"/>
    <w:rsid w:val="009130A0"/>
    <w:rsid w:val="00913DB8"/>
    <w:rsid w:val="00922A8D"/>
    <w:rsid w:val="00937684"/>
    <w:rsid w:val="0094125C"/>
    <w:rsid w:val="00946A67"/>
    <w:rsid w:val="0096107C"/>
    <w:rsid w:val="009751DF"/>
    <w:rsid w:val="00985834"/>
    <w:rsid w:val="00997C04"/>
    <w:rsid w:val="009E797A"/>
    <w:rsid w:val="00A640F0"/>
    <w:rsid w:val="00A6505B"/>
    <w:rsid w:val="00AD29CE"/>
    <w:rsid w:val="00AF27FF"/>
    <w:rsid w:val="00B003EE"/>
    <w:rsid w:val="00B13AFC"/>
    <w:rsid w:val="00B167AC"/>
    <w:rsid w:val="00B30D58"/>
    <w:rsid w:val="00B40A06"/>
    <w:rsid w:val="00B43769"/>
    <w:rsid w:val="00B43AD3"/>
    <w:rsid w:val="00B473C2"/>
    <w:rsid w:val="00B47D2C"/>
    <w:rsid w:val="00B7789C"/>
    <w:rsid w:val="00B83F7A"/>
    <w:rsid w:val="00B84F08"/>
    <w:rsid w:val="00BA4CC5"/>
    <w:rsid w:val="00BD7827"/>
    <w:rsid w:val="00BE3206"/>
    <w:rsid w:val="00BF464E"/>
    <w:rsid w:val="00C059BC"/>
    <w:rsid w:val="00C123D2"/>
    <w:rsid w:val="00C140DB"/>
    <w:rsid w:val="00C176EB"/>
    <w:rsid w:val="00C20E0A"/>
    <w:rsid w:val="00C2622E"/>
    <w:rsid w:val="00C3781D"/>
    <w:rsid w:val="00C4431F"/>
    <w:rsid w:val="00C55F65"/>
    <w:rsid w:val="00C62210"/>
    <w:rsid w:val="00C84028"/>
    <w:rsid w:val="00C853D0"/>
    <w:rsid w:val="00CA4058"/>
    <w:rsid w:val="00CA42F4"/>
    <w:rsid w:val="00CC2580"/>
    <w:rsid w:val="00CD159D"/>
    <w:rsid w:val="00CF540B"/>
    <w:rsid w:val="00CF7F82"/>
    <w:rsid w:val="00D23B4D"/>
    <w:rsid w:val="00D2455F"/>
    <w:rsid w:val="00D56E34"/>
    <w:rsid w:val="00D63B3D"/>
    <w:rsid w:val="00D649C2"/>
    <w:rsid w:val="00D64D0D"/>
    <w:rsid w:val="00D81080"/>
    <w:rsid w:val="00DA3DE2"/>
    <w:rsid w:val="00DC5DF1"/>
    <w:rsid w:val="00DC6E86"/>
    <w:rsid w:val="00DE5376"/>
    <w:rsid w:val="00DF60F7"/>
    <w:rsid w:val="00E316EA"/>
    <w:rsid w:val="00E45DA4"/>
    <w:rsid w:val="00E73A9B"/>
    <w:rsid w:val="00E74F68"/>
    <w:rsid w:val="00E75466"/>
    <w:rsid w:val="00EA22A1"/>
    <w:rsid w:val="00EB0B35"/>
    <w:rsid w:val="00EC0376"/>
    <w:rsid w:val="00ED47D6"/>
    <w:rsid w:val="00EE38F5"/>
    <w:rsid w:val="00EF516A"/>
    <w:rsid w:val="00F127D8"/>
    <w:rsid w:val="00F14B0C"/>
    <w:rsid w:val="00F16D1B"/>
    <w:rsid w:val="00F21A4A"/>
    <w:rsid w:val="00F323F6"/>
    <w:rsid w:val="00F4688B"/>
    <w:rsid w:val="00F469A8"/>
    <w:rsid w:val="00F63FBA"/>
    <w:rsid w:val="00F776DA"/>
    <w:rsid w:val="00F95CB4"/>
    <w:rsid w:val="00FE4CFA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59E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59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59E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E5376"/>
    <w:pPr>
      <w:widowControl w:val="0"/>
      <w:autoSpaceDE w:val="0"/>
      <w:autoSpaceDN w:val="0"/>
      <w:spacing w:before="0" w:after="0" w:line="240" w:lineRule="auto"/>
      <w:ind w:left="107"/>
      <w:jc w:val="left"/>
    </w:pPr>
    <w:rPr>
      <w:rFonts w:ascii="Arial" w:eastAsia="Arial" w:hAnsi="Arial" w:cs="Arial"/>
      <w:sz w:val="22"/>
    </w:rPr>
  </w:style>
  <w:style w:type="paragraph" w:styleId="BodyText">
    <w:name w:val="Body Text"/>
    <w:basedOn w:val="Normal"/>
    <w:link w:val="BodyTextChar"/>
    <w:uiPriority w:val="99"/>
    <w:semiHidden/>
    <w:rsid w:val="00DE5376"/>
    <w:pPr>
      <w:spacing w:before="0" w:after="0" w:line="240" w:lineRule="auto"/>
    </w:pPr>
    <w:rPr>
      <w:rFonts w:ascii="Cambria" w:eastAsia="MS Mincho" w:hAnsi="Cambria" w:cs="Cambria"/>
      <w:noProof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5376"/>
    <w:rPr>
      <w:rFonts w:ascii="Cambria" w:eastAsia="MS Mincho" w:hAnsi="Cambria" w:cs="Cambria"/>
      <w:noProof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DE5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insaob.gov.me/biblioteka/ured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saob.gov.me/biblioteka/pravilnic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insaob.gov.me/biblioteka/zakon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saob.gov.me/biblioteka/strategij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091126-71E4-4B1B-907D-6F402381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haris.sabotic</cp:lastModifiedBy>
  <cp:revision>2</cp:revision>
  <cp:lastPrinted>2018-06-01T12:23:00Z</cp:lastPrinted>
  <dcterms:created xsi:type="dcterms:W3CDTF">2019-04-03T13:26:00Z</dcterms:created>
  <dcterms:modified xsi:type="dcterms:W3CDTF">2019-04-03T13:26:00Z</dcterms:modified>
</cp:coreProperties>
</file>