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F323F6" w:rsidRDefault="00C20E0A" w:rsidP="003A6DB5">
      <w:pPr>
        <w:rPr>
          <w:rFonts w:ascii="Arial Narrow" w:hAnsi="Arial Narrow"/>
        </w:rPr>
      </w:pPr>
    </w:p>
    <w:p w:rsidR="002F0C84" w:rsidRDefault="002F0C84" w:rsidP="00B32DA7">
      <w:pPr>
        <w:pStyle w:val="Heading2"/>
        <w:jc w:val="center"/>
        <w:rPr>
          <w:b/>
          <w:sz w:val="24"/>
          <w:szCs w:val="24"/>
        </w:rPr>
      </w:pPr>
    </w:p>
    <w:p w:rsidR="00375D08" w:rsidRPr="00D6668D" w:rsidRDefault="002F0C84" w:rsidP="005021A0">
      <w:pPr>
        <w:tabs>
          <w:tab w:val="left" w:pos="1134"/>
          <w:tab w:val="left" w:pos="7513"/>
          <w:tab w:val="left" w:pos="7797"/>
          <w:tab w:val="left" w:pos="8222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6668D">
        <w:rPr>
          <w:rFonts w:ascii="Arial" w:hAnsi="Arial" w:cs="Arial"/>
          <w:bCs/>
          <w:sz w:val="22"/>
          <w:lang w:val="hr-HR"/>
        </w:rPr>
        <w:t>Br:</w:t>
      </w:r>
      <w:r w:rsidR="00344C22" w:rsidRPr="00D6668D">
        <w:rPr>
          <w:rFonts w:ascii="Arial" w:hAnsi="Arial" w:cs="Arial"/>
          <w:bCs/>
          <w:sz w:val="22"/>
          <w:lang w:val="hr-HR"/>
        </w:rPr>
        <w:t>320/1</w:t>
      </w:r>
      <w:r w:rsidR="004B035F" w:rsidRPr="00D6668D">
        <w:rPr>
          <w:rFonts w:ascii="Arial" w:hAnsi="Arial" w:cs="Arial"/>
          <w:bCs/>
          <w:sz w:val="22"/>
          <w:lang w:val="hr-HR"/>
        </w:rPr>
        <w:t>8</w:t>
      </w:r>
      <w:r w:rsidR="00344C22" w:rsidRPr="00D6668D">
        <w:rPr>
          <w:rFonts w:ascii="Arial" w:hAnsi="Arial" w:cs="Arial"/>
          <w:bCs/>
          <w:sz w:val="22"/>
          <w:lang w:val="hr-HR"/>
        </w:rPr>
        <w:t>-0410</w:t>
      </w:r>
      <w:r w:rsidRPr="00D6668D">
        <w:rPr>
          <w:rFonts w:ascii="Arial" w:hAnsi="Arial" w:cs="Arial"/>
          <w:bCs/>
          <w:sz w:val="22"/>
          <w:lang w:val="hr-HR"/>
        </w:rPr>
        <w:t>-</w:t>
      </w:r>
      <w:r w:rsidR="00D6668D" w:rsidRPr="00D6668D">
        <w:rPr>
          <w:rFonts w:ascii="Arial" w:hAnsi="Arial" w:cs="Arial"/>
          <w:bCs/>
          <w:sz w:val="22"/>
          <w:lang w:val="hr-HR"/>
        </w:rPr>
        <w:t>4985/4</w:t>
      </w:r>
      <w:r w:rsidR="00D23B4D" w:rsidRPr="00D6668D">
        <w:rPr>
          <w:rFonts w:ascii="Arial" w:hAnsi="Arial" w:cs="Arial"/>
          <w:bCs/>
          <w:sz w:val="22"/>
          <w:lang w:val="hr-HR"/>
        </w:rPr>
        <w:t xml:space="preserve">                   </w:t>
      </w:r>
      <w:r w:rsidR="004B035F" w:rsidRPr="00D6668D">
        <w:rPr>
          <w:rFonts w:ascii="Arial" w:hAnsi="Arial" w:cs="Arial"/>
          <w:bCs/>
          <w:sz w:val="22"/>
          <w:lang w:val="hr-HR"/>
        </w:rPr>
        <w:t xml:space="preserve">                              </w:t>
      </w:r>
      <w:r w:rsidR="00D23B4D" w:rsidRPr="00D6668D">
        <w:rPr>
          <w:rFonts w:ascii="Arial" w:hAnsi="Arial" w:cs="Arial"/>
          <w:bCs/>
          <w:sz w:val="22"/>
          <w:lang w:val="hr-HR"/>
        </w:rPr>
        <w:t xml:space="preserve">        </w:t>
      </w:r>
      <w:r w:rsidR="005021A0" w:rsidRPr="00D6668D">
        <w:rPr>
          <w:rFonts w:ascii="Arial" w:hAnsi="Arial" w:cs="Arial"/>
          <w:bCs/>
          <w:sz w:val="22"/>
          <w:lang w:val="hr-HR"/>
        </w:rPr>
        <w:t xml:space="preserve">           </w:t>
      </w:r>
      <w:r w:rsidR="006031EF" w:rsidRPr="00D6668D">
        <w:rPr>
          <w:rFonts w:ascii="Arial" w:hAnsi="Arial" w:cs="Arial"/>
          <w:bCs/>
          <w:sz w:val="22"/>
          <w:lang w:val="hr-HR"/>
        </w:rPr>
        <w:t xml:space="preserve">         </w:t>
      </w:r>
      <w:r w:rsidR="00DA3B34" w:rsidRPr="00D6668D">
        <w:rPr>
          <w:rFonts w:ascii="Arial" w:hAnsi="Arial" w:cs="Arial"/>
          <w:bCs/>
          <w:sz w:val="22"/>
          <w:lang w:val="hr-HR"/>
        </w:rPr>
        <w:t xml:space="preserve">Datum: </w:t>
      </w:r>
      <w:r w:rsidR="00D87864" w:rsidRPr="00D6668D">
        <w:rPr>
          <w:rFonts w:ascii="Arial" w:hAnsi="Arial" w:cs="Arial"/>
          <w:bCs/>
          <w:sz w:val="22"/>
          <w:lang w:val="hr-HR"/>
        </w:rPr>
        <w:t>28.12</w:t>
      </w:r>
      <w:r w:rsidR="005021A0" w:rsidRPr="00D6668D">
        <w:rPr>
          <w:rFonts w:ascii="Arial" w:hAnsi="Arial" w:cs="Arial"/>
          <w:bCs/>
          <w:sz w:val="22"/>
          <w:lang w:val="hr-HR"/>
        </w:rPr>
        <w:t>.201</w:t>
      </w:r>
      <w:r w:rsidR="004B035F" w:rsidRPr="00D6668D">
        <w:rPr>
          <w:rFonts w:ascii="Arial" w:hAnsi="Arial" w:cs="Arial"/>
          <w:bCs/>
          <w:sz w:val="22"/>
          <w:lang w:val="hr-HR"/>
        </w:rPr>
        <w:t>8</w:t>
      </w:r>
      <w:r w:rsidR="005021A0" w:rsidRPr="00D6668D">
        <w:rPr>
          <w:rFonts w:ascii="Arial" w:hAnsi="Arial" w:cs="Arial"/>
          <w:bCs/>
          <w:sz w:val="22"/>
          <w:lang w:val="hr-HR"/>
        </w:rPr>
        <w:t>.</w:t>
      </w:r>
      <w:r w:rsidR="00D23B4D" w:rsidRPr="00D6668D">
        <w:rPr>
          <w:rFonts w:ascii="Arial" w:hAnsi="Arial" w:cs="Arial"/>
          <w:bCs/>
          <w:sz w:val="22"/>
          <w:lang w:val="hr-HR"/>
        </w:rPr>
        <w:t xml:space="preserve">                                                            </w:t>
      </w:r>
      <w:r w:rsidR="00A37511" w:rsidRPr="00D6668D">
        <w:rPr>
          <w:rFonts w:ascii="Arial" w:hAnsi="Arial" w:cs="Arial"/>
          <w:bCs/>
          <w:sz w:val="22"/>
          <w:lang w:val="hr-HR"/>
        </w:rPr>
        <w:t xml:space="preserve">         </w:t>
      </w:r>
      <w:r w:rsidR="00D23B4D" w:rsidRPr="00D6668D">
        <w:rPr>
          <w:rFonts w:ascii="Arial" w:hAnsi="Arial" w:cs="Arial"/>
          <w:bCs/>
          <w:sz w:val="22"/>
          <w:lang w:val="hr-HR"/>
        </w:rPr>
        <w:t xml:space="preserve">  </w:t>
      </w:r>
      <w:r w:rsidR="00A37511" w:rsidRPr="00D6668D">
        <w:rPr>
          <w:rFonts w:ascii="Arial" w:hAnsi="Arial" w:cs="Arial"/>
          <w:bCs/>
          <w:sz w:val="22"/>
          <w:lang w:val="hr-HR"/>
        </w:rPr>
        <w:t xml:space="preserve">    </w:t>
      </w:r>
    </w:p>
    <w:p w:rsidR="004112D5" w:rsidRPr="00D6668D" w:rsidRDefault="00D23B4D" w:rsidP="00D310C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  <w:r w:rsidRPr="00D6668D">
        <w:rPr>
          <w:rFonts w:ascii="Arial" w:hAnsi="Arial" w:cs="Arial"/>
          <w:bCs/>
          <w:sz w:val="20"/>
          <w:lang w:val="hr-HR"/>
        </w:rPr>
        <w:t xml:space="preserve"> </w:t>
      </w:r>
    </w:p>
    <w:p w:rsidR="009D6AFE" w:rsidRPr="00D6668D" w:rsidRDefault="009D6AFE" w:rsidP="009D6AF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:rsidR="004B035F" w:rsidRPr="00D6668D" w:rsidRDefault="004B035F" w:rsidP="009D6AF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:rsidR="009D6AFE" w:rsidRPr="00D6668D" w:rsidRDefault="009D6AFE" w:rsidP="009D6AF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  <w:r w:rsidRPr="00D6668D">
        <w:rPr>
          <w:rFonts w:ascii="Arial" w:hAnsi="Arial" w:cs="Arial"/>
          <w:b/>
          <w:bCs/>
          <w:szCs w:val="24"/>
          <w:lang w:val="hr-HR"/>
        </w:rPr>
        <w:t>INSTRUKCIJA ZA FITOSANITARNE INSPEKTORE:</w:t>
      </w:r>
    </w:p>
    <w:p w:rsidR="00D6668D" w:rsidRPr="00D6668D" w:rsidRDefault="00D6668D" w:rsidP="009D6AF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Cs w:val="24"/>
          <w:lang w:val="hr-HR"/>
        </w:rPr>
      </w:pPr>
    </w:p>
    <w:p w:rsidR="00D6668D" w:rsidRPr="00D6668D" w:rsidRDefault="00D6668D" w:rsidP="00D6668D">
      <w:pPr>
        <w:spacing w:before="0" w:after="200" w:line="276" w:lineRule="auto"/>
        <w:jc w:val="center"/>
        <w:rPr>
          <w:rFonts w:ascii="Arial" w:hAnsi="Arial" w:cs="Arial"/>
          <w:b/>
          <w:color w:val="222222"/>
          <w:szCs w:val="24"/>
          <w:lang w:val="hr-HR"/>
        </w:rPr>
      </w:pPr>
      <w:r w:rsidRPr="00D6668D">
        <w:rPr>
          <w:rFonts w:ascii="Arial" w:hAnsi="Arial" w:cs="Arial"/>
          <w:b/>
          <w:color w:val="222222"/>
          <w:szCs w:val="24"/>
          <w:lang w:val="hr-HR"/>
        </w:rPr>
        <w:t xml:space="preserve">Pocket® Diagnostic kit za detekciju bakterije </w:t>
      </w:r>
      <w:r w:rsidRPr="00D6668D">
        <w:rPr>
          <w:rFonts w:ascii="Arial" w:hAnsi="Arial" w:cs="Arial"/>
          <w:b/>
          <w:i/>
          <w:color w:val="222222"/>
          <w:szCs w:val="24"/>
          <w:lang w:val="hr-HR"/>
        </w:rPr>
        <w:t>Erwinia amylovora</w:t>
      </w:r>
      <w:r w:rsidRPr="00D6668D">
        <w:rPr>
          <w:rFonts w:ascii="Arial" w:hAnsi="Arial" w:cs="Arial"/>
          <w:b/>
          <w:color w:val="222222"/>
          <w:szCs w:val="24"/>
          <w:lang w:val="hr-HR"/>
        </w:rPr>
        <w:t xml:space="preserve"> na licu mjesta (mjestu proizvodnje, graničnom prelazu, laboratoriji)</w:t>
      </w:r>
    </w:p>
    <w:p w:rsidR="00D6668D" w:rsidRPr="00D6668D" w:rsidRDefault="00D6668D" w:rsidP="00D6668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</w:p>
    <w:p w:rsidR="00D6668D" w:rsidRPr="00D6668D" w:rsidRDefault="00D6668D" w:rsidP="00D6668D">
      <w:pPr>
        <w:spacing w:before="0" w:after="200" w:line="276" w:lineRule="auto"/>
        <w:rPr>
          <w:rFonts w:ascii="Arial" w:eastAsia="Times New Roman" w:hAnsi="Arial" w:cs="Arial"/>
          <w:i/>
          <w:color w:val="000000"/>
          <w:szCs w:val="24"/>
          <w:lang w:val="en" w:eastAsia="sr-Latn-ME"/>
        </w:rPr>
      </w:pP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Poznato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je da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bakterija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 xml:space="preserve">Erwinia </w:t>
      </w:r>
      <w:proofErr w:type="spellStart"/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>amylovora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prouzrokuje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asimptomatske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latentne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infekcije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koje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mogu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biti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prisutne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ispod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nivoa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detekcije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.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Zato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Pocket® Diagnostic kit za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detekciju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bakterije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 xml:space="preserve">Erwinia </w:t>
      </w:r>
      <w:proofErr w:type="spellStart"/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>amylovora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nije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odgovarajući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za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sertifikaciju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sadnog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materijala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tj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.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potvrdu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da je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sadni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materijal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slobodan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od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patogena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 xml:space="preserve">Erwinia </w:t>
      </w:r>
      <w:proofErr w:type="spellStart"/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>amylovora</w:t>
      </w:r>
      <w:proofErr w:type="spellEnd"/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>.</w:t>
      </w:r>
    </w:p>
    <w:p w:rsidR="00D6668D" w:rsidRPr="00D6668D" w:rsidRDefault="00D6668D" w:rsidP="00D6668D">
      <w:pPr>
        <w:spacing w:before="0" w:after="200" w:line="276" w:lineRule="auto"/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</w:pP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Ovaj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test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treba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koristiti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za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detekciju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prisustva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patogena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samo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u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simptomatskim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biljkama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.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Pozitivan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rezultat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testa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treba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biti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potvrđen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daljim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laboratorijskim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analizama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.</w:t>
      </w:r>
    </w:p>
    <w:p w:rsidR="00D6668D" w:rsidRPr="00D6668D" w:rsidRDefault="00D6668D" w:rsidP="00D6668D">
      <w:pPr>
        <w:spacing w:before="0" w:after="0" w:line="276" w:lineRule="auto"/>
        <w:rPr>
          <w:rFonts w:ascii="Arial" w:eastAsia="Times New Roman" w:hAnsi="Arial" w:cs="Arial"/>
          <w:b/>
          <w:color w:val="000000"/>
          <w:szCs w:val="24"/>
          <w:lang w:val="en" w:eastAsia="sr-Latn-ME"/>
        </w:rPr>
      </w:pP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Fitopatogena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bakterija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 xml:space="preserve">Erwinia </w:t>
      </w:r>
      <w:proofErr w:type="spellStart"/>
      <w:r w:rsidRPr="00D6668D">
        <w:rPr>
          <w:rFonts w:ascii="Arial" w:eastAsia="Times New Roman" w:hAnsi="Arial" w:cs="Arial"/>
          <w:i/>
          <w:color w:val="000000"/>
          <w:szCs w:val="24"/>
          <w:lang w:val="en" w:eastAsia="sr-Latn-ME"/>
        </w:rPr>
        <w:t>amylovora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inficira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sve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djelove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voćaka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: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cvijet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, plod,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mladare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,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deblje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grane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,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deblo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 pa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čak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i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korijen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.</w:t>
      </w:r>
    </w:p>
    <w:p w:rsidR="00D6668D" w:rsidRPr="00D6668D" w:rsidRDefault="00D6668D" w:rsidP="00D6668D">
      <w:pPr>
        <w:spacing w:before="0" w:after="0" w:line="276" w:lineRule="auto"/>
        <w:rPr>
          <w:rFonts w:ascii="Arial" w:hAnsi="Arial" w:cs="Arial"/>
          <w:sz w:val="22"/>
          <w:lang w:val="en"/>
        </w:rPr>
      </w:pPr>
      <w:r w:rsidRPr="00D6668D">
        <w:rPr>
          <w:rFonts w:ascii="Arial" w:hAnsi="Arial" w:cs="Arial"/>
          <w:b/>
          <w:sz w:val="22"/>
          <w:lang w:val="en"/>
        </w:rPr>
        <w:t>CVIJET</w:t>
      </w:r>
      <w:r w:rsidRPr="00D6668D">
        <w:rPr>
          <w:rFonts w:ascii="Arial" w:hAnsi="Arial" w:cs="Arial"/>
          <w:sz w:val="22"/>
          <w:lang w:val="en"/>
        </w:rPr>
        <w:t xml:space="preserve"> – </w:t>
      </w:r>
      <w:proofErr w:type="spellStart"/>
      <w:r w:rsidRPr="00D6668D">
        <w:rPr>
          <w:rFonts w:ascii="Arial" w:hAnsi="Arial" w:cs="Arial"/>
          <w:sz w:val="22"/>
          <w:lang w:val="en"/>
        </w:rPr>
        <w:t>rano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u </w:t>
      </w:r>
      <w:proofErr w:type="spellStart"/>
      <w:r w:rsidRPr="00D6668D">
        <w:rPr>
          <w:rFonts w:ascii="Arial" w:hAnsi="Arial" w:cs="Arial"/>
          <w:sz w:val="22"/>
          <w:lang w:val="en"/>
        </w:rPr>
        <w:t>proljeće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već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posle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2-3 </w:t>
      </w:r>
      <w:proofErr w:type="spellStart"/>
      <w:r w:rsidRPr="00D6668D">
        <w:rPr>
          <w:rFonts w:ascii="Arial" w:hAnsi="Arial" w:cs="Arial"/>
          <w:sz w:val="22"/>
          <w:lang w:val="en"/>
        </w:rPr>
        <w:t>nedelje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od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otvaranja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cvjetova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uočava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 </w:t>
      </w:r>
      <w:proofErr w:type="spellStart"/>
      <w:r w:rsidRPr="00D6668D">
        <w:rPr>
          <w:rFonts w:ascii="Arial" w:hAnsi="Arial" w:cs="Arial"/>
          <w:sz w:val="22"/>
          <w:lang w:val="en"/>
        </w:rPr>
        <w:t>pojava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mrke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a </w:t>
      </w:r>
      <w:proofErr w:type="spellStart"/>
      <w:r w:rsidRPr="00D6668D">
        <w:rPr>
          <w:rFonts w:ascii="Arial" w:hAnsi="Arial" w:cs="Arial"/>
          <w:sz w:val="22"/>
          <w:lang w:val="en"/>
        </w:rPr>
        <w:t>potom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crne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boje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cvetova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. U </w:t>
      </w:r>
      <w:proofErr w:type="spellStart"/>
      <w:r w:rsidRPr="00D6668D">
        <w:rPr>
          <w:rFonts w:ascii="Arial" w:hAnsi="Arial" w:cs="Arial"/>
          <w:sz w:val="22"/>
          <w:lang w:val="en"/>
        </w:rPr>
        <w:t>početku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su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cvetovi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vlažni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venu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a </w:t>
      </w:r>
      <w:proofErr w:type="spellStart"/>
      <w:r w:rsidRPr="00D6668D">
        <w:rPr>
          <w:rFonts w:ascii="Arial" w:hAnsi="Arial" w:cs="Arial"/>
          <w:sz w:val="22"/>
          <w:lang w:val="en"/>
        </w:rPr>
        <w:t>potom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 </w:t>
      </w:r>
      <w:proofErr w:type="spellStart"/>
      <w:r w:rsidRPr="00D6668D">
        <w:rPr>
          <w:rFonts w:ascii="Arial" w:hAnsi="Arial" w:cs="Arial"/>
          <w:sz w:val="22"/>
          <w:lang w:val="en"/>
        </w:rPr>
        <w:t>suše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izumiru</w:t>
      </w:r>
      <w:proofErr w:type="spellEnd"/>
      <w:r w:rsidRPr="00D6668D">
        <w:rPr>
          <w:rFonts w:ascii="Arial" w:hAnsi="Arial" w:cs="Arial"/>
          <w:sz w:val="22"/>
          <w:lang w:val="en"/>
        </w:rPr>
        <w:t>.</w:t>
      </w:r>
    </w:p>
    <w:p w:rsidR="00D6668D" w:rsidRPr="00D6668D" w:rsidRDefault="00D6668D" w:rsidP="00D6668D">
      <w:pPr>
        <w:spacing w:before="0" w:after="0" w:line="276" w:lineRule="auto"/>
        <w:rPr>
          <w:rFonts w:ascii="Arial" w:hAnsi="Arial" w:cs="Arial"/>
          <w:sz w:val="22"/>
          <w:lang w:val="en"/>
        </w:rPr>
      </w:pPr>
      <w:r w:rsidRPr="00D6668D">
        <w:rPr>
          <w:rFonts w:ascii="Arial" w:hAnsi="Arial" w:cs="Arial"/>
          <w:b/>
          <w:sz w:val="22"/>
          <w:lang w:val="en"/>
        </w:rPr>
        <w:t>LIST</w:t>
      </w:r>
      <w:r w:rsidRPr="00D6668D">
        <w:rPr>
          <w:rFonts w:ascii="Arial" w:hAnsi="Arial" w:cs="Arial"/>
          <w:sz w:val="22"/>
          <w:lang w:val="en"/>
        </w:rPr>
        <w:t xml:space="preserve"> – </w:t>
      </w:r>
      <w:proofErr w:type="spellStart"/>
      <w:r w:rsidRPr="00D6668D">
        <w:rPr>
          <w:rFonts w:ascii="Arial" w:hAnsi="Arial" w:cs="Arial"/>
          <w:sz w:val="22"/>
          <w:lang w:val="en"/>
        </w:rPr>
        <w:t>sa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cvijeta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kroz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cvijetnu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dršku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parazit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dospjeva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na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mladare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lišće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. </w:t>
      </w:r>
      <w:proofErr w:type="spellStart"/>
      <w:r w:rsidRPr="00D6668D">
        <w:rPr>
          <w:rFonts w:ascii="Arial" w:hAnsi="Arial" w:cs="Arial"/>
          <w:sz w:val="22"/>
          <w:lang w:val="en"/>
        </w:rPr>
        <w:t>Oboljelo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lišće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dobija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crnu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boju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suši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izumire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ali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ne </w:t>
      </w:r>
      <w:proofErr w:type="spellStart"/>
      <w:r w:rsidRPr="00D6668D">
        <w:rPr>
          <w:rFonts w:ascii="Arial" w:hAnsi="Arial" w:cs="Arial"/>
          <w:sz w:val="22"/>
          <w:lang w:val="en"/>
        </w:rPr>
        <w:t>otpada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već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ostaje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na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granama</w:t>
      </w:r>
      <w:proofErr w:type="spellEnd"/>
      <w:r w:rsidRPr="00D6668D">
        <w:rPr>
          <w:rFonts w:ascii="Arial" w:hAnsi="Arial" w:cs="Arial"/>
          <w:sz w:val="22"/>
          <w:lang w:val="en"/>
        </w:rPr>
        <w:t>.</w:t>
      </w:r>
    </w:p>
    <w:p w:rsidR="00D6668D" w:rsidRPr="00D6668D" w:rsidRDefault="00D6668D" w:rsidP="00D6668D">
      <w:pPr>
        <w:spacing w:before="0" w:after="0" w:line="276" w:lineRule="auto"/>
        <w:rPr>
          <w:rFonts w:ascii="Arial" w:hAnsi="Arial" w:cs="Arial"/>
          <w:sz w:val="22"/>
          <w:lang w:val="en"/>
        </w:rPr>
      </w:pPr>
      <w:r w:rsidRPr="00D6668D">
        <w:rPr>
          <w:rFonts w:ascii="Arial" w:hAnsi="Arial" w:cs="Arial"/>
          <w:b/>
          <w:sz w:val="22"/>
          <w:lang w:val="en"/>
        </w:rPr>
        <w:t xml:space="preserve">MLADARI </w:t>
      </w:r>
      <w:r w:rsidRPr="00D6668D">
        <w:rPr>
          <w:rFonts w:ascii="Arial" w:hAnsi="Arial" w:cs="Arial"/>
          <w:sz w:val="22"/>
          <w:lang w:val="en"/>
        </w:rPr>
        <w:t xml:space="preserve">– </w:t>
      </w:r>
      <w:proofErr w:type="spellStart"/>
      <w:r w:rsidRPr="00D6668D">
        <w:rPr>
          <w:rFonts w:ascii="Arial" w:hAnsi="Arial" w:cs="Arial"/>
          <w:sz w:val="22"/>
          <w:lang w:val="en"/>
        </w:rPr>
        <w:t>oboljeli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mladari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venu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dobijajući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prvo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mrku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a </w:t>
      </w:r>
      <w:proofErr w:type="spellStart"/>
      <w:r w:rsidRPr="00D6668D">
        <w:rPr>
          <w:rFonts w:ascii="Arial" w:hAnsi="Arial" w:cs="Arial"/>
          <w:sz w:val="22"/>
          <w:lang w:val="en"/>
        </w:rPr>
        <w:t>potom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crnu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boju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pa </w:t>
      </w:r>
      <w:proofErr w:type="spellStart"/>
      <w:r w:rsidRPr="00D6668D">
        <w:rPr>
          <w:rFonts w:ascii="Arial" w:hAnsi="Arial" w:cs="Arial"/>
          <w:sz w:val="22"/>
          <w:lang w:val="en"/>
        </w:rPr>
        <w:t>zajedno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sa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crnim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osušenim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listovima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izgledaju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kao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zahvaćeni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plamenom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otuda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proofErr w:type="gramStart"/>
      <w:r w:rsidRPr="00D6668D">
        <w:rPr>
          <w:rFonts w:ascii="Arial" w:hAnsi="Arial" w:cs="Arial"/>
          <w:sz w:val="22"/>
          <w:lang w:val="en"/>
        </w:rPr>
        <w:t>naziv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”fire</w:t>
      </w:r>
      <w:proofErr w:type="gramEnd"/>
      <w:r w:rsidRPr="00D6668D">
        <w:rPr>
          <w:rFonts w:ascii="Arial" w:hAnsi="Arial" w:cs="Arial"/>
          <w:sz w:val="22"/>
          <w:lang w:val="en"/>
        </w:rPr>
        <w:t xml:space="preserve"> blight”.</w:t>
      </w:r>
      <w:r w:rsidRPr="00D6668D">
        <w:rPr>
          <w:rFonts w:ascii="Arial" w:hAnsi="Arial" w:cs="Arial"/>
          <w:sz w:val="22"/>
          <w:lang w:val="en"/>
        </w:rPr>
        <w:br/>
      </w:r>
      <w:proofErr w:type="spellStart"/>
      <w:r w:rsidRPr="00D6668D">
        <w:rPr>
          <w:rFonts w:ascii="Arial" w:hAnsi="Arial" w:cs="Arial"/>
          <w:sz w:val="22"/>
          <w:lang w:val="en"/>
        </w:rPr>
        <w:t>Parazit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postepeno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prelazi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na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deblje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grane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plodove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. </w:t>
      </w:r>
      <w:proofErr w:type="spellStart"/>
      <w:r w:rsidRPr="00D6668D">
        <w:rPr>
          <w:rFonts w:ascii="Arial" w:hAnsi="Arial" w:cs="Arial"/>
          <w:sz w:val="22"/>
          <w:lang w:val="en"/>
        </w:rPr>
        <w:t>Promjene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na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debljim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granama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 </w:t>
      </w:r>
      <w:proofErr w:type="spellStart"/>
      <w:r w:rsidRPr="00D6668D">
        <w:rPr>
          <w:rFonts w:ascii="Arial" w:hAnsi="Arial" w:cs="Arial"/>
          <w:sz w:val="22"/>
          <w:lang w:val="en"/>
        </w:rPr>
        <w:t>uočavaju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na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kori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na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kojoj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 </w:t>
      </w:r>
      <w:proofErr w:type="spellStart"/>
      <w:r w:rsidRPr="00D6668D">
        <w:rPr>
          <w:rFonts w:ascii="Arial" w:hAnsi="Arial" w:cs="Arial"/>
          <w:sz w:val="22"/>
          <w:lang w:val="en"/>
        </w:rPr>
        <w:t>pojavljuju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manje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ili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veće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površine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mrke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boje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. </w:t>
      </w:r>
      <w:proofErr w:type="spellStart"/>
      <w:r w:rsidRPr="00D6668D">
        <w:rPr>
          <w:rFonts w:ascii="Arial" w:hAnsi="Arial" w:cs="Arial"/>
          <w:sz w:val="22"/>
          <w:lang w:val="en"/>
        </w:rPr>
        <w:t>Oboljela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kora </w:t>
      </w:r>
      <w:proofErr w:type="spellStart"/>
      <w:r w:rsidRPr="00D6668D">
        <w:rPr>
          <w:rFonts w:ascii="Arial" w:hAnsi="Arial" w:cs="Arial"/>
          <w:sz w:val="22"/>
          <w:lang w:val="en"/>
        </w:rPr>
        <w:t>postaje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mekša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bubri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nabira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se, a </w:t>
      </w:r>
      <w:proofErr w:type="spellStart"/>
      <w:r w:rsidRPr="00D6668D">
        <w:rPr>
          <w:rFonts w:ascii="Arial" w:hAnsi="Arial" w:cs="Arial"/>
          <w:sz w:val="22"/>
          <w:lang w:val="en"/>
        </w:rPr>
        <w:t>potom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puca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. </w:t>
      </w:r>
      <w:proofErr w:type="spellStart"/>
      <w:r w:rsidRPr="00D6668D">
        <w:rPr>
          <w:rFonts w:ascii="Arial" w:hAnsi="Arial" w:cs="Arial"/>
          <w:sz w:val="22"/>
          <w:lang w:val="en"/>
        </w:rPr>
        <w:t>Inficirani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delovi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 </w:t>
      </w:r>
      <w:proofErr w:type="spellStart"/>
      <w:r w:rsidRPr="00D6668D">
        <w:rPr>
          <w:rFonts w:ascii="Arial" w:hAnsi="Arial" w:cs="Arial"/>
          <w:sz w:val="22"/>
          <w:lang w:val="en"/>
        </w:rPr>
        <w:t>suše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ljušte</w:t>
      </w:r>
      <w:proofErr w:type="spellEnd"/>
      <w:r w:rsidRPr="00D6668D">
        <w:rPr>
          <w:rFonts w:ascii="Arial" w:hAnsi="Arial" w:cs="Arial"/>
          <w:sz w:val="22"/>
          <w:lang w:val="en"/>
        </w:rPr>
        <w:t>.</w:t>
      </w:r>
      <w:r w:rsidRPr="00D6668D">
        <w:rPr>
          <w:rFonts w:ascii="Arial" w:hAnsi="Arial" w:cs="Arial"/>
          <w:sz w:val="22"/>
          <w:lang w:val="en"/>
        </w:rPr>
        <w:br/>
      </w:r>
      <w:proofErr w:type="spellStart"/>
      <w:r w:rsidRPr="00D6668D">
        <w:rPr>
          <w:rFonts w:ascii="Arial" w:hAnsi="Arial" w:cs="Arial"/>
          <w:sz w:val="22"/>
          <w:lang w:val="en"/>
        </w:rPr>
        <w:t>Iz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oboljelih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djelova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kad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je </w:t>
      </w:r>
      <w:proofErr w:type="spellStart"/>
      <w:r w:rsidRPr="00D6668D">
        <w:rPr>
          <w:rFonts w:ascii="Arial" w:hAnsi="Arial" w:cs="Arial"/>
          <w:sz w:val="22"/>
          <w:lang w:val="en"/>
        </w:rPr>
        <w:t>vlažno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pojavljuje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 </w:t>
      </w:r>
      <w:proofErr w:type="spellStart"/>
      <w:r w:rsidRPr="00D6668D">
        <w:rPr>
          <w:rFonts w:ascii="Arial" w:hAnsi="Arial" w:cs="Arial"/>
          <w:sz w:val="22"/>
          <w:lang w:val="en"/>
        </w:rPr>
        <w:t>mnoštvo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kapljica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bakterijskog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eksudata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ćilibarnožute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posle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mrke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boje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. </w:t>
      </w:r>
      <w:proofErr w:type="spellStart"/>
      <w:r w:rsidRPr="00D6668D">
        <w:rPr>
          <w:rFonts w:ascii="Arial" w:hAnsi="Arial" w:cs="Arial"/>
          <w:sz w:val="22"/>
          <w:lang w:val="en"/>
        </w:rPr>
        <w:t>Iz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tih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bakterijskih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eksudata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se </w:t>
      </w:r>
      <w:proofErr w:type="spellStart"/>
      <w:r w:rsidRPr="00D6668D">
        <w:rPr>
          <w:rFonts w:ascii="Arial" w:hAnsi="Arial" w:cs="Arial"/>
          <w:sz w:val="22"/>
          <w:lang w:val="en"/>
        </w:rPr>
        <w:t>širi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zaraza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insektima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kapljicama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vode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D6668D">
        <w:rPr>
          <w:rFonts w:ascii="Arial" w:hAnsi="Arial" w:cs="Arial"/>
          <w:sz w:val="22"/>
          <w:lang w:val="en"/>
        </w:rPr>
        <w:t>vjetrom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i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sl. (</w:t>
      </w:r>
      <w:proofErr w:type="spellStart"/>
      <w:r w:rsidRPr="00D6668D">
        <w:rPr>
          <w:rFonts w:ascii="Arial" w:hAnsi="Arial" w:cs="Arial"/>
          <w:sz w:val="22"/>
          <w:lang w:val="en"/>
        </w:rPr>
        <w:t>česticama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pjeska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na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pjeskovitim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 </w:t>
      </w:r>
      <w:proofErr w:type="spellStart"/>
      <w:r w:rsidRPr="00D6668D">
        <w:rPr>
          <w:rFonts w:ascii="Arial" w:hAnsi="Arial" w:cs="Arial"/>
          <w:sz w:val="22"/>
          <w:lang w:val="en"/>
        </w:rPr>
        <w:t>zemljištima</w:t>
      </w:r>
      <w:proofErr w:type="spellEnd"/>
      <w:r w:rsidRPr="00D6668D">
        <w:rPr>
          <w:rFonts w:ascii="Arial" w:hAnsi="Arial" w:cs="Arial"/>
          <w:sz w:val="22"/>
          <w:lang w:val="en"/>
        </w:rPr>
        <w:t xml:space="preserve">). </w:t>
      </w:r>
    </w:p>
    <w:p w:rsidR="00D6668D" w:rsidRPr="00D6668D" w:rsidRDefault="00D6668D" w:rsidP="00D6668D">
      <w:pPr>
        <w:spacing w:before="0" w:after="0" w:line="276" w:lineRule="auto"/>
        <w:rPr>
          <w:rFonts w:ascii="Arial" w:eastAsia="Times New Roman" w:hAnsi="Arial" w:cs="Arial"/>
          <w:color w:val="000000"/>
          <w:szCs w:val="24"/>
          <w:lang w:val="en" w:eastAsia="sr-Latn-ME"/>
        </w:rPr>
      </w:pPr>
    </w:p>
    <w:tbl>
      <w:tblPr>
        <w:tblW w:w="11724" w:type="dxa"/>
        <w:tblInd w:w="93" w:type="dxa"/>
        <w:tblLook w:val="04A0" w:firstRow="1" w:lastRow="0" w:firstColumn="1" w:lastColumn="0" w:noHBand="0" w:noVBand="1"/>
      </w:tblPr>
      <w:tblGrid>
        <w:gridCol w:w="11724"/>
      </w:tblGrid>
      <w:tr w:rsidR="00D6668D" w:rsidRPr="00D6668D" w:rsidTr="003F1191">
        <w:trPr>
          <w:trHeight w:val="300"/>
        </w:trPr>
        <w:tc>
          <w:tcPr>
            <w:tcW w:w="1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68D" w:rsidRPr="00D6668D" w:rsidRDefault="00D6668D" w:rsidP="00D6668D">
            <w:pPr>
              <w:spacing w:before="0" w:after="0" w:line="240" w:lineRule="auto"/>
              <w:ind w:left="-93"/>
              <w:rPr>
                <w:rFonts w:ascii="Arial" w:eastAsia="Times New Roman" w:hAnsi="Arial" w:cs="Arial"/>
                <w:b/>
                <w:color w:val="000000"/>
                <w:sz w:val="22"/>
                <w:lang w:eastAsia="sr-Latn-ME"/>
              </w:rPr>
            </w:pPr>
            <w:r w:rsidRPr="00D6668D">
              <w:rPr>
                <w:rFonts w:ascii="Arial" w:hAnsi="Arial" w:cs="Arial"/>
                <w:b/>
                <w:sz w:val="22"/>
                <w:lang w:val="en"/>
              </w:rPr>
              <w:t xml:space="preserve">BILJKE DOMAĆINI : </w:t>
            </w:r>
          </w:p>
          <w:p w:rsidR="00D6668D" w:rsidRPr="00D6668D" w:rsidRDefault="00D6668D" w:rsidP="00D6668D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sr-Latn-ME"/>
              </w:rPr>
            </w:pPr>
          </w:p>
          <w:tbl>
            <w:tblPr>
              <w:tblW w:w="6940" w:type="dxa"/>
              <w:tblLook w:val="04A0" w:firstRow="1" w:lastRow="0" w:firstColumn="1" w:lastColumn="0" w:noHBand="0" w:noVBand="1"/>
            </w:tblPr>
            <w:tblGrid>
              <w:gridCol w:w="1360"/>
              <w:gridCol w:w="1120"/>
              <w:gridCol w:w="4460"/>
            </w:tblGrid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tip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EPPO kod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Latinsko ime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CTTBU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bullatus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CTTDA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dammeri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CTTLA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lacteus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CTTLU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lucidus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CTTMI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microphyllus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CTTMO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moupinensis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CTTSA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salicifolius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CTTWT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x watereri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CSCOX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Crataegus laevigata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CSCMO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Crataegus monogyna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MABSD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Malus domestica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STVDA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Photinia davidiana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PYECN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Pyracantha crenatoserrata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PYUCO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Pyrus communis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PYUUS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Pyrus ussuriensis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Major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SOUAI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Sorbus aria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AMEAL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Amelanchier alnifolia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AMECA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Amelanchier canadensis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1CNMG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Chaenomeles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PDCSI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Chaenomeles sinensis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1CTTG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1CSCG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Crataegus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CYDOB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Cydonia oblonga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EIOJA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Eriobotrya japonica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1MABG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Malus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MSPGE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Mespilus germanica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1PYEG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Pyracantha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PYECO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Pyracantha coccinea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PYUEK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Pyrus elaeagnifolia var. kotschyana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Minor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1SOUG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Sorbus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Incidental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CTTHO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Cotoneaster horizontalis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Incidental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MABFB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Malus floribunda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Incidental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PRNAR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Prunus armeniaca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Incidental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PRNDO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Prunus domestica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Incidental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PYUBO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Pyrus bourgaeana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Incidental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ROSCN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Rosa canina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Incidental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RUBFR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Rubus fruticosus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Incidental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SPVPR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Spiraea prunifolia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Wild/Weed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1PYUG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Pyrus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Wild/Weed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PYUPS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Pyrus pyraster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Artificial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1ROSG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Rosa</w:t>
                  </w:r>
                </w:p>
              </w:tc>
            </w:tr>
            <w:tr w:rsidR="00D6668D" w:rsidRPr="00D6668D" w:rsidTr="003F1191">
              <w:trPr>
                <w:trHeight w:val="300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Artificial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color w:val="000000"/>
                      <w:sz w:val="22"/>
                      <w:lang w:eastAsia="sr-Latn-ME"/>
                    </w:rPr>
                    <w:t>RUBID</w:t>
                  </w: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668D" w:rsidRPr="00D6668D" w:rsidRDefault="00D6668D" w:rsidP="00D6668D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</w:pPr>
                  <w:r w:rsidRPr="00D6668D">
                    <w:rPr>
                      <w:rFonts w:ascii="Arial" w:eastAsia="Times New Roman" w:hAnsi="Arial" w:cs="Arial"/>
                      <w:i/>
                      <w:color w:val="000000"/>
                      <w:sz w:val="22"/>
                      <w:lang w:eastAsia="sr-Latn-ME"/>
                    </w:rPr>
                    <w:t>Rubus idaeus</w:t>
                  </w:r>
                </w:p>
              </w:tc>
            </w:tr>
          </w:tbl>
          <w:p w:rsidR="00D6668D" w:rsidRPr="00D6668D" w:rsidRDefault="00D6668D" w:rsidP="00D6668D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sr-Latn-ME"/>
              </w:rPr>
            </w:pPr>
          </w:p>
        </w:tc>
      </w:tr>
    </w:tbl>
    <w:p w:rsidR="00D6668D" w:rsidRPr="00D6668D" w:rsidRDefault="00D6668D" w:rsidP="00D6668D">
      <w:pPr>
        <w:numPr>
          <w:ilvl w:val="0"/>
          <w:numId w:val="14"/>
        </w:numPr>
        <w:spacing w:before="0" w:after="0" w:line="330" w:lineRule="atLeast"/>
        <w:ind w:left="714" w:hanging="357"/>
        <w:jc w:val="left"/>
        <w:rPr>
          <w:rFonts w:ascii="Arial" w:eastAsia="Times New Roman" w:hAnsi="Arial" w:cs="Arial"/>
          <w:color w:val="000000"/>
          <w:szCs w:val="24"/>
          <w:lang w:val="en" w:eastAsia="sr-Latn-ME"/>
        </w:rPr>
      </w:pP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Bakterija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se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obično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unosi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 xml:space="preserve"> u nova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lang w:val="en" w:eastAsia="sr-Latn-ME"/>
        </w:rPr>
        <w:t>područja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zaraženim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sadnim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materijalom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koji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može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ili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ne mora da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pokazuje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simptome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;</w:t>
      </w:r>
    </w:p>
    <w:p w:rsidR="00D6668D" w:rsidRPr="00D6668D" w:rsidRDefault="00D6668D" w:rsidP="00D6668D">
      <w:pPr>
        <w:numPr>
          <w:ilvl w:val="0"/>
          <w:numId w:val="14"/>
        </w:numPr>
        <w:spacing w:before="0" w:after="0" w:line="330" w:lineRule="atLeast"/>
        <w:ind w:left="714" w:hanging="357"/>
        <w:jc w:val="left"/>
        <w:rPr>
          <w:rFonts w:ascii="Arial" w:eastAsia="Times New Roman" w:hAnsi="Arial" w:cs="Arial"/>
          <w:color w:val="000000"/>
          <w:szCs w:val="24"/>
          <w:lang w:val="en" w:eastAsia="sr-Latn-ME"/>
        </w:rPr>
      </w:pP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Primarne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infekcije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obično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se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javljaju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u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proljeće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kroz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rane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na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mladim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izdancima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ili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cvjetovima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;</w:t>
      </w:r>
    </w:p>
    <w:p w:rsidR="00D6668D" w:rsidRPr="00D6668D" w:rsidRDefault="00D6668D" w:rsidP="00D6668D">
      <w:pPr>
        <w:numPr>
          <w:ilvl w:val="0"/>
          <w:numId w:val="14"/>
        </w:numPr>
        <w:spacing w:before="0" w:after="0" w:line="330" w:lineRule="atLeast"/>
        <w:ind w:left="714" w:hanging="357"/>
        <w:jc w:val="left"/>
        <w:rPr>
          <w:rFonts w:ascii="Arial" w:eastAsia="Times New Roman" w:hAnsi="Arial" w:cs="Arial"/>
          <w:color w:val="000000"/>
          <w:szCs w:val="24"/>
          <w:lang w:val="en" w:eastAsia="sr-Latn-ME"/>
        </w:rPr>
      </w:pPr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Mladari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,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listovi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cvjetovi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se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mogu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testirati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;</w:t>
      </w:r>
    </w:p>
    <w:p w:rsidR="00D6668D" w:rsidRPr="00D6668D" w:rsidRDefault="00D6668D" w:rsidP="00D6668D">
      <w:pPr>
        <w:numPr>
          <w:ilvl w:val="0"/>
          <w:numId w:val="14"/>
        </w:numPr>
        <w:spacing w:before="0" w:after="0" w:line="330" w:lineRule="atLeast"/>
        <w:ind w:left="714" w:hanging="357"/>
        <w:jc w:val="left"/>
        <w:rPr>
          <w:rFonts w:ascii="Arial" w:eastAsia="Times New Roman" w:hAnsi="Arial" w:cs="Arial"/>
          <w:color w:val="000000"/>
          <w:szCs w:val="24"/>
          <w:lang w:val="en" w:eastAsia="sr-Latn-ME"/>
        </w:rPr>
      </w:pPr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Ne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dodavati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previše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biljnog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materijala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u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ekstrakcioni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pufer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;</w:t>
      </w:r>
    </w:p>
    <w:p w:rsidR="00D6668D" w:rsidRPr="00D6668D" w:rsidRDefault="00D6668D" w:rsidP="00D6668D">
      <w:pPr>
        <w:numPr>
          <w:ilvl w:val="0"/>
          <w:numId w:val="14"/>
        </w:numPr>
        <w:spacing w:before="0" w:after="0" w:line="330" w:lineRule="atLeast"/>
        <w:ind w:left="714" w:hanging="357"/>
        <w:jc w:val="left"/>
        <w:rPr>
          <w:rFonts w:ascii="Arial" w:eastAsia="Times New Roman" w:hAnsi="Arial" w:cs="Arial"/>
          <w:color w:val="000000"/>
          <w:szCs w:val="24"/>
          <w:lang w:val="en" w:eastAsia="sr-Latn-ME"/>
        </w:rPr>
      </w:pP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Voditi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računa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da se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izbjegne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unakrsna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kontaminacija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uzorka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,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prenošenjem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biljnog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materijala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na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ruke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i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alate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 xml:space="preserve"> za </w:t>
      </w:r>
      <w:proofErr w:type="spellStart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rezanje</w:t>
      </w:r>
      <w:proofErr w:type="spellEnd"/>
      <w:r w:rsidRPr="00D6668D">
        <w:rPr>
          <w:rFonts w:ascii="Arial" w:eastAsia="Times New Roman" w:hAnsi="Arial" w:cs="Arial"/>
          <w:color w:val="000000"/>
          <w:szCs w:val="24"/>
          <w:lang w:val="en" w:eastAsia="sr-Latn-ME"/>
        </w:rPr>
        <w:t>;</w:t>
      </w:r>
    </w:p>
    <w:p w:rsidR="00D6668D" w:rsidRPr="00D6668D" w:rsidRDefault="00D6668D" w:rsidP="00D6668D">
      <w:pPr>
        <w:spacing w:before="225" w:after="225" w:line="330" w:lineRule="atLeast"/>
        <w:jc w:val="center"/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</w:pPr>
      <w:r w:rsidRPr="00D6668D">
        <w:rPr>
          <w:rFonts w:ascii="Arial" w:eastAsia="Times New Roman" w:hAnsi="Arial" w:cs="Arial"/>
          <w:b/>
          <w:noProof/>
          <w:color w:val="000000"/>
          <w:szCs w:val="24"/>
          <w:u w:val="single"/>
          <w:lang w:val="en-US"/>
        </w:rPr>
        <w:drawing>
          <wp:inline distT="0" distB="0" distL="0" distR="0" wp14:anchorId="5CB12478" wp14:editId="12D0ED1B">
            <wp:extent cx="4102873" cy="3718557"/>
            <wp:effectExtent l="19050" t="19050" r="12065" b="158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502" cy="37173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</w:p>
    <w:p w:rsidR="00D6668D" w:rsidRPr="00D6668D" w:rsidRDefault="00D6668D" w:rsidP="00D6668D">
      <w:pPr>
        <w:spacing w:before="225" w:after="225" w:line="330" w:lineRule="atLeast"/>
        <w:jc w:val="left"/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</w:pP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Izvođenje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 xml:space="preserve"> </w:t>
      </w:r>
      <w:proofErr w:type="spellStart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testa</w:t>
      </w:r>
      <w:proofErr w:type="spellEnd"/>
      <w:r w:rsidRPr="00D6668D">
        <w:rPr>
          <w:rFonts w:ascii="Arial" w:eastAsia="Times New Roman" w:hAnsi="Arial" w:cs="Arial"/>
          <w:b/>
          <w:color w:val="000000"/>
          <w:szCs w:val="24"/>
          <w:u w:val="single"/>
          <w:lang w:val="en" w:eastAsia="sr-Latn-ME"/>
        </w:rPr>
        <w:t>:</w:t>
      </w:r>
    </w:p>
    <w:p w:rsidR="00D6668D" w:rsidRPr="00D6668D" w:rsidRDefault="00D6668D" w:rsidP="00D6668D">
      <w:pPr>
        <w:spacing w:before="0" w:line="276" w:lineRule="auto"/>
        <w:rPr>
          <w:rFonts w:ascii="Arial" w:hAnsi="Arial" w:cs="Arial"/>
          <w:color w:val="222222"/>
          <w:sz w:val="22"/>
          <w:lang w:val="hr-HR"/>
        </w:rPr>
      </w:pPr>
      <w:r w:rsidRPr="00D6668D">
        <w:rPr>
          <w:rFonts w:ascii="Arial" w:hAnsi="Arial" w:cs="Arial"/>
          <w:color w:val="222222"/>
          <w:sz w:val="22"/>
          <w:lang w:val="hr-HR"/>
        </w:rPr>
        <w:t xml:space="preserve">Uzeti mali fragmenat (0,2 g ili 25 mm kvadratni komad) biljnog materijala, ako je moguće simptomatskog tkiva uključujući mjesto spajanja zdravog i bolesnog tkiva. Ne koristiti mrtva tkiva. Ako se koristi uzorak korijena potrebno ga je isprati vodom, radi odstranjivanja zemlje. Listove sa debelom kutikulom treba usitniti prije dodavanja u ekstrakcioni pufer. </w:t>
      </w:r>
    </w:p>
    <w:p w:rsidR="00D6668D" w:rsidRPr="00D6668D" w:rsidRDefault="00D6668D" w:rsidP="00D6668D">
      <w:pPr>
        <w:spacing w:before="0" w:line="276" w:lineRule="auto"/>
        <w:rPr>
          <w:rFonts w:ascii="Arial" w:hAnsi="Arial" w:cs="Arial"/>
          <w:color w:val="222222"/>
          <w:sz w:val="22"/>
          <w:lang w:val="hr-HR"/>
        </w:rPr>
      </w:pPr>
      <w:r w:rsidRPr="00D6668D">
        <w:rPr>
          <w:rFonts w:ascii="Arial" w:hAnsi="Arial" w:cs="Arial"/>
          <w:color w:val="222222"/>
          <w:sz w:val="22"/>
          <w:lang w:val="hr-HR"/>
        </w:rPr>
        <w:t>Protresti flašicu snažno, 30 sekundi (60 sekundi ako je materijal tvrd ili drven), sve dok ekstrakcijski pufer više ne bude bezbojan.</w:t>
      </w:r>
    </w:p>
    <w:p w:rsidR="00D6668D" w:rsidRPr="00D6668D" w:rsidRDefault="00D6668D" w:rsidP="00D6668D">
      <w:pPr>
        <w:spacing w:before="0" w:line="276" w:lineRule="auto"/>
        <w:rPr>
          <w:rFonts w:ascii="Arial" w:hAnsi="Arial" w:cs="Arial"/>
          <w:color w:val="222222"/>
          <w:sz w:val="22"/>
          <w:lang w:val="hr-HR"/>
        </w:rPr>
      </w:pPr>
      <w:r w:rsidRPr="00D6668D">
        <w:rPr>
          <w:rFonts w:ascii="Arial" w:hAnsi="Arial" w:cs="Arial"/>
          <w:color w:val="222222"/>
          <w:sz w:val="22"/>
          <w:lang w:val="hr-HR"/>
        </w:rPr>
        <w:t xml:space="preserve">Izvaditi uređaj za testiranje (pločica) iz folije u kojoj je upakovan i postaviti ga na ravnu površinu sa prozorom za gledanje okrenutim prema gore. Ne dodirivati prozor za gledanje. </w:t>
      </w:r>
    </w:p>
    <w:p w:rsidR="00D6668D" w:rsidRPr="00D6668D" w:rsidRDefault="00D6668D" w:rsidP="00D6668D">
      <w:pPr>
        <w:spacing w:before="0" w:line="276" w:lineRule="auto"/>
        <w:rPr>
          <w:rFonts w:ascii="Arial" w:hAnsi="Arial" w:cs="Arial"/>
          <w:color w:val="222222"/>
          <w:sz w:val="22"/>
          <w:lang w:val="hr-HR"/>
        </w:rPr>
      </w:pPr>
      <w:r w:rsidRPr="00D6668D">
        <w:rPr>
          <w:rFonts w:ascii="Arial" w:hAnsi="Arial" w:cs="Arial"/>
          <w:color w:val="222222"/>
          <w:sz w:val="22"/>
          <w:lang w:val="hr-HR"/>
        </w:rPr>
        <w:t>Otvoriti flašicu za ekstrakciju i iz nje izvuci dio tečnosti pomoću pipete. Nježno istisniti 2 ili 3 kapi uzorka tečnosti u bunarčic  uređaja za testiranje (pločice). Paziti da se uzorak ne izlije.</w:t>
      </w:r>
    </w:p>
    <w:p w:rsidR="00D6668D" w:rsidRPr="00D6668D" w:rsidRDefault="00D6668D" w:rsidP="00D6668D">
      <w:pPr>
        <w:spacing w:before="0" w:line="276" w:lineRule="auto"/>
        <w:rPr>
          <w:rFonts w:ascii="Arial" w:hAnsi="Arial" w:cs="Arial"/>
          <w:color w:val="222222"/>
          <w:sz w:val="22"/>
          <w:lang w:val="hr-HR"/>
        </w:rPr>
      </w:pPr>
      <w:r w:rsidRPr="00D6668D">
        <w:rPr>
          <w:rFonts w:ascii="Arial" w:hAnsi="Arial" w:cs="Arial"/>
          <w:color w:val="222222"/>
          <w:sz w:val="22"/>
          <w:lang w:val="hr-HR"/>
        </w:rPr>
        <w:t xml:space="preserve">Nakon otprilike 30 sekundi pojavljuje se plava boja u prozoru za gledanje dok tečnost  teče duž uređaja za testiranje. </w:t>
      </w:r>
    </w:p>
    <w:p w:rsidR="00D6668D" w:rsidRPr="00D6668D" w:rsidRDefault="00D6668D" w:rsidP="00D6668D">
      <w:pPr>
        <w:spacing w:before="0" w:line="276" w:lineRule="auto"/>
        <w:rPr>
          <w:rFonts w:ascii="Arial" w:hAnsi="Arial" w:cs="Arial"/>
          <w:color w:val="222222"/>
          <w:sz w:val="22"/>
          <w:lang w:val="hr-HR"/>
        </w:rPr>
      </w:pPr>
      <w:r w:rsidRPr="00D6668D">
        <w:rPr>
          <w:rFonts w:ascii="Arial" w:hAnsi="Arial" w:cs="Arial"/>
          <w:color w:val="222222"/>
          <w:sz w:val="22"/>
          <w:lang w:val="hr-HR"/>
        </w:rPr>
        <w:t>Plava linija (Kontrolna linija) pojavljuje se pored slova "C" na uređaju (niže, desno). Ova linija potvrđuje da tekst ispravno funkcioniše.</w:t>
      </w:r>
    </w:p>
    <w:p w:rsidR="00D6668D" w:rsidRPr="00D6668D" w:rsidRDefault="00D6668D" w:rsidP="00D6668D">
      <w:pPr>
        <w:spacing w:before="0" w:line="276" w:lineRule="auto"/>
        <w:rPr>
          <w:rFonts w:ascii="Arial" w:hAnsi="Arial" w:cs="Arial"/>
          <w:color w:val="222222"/>
          <w:sz w:val="22"/>
          <w:lang w:val="hr-HR"/>
        </w:rPr>
      </w:pPr>
      <w:r w:rsidRPr="00D6668D">
        <w:rPr>
          <w:rFonts w:ascii="Arial" w:hAnsi="Arial" w:cs="Arial"/>
          <w:color w:val="222222"/>
          <w:sz w:val="22"/>
          <w:lang w:val="hr-HR"/>
        </w:rPr>
        <w:br/>
        <w:t xml:space="preserve">Ako je test pozitivan, pojavljuje se druga plava linija,  pored slova "T" na uređaju (niže, srednji). </w:t>
      </w:r>
    </w:p>
    <w:p w:rsidR="00D6668D" w:rsidRPr="00D6668D" w:rsidRDefault="00D6668D" w:rsidP="00D6668D">
      <w:pPr>
        <w:spacing w:before="0" w:line="276" w:lineRule="auto"/>
        <w:rPr>
          <w:rFonts w:ascii="Arial" w:hAnsi="Arial" w:cs="Arial"/>
          <w:color w:val="222222"/>
          <w:sz w:val="22"/>
          <w:lang w:val="hr-HR"/>
        </w:rPr>
      </w:pPr>
      <w:r w:rsidRPr="00D6668D">
        <w:rPr>
          <w:rFonts w:ascii="Arial" w:hAnsi="Arial" w:cs="Arial"/>
          <w:color w:val="222222"/>
          <w:sz w:val="22"/>
          <w:lang w:val="hr-HR"/>
        </w:rPr>
        <w:t xml:space="preserve">Linije će se pojavljivati  u roku od 10 minuta nakon dodavanja uzorka uređaju za testiranje, koliko se vremenski i očitava reakcija. </w:t>
      </w:r>
    </w:p>
    <w:p w:rsidR="00663653" w:rsidRPr="00D6668D" w:rsidRDefault="00663653" w:rsidP="00663653">
      <w:pPr>
        <w:tabs>
          <w:tab w:val="left" w:pos="0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4B035F" w:rsidRPr="00D6668D" w:rsidRDefault="00663653" w:rsidP="004B035F">
      <w:pPr>
        <w:tabs>
          <w:tab w:val="left" w:pos="6960"/>
        </w:tabs>
        <w:spacing w:before="0" w:after="0" w:line="240" w:lineRule="auto"/>
        <w:rPr>
          <w:rFonts w:ascii="Arial" w:eastAsia="Times New Roman" w:hAnsi="Arial" w:cs="Arial"/>
          <w:b/>
          <w:sz w:val="22"/>
          <w:lang w:val="en-US"/>
        </w:rPr>
      </w:pPr>
      <w:r w:rsidRPr="00D6668D">
        <w:rPr>
          <w:rFonts w:ascii="Arial" w:hAnsi="Arial" w:cs="Arial"/>
          <w:sz w:val="20"/>
          <w:szCs w:val="20"/>
        </w:rPr>
        <w:t>Obrađivač: Mr Tamara Popović, načelnica</w:t>
      </w:r>
      <w:r w:rsidRPr="00D6668D">
        <w:rPr>
          <w:rFonts w:ascii="Arial" w:hAnsi="Arial" w:cs="Arial"/>
          <w:sz w:val="22"/>
        </w:rPr>
        <w:t xml:space="preserve">                                                        </w:t>
      </w:r>
      <w:r w:rsidRPr="00D6668D">
        <w:rPr>
          <w:rFonts w:ascii="Arial" w:eastAsia="Times New Roman" w:hAnsi="Arial" w:cs="Arial"/>
          <w:b/>
          <w:sz w:val="22"/>
          <w:lang w:val="en-US"/>
        </w:rPr>
        <w:t>DIREKTOR</w:t>
      </w:r>
      <w:r w:rsidR="004B035F" w:rsidRPr="00D6668D">
        <w:rPr>
          <w:rFonts w:ascii="Arial" w:eastAsia="Times New Roman" w:hAnsi="Arial" w:cs="Arial"/>
          <w:b/>
          <w:sz w:val="22"/>
          <w:lang w:val="en-US"/>
        </w:rPr>
        <w:t>ICA</w:t>
      </w:r>
    </w:p>
    <w:p w:rsidR="00663653" w:rsidRPr="00D6668D" w:rsidRDefault="00663653" w:rsidP="004B035F">
      <w:pPr>
        <w:tabs>
          <w:tab w:val="left" w:pos="6960"/>
        </w:tabs>
        <w:spacing w:before="0" w:after="0" w:line="240" w:lineRule="auto"/>
        <w:rPr>
          <w:rFonts w:ascii="Arial" w:hAnsi="Arial" w:cs="Arial"/>
          <w:sz w:val="22"/>
        </w:rPr>
      </w:pPr>
      <w:r w:rsidRPr="00D6668D">
        <w:rPr>
          <w:rFonts w:ascii="Arial" w:hAnsi="Arial" w:cs="Arial"/>
          <w:sz w:val="20"/>
          <w:szCs w:val="20"/>
        </w:rPr>
        <w:t>Odsjek za zdravstvenu zaštitu bilja</w:t>
      </w:r>
      <w:r w:rsidRPr="00D6668D">
        <w:rPr>
          <w:rFonts w:ascii="Arial" w:hAnsi="Arial" w:cs="Arial"/>
          <w:sz w:val="22"/>
        </w:rPr>
        <w:t xml:space="preserve">                                                                   </w:t>
      </w:r>
    </w:p>
    <w:p w:rsidR="00445504" w:rsidRPr="00D6668D" w:rsidRDefault="004B035F" w:rsidP="00D6668D">
      <w:pPr>
        <w:tabs>
          <w:tab w:val="left" w:pos="6960"/>
        </w:tabs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en-US"/>
        </w:rPr>
      </w:pPr>
      <w:r w:rsidRPr="00D6668D">
        <w:rPr>
          <w:rFonts w:ascii="Arial" w:eastAsia="Times New Roman" w:hAnsi="Arial" w:cs="Arial"/>
          <w:sz w:val="22"/>
          <w:lang w:val="en-US"/>
        </w:rPr>
        <w:t xml:space="preserve">                                                                                       </w:t>
      </w:r>
      <w:r w:rsidR="00D6668D" w:rsidRPr="00D6668D">
        <w:rPr>
          <w:rFonts w:ascii="Arial" w:eastAsia="Times New Roman" w:hAnsi="Arial" w:cs="Arial"/>
          <w:sz w:val="22"/>
          <w:lang w:val="en-US"/>
        </w:rPr>
        <w:t xml:space="preserve">                          </w:t>
      </w:r>
      <w:r w:rsidR="00663653" w:rsidRPr="00D6668D">
        <w:rPr>
          <w:rFonts w:ascii="Arial" w:eastAsia="Times New Roman" w:hAnsi="Arial" w:cs="Arial"/>
          <w:sz w:val="22"/>
          <w:lang w:val="en-US"/>
        </w:rPr>
        <w:t xml:space="preserve">Vesna </w:t>
      </w:r>
      <w:proofErr w:type="spellStart"/>
      <w:r w:rsidR="00663653" w:rsidRPr="00D6668D">
        <w:rPr>
          <w:rFonts w:ascii="Arial" w:eastAsia="Times New Roman" w:hAnsi="Arial" w:cs="Arial"/>
          <w:sz w:val="22"/>
          <w:lang w:val="en-US"/>
        </w:rPr>
        <w:t>Daković</w:t>
      </w:r>
      <w:proofErr w:type="spellEnd"/>
      <w:r w:rsidR="00663653" w:rsidRPr="00D6668D">
        <w:rPr>
          <w:rFonts w:ascii="Arial" w:eastAsia="Times New Roman" w:hAnsi="Arial" w:cs="Arial"/>
          <w:b/>
          <w:sz w:val="22"/>
          <w:lang w:val="en-US"/>
        </w:rPr>
        <w:t xml:space="preserve">                                                                                         </w:t>
      </w:r>
    </w:p>
    <w:sectPr w:rsidR="00445504" w:rsidRPr="00D6668D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557" w:rsidRDefault="00477557" w:rsidP="00A6505B">
      <w:pPr>
        <w:spacing w:before="0" w:after="0" w:line="240" w:lineRule="auto"/>
      </w:pPr>
      <w:r>
        <w:separator/>
      </w:r>
    </w:p>
  </w:endnote>
  <w:endnote w:type="continuationSeparator" w:id="0">
    <w:p w:rsidR="00477557" w:rsidRDefault="0047755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557" w:rsidRDefault="00477557" w:rsidP="00A6505B">
      <w:pPr>
        <w:spacing w:before="0" w:after="0" w:line="240" w:lineRule="auto"/>
      </w:pPr>
      <w:r>
        <w:separator/>
      </w:r>
    </w:p>
  </w:footnote>
  <w:footnote w:type="continuationSeparator" w:id="0">
    <w:p w:rsidR="00477557" w:rsidRDefault="0047755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7C81F31D" wp14:editId="2058ACA1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63B15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4E3512B" wp14:editId="1FAD865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B32DA7" w:rsidRDefault="00001178" w:rsidP="00B32DA7">
    <w:pPr>
      <w:pStyle w:val="Heading1"/>
    </w:pPr>
    <w:r w:rsidRPr="00451F6C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F074F0E" wp14:editId="3670C6AB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2DA7">
                            <w:rPr>
                              <w:sz w:val="20"/>
                            </w:rPr>
                            <w:t>Serdara Jola Piletića br.26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 w:rsidR="00B32DA7">
                            <w:rPr>
                              <w:sz w:val="20"/>
                            </w:rPr>
                            <w:t>201 945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B32DA7">
                            <w:rPr>
                              <w:sz w:val="20"/>
                            </w:rPr>
                            <w:t>201 946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B32DA7">
                            <w:rPr>
                              <w:color w:val="0070C0"/>
                              <w:sz w:val="20"/>
                            </w:rPr>
                            <w:t>ubh.gov.me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074F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B32DA7">
                      <w:rPr>
                        <w:sz w:val="20"/>
                      </w:rPr>
                      <w:t>Serdara Jola Piletića br.26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 w:rsidR="00B32DA7">
                      <w:rPr>
                        <w:sz w:val="20"/>
                      </w:rPr>
                      <w:t>201 945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B32DA7">
                      <w:rPr>
                        <w:sz w:val="20"/>
                      </w:rPr>
                      <w:t>201 946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B32DA7">
                      <w:rPr>
                        <w:color w:val="0070C0"/>
                        <w:sz w:val="20"/>
                      </w:rPr>
                      <w:t>ubh.gov.me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32DA7">
      <w:t>Uprava za bezbjednost hrane, veterinu</w:t>
    </w:r>
  </w:p>
  <w:p w:rsidR="00B32DA7" w:rsidRPr="00451F6C" w:rsidRDefault="00B32DA7" w:rsidP="00B32DA7">
    <w:pPr>
      <w:pStyle w:val="Heading1"/>
    </w:pPr>
    <w:r>
      <w:t xml:space="preserve">i fitosanitarne poslove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4C07"/>
    <w:multiLevelType w:val="hybridMultilevel"/>
    <w:tmpl w:val="DE96A9B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9C7"/>
    <w:multiLevelType w:val="hybridMultilevel"/>
    <w:tmpl w:val="E1BC8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C7FED"/>
    <w:multiLevelType w:val="hybridMultilevel"/>
    <w:tmpl w:val="FC62C1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F641B"/>
    <w:multiLevelType w:val="hybridMultilevel"/>
    <w:tmpl w:val="74D47ADE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2C89"/>
    <w:multiLevelType w:val="hybridMultilevel"/>
    <w:tmpl w:val="DE282144"/>
    <w:lvl w:ilvl="0" w:tplc="B354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632D3"/>
    <w:multiLevelType w:val="hybridMultilevel"/>
    <w:tmpl w:val="184CA582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E1EC7"/>
    <w:multiLevelType w:val="hybridMultilevel"/>
    <w:tmpl w:val="F8A6941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965D7"/>
    <w:multiLevelType w:val="hybridMultilevel"/>
    <w:tmpl w:val="54FCE044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D548F"/>
    <w:multiLevelType w:val="hybridMultilevel"/>
    <w:tmpl w:val="84A4F4EA"/>
    <w:lvl w:ilvl="0" w:tplc="2EA491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A0E90"/>
    <w:multiLevelType w:val="hybridMultilevel"/>
    <w:tmpl w:val="B9E63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6D6"/>
    <w:rsid w:val="00020673"/>
    <w:rsid w:val="00080C5B"/>
    <w:rsid w:val="000C591E"/>
    <w:rsid w:val="000D248F"/>
    <w:rsid w:val="000F2AA0"/>
    <w:rsid w:val="000F2B95"/>
    <w:rsid w:val="000F2BFC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C37CB"/>
    <w:rsid w:val="001D3909"/>
    <w:rsid w:val="001E2111"/>
    <w:rsid w:val="001F75D5"/>
    <w:rsid w:val="00205759"/>
    <w:rsid w:val="00235BE3"/>
    <w:rsid w:val="002511E4"/>
    <w:rsid w:val="00252A36"/>
    <w:rsid w:val="002918E7"/>
    <w:rsid w:val="00292D5E"/>
    <w:rsid w:val="002A7CB3"/>
    <w:rsid w:val="002B3F80"/>
    <w:rsid w:val="002D6027"/>
    <w:rsid w:val="002F0C84"/>
    <w:rsid w:val="002F461C"/>
    <w:rsid w:val="003168DA"/>
    <w:rsid w:val="003417B8"/>
    <w:rsid w:val="00344C22"/>
    <w:rsid w:val="00350578"/>
    <w:rsid w:val="00354D08"/>
    <w:rsid w:val="00375D08"/>
    <w:rsid w:val="003A6DB5"/>
    <w:rsid w:val="003B6FE4"/>
    <w:rsid w:val="003D3215"/>
    <w:rsid w:val="004112D5"/>
    <w:rsid w:val="004128A6"/>
    <w:rsid w:val="004378E1"/>
    <w:rsid w:val="00445504"/>
    <w:rsid w:val="00450069"/>
    <w:rsid w:val="00451F6C"/>
    <w:rsid w:val="00451FF9"/>
    <w:rsid w:val="004679C3"/>
    <w:rsid w:val="00477557"/>
    <w:rsid w:val="004A370C"/>
    <w:rsid w:val="004B035F"/>
    <w:rsid w:val="004E3DA7"/>
    <w:rsid w:val="004F24B0"/>
    <w:rsid w:val="005021A0"/>
    <w:rsid w:val="00523147"/>
    <w:rsid w:val="00531FDF"/>
    <w:rsid w:val="005441D2"/>
    <w:rsid w:val="005629A8"/>
    <w:rsid w:val="005723C7"/>
    <w:rsid w:val="00585705"/>
    <w:rsid w:val="005A4E7E"/>
    <w:rsid w:val="005B44BF"/>
    <w:rsid w:val="005C6F24"/>
    <w:rsid w:val="005F56D9"/>
    <w:rsid w:val="006031EF"/>
    <w:rsid w:val="00612213"/>
    <w:rsid w:val="00621F9F"/>
    <w:rsid w:val="00630A76"/>
    <w:rsid w:val="006612E9"/>
    <w:rsid w:val="00663653"/>
    <w:rsid w:val="006739CA"/>
    <w:rsid w:val="006A0E36"/>
    <w:rsid w:val="006A24FA"/>
    <w:rsid w:val="006A2C40"/>
    <w:rsid w:val="006B0CEE"/>
    <w:rsid w:val="006D711E"/>
    <w:rsid w:val="006E262C"/>
    <w:rsid w:val="00702BC5"/>
    <w:rsid w:val="00705283"/>
    <w:rsid w:val="00722040"/>
    <w:rsid w:val="007250ED"/>
    <w:rsid w:val="0073561A"/>
    <w:rsid w:val="007535CE"/>
    <w:rsid w:val="0077100B"/>
    <w:rsid w:val="00783AB2"/>
    <w:rsid w:val="00786F2E"/>
    <w:rsid w:val="007904A7"/>
    <w:rsid w:val="00794586"/>
    <w:rsid w:val="007978B6"/>
    <w:rsid w:val="007B2B13"/>
    <w:rsid w:val="00810444"/>
    <w:rsid w:val="00842C12"/>
    <w:rsid w:val="00857818"/>
    <w:rsid w:val="0088156B"/>
    <w:rsid w:val="00885190"/>
    <w:rsid w:val="008C1530"/>
    <w:rsid w:val="008C7F82"/>
    <w:rsid w:val="00902E6C"/>
    <w:rsid w:val="00907170"/>
    <w:rsid w:val="009130A0"/>
    <w:rsid w:val="00922A8D"/>
    <w:rsid w:val="00946A67"/>
    <w:rsid w:val="0096107C"/>
    <w:rsid w:val="00997C04"/>
    <w:rsid w:val="009B044B"/>
    <w:rsid w:val="009B5E14"/>
    <w:rsid w:val="009D6AFE"/>
    <w:rsid w:val="009E797A"/>
    <w:rsid w:val="00A06356"/>
    <w:rsid w:val="00A37511"/>
    <w:rsid w:val="00A6505B"/>
    <w:rsid w:val="00AB2EE8"/>
    <w:rsid w:val="00AD270B"/>
    <w:rsid w:val="00AF27FF"/>
    <w:rsid w:val="00B003EE"/>
    <w:rsid w:val="00B13AFC"/>
    <w:rsid w:val="00B167AC"/>
    <w:rsid w:val="00B32DA7"/>
    <w:rsid w:val="00B40A06"/>
    <w:rsid w:val="00B473C2"/>
    <w:rsid w:val="00B47D2C"/>
    <w:rsid w:val="00B83F7A"/>
    <w:rsid w:val="00B84F08"/>
    <w:rsid w:val="00BE3206"/>
    <w:rsid w:val="00BF464E"/>
    <w:rsid w:val="00C123D2"/>
    <w:rsid w:val="00C176EB"/>
    <w:rsid w:val="00C20E0A"/>
    <w:rsid w:val="00C2622E"/>
    <w:rsid w:val="00C4431F"/>
    <w:rsid w:val="00C51806"/>
    <w:rsid w:val="00C66753"/>
    <w:rsid w:val="00C84028"/>
    <w:rsid w:val="00CA0480"/>
    <w:rsid w:val="00CA4058"/>
    <w:rsid w:val="00CC2580"/>
    <w:rsid w:val="00CD159D"/>
    <w:rsid w:val="00CE0647"/>
    <w:rsid w:val="00CF540B"/>
    <w:rsid w:val="00D06415"/>
    <w:rsid w:val="00D23B4D"/>
    <w:rsid w:val="00D2455F"/>
    <w:rsid w:val="00D310CE"/>
    <w:rsid w:val="00D6668D"/>
    <w:rsid w:val="00D7342E"/>
    <w:rsid w:val="00D87864"/>
    <w:rsid w:val="00DA3B34"/>
    <w:rsid w:val="00DC21A3"/>
    <w:rsid w:val="00DC5DF1"/>
    <w:rsid w:val="00DF60F7"/>
    <w:rsid w:val="00E05FAB"/>
    <w:rsid w:val="00E51D1F"/>
    <w:rsid w:val="00E61EBD"/>
    <w:rsid w:val="00E73A9B"/>
    <w:rsid w:val="00E74F68"/>
    <w:rsid w:val="00E75466"/>
    <w:rsid w:val="00EE3962"/>
    <w:rsid w:val="00F127D8"/>
    <w:rsid w:val="00F14B0C"/>
    <w:rsid w:val="00F16D1B"/>
    <w:rsid w:val="00F21A4A"/>
    <w:rsid w:val="00F323F6"/>
    <w:rsid w:val="00F40E35"/>
    <w:rsid w:val="00F47F80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A6687-3884-428E-BD6E-572A92DF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Andreja Boskovic</cp:lastModifiedBy>
  <cp:revision>1</cp:revision>
  <cp:lastPrinted>2019-10-23T10:37:00Z</cp:lastPrinted>
  <dcterms:created xsi:type="dcterms:W3CDTF">2025-01-22T12:03:00Z</dcterms:created>
  <dcterms:modified xsi:type="dcterms:W3CDTF">2025-01-22T12:03:00Z</dcterms:modified>
</cp:coreProperties>
</file>