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7F" w:rsidRPr="003A1E7F" w:rsidRDefault="003A1E7F" w:rsidP="003A1E7F">
      <w:pPr>
        <w:spacing w:line="240" w:lineRule="auto"/>
        <w:rPr>
          <w:rFonts w:ascii="Arial" w:eastAsia="Times New Roman" w:hAnsi="Arial" w:cs="Arial"/>
          <w:bCs/>
          <w:sz w:val="22"/>
          <w:lang w:val="sl-SI" w:eastAsia="sl-SI"/>
        </w:rPr>
      </w:pPr>
      <w:r w:rsidRPr="003A1E7F">
        <w:rPr>
          <w:rFonts w:ascii="Arial" w:eastAsia="Times New Roman" w:hAnsi="Arial" w:cs="Arial"/>
          <w:bCs/>
          <w:sz w:val="22"/>
          <w:lang w:val="sl-SI" w:eastAsia="sl-SI"/>
        </w:rPr>
        <w:t>PJ Carinarnicama</w:t>
      </w:r>
    </w:p>
    <w:p w:rsidR="003A1E7F" w:rsidRDefault="003A1E7F" w:rsidP="003A1E7F">
      <w:pPr>
        <w:spacing w:line="240" w:lineRule="auto"/>
        <w:rPr>
          <w:rFonts w:ascii="Arial" w:eastAsia="Times New Roman" w:hAnsi="Arial" w:cs="Arial"/>
          <w:b/>
          <w:bCs/>
          <w:sz w:val="22"/>
          <w:lang w:val="sl-SI" w:eastAsia="sl-SI"/>
        </w:rPr>
      </w:pPr>
    </w:p>
    <w:p w:rsidR="003A1E7F" w:rsidRDefault="003A1E7F" w:rsidP="003A1E7F">
      <w:pPr>
        <w:spacing w:line="240" w:lineRule="auto"/>
        <w:rPr>
          <w:rFonts w:ascii="Arial" w:eastAsia="Times New Roman" w:hAnsi="Arial" w:cs="Arial"/>
          <w:bCs/>
          <w:sz w:val="22"/>
          <w:lang w:val="en-GB" w:eastAsia="sl-SI"/>
        </w:rPr>
      </w:pPr>
      <w:r>
        <w:rPr>
          <w:rFonts w:ascii="Arial" w:eastAsia="Times New Roman" w:hAnsi="Arial" w:cs="Arial"/>
          <w:b/>
          <w:bCs/>
          <w:sz w:val="22"/>
          <w:lang w:val="sl-SI" w:eastAsia="sl-SI"/>
        </w:rPr>
        <w:t>PREDMET</w:t>
      </w:r>
      <w:r>
        <w:rPr>
          <w:rFonts w:ascii="Arial" w:eastAsia="Times New Roman" w:hAnsi="Arial" w:cs="Arial"/>
          <w:b/>
          <w:bCs/>
          <w:sz w:val="22"/>
          <w:lang w:val="en-US" w:eastAsia="sl-SI"/>
        </w:rPr>
        <w:t>:</w:t>
      </w:r>
      <w:r>
        <w:rPr>
          <w:rFonts w:ascii="Arial" w:eastAsia="Times New Roman" w:hAnsi="Arial" w:cs="Arial"/>
          <w:bCs/>
          <w:sz w:val="22"/>
          <w:lang w:val="en-US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2"/>
          <w:lang w:val="en-US" w:eastAsia="sl-SI"/>
        </w:rPr>
        <w:t>Obavje</w:t>
      </w:r>
      <w:r>
        <w:rPr>
          <w:rFonts w:ascii="Arial" w:eastAsia="Times New Roman" w:hAnsi="Arial" w:cs="Arial"/>
          <w:bCs/>
          <w:sz w:val="22"/>
          <w:lang w:val="en-GB" w:eastAsia="sl-SI"/>
        </w:rPr>
        <w:t>štenje</w:t>
      </w:r>
      <w:proofErr w:type="spellEnd"/>
      <w:r>
        <w:rPr>
          <w:rFonts w:ascii="Arial" w:eastAsia="Times New Roman" w:hAnsi="Arial" w:cs="Arial"/>
          <w:bCs/>
          <w:sz w:val="22"/>
          <w:lang w:val="en-GB" w:eastAsia="sl-SI"/>
        </w:rPr>
        <w:t xml:space="preserve"> o </w:t>
      </w:r>
      <w:proofErr w:type="spellStart"/>
      <w:r>
        <w:rPr>
          <w:rFonts w:ascii="Arial" w:eastAsia="Times New Roman" w:hAnsi="Arial" w:cs="Arial"/>
          <w:bCs/>
          <w:sz w:val="22"/>
          <w:lang w:val="en-GB" w:eastAsia="sl-SI"/>
        </w:rPr>
        <w:t>operativnom</w:t>
      </w:r>
      <w:proofErr w:type="spellEnd"/>
      <w:r>
        <w:rPr>
          <w:rFonts w:ascii="Arial" w:eastAsia="Times New Roman" w:hAnsi="Arial" w:cs="Arial"/>
          <w:bCs/>
          <w:sz w:val="22"/>
          <w:lang w:val="en-GB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2"/>
          <w:lang w:val="en-GB" w:eastAsia="sl-SI"/>
        </w:rPr>
        <w:t>postupanju</w:t>
      </w:r>
      <w:proofErr w:type="spellEnd"/>
      <w:r>
        <w:rPr>
          <w:rFonts w:ascii="Arial" w:eastAsia="Times New Roman" w:hAnsi="Arial" w:cs="Arial"/>
          <w:bCs/>
          <w:sz w:val="22"/>
          <w:lang w:val="en-GB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2"/>
          <w:lang w:val="en-GB" w:eastAsia="sl-SI"/>
        </w:rPr>
        <w:t>na</w:t>
      </w:r>
      <w:proofErr w:type="spellEnd"/>
      <w:r>
        <w:rPr>
          <w:rFonts w:ascii="Arial" w:eastAsia="Times New Roman" w:hAnsi="Arial" w:cs="Arial"/>
          <w:bCs/>
          <w:sz w:val="22"/>
          <w:lang w:val="en-GB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2"/>
          <w:lang w:val="en-GB" w:eastAsia="sl-SI"/>
        </w:rPr>
        <w:t>graničnim</w:t>
      </w:r>
      <w:proofErr w:type="spellEnd"/>
      <w:r>
        <w:rPr>
          <w:rFonts w:ascii="Arial" w:eastAsia="Times New Roman" w:hAnsi="Arial" w:cs="Arial"/>
          <w:bCs/>
          <w:sz w:val="22"/>
          <w:lang w:val="en-GB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2"/>
          <w:lang w:val="en-GB" w:eastAsia="sl-SI"/>
        </w:rPr>
        <w:t>prelazima</w:t>
      </w:r>
      <w:proofErr w:type="spellEnd"/>
      <w:r>
        <w:rPr>
          <w:rFonts w:ascii="Arial" w:eastAsia="Times New Roman" w:hAnsi="Arial" w:cs="Arial"/>
          <w:bCs/>
          <w:sz w:val="22"/>
          <w:lang w:val="en-GB" w:eastAsia="sl-SI"/>
        </w:rPr>
        <w:t xml:space="preserve"> u </w:t>
      </w:r>
      <w:proofErr w:type="spellStart"/>
      <w:r>
        <w:rPr>
          <w:rFonts w:ascii="Arial" w:eastAsia="Times New Roman" w:hAnsi="Arial" w:cs="Arial"/>
          <w:bCs/>
          <w:sz w:val="22"/>
          <w:lang w:val="en-GB" w:eastAsia="sl-SI"/>
        </w:rPr>
        <w:t>vezi</w:t>
      </w:r>
      <w:proofErr w:type="spellEnd"/>
      <w:r>
        <w:rPr>
          <w:rFonts w:ascii="Arial" w:eastAsia="Times New Roman" w:hAnsi="Arial" w:cs="Arial"/>
          <w:bCs/>
          <w:sz w:val="22"/>
          <w:lang w:val="en-GB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2"/>
          <w:lang w:val="en-GB" w:eastAsia="sl-SI"/>
        </w:rPr>
        <w:t>sa</w:t>
      </w:r>
      <w:proofErr w:type="spellEnd"/>
      <w:r>
        <w:rPr>
          <w:rFonts w:ascii="Arial" w:eastAsia="Times New Roman" w:hAnsi="Arial" w:cs="Arial"/>
          <w:bCs/>
          <w:sz w:val="22"/>
          <w:lang w:val="en-GB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2"/>
          <w:lang w:val="en-GB" w:eastAsia="sl-SI"/>
        </w:rPr>
        <w:t>prenosom</w:t>
      </w:r>
      <w:proofErr w:type="spellEnd"/>
      <w:r>
        <w:rPr>
          <w:rFonts w:ascii="Arial" w:eastAsia="Times New Roman" w:hAnsi="Arial" w:cs="Arial"/>
          <w:bCs/>
          <w:sz w:val="22"/>
          <w:lang w:val="en-GB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2"/>
          <w:lang w:val="en-GB" w:eastAsia="sl-SI"/>
        </w:rPr>
        <w:t>sredstava</w:t>
      </w:r>
      <w:proofErr w:type="spellEnd"/>
      <w:r>
        <w:rPr>
          <w:rFonts w:ascii="Arial" w:eastAsia="Times New Roman" w:hAnsi="Arial" w:cs="Arial"/>
          <w:bCs/>
          <w:sz w:val="22"/>
          <w:lang w:val="en-GB"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2"/>
          <w:lang w:val="en-GB" w:eastAsia="sl-SI"/>
        </w:rPr>
        <w:t>plaćanja</w:t>
      </w:r>
      <w:proofErr w:type="spellEnd"/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>Obzirom na primjedbe i identifikovane poteškoće u vezi sa načinom postupanja, odnosno praktičnu neprimjenjivost Uputstva o kontroli fizičkog unošenja i iznošenja sredstava plaćanja u i iz Crne Gore, broj D–8222/1 od 24.06.2016. godine, a u koordinaciji sa Finansijsko obavještajnom jedinicom Uprave policije (u daljem tekstu: FOJ) i Sektorom za carinsku bezbjednost i kontrolu, dostavljamo Vam pravila postupanja koja će važiti do donošenja novog uputstva.</w:t>
      </w:r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>Konkretna pravila odnose se na operativni dio postupanja u vezi sa unošenjem ili iznošenjem preko državne granice: novca, čekova, hartija od vrijednosti na donosioca, dragocjenih metala i dragog kamenja, te koordinaciju između carinskog organa i FOJ-a.</w:t>
      </w:r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b/>
          <w:bCs/>
          <w:sz w:val="22"/>
          <w:lang w:val="sl-SI" w:eastAsia="sl-SI"/>
        </w:rPr>
        <w:t>Postupanje carinske ispostave</w:t>
      </w:r>
      <w:r>
        <w:rPr>
          <w:rFonts w:ascii="Arial" w:eastAsia="Times New Roman" w:hAnsi="Arial" w:cs="Arial"/>
          <w:sz w:val="22"/>
          <w:lang w:val="sl-SI" w:eastAsia="sl-SI"/>
        </w:rPr>
        <w:t xml:space="preserve"> u slučajevima kada se preko državne granice unosi ili iznosi novac, čekovi, hartije od vrijednosti na donosioca, dragocjeni metali ili drago kamenje, u iznosu ili vrijednosti od </w:t>
      </w:r>
      <w:r>
        <w:rPr>
          <w:rFonts w:ascii="Arial" w:eastAsia="Times New Roman" w:hAnsi="Arial" w:cs="Arial"/>
          <w:b/>
          <w:bCs/>
          <w:sz w:val="22"/>
          <w:lang w:val="sl-SI" w:eastAsia="sl-SI"/>
        </w:rPr>
        <w:t>10.000 eura ili više</w:t>
      </w:r>
      <w:r>
        <w:rPr>
          <w:rFonts w:ascii="Arial" w:eastAsia="Times New Roman" w:hAnsi="Arial" w:cs="Arial"/>
          <w:sz w:val="22"/>
          <w:lang w:val="sl-SI" w:eastAsia="sl-SI"/>
        </w:rPr>
        <w:t>, kada:</w:t>
      </w:r>
    </w:p>
    <w:p w:rsidR="003A1E7F" w:rsidRDefault="003A1E7F" w:rsidP="003A1E7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b/>
          <w:bCs/>
          <w:sz w:val="22"/>
          <w:lang w:val="sl-SI" w:eastAsia="sl-SI"/>
        </w:rPr>
        <w:t>NIJE PRIJAVLJEN</w:t>
      </w:r>
      <w:r>
        <w:rPr>
          <w:rFonts w:ascii="Arial" w:eastAsia="Times New Roman" w:hAnsi="Arial" w:cs="Arial"/>
          <w:sz w:val="22"/>
          <w:lang w:val="sl-SI" w:eastAsia="sl-SI"/>
        </w:rPr>
        <w:t xml:space="preserve">, a </w:t>
      </w:r>
      <w:r>
        <w:rPr>
          <w:rFonts w:ascii="Arial" w:eastAsia="Times New Roman" w:hAnsi="Arial" w:cs="Arial"/>
          <w:sz w:val="22"/>
          <w:u w:val="single"/>
          <w:lang w:val="sl-SI" w:eastAsia="sl-SI"/>
        </w:rPr>
        <w:t>ne postoje indicije o nezakonitom porijeklu sredstava</w:t>
      </w:r>
      <w:r>
        <w:rPr>
          <w:rFonts w:ascii="Arial" w:eastAsia="Times New Roman" w:hAnsi="Arial" w:cs="Arial"/>
          <w:sz w:val="22"/>
          <w:lang w:val="sl-SI" w:eastAsia="sl-SI"/>
        </w:rPr>
        <w:t xml:space="preserve">, niti se prenos sredstava dovodi u vezu sa bilo kakvom nezakonitom radnjom – </w:t>
      </w:r>
      <w:r>
        <w:rPr>
          <w:rFonts w:ascii="Arial" w:eastAsia="Times New Roman" w:hAnsi="Arial" w:cs="Arial"/>
          <w:b/>
          <w:bCs/>
          <w:sz w:val="22"/>
          <w:lang w:val="sl-SI" w:eastAsia="sl-SI"/>
        </w:rPr>
        <w:t>novac se neće oduzimati</w:t>
      </w:r>
      <w:r>
        <w:rPr>
          <w:rFonts w:ascii="Arial" w:eastAsia="Times New Roman" w:hAnsi="Arial" w:cs="Arial"/>
          <w:sz w:val="22"/>
          <w:lang w:val="sl-SI" w:eastAsia="sl-SI"/>
        </w:rPr>
        <w:t>, već se izdaje prekršajni nalog počiniocu i postupak se okončava u skladu sa zakonskim propisima.</w:t>
      </w:r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b/>
          <w:bCs/>
          <w:sz w:val="22"/>
          <w:lang w:val="sl-SI" w:eastAsia="sl-SI"/>
        </w:rPr>
        <w:t>Carinske ispostave će</w:t>
      </w:r>
      <w:r>
        <w:rPr>
          <w:rFonts w:ascii="Arial" w:eastAsia="Times New Roman" w:hAnsi="Arial" w:cs="Arial"/>
          <w:sz w:val="22"/>
          <w:lang w:val="sl-SI" w:eastAsia="sl-SI"/>
        </w:rPr>
        <w:t xml:space="preserve"> u slučajevima kada se preko državne granice unosi ili iznosi novac, čekovi, hartije od vrijednosti na donosioca, dragocjeni metali ili drago kamenje, u iznosu ili vrijednosti </w:t>
      </w:r>
      <w:r>
        <w:rPr>
          <w:rFonts w:ascii="Arial" w:eastAsia="Times New Roman" w:hAnsi="Arial" w:cs="Arial"/>
          <w:b/>
          <w:sz w:val="22"/>
          <w:lang w:val="sl-SI" w:eastAsia="sl-SI"/>
        </w:rPr>
        <w:t xml:space="preserve">manje, jednako ili više </w:t>
      </w:r>
      <w:r>
        <w:rPr>
          <w:rFonts w:ascii="Arial" w:eastAsia="Times New Roman" w:hAnsi="Arial" w:cs="Arial"/>
          <w:sz w:val="22"/>
          <w:lang w:val="sl-SI" w:eastAsia="sl-SI"/>
        </w:rPr>
        <w:t xml:space="preserve">od </w:t>
      </w:r>
      <w:r>
        <w:rPr>
          <w:rFonts w:ascii="Arial" w:eastAsia="Times New Roman" w:hAnsi="Arial" w:cs="Arial"/>
          <w:b/>
          <w:bCs/>
          <w:sz w:val="22"/>
          <w:lang w:val="sl-SI" w:eastAsia="sl-SI"/>
        </w:rPr>
        <w:t>10.000eura</w:t>
      </w:r>
      <w:r>
        <w:rPr>
          <w:rFonts w:ascii="Arial" w:eastAsia="Times New Roman" w:hAnsi="Arial" w:cs="Arial"/>
          <w:sz w:val="22"/>
          <w:lang w:val="sl-SI" w:eastAsia="sl-SI"/>
        </w:rPr>
        <w:t>, kada:</w:t>
      </w:r>
    </w:p>
    <w:p w:rsidR="003A1E7F" w:rsidRDefault="003A1E7F" w:rsidP="003A1E7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b/>
          <w:bCs/>
          <w:sz w:val="22"/>
          <w:lang w:val="sl-SI" w:eastAsia="sl-SI"/>
        </w:rPr>
        <w:t>NIJE PRIJAVLJEN ILI JE LAŽNO PRIJAVLJEN</w:t>
      </w:r>
      <w:r>
        <w:rPr>
          <w:rFonts w:ascii="Arial" w:eastAsia="Times New Roman" w:hAnsi="Arial" w:cs="Arial"/>
          <w:sz w:val="22"/>
          <w:lang w:val="sl-SI" w:eastAsia="sl-SI"/>
        </w:rPr>
        <w:t xml:space="preserve">, ali </w:t>
      </w:r>
      <w:r>
        <w:rPr>
          <w:rFonts w:ascii="Arial" w:eastAsia="Times New Roman" w:hAnsi="Arial" w:cs="Arial"/>
          <w:sz w:val="22"/>
          <w:u w:val="single"/>
          <w:lang w:val="sl-SI" w:eastAsia="sl-SI"/>
        </w:rPr>
        <w:t>postoji osnovana sumnja</w:t>
      </w:r>
      <w:r>
        <w:rPr>
          <w:rFonts w:ascii="Arial" w:eastAsia="Times New Roman" w:hAnsi="Arial" w:cs="Arial"/>
          <w:sz w:val="22"/>
          <w:lang w:val="sl-SI" w:eastAsia="sl-SI"/>
        </w:rPr>
        <w:t xml:space="preserve"> u porijeklo sredstava ili potencijalne nezakonite radnje, na osnovu dostupne dokumentacije, izjave lica u postupku, te svih indikatora za prevare ili pranje novca,</w:t>
      </w:r>
    </w:p>
    <w:p w:rsidR="003A1E7F" w:rsidRDefault="003A1E7F" w:rsidP="003A1E7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b/>
          <w:bCs/>
          <w:sz w:val="22"/>
          <w:lang w:val="sl-SI" w:eastAsia="sl-SI"/>
        </w:rPr>
        <w:t>JESTE PRIJAVLJEN</w:t>
      </w:r>
      <w:r>
        <w:rPr>
          <w:rFonts w:ascii="Arial" w:eastAsia="Times New Roman" w:hAnsi="Arial" w:cs="Arial"/>
          <w:sz w:val="22"/>
          <w:lang w:val="sl-SI" w:eastAsia="sl-SI"/>
        </w:rPr>
        <w:t xml:space="preserve">, ali lice </w:t>
      </w:r>
      <w:r>
        <w:rPr>
          <w:rFonts w:ascii="Arial" w:eastAsia="Times New Roman" w:hAnsi="Arial" w:cs="Arial"/>
          <w:sz w:val="22"/>
          <w:u w:val="single"/>
          <w:lang w:val="sl-SI" w:eastAsia="sl-SI"/>
        </w:rPr>
        <w:t>ne posjeduje odgovarajuću dokumentaciju</w:t>
      </w:r>
      <w:r>
        <w:rPr>
          <w:rFonts w:ascii="Arial" w:eastAsia="Times New Roman" w:hAnsi="Arial" w:cs="Arial"/>
          <w:sz w:val="22"/>
          <w:lang w:val="sl-SI" w:eastAsia="sl-SI"/>
        </w:rPr>
        <w:t xml:space="preserve"> o porijeklu sredstava, postoji sumnja u vjerodostojnost dostavljene dokumentacije ili ličnih isprava, kao i indikacije da bi moglo biti riječ o pranju novca ili finansiranju terorizma,</w:t>
      </w:r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b/>
          <w:bCs/>
          <w:sz w:val="22"/>
          <w:lang w:val="sl-SI" w:eastAsia="sl-SI"/>
        </w:rPr>
        <w:t>ODMAH OBAVIJESTITI</w:t>
      </w:r>
      <w:r>
        <w:rPr>
          <w:rFonts w:ascii="Arial" w:eastAsia="Times New Roman" w:hAnsi="Arial" w:cs="Arial"/>
          <w:sz w:val="22"/>
          <w:lang w:val="sl-SI" w:eastAsia="sl-SI"/>
        </w:rPr>
        <w:t xml:space="preserve"> kontakt lice Sektora za carinsku bezbjednost i kontrolu i </w:t>
      </w:r>
      <w:r>
        <w:rPr>
          <w:rFonts w:ascii="Arial" w:eastAsia="Times New Roman" w:hAnsi="Arial" w:cs="Arial"/>
          <w:b/>
          <w:bCs/>
          <w:sz w:val="22"/>
          <w:lang w:val="sl-SI" w:eastAsia="sl-SI"/>
        </w:rPr>
        <w:t>privremeno zadržati novac i lice</w:t>
      </w:r>
      <w:r>
        <w:rPr>
          <w:rFonts w:ascii="Arial" w:eastAsia="Times New Roman" w:hAnsi="Arial" w:cs="Arial"/>
          <w:sz w:val="22"/>
          <w:lang w:val="sl-SI" w:eastAsia="sl-SI"/>
        </w:rPr>
        <w:t xml:space="preserve">, najduže do </w:t>
      </w:r>
      <w:r>
        <w:rPr>
          <w:rFonts w:ascii="Arial" w:eastAsia="Times New Roman" w:hAnsi="Arial" w:cs="Arial"/>
          <w:b/>
          <w:bCs/>
          <w:sz w:val="22"/>
          <w:lang w:val="sl-SI" w:eastAsia="sl-SI"/>
        </w:rPr>
        <w:t>6 sati</w:t>
      </w:r>
      <w:r>
        <w:rPr>
          <w:rFonts w:ascii="Arial" w:eastAsia="Times New Roman" w:hAnsi="Arial" w:cs="Arial"/>
          <w:sz w:val="22"/>
          <w:lang w:val="sl-SI" w:eastAsia="sl-SI"/>
        </w:rPr>
        <w:t xml:space="preserve">. </w:t>
      </w:r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 xml:space="preserve">Navedeni sektor će dalje preko kontakt tačke odmah obavijestiti </w:t>
      </w:r>
      <w:r>
        <w:rPr>
          <w:rFonts w:ascii="Arial" w:eastAsia="Times New Roman" w:hAnsi="Arial" w:cs="Arial"/>
          <w:b/>
          <w:sz w:val="22"/>
          <w:lang w:val="sl-SI" w:eastAsia="sl-SI"/>
        </w:rPr>
        <w:t>FOJ koji će u saradnji sa nadležnim tužilaštvom odlučiti o daljoj sudbini sredstava i lica</w:t>
      </w:r>
      <w:r>
        <w:rPr>
          <w:rFonts w:ascii="Arial" w:eastAsia="Times New Roman" w:hAnsi="Arial" w:cs="Arial"/>
          <w:sz w:val="22"/>
          <w:lang w:val="sl-SI" w:eastAsia="sl-SI"/>
        </w:rPr>
        <w:t xml:space="preserve">, u svakom pojedinačnom slučaju, te će o donešenoj odluci informisati carinski organ koji će dalje postupanje sprovoditi u skladu sa istom.   </w:t>
      </w:r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>Napominjemo da, u situacijama kada nadležno tužilaštvo utvrdi da ne postoje elementi krivičnog djela, za dalje vođenje prekršajnog postupka nadležan je carinski organ, u skladu sa svojim ovlašćenjima.</w:t>
      </w:r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lastRenderedPageBreak/>
        <w:t xml:space="preserve">Za svaki unos ili iznos novca, čekova, hartija od vrijednosti na donosioca, dragocjenih metala i dragog kamenja, u iznosu ili vrijednosti </w:t>
      </w:r>
      <w:r>
        <w:rPr>
          <w:rFonts w:ascii="Arial" w:eastAsia="Times New Roman" w:hAnsi="Arial" w:cs="Arial"/>
          <w:b/>
          <w:bCs/>
          <w:sz w:val="22"/>
          <w:lang w:val="sl-SI" w:eastAsia="sl-SI"/>
        </w:rPr>
        <w:t>10.000 eura ili više</w:t>
      </w:r>
      <w:r>
        <w:rPr>
          <w:rFonts w:ascii="Arial" w:eastAsia="Times New Roman" w:hAnsi="Arial" w:cs="Arial"/>
          <w:sz w:val="22"/>
          <w:lang w:val="sl-SI" w:eastAsia="sl-SI"/>
        </w:rPr>
        <w:t>, lice koje vrši prenos preko granice obavezno je da prijavi carinskom organu i dostavi kompletnu dokumentaciju o porijeklu sredstava. Ova obaveza istaknuta je u formi obavještenja na svim graničnim prelazima, ali  podsjećamo da je svaki carinski službenik ovlašćen da upozori lica koje prelazi granicu na ovu obavezu, te da ih informiše o obavezi popunjavanja Prijave.</w:t>
      </w:r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b/>
          <w:bCs/>
          <w:sz w:val="22"/>
          <w:lang w:val="sl-SI" w:eastAsia="sl-SI"/>
        </w:rPr>
        <w:t>Carinski službenici su ovlašćeni da preduzmu sljedeće mjere i radnje:</w:t>
      </w:r>
    </w:p>
    <w:p w:rsidR="003A1E7F" w:rsidRDefault="003A1E7F" w:rsidP="003A1E7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>zaprimanje i popunjavanje Prijave o novcu, čekovima, hartijama od vrijednosti na donosioca, dragocjenim metalima i dragom kamenju, na ulazu ili izlazu iz Crne Gore,</w:t>
      </w:r>
    </w:p>
    <w:p w:rsidR="003A1E7F" w:rsidRDefault="003A1E7F" w:rsidP="003A1E7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>utvrđivanje i provjeru identiteta lica koje podnosi Prijavu, uvidom u putnu ili ličnu ispravu kojom prelazi državnu granicu,</w:t>
      </w:r>
    </w:p>
    <w:p w:rsidR="003A1E7F" w:rsidRDefault="003A1E7F" w:rsidP="003A1E7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>zahtijevanje, uvid i provjeru dokumentacije koja se odnosi na porijeklo sredstava, uključujući procjenu vjerodostojnosti i istinitosti dostavljenih podataka,</w:t>
      </w:r>
    </w:p>
    <w:p w:rsidR="003A1E7F" w:rsidRDefault="003A1E7F" w:rsidP="003A1E7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>pregled i pretres lica, prtljaga i prevoznog sredstva/putnika koji podnosi prijavu, kao i njegovih saputnika, radi utvrđivanja da li postoji neprijavljen novac, čekovi, hartije od vrijednosti, dragocjeni metali ili drago kamenje.</w:t>
      </w:r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 xml:space="preserve">Takođe, Vas podsjećamp da u skladu sa unapređenjem elektronskog sistema SEED, carinske ispostave više </w:t>
      </w:r>
      <w:r>
        <w:rPr>
          <w:rFonts w:ascii="Arial" w:eastAsia="Times New Roman" w:hAnsi="Arial" w:cs="Arial"/>
          <w:b/>
          <w:bCs/>
          <w:sz w:val="22"/>
          <w:lang w:val="sl-SI" w:eastAsia="sl-SI"/>
        </w:rPr>
        <w:t>neće dostavljati Obrazac 4 u papirnoj formi</w:t>
      </w:r>
      <w:r>
        <w:rPr>
          <w:rFonts w:ascii="Arial" w:eastAsia="Times New Roman" w:hAnsi="Arial" w:cs="Arial"/>
          <w:sz w:val="22"/>
          <w:lang w:val="sl-SI" w:eastAsia="sl-SI"/>
        </w:rPr>
        <w:t>, budući da FOJ-u i Centralnoj banci Crne Gore već jeste omogućen uvid u isti.</w:t>
      </w:r>
    </w:p>
    <w:p w:rsidR="003A1E7F" w:rsidRDefault="003A1E7F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 xml:space="preserve">Do donošenja novog Uputstva, potrebno je da se u operativnom dijelu postupanja pridržavate predhodno navedenih smjernica. </w:t>
      </w:r>
    </w:p>
    <w:p w:rsidR="00827838" w:rsidRPr="00827838" w:rsidRDefault="00827838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2"/>
          <w:lang w:val="sl-SI" w:eastAsia="sl-SI"/>
        </w:rPr>
      </w:pPr>
      <w:r w:rsidRPr="00827838">
        <w:rPr>
          <w:rFonts w:ascii="Arial" w:eastAsia="Times New Roman" w:hAnsi="Arial" w:cs="Arial"/>
          <w:b/>
          <w:sz w:val="22"/>
          <w:lang w:val="sl-SI" w:eastAsia="sl-SI"/>
        </w:rPr>
        <w:t>(Akt Uprave carina 01/02 br.D-6425/1-25 od 08.05.2025.)</w:t>
      </w:r>
    </w:p>
    <w:p w:rsidR="003A1E7F" w:rsidRDefault="00827838" w:rsidP="003A1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sl-SI" w:eastAsia="sl-SI"/>
        </w:rPr>
      </w:pPr>
      <w:r>
        <w:rPr>
          <w:rFonts w:ascii="Arial" w:eastAsia="Times New Roman" w:hAnsi="Arial" w:cs="Arial"/>
          <w:sz w:val="22"/>
          <w:lang w:val="sl-SI" w:eastAsia="sl-SI"/>
        </w:rPr>
        <w:t>Prilog: Lista</w:t>
      </w:r>
      <w:r w:rsidR="00B23CDB">
        <w:rPr>
          <w:rFonts w:ascii="Arial" w:eastAsia="Times New Roman" w:hAnsi="Arial" w:cs="Arial"/>
          <w:sz w:val="22"/>
          <w:lang w:val="sl-SI" w:eastAsia="sl-SI"/>
        </w:rPr>
        <w:t xml:space="preserve"> indikatora za Upravu carina</w:t>
      </w:r>
      <w:bookmarkStart w:id="0" w:name="_GoBack"/>
      <w:bookmarkEnd w:id="0"/>
      <w:r w:rsidR="003A1E7F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        </w:t>
      </w:r>
    </w:p>
    <w:p w:rsidR="003A1E7F" w:rsidRDefault="003A1E7F" w:rsidP="003A1E7F">
      <w:pPr>
        <w:tabs>
          <w:tab w:val="left" w:pos="3210"/>
        </w:tabs>
        <w:spacing w:before="0" w:after="0" w:line="240" w:lineRule="auto"/>
        <w:ind w:left="284" w:hanging="284"/>
        <w:jc w:val="center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bCs/>
          <w:sz w:val="22"/>
          <w:lang w:val="en-US"/>
        </w:rPr>
        <w:t xml:space="preserve">  </w:t>
      </w:r>
    </w:p>
    <w:p w:rsidR="004973E9" w:rsidRDefault="004973E9"/>
    <w:p w:rsidR="00827838" w:rsidRDefault="00827838"/>
    <w:p w:rsidR="00827838" w:rsidRDefault="00827838"/>
    <w:p w:rsidR="00827838" w:rsidRDefault="00827838"/>
    <w:p w:rsidR="00827838" w:rsidRDefault="00827838"/>
    <w:p w:rsidR="00827838" w:rsidRDefault="00827838"/>
    <w:p w:rsidR="00827838" w:rsidRDefault="00827838"/>
    <w:p w:rsidR="00827838" w:rsidRDefault="00827838"/>
    <w:p w:rsidR="00827838" w:rsidRDefault="00827838"/>
    <w:p w:rsidR="00827838" w:rsidRDefault="00827838"/>
    <w:p w:rsidR="00827838" w:rsidRDefault="00827838"/>
    <w:p w:rsidR="00827838" w:rsidRDefault="00827838" w:rsidP="00827838">
      <w:pPr>
        <w:pStyle w:val="N01X"/>
      </w:pPr>
      <w:r>
        <w:lastRenderedPageBreak/>
        <w:t>LISTA INDIKATORA ZA UPRAVU CARINA</w:t>
      </w:r>
    </w:p>
    <w:p w:rsidR="00827838" w:rsidRDefault="00827838" w:rsidP="00827838">
      <w:pPr>
        <w:pStyle w:val="N01X"/>
      </w:pPr>
      <w:r>
        <w:t>UVOZNIK/IZVOZNIK/ROBA</w:t>
      </w:r>
    </w:p>
    <w:p w:rsidR="00827838" w:rsidRDefault="00827838" w:rsidP="00827838">
      <w:pPr>
        <w:pStyle w:val="T30X"/>
        <w:ind w:left="283" w:hanging="283"/>
      </w:pPr>
      <w:r>
        <w:t xml:space="preserve">1. Uprava carina je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dsubjekta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pokretala</w:t>
      </w:r>
      <w:proofErr w:type="spellEnd"/>
      <w:r>
        <w:t xml:space="preserve"> </w:t>
      </w:r>
      <w:proofErr w:type="spellStart"/>
      <w:r>
        <w:t>prekršajni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2.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je </w:t>
      </w:r>
      <w:proofErr w:type="spellStart"/>
      <w:r>
        <w:t>osnovan</w:t>
      </w:r>
      <w:proofErr w:type="spellEnd"/>
      <w:r>
        <w:t xml:space="preserve"> </w:t>
      </w:r>
      <w:proofErr w:type="spellStart"/>
      <w:r>
        <w:t>nedavno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obavio</w:t>
      </w:r>
      <w:proofErr w:type="spellEnd"/>
      <w:r>
        <w:t xml:space="preserve"> je </w:t>
      </w:r>
      <w:proofErr w:type="spellStart"/>
      <w:r>
        <w:t>znatan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uvozno</w:t>
      </w:r>
      <w:proofErr w:type="spellEnd"/>
      <w:r>
        <w:t>/</w:t>
      </w:r>
      <w:proofErr w:type="spellStart"/>
      <w:r>
        <w:t>izvoznih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za </w:t>
      </w:r>
      <w:proofErr w:type="spellStart"/>
      <w:r>
        <w:t>kratak</w:t>
      </w:r>
      <w:proofErr w:type="spellEnd"/>
      <w:r>
        <w:t xml:space="preserve"> period;</w:t>
      </w:r>
    </w:p>
    <w:p w:rsidR="00827838" w:rsidRDefault="00827838" w:rsidP="00827838">
      <w:pPr>
        <w:pStyle w:val="T30X"/>
        <w:ind w:left="283" w:hanging="283"/>
      </w:pPr>
      <w:r>
        <w:t xml:space="preserve">3.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sumnjivog</w:t>
      </w:r>
      <w:proofErr w:type="spellEnd"/>
      <w:r>
        <w:t xml:space="preserve"> </w:t>
      </w:r>
      <w:proofErr w:type="spellStart"/>
      <w:r>
        <w:t>špeditera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transportnog</w:t>
      </w:r>
      <w:proofErr w:type="spellEnd"/>
      <w:r>
        <w:t xml:space="preserve">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4. </w:t>
      </w:r>
      <w:proofErr w:type="spellStart"/>
      <w:r>
        <w:t>Poznato</w:t>
      </w:r>
      <w:proofErr w:type="spellEnd"/>
      <w:r>
        <w:t xml:space="preserve"> je da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5.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specijalizovano</w:t>
      </w:r>
      <w:proofErr w:type="spellEnd"/>
      <w:r>
        <w:t xml:space="preserve"> za </w:t>
      </w:r>
      <w:proofErr w:type="spellStart"/>
      <w:r>
        <w:t>trgovinu</w:t>
      </w:r>
      <w:proofErr w:type="spellEnd"/>
      <w:r>
        <w:t xml:space="preserve">, a </w:t>
      </w:r>
      <w:proofErr w:type="spellStart"/>
      <w:r>
        <w:t>povremeno</w:t>
      </w:r>
      <w:proofErr w:type="spellEnd"/>
      <w:r>
        <w:t xml:space="preserve"> se </w:t>
      </w:r>
      <w:proofErr w:type="spellStart"/>
      <w:r>
        <w:t>njome</w:t>
      </w:r>
      <w:proofErr w:type="spellEnd"/>
      <w:r>
        <w:t xml:space="preserve"> </w:t>
      </w:r>
      <w:proofErr w:type="spellStart"/>
      <w:r>
        <w:t>bavi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6.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specijalizovano</w:t>
      </w:r>
      <w:proofErr w:type="spellEnd"/>
      <w:r>
        <w:t xml:space="preserve"> za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izvoz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 </w:t>
      </w:r>
      <w:proofErr w:type="spellStart"/>
      <w:r>
        <w:t>mijenja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destinaciju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7.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da </w:t>
      </w:r>
      <w:proofErr w:type="spellStart"/>
      <w:r>
        <w:t>promijeni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carinjenja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8. </w:t>
      </w:r>
      <w:proofErr w:type="spellStart"/>
      <w:r>
        <w:t>Roba</w:t>
      </w:r>
      <w:proofErr w:type="spellEnd"/>
      <w:r>
        <w:t xml:space="preserve"> se </w:t>
      </w:r>
      <w:proofErr w:type="spellStart"/>
      <w:r>
        <w:t>uvozi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poznata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tranzitna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 za </w:t>
      </w:r>
      <w:proofErr w:type="spellStart"/>
      <w:r>
        <w:t>narkotike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9.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 xml:space="preserve"> u </w:t>
      </w:r>
      <w:proofErr w:type="spellStart"/>
      <w:r>
        <w:t>carinskom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10. </w:t>
      </w:r>
      <w:proofErr w:type="spellStart"/>
      <w:r>
        <w:t>Roba</w:t>
      </w:r>
      <w:proofErr w:type="spellEnd"/>
      <w:r>
        <w:t xml:space="preserve"> je </w:t>
      </w:r>
      <w:proofErr w:type="spellStart"/>
      <w:r>
        <w:t>uvezena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izvezena</w:t>
      </w:r>
      <w:proofErr w:type="spellEnd"/>
      <w:r>
        <w:t xml:space="preserve"> </w:t>
      </w:r>
      <w:proofErr w:type="spellStart"/>
      <w:r>
        <w:t>neuobičajenim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indirektnim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11. </w:t>
      </w:r>
      <w:proofErr w:type="spellStart"/>
      <w:r>
        <w:t>Vrijednost</w:t>
      </w:r>
      <w:proofErr w:type="spellEnd"/>
      <w:r>
        <w:t xml:space="preserve"> robe je </w:t>
      </w:r>
      <w:proofErr w:type="spellStart"/>
      <w:r>
        <w:t>slična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niža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transportnih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12.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pečata</w:t>
      </w:r>
      <w:proofErr w:type="spellEnd"/>
      <w:r>
        <w:t xml:space="preserve"> ne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upisanom</w:t>
      </w:r>
      <w:proofErr w:type="spellEnd"/>
      <w:r>
        <w:t xml:space="preserve"> u </w:t>
      </w:r>
      <w:proofErr w:type="spellStart"/>
      <w:r>
        <w:t>carinsku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13. </w:t>
      </w:r>
      <w:proofErr w:type="spellStart"/>
      <w:r>
        <w:t>Pečati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nečitki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suviše</w:t>
      </w:r>
      <w:proofErr w:type="spellEnd"/>
      <w:r>
        <w:t xml:space="preserve"> </w:t>
      </w:r>
      <w:proofErr w:type="spellStart"/>
      <w:r>
        <w:t>čitki</w:t>
      </w:r>
      <w:proofErr w:type="spellEnd"/>
      <w:r>
        <w:t>.</w:t>
      </w:r>
    </w:p>
    <w:p w:rsidR="00827838" w:rsidRDefault="00827838" w:rsidP="00827838">
      <w:pPr>
        <w:pStyle w:val="N01X"/>
      </w:pPr>
      <w:r>
        <w:t>PUTNIK/VOZILO</w:t>
      </w:r>
    </w:p>
    <w:p w:rsidR="00827838" w:rsidRDefault="00827838" w:rsidP="00827838">
      <w:pPr>
        <w:pStyle w:val="T30X"/>
        <w:ind w:left="283" w:hanging="283"/>
      </w:pPr>
      <w:r>
        <w:t xml:space="preserve">1. </w:t>
      </w:r>
      <w:proofErr w:type="spellStart"/>
      <w:r>
        <w:t>Novac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propisno</w:t>
      </w:r>
      <w:proofErr w:type="spellEnd"/>
      <w:r>
        <w:t xml:space="preserve"> </w:t>
      </w:r>
      <w:proofErr w:type="spellStart"/>
      <w:r>
        <w:t>prijavljeni</w:t>
      </w:r>
      <w:proofErr w:type="spellEnd"/>
      <w:r>
        <w:t xml:space="preserve"> </w:t>
      </w:r>
      <w:proofErr w:type="spellStart"/>
      <w:r>
        <w:t>carinskim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2. </w:t>
      </w:r>
      <w:proofErr w:type="spellStart"/>
      <w:r>
        <w:t>Izgled</w:t>
      </w:r>
      <w:proofErr w:type="spellEnd"/>
      <w:r>
        <w:t xml:space="preserve"> </w:t>
      </w:r>
      <w:proofErr w:type="spellStart"/>
      <w:r>
        <w:t>putnika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svrhom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naveo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3. </w:t>
      </w:r>
      <w:proofErr w:type="spellStart"/>
      <w:r>
        <w:t>Vozač</w:t>
      </w:r>
      <w:proofErr w:type="spellEnd"/>
      <w:r>
        <w:t xml:space="preserve"> je </w:t>
      </w:r>
      <w:proofErr w:type="spellStart"/>
      <w:r>
        <w:t>izuzetno</w:t>
      </w:r>
      <w:proofErr w:type="spellEnd"/>
      <w:r>
        <w:t xml:space="preserve"> </w:t>
      </w:r>
      <w:proofErr w:type="spellStart"/>
      <w:r>
        <w:t>kooperativan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niko</w:t>
      </w:r>
      <w:proofErr w:type="spellEnd"/>
      <w:r>
        <w:t xml:space="preserve"> ne pita;</w:t>
      </w:r>
    </w:p>
    <w:p w:rsidR="00827838" w:rsidRDefault="00827838" w:rsidP="00827838">
      <w:pPr>
        <w:pStyle w:val="T30X"/>
        <w:ind w:left="283" w:hanging="283"/>
      </w:pPr>
      <w:r>
        <w:t xml:space="preserve">4. </w:t>
      </w:r>
      <w:proofErr w:type="spellStart"/>
      <w:r>
        <w:t>Putnik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let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putuje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ustaljenom</w:t>
      </w:r>
      <w:proofErr w:type="spellEnd"/>
      <w:r>
        <w:t xml:space="preserve"> </w:t>
      </w:r>
      <w:proofErr w:type="spellStart"/>
      <w:r>
        <w:t>rasporedu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5. </w:t>
      </w:r>
      <w:proofErr w:type="spellStart"/>
      <w:r>
        <w:t>Putnik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neodređena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nepotpuna</w:t>
      </w:r>
      <w:proofErr w:type="spellEnd"/>
      <w:r>
        <w:t xml:space="preserve"> </w:t>
      </w:r>
      <w:proofErr w:type="spellStart"/>
      <w:r>
        <w:t>objašnjenja</w:t>
      </w:r>
      <w:proofErr w:type="spellEnd"/>
      <w:r>
        <w:t xml:space="preserve"> o </w:t>
      </w:r>
      <w:proofErr w:type="spellStart"/>
      <w:r>
        <w:t>svrsi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datumu</w:t>
      </w:r>
      <w:proofErr w:type="spellEnd"/>
      <w:r>
        <w:t xml:space="preserve"> </w:t>
      </w:r>
      <w:proofErr w:type="spellStart"/>
      <w:r>
        <w:t>povratka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6. </w:t>
      </w:r>
      <w:proofErr w:type="spellStart"/>
      <w:r>
        <w:t>Odredište</w:t>
      </w:r>
      <w:proofErr w:type="spellEnd"/>
      <w:r>
        <w:t xml:space="preserve"> je </w:t>
      </w:r>
      <w:proofErr w:type="spellStart"/>
      <w:r>
        <w:t>poznato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izvorna</w:t>
      </w:r>
      <w:proofErr w:type="spellEnd"/>
      <w:r>
        <w:t xml:space="preserve"> </w:t>
      </w:r>
      <w:proofErr w:type="spellStart"/>
      <w:r>
        <w:t>lokacija</w:t>
      </w:r>
      <w:proofErr w:type="spellEnd"/>
      <w:r>
        <w:t xml:space="preserve"> </w:t>
      </w:r>
      <w:proofErr w:type="spellStart"/>
      <w:r>
        <w:t>narkotika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nezakonitih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7.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znaci</w:t>
      </w:r>
      <w:proofErr w:type="spellEnd"/>
      <w:r>
        <w:t xml:space="preserve"> </w:t>
      </w:r>
      <w:proofErr w:type="spellStart"/>
      <w:r>
        <w:t>prepravki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izmjena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vozilu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ukazati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tajne</w:t>
      </w:r>
      <w:proofErr w:type="spellEnd"/>
      <w:r>
        <w:t xml:space="preserve"> </w:t>
      </w:r>
      <w:proofErr w:type="spellStart"/>
      <w:r>
        <w:t>pregrade</w:t>
      </w:r>
      <w:proofErr w:type="spellEnd"/>
      <w:r>
        <w:t>.</w:t>
      </w:r>
    </w:p>
    <w:p w:rsidR="00827838" w:rsidRDefault="00827838" w:rsidP="00827838">
      <w:pPr>
        <w:pStyle w:val="T30X"/>
        <w:ind w:left="283" w:hanging="283"/>
      </w:pPr>
      <w:r>
        <w:t xml:space="preserve">8. </w:t>
      </w:r>
      <w:proofErr w:type="spellStart"/>
      <w:r>
        <w:t>Ruta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(</w:t>
      </w:r>
      <w:proofErr w:type="spellStart"/>
      <w:r>
        <w:t>putovanje</w:t>
      </w:r>
      <w:proofErr w:type="spellEnd"/>
      <w:r>
        <w:t xml:space="preserve"> </w:t>
      </w:r>
      <w:proofErr w:type="spellStart"/>
      <w:r>
        <w:t>ka</w:t>
      </w:r>
      <w:proofErr w:type="spellEnd"/>
      <w:r>
        <w:t>/</w:t>
      </w:r>
      <w:proofErr w:type="spellStart"/>
      <w:r>
        <w:t>iz</w:t>
      </w:r>
      <w:proofErr w:type="spellEnd"/>
      <w:r>
        <w:t xml:space="preserve"> </w:t>
      </w:r>
      <w:proofErr w:type="spellStart"/>
      <w:r>
        <w:t>osjetljivih</w:t>
      </w:r>
      <w:proofErr w:type="spellEnd"/>
      <w:r>
        <w:t xml:space="preserve"> </w:t>
      </w:r>
      <w:proofErr w:type="spellStart"/>
      <w:r>
        <w:t>zemalja</w:t>
      </w:r>
      <w:proofErr w:type="spellEnd"/>
      <w:r>
        <w:t xml:space="preserve"> </w:t>
      </w:r>
      <w:proofErr w:type="spellStart"/>
      <w:r>
        <w:t>odlaska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putovanju</w:t>
      </w:r>
      <w:proofErr w:type="spellEnd"/>
      <w:r>
        <w:t xml:space="preserve"> </w:t>
      </w:r>
      <w:proofErr w:type="spellStart"/>
      <w:r>
        <w:t>ka</w:t>
      </w:r>
      <w:proofErr w:type="spellEnd"/>
      <w:r>
        <w:t>/</w:t>
      </w:r>
      <w:proofErr w:type="spellStart"/>
      <w:r>
        <w:t>iz</w:t>
      </w:r>
      <w:proofErr w:type="spellEnd"/>
      <w:r>
        <w:t xml:space="preserve"> </w:t>
      </w:r>
      <w:proofErr w:type="spellStart"/>
      <w:r>
        <w:t>centara</w:t>
      </w:r>
      <w:proofErr w:type="spellEnd"/>
      <w:r>
        <w:t xml:space="preserve"> za </w:t>
      </w:r>
      <w:proofErr w:type="spellStart"/>
      <w:r>
        <w:t>pranje</w:t>
      </w:r>
      <w:proofErr w:type="spellEnd"/>
      <w:r>
        <w:t xml:space="preserve"> </w:t>
      </w:r>
      <w:proofErr w:type="spellStart"/>
      <w:r>
        <w:t>novca</w:t>
      </w:r>
      <w:proofErr w:type="spellEnd"/>
      <w:r>
        <w:t>);</w:t>
      </w:r>
    </w:p>
    <w:p w:rsidR="00827838" w:rsidRDefault="00827838" w:rsidP="00827838">
      <w:pPr>
        <w:pStyle w:val="T30X"/>
        <w:ind w:left="283" w:hanging="283"/>
      </w:pPr>
      <w:r>
        <w:t xml:space="preserve">9.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plaćene</w:t>
      </w:r>
      <w:proofErr w:type="spellEnd"/>
      <w:r>
        <w:t xml:space="preserve"> </w:t>
      </w:r>
      <w:proofErr w:type="spellStart"/>
      <w:r>
        <w:t>gotovinom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kupljene</w:t>
      </w:r>
      <w:proofErr w:type="spellEnd"/>
      <w:r>
        <w:t xml:space="preserve"> u </w:t>
      </w:r>
      <w:proofErr w:type="spellStart"/>
      <w:r>
        <w:t>zadnji</w:t>
      </w:r>
      <w:proofErr w:type="spellEnd"/>
      <w:r>
        <w:t xml:space="preserve"> </w:t>
      </w:r>
      <w:proofErr w:type="spellStart"/>
      <w:r>
        <w:t>trenutak</w:t>
      </w:r>
      <w:proofErr w:type="spellEnd"/>
      <w:r>
        <w:t xml:space="preserve"> (</w:t>
      </w:r>
      <w:proofErr w:type="spellStart"/>
      <w:r>
        <w:t>gotovinom</w:t>
      </w:r>
      <w:proofErr w:type="spellEnd"/>
      <w:r>
        <w:t xml:space="preserve"> </w:t>
      </w:r>
      <w:proofErr w:type="spellStart"/>
      <w:r>
        <w:t>plaćeno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izbjeglo</w:t>
      </w:r>
      <w:proofErr w:type="spellEnd"/>
      <w:r>
        <w:t xml:space="preserve">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 xml:space="preserve"> </w:t>
      </w:r>
      <w:proofErr w:type="spellStart"/>
      <w:r>
        <w:t>npr</w:t>
      </w:r>
      <w:proofErr w:type="spellEnd"/>
      <w:r>
        <w:t xml:space="preserve">: </w:t>
      </w:r>
      <w:proofErr w:type="spellStart"/>
      <w:r>
        <w:t>ko</w:t>
      </w:r>
      <w:proofErr w:type="spellEnd"/>
      <w:r>
        <w:t xml:space="preserve"> je </w:t>
      </w:r>
      <w:proofErr w:type="spellStart"/>
      <w:r>
        <w:t>kupio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izbjegle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organa</w:t>
      </w:r>
      <w:proofErr w:type="spellEnd"/>
      <w:r>
        <w:t>);</w:t>
      </w:r>
    </w:p>
    <w:p w:rsidR="00827838" w:rsidRDefault="00827838" w:rsidP="00827838">
      <w:pPr>
        <w:pStyle w:val="T30X"/>
        <w:ind w:left="283" w:hanging="283"/>
      </w:pPr>
      <w:r>
        <w:t xml:space="preserve">10. </w:t>
      </w:r>
      <w:proofErr w:type="spellStart"/>
      <w:r>
        <w:t>Stari</w:t>
      </w:r>
      <w:proofErr w:type="spellEnd"/>
      <w:r>
        <w:t>/novo-</w:t>
      </w:r>
      <w:proofErr w:type="spellStart"/>
      <w:r>
        <w:t>izdati</w:t>
      </w:r>
      <w:proofErr w:type="spellEnd"/>
      <w:r>
        <w:t xml:space="preserve"> </w:t>
      </w:r>
      <w:proofErr w:type="spellStart"/>
      <w:r>
        <w:t>pasoš</w:t>
      </w:r>
      <w:proofErr w:type="spellEnd"/>
      <w:r>
        <w:t xml:space="preserve"> (novo </w:t>
      </w:r>
      <w:proofErr w:type="spellStart"/>
      <w:r>
        <w:t>izdati</w:t>
      </w:r>
      <w:proofErr w:type="spellEnd"/>
      <w:r>
        <w:t xml:space="preserve"> </w:t>
      </w:r>
      <w:proofErr w:type="spellStart"/>
      <w:r>
        <w:t>posaoš</w:t>
      </w:r>
      <w:proofErr w:type="spellEnd"/>
      <w:r>
        <w:t xml:space="preserve">; </w:t>
      </w:r>
      <w:proofErr w:type="spellStart"/>
      <w:r>
        <w:t>putnik</w:t>
      </w:r>
      <w:proofErr w:type="spellEnd"/>
      <w:r>
        <w:t xml:space="preserve"> je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angažovan</w:t>
      </w:r>
      <w:proofErr w:type="spellEnd"/>
      <w:r>
        <w:t xml:space="preserve"> da </w:t>
      </w:r>
      <w:proofErr w:type="spellStart"/>
      <w:r>
        <w:t>prebaci</w:t>
      </w:r>
      <w:proofErr w:type="spellEnd"/>
      <w:r>
        <w:t xml:space="preserve"> </w:t>
      </w:r>
      <w:proofErr w:type="spellStart"/>
      <w:r>
        <w:t>novac</w:t>
      </w:r>
      <w:proofErr w:type="spellEnd"/>
      <w:r>
        <w:t xml:space="preserve">,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. </w:t>
      </w:r>
      <w:proofErr w:type="spellStart"/>
      <w:r>
        <w:t>Stari</w:t>
      </w:r>
      <w:proofErr w:type="spellEnd"/>
      <w:r>
        <w:t xml:space="preserve"> </w:t>
      </w:r>
      <w:proofErr w:type="spellStart"/>
      <w:r>
        <w:t>pasoš</w:t>
      </w:r>
      <w:proofErr w:type="spellEnd"/>
      <w:r>
        <w:t xml:space="preserve">; </w:t>
      </w:r>
      <w:proofErr w:type="spellStart"/>
      <w:r>
        <w:t>pratiti</w:t>
      </w:r>
      <w:proofErr w:type="spellEnd"/>
      <w:r>
        <w:t xml:space="preserve"> </w:t>
      </w:r>
      <w:proofErr w:type="spellStart"/>
      <w:r>
        <w:t>česta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11. </w:t>
      </w:r>
      <w:proofErr w:type="spellStart"/>
      <w:r>
        <w:t>Sveukupna</w:t>
      </w:r>
      <w:proofErr w:type="spellEnd"/>
      <w:r>
        <w:t xml:space="preserve"> </w:t>
      </w:r>
      <w:proofErr w:type="spellStart"/>
      <w:r>
        <w:t>kredibilnost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12. </w:t>
      </w:r>
      <w:proofErr w:type="spellStart"/>
      <w:r>
        <w:t>Pozitivne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u </w:t>
      </w:r>
      <w:proofErr w:type="spellStart"/>
      <w:r>
        <w:t>bazama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obavještajne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13. </w:t>
      </w:r>
      <w:proofErr w:type="spellStart"/>
      <w:r>
        <w:t>Povezivanje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osumnjičenim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14. </w:t>
      </w:r>
      <w:proofErr w:type="spellStart"/>
      <w:r>
        <w:t>Prioritetni</w:t>
      </w:r>
      <w:proofErr w:type="spellEnd"/>
      <w:r>
        <w:t xml:space="preserve"> check-in, </w:t>
      </w:r>
      <w:proofErr w:type="spellStart"/>
      <w:r>
        <w:t>kasni</w:t>
      </w:r>
      <w:proofErr w:type="spellEnd"/>
      <w:r>
        <w:t xml:space="preserve"> check-in, </w:t>
      </w:r>
      <w:proofErr w:type="spellStart"/>
      <w:r>
        <w:t>kasni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gejt</w:t>
      </w:r>
      <w:proofErr w:type="spellEnd"/>
      <w:r>
        <w:t xml:space="preserve">.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ručni</w:t>
      </w:r>
      <w:proofErr w:type="spellEnd"/>
      <w:r>
        <w:t xml:space="preserve"> </w:t>
      </w:r>
      <w:proofErr w:type="spellStart"/>
      <w:r>
        <w:t>prtljag</w:t>
      </w:r>
      <w:proofErr w:type="spellEnd"/>
      <w:r>
        <w:t>/</w:t>
      </w:r>
      <w:proofErr w:type="spellStart"/>
      <w:r>
        <w:t>praćeni</w:t>
      </w:r>
      <w:proofErr w:type="spellEnd"/>
      <w:r>
        <w:t xml:space="preserve"> </w:t>
      </w:r>
      <w:proofErr w:type="spellStart"/>
      <w:r>
        <w:t>prtljag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mogle</w:t>
      </w:r>
      <w:proofErr w:type="spellEnd"/>
      <w:r>
        <w:t xml:space="preserve"> </w:t>
      </w:r>
      <w:proofErr w:type="spellStart"/>
      <w:r>
        <w:t>prenijeti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gotovog</w:t>
      </w:r>
      <w:proofErr w:type="spellEnd"/>
      <w:r>
        <w:t xml:space="preserve"> </w:t>
      </w:r>
      <w:proofErr w:type="spellStart"/>
      <w:r>
        <w:t>novca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15. </w:t>
      </w:r>
      <w:proofErr w:type="spellStart"/>
      <w:r>
        <w:t>Promjene</w:t>
      </w:r>
      <w:proofErr w:type="spellEnd"/>
      <w:r>
        <w:t xml:space="preserve"> u </w:t>
      </w:r>
      <w:proofErr w:type="spellStart"/>
      <w:r>
        <w:t>planu</w:t>
      </w:r>
      <w:proofErr w:type="spellEnd"/>
      <w:r>
        <w:t xml:space="preserve"> puta - </w:t>
      </w:r>
      <w:proofErr w:type="spellStart"/>
      <w:r>
        <w:t>raniji</w:t>
      </w:r>
      <w:proofErr w:type="spellEnd"/>
      <w:r>
        <w:t xml:space="preserve"> </w:t>
      </w:r>
      <w:proofErr w:type="spellStart"/>
      <w:r>
        <w:t>povratak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kasniji</w:t>
      </w:r>
      <w:proofErr w:type="spellEnd"/>
      <w:r>
        <w:t xml:space="preserve"> </w:t>
      </w:r>
      <w:proofErr w:type="spellStart"/>
      <w:r>
        <w:t>ostanak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16. </w:t>
      </w:r>
      <w:proofErr w:type="spellStart"/>
      <w:r>
        <w:t>Kratak</w:t>
      </w:r>
      <w:proofErr w:type="spellEnd"/>
      <w:r>
        <w:t xml:space="preserve"> </w:t>
      </w:r>
      <w:proofErr w:type="spellStart"/>
      <w:r>
        <w:t>boravak</w:t>
      </w:r>
      <w:proofErr w:type="spellEnd"/>
      <w:r>
        <w:t xml:space="preserve"> u </w:t>
      </w:r>
      <w:proofErr w:type="spellStart"/>
      <w:r>
        <w:t>zemlji</w:t>
      </w:r>
      <w:proofErr w:type="spellEnd"/>
      <w:r>
        <w:t xml:space="preserve"> (</w:t>
      </w:r>
      <w:proofErr w:type="spellStart"/>
      <w:r>
        <w:t>pratiti</w:t>
      </w:r>
      <w:proofErr w:type="spellEnd"/>
      <w:r>
        <w:t xml:space="preserve"> </w:t>
      </w:r>
      <w:proofErr w:type="spellStart"/>
      <w:r>
        <w:t>dugačka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kratkim</w:t>
      </w:r>
      <w:proofErr w:type="spellEnd"/>
      <w:r>
        <w:t xml:space="preserve"> </w:t>
      </w:r>
      <w:proofErr w:type="spellStart"/>
      <w:r>
        <w:t>ostankom</w:t>
      </w:r>
      <w:proofErr w:type="spellEnd"/>
      <w:r>
        <w:t xml:space="preserve"> u </w:t>
      </w:r>
      <w:proofErr w:type="spellStart"/>
      <w:r>
        <w:t>zemlji</w:t>
      </w:r>
      <w:proofErr w:type="spellEnd"/>
      <w:r>
        <w:t>);</w:t>
      </w:r>
    </w:p>
    <w:p w:rsidR="00827838" w:rsidRDefault="00827838" w:rsidP="00827838">
      <w:pPr>
        <w:pStyle w:val="T30X"/>
        <w:ind w:left="283" w:hanging="283"/>
      </w:pPr>
      <w:r>
        <w:t xml:space="preserve">17. </w:t>
      </w:r>
      <w:proofErr w:type="spellStart"/>
      <w:r>
        <w:t>Bukiranje</w:t>
      </w:r>
      <w:proofErr w:type="spellEnd"/>
      <w:r>
        <w:t xml:space="preserve"> </w:t>
      </w:r>
      <w:proofErr w:type="spellStart"/>
      <w:r>
        <w:t>odrađeno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lica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18. </w:t>
      </w:r>
      <w:proofErr w:type="spellStart"/>
      <w:r>
        <w:t>Odjeća</w:t>
      </w:r>
      <w:proofErr w:type="spellEnd"/>
      <w:r>
        <w:t xml:space="preserve">- </w:t>
      </w:r>
      <w:proofErr w:type="spellStart"/>
      <w:r>
        <w:t>moderan</w:t>
      </w:r>
      <w:proofErr w:type="spellEnd"/>
      <w:r>
        <w:t xml:space="preserve"> </w:t>
      </w:r>
      <w:proofErr w:type="spellStart"/>
      <w:r>
        <w:t>izgled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19. </w:t>
      </w:r>
      <w:proofErr w:type="spellStart"/>
      <w:r>
        <w:t>Učestalost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u </w:t>
      </w:r>
      <w:proofErr w:type="spellStart"/>
      <w:r>
        <w:t>regionu</w:t>
      </w:r>
      <w:proofErr w:type="spellEnd"/>
      <w:r>
        <w:t xml:space="preserve"> -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kratkog</w:t>
      </w:r>
      <w:proofErr w:type="spellEnd"/>
      <w:r>
        <w:t xml:space="preserve"> </w:t>
      </w:r>
      <w:proofErr w:type="spellStart"/>
      <w:r>
        <w:t>vremenskog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(</w:t>
      </w:r>
      <w:proofErr w:type="spellStart"/>
      <w:r>
        <w:t>profesionalni</w:t>
      </w:r>
      <w:proofErr w:type="spellEnd"/>
      <w:r>
        <w:t xml:space="preserve"> </w:t>
      </w:r>
      <w:proofErr w:type="spellStart"/>
      <w:r>
        <w:t>kurir</w:t>
      </w:r>
      <w:proofErr w:type="spellEnd"/>
      <w:r>
        <w:t>);</w:t>
      </w:r>
    </w:p>
    <w:p w:rsidR="00827838" w:rsidRDefault="00827838" w:rsidP="00827838">
      <w:pPr>
        <w:pStyle w:val="T30X"/>
        <w:ind w:left="283" w:hanging="283"/>
      </w:pPr>
      <w:r>
        <w:t xml:space="preserve">20. Plan puta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</w:t>
      </w:r>
      <w:proofErr w:type="spellStart"/>
      <w:r>
        <w:t>zanimanjem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lastRenderedPageBreak/>
        <w:t xml:space="preserve">21. </w:t>
      </w:r>
      <w:proofErr w:type="spellStart"/>
      <w:r>
        <w:t>Česta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"</w:t>
      </w:r>
      <w:proofErr w:type="spellStart"/>
      <w:r>
        <w:t>odmor</w:t>
      </w:r>
      <w:proofErr w:type="spellEnd"/>
      <w:r>
        <w:t xml:space="preserve">"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nezaposlenih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>/</w:t>
      </w:r>
      <w:proofErr w:type="spellStart"/>
      <w:r>
        <w:t>primaoca</w:t>
      </w:r>
      <w:proofErr w:type="spellEnd"/>
      <w:r>
        <w:t xml:space="preserve">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davanja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22. Nova </w:t>
      </w:r>
      <w:proofErr w:type="spellStart"/>
      <w:r>
        <w:t>odjeća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mu/</w:t>
      </w:r>
      <w:proofErr w:type="spellStart"/>
      <w:r>
        <w:t>joj</w:t>
      </w:r>
      <w:proofErr w:type="spellEnd"/>
      <w:r>
        <w:t xml:space="preserve"> </w:t>
      </w:r>
      <w:proofErr w:type="spellStart"/>
      <w:r>
        <w:t>loše</w:t>
      </w:r>
      <w:proofErr w:type="spellEnd"/>
      <w:r>
        <w:t xml:space="preserve"> </w:t>
      </w:r>
      <w:proofErr w:type="spellStart"/>
      <w:r>
        <w:t>stoji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putnik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navikao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23. </w:t>
      </w:r>
      <w:proofErr w:type="spellStart"/>
      <w:r>
        <w:t>Putnici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predaju</w:t>
      </w:r>
      <w:proofErr w:type="spellEnd"/>
      <w:r>
        <w:t xml:space="preserve"> </w:t>
      </w:r>
      <w:proofErr w:type="spellStart"/>
      <w:r>
        <w:t>ručni</w:t>
      </w:r>
      <w:proofErr w:type="spellEnd"/>
      <w:r>
        <w:t xml:space="preserve"> </w:t>
      </w:r>
      <w:proofErr w:type="spellStart"/>
      <w:r>
        <w:t>prtljag</w:t>
      </w:r>
      <w:proofErr w:type="spellEnd"/>
      <w:r>
        <w:t xml:space="preserve"> u </w:t>
      </w:r>
      <w:proofErr w:type="spellStart"/>
      <w:r>
        <w:t>razumno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prolaze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sigurnosne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gejtu</w:t>
      </w:r>
      <w:proofErr w:type="spellEnd"/>
      <w:r>
        <w:t xml:space="preserve"> u </w:t>
      </w:r>
      <w:proofErr w:type="spellStart"/>
      <w:r>
        <w:t>zadnjem</w:t>
      </w:r>
      <w:proofErr w:type="spellEnd"/>
      <w:r>
        <w:t xml:space="preserve"> </w:t>
      </w:r>
      <w:proofErr w:type="spellStart"/>
      <w:r>
        <w:t>mogućem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24.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prebivališta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boravišta</w:t>
      </w:r>
      <w:proofErr w:type="spellEnd"/>
      <w:r>
        <w:t xml:space="preserve"> ne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finansijskim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 </w:t>
      </w:r>
      <w:proofErr w:type="spellStart"/>
      <w:r>
        <w:t>lica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25. Lice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mijenja</w:t>
      </w:r>
      <w:proofErr w:type="spellEnd"/>
      <w:r>
        <w:t xml:space="preserve"> </w:t>
      </w:r>
      <w:proofErr w:type="spellStart"/>
      <w:r>
        <w:t>adrese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26. Lice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da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identifikacione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27. </w:t>
      </w:r>
      <w:proofErr w:type="spellStart"/>
      <w:r>
        <w:t>Identifikacioni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</w:t>
      </w:r>
      <w:proofErr w:type="spellStart"/>
      <w:r>
        <w:t>izgledaju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da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korišćeni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28. </w:t>
      </w:r>
      <w:proofErr w:type="spellStart"/>
      <w:r>
        <w:t>Identifikacioni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isprljani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otežava</w:t>
      </w:r>
      <w:proofErr w:type="spellEnd"/>
      <w:r>
        <w:t xml:space="preserve"> </w:t>
      </w:r>
      <w:proofErr w:type="spellStart"/>
      <w:r>
        <w:t>očitavanje</w:t>
      </w:r>
      <w:proofErr w:type="spellEnd"/>
      <w:r>
        <w:t xml:space="preserve"> </w:t>
      </w:r>
      <w:proofErr w:type="spellStart"/>
      <w:r>
        <w:t>neophodnih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29. Lice je u </w:t>
      </w:r>
      <w:proofErr w:type="spellStart"/>
      <w:r>
        <w:t>pratnji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žele</w:t>
      </w:r>
      <w:proofErr w:type="spellEnd"/>
      <w:r>
        <w:t xml:space="preserve"> da </w:t>
      </w:r>
      <w:proofErr w:type="spellStart"/>
      <w:r>
        <w:t>privlače</w:t>
      </w:r>
      <w:proofErr w:type="spellEnd"/>
      <w:r>
        <w:t xml:space="preserve"> </w:t>
      </w:r>
      <w:proofErr w:type="spellStart"/>
      <w:r>
        <w:t>pažnju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se </w:t>
      </w:r>
      <w:proofErr w:type="spellStart"/>
      <w:r>
        <w:t>drže</w:t>
      </w:r>
      <w:proofErr w:type="spellEnd"/>
      <w:r>
        <w:t xml:space="preserve"> </w:t>
      </w:r>
      <w:proofErr w:type="spellStart"/>
      <w:r>
        <w:t>podalje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njih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30. Lice </w:t>
      </w:r>
      <w:proofErr w:type="spellStart"/>
      <w:r>
        <w:t>dobija</w:t>
      </w:r>
      <w:proofErr w:type="spellEnd"/>
      <w:r>
        <w:t xml:space="preserve"> </w:t>
      </w:r>
      <w:proofErr w:type="spellStart"/>
      <w:r>
        <w:t>instrukcije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lica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31. Lice </w:t>
      </w:r>
      <w:proofErr w:type="spellStart"/>
      <w:r>
        <w:t>zastupa</w:t>
      </w:r>
      <w:proofErr w:type="spellEnd"/>
      <w:r>
        <w:t xml:space="preserve"> </w:t>
      </w:r>
      <w:proofErr w:type="spellStart"/>
      <w:r>
        <w:t>firmu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izgleda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32. </w:t>
      </w:r>
      <w:proofErr w:type="spellStart"/>
      <w:r>
        <w:t>Odjeća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držanje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bi </w:t>
      </w:r>
      <w:proofErr w:type="spellStart"/>
      <w:r>
        <w:t>otežalo</w:t>
      </w:r>
      <w:proofErr w:type="spellEnd"/>
      <w:r>
        <w:t xml:space="preserve"> </w:t>
      </w:r>
      <w:proofErr w:type="spellStart"/>
      <w:r>
        <w:t>prepoznavanje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video </w:t>
      </w:r>
      <w:proofErr w:type="spellStart"/>
      <w:r>
        <w:t>nadzora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33. Lice je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poznatom</w:t>
      </w:r>
      <w:proofErr w:type="spellEnd"/>
      <w:r>
        <w:t xml:space="preserve"> </w:t>
      </w:r>
      <w:proofErr w:type="spellStart"/>
      <w:r>
        <w:t>kriminalnom</w:t>
      </w:r>
      <w:proofErr w:type="spellEnd"/>
      <w:r>
        <w:t xml:space="preserve"> </w:t>
      </w:r>
      <w:proofErr w:type="spellStart"/>
      <w:r>
        <w:t>prošlošću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34. Lice je </w:t>
      </w:r>
      <w:proofErr w:type="spellStart"/>
      <w:r>
        <w:t>blisko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poznatom</w:t>
      </w:r>
      <w:proofErr w:type="spellEnd"/>
      <w:r>
        <w:t xml:space="preserve"> </w:t>
      </w:r>
      <w:proofErr w:type="spellStart"/>
      <w:r>
        <w:t>kriminalnom</w:t>
      </w:r>
      <w:proofErr w:type="spellEnd"/>
      <w:r>
        <w:t xml:space="preserve"> </w:t>
      </w:r>
      <w:proofErr w:type="spellStart"/>
      <w:r>
        <w:t>prošlošću</w:t>
      </w:r>
      <w:proofErr w:type="spellEnd"/>
      <w:r>
        <w:t>.</w:t>
      </w:r>
    </w:p>
    <w:p w:rsidR="00827838" w:rsidRDefault="00827838" w:rsidP="00827838">
      <w:pPr>
        <w:pStyle w:val="N01X"/>
      </w:pPr>
      <w:r>
        <w:t>TRGOVINSKE AKTIVNOSTI</w:t>
      </w:r>
    </w:p>
    <w:p w:rsidR="00827838" w:rsidRDefault="00827838" w:rsidP="00827838">
      <w:pPr>
        <w:pStyle w:val="T30X"/>
        <w:ind w:left="283" w:hanging="283"/>
      </w:pPr>
      <w:r>
        <w:t xml:space="preserve">1. </w:t>
      </w:r>
      <w:proofErr w:type="spellStart"/>
      <w:r>
        <w:t>Plaćanje</w:t>
      </w:r>
      <w:proofErr w:type="spellEnd"/>
      <w:r>
        <w:t xml:space="preserve"> </w:t>
      </w:r>
      <w:proofErr w:type="spellStart"/>
      <w:r>
        <w:t>gotovinom</w:t>
      </w:r>
      <w:proofErr w:type="spellEnd"/>
      <w:r>
        <w:t xml:space="preserve"> za </w:t>
      </w:r>
      <w:proofErr w:type="spellStart"/>
      <w:r>
        <w:t>porudžbine</w:t>
      </w:r>
      <w:proofErr w:type="spellEnd"/>
      <w:r>
        <w:t xml:space="preserve"> </w:t>
      </w:r>
      <w:proofErr w:type="spellStart"/>
      <w:r>
        <w:t>visoke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2.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plaćane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</w:t>
      </w:r>
      <w:proofErr w:type="spellStart"/>
      <w:r>
        <w:t>tržišne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3. </w:t>
      </w:r>
      <w:proofErr w:type="spellStart"/>
      <w:r>
        <w:t>Neslaganje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naručene</w:t>
      </w:r>
      <w:proofErr w:type="spellEnd"/>
      <w:r>
        <w:t xml:space="preserve"> robe;</w:t>
      </w:r>
    </w:p>
    <w:p w:rsidR="00827838" w:rsidRDefault="00827838" w:rsidP="00827838">
      <w:pPr>
        <w:pStyle w:val="T30X"/>
        <w:ind w:left="283" w:hanging="283"/>
      </w:pPr>
      <w:r>
        <w:t xml:space="preserve">4.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transferi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učinjeni</w:t>
      </w:r>
      <w:proofErr w:type="spellEnd"/>
      <w:r>
        <w:t xml:space="preserve"> bez </w:t>
      </w:r>
      <w:proofErr w:type="spellStart"/>
      <w:r>
        <w:t>očiglednog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5. </w:t>
      </w:r>
      <w:proofErr w:type="spellStart"/>
      <w:r>
        <w:t>Finansiranje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lica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6. </w:t>
      </w:r>
      <w:proofErr w:type="spellStart"/>
      <w:r>
        <w:t>Pakovanje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7. </w:t>
      </w:r>
      <w:proofErr w:type="spellStart"/>
      <w:r>
        <w:t>Veličina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težina</w:t>
      </w:r>
      <w:proofErr w:type="spellEnd"/>
      <w:r>
        <w:t xml:space="preserve"> </w:t>
      </w:r>
      <w:proofErr w:type="spellStart"/>
      <w:r>
        <w:t>paketa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8. </w:t>
      </w:r>
      <w:proofErr w:type="spellStart"/>
      <w:r>
        <w:t>Trasa</w:t>
      </w:r>
      <w:proofErr w:type="spellEnd"/>
      <w:r>
        <w:t xml:space="preserve"> je </w:t>
      </w:r>
      <w:proofErr w:type="spellStart"/>
      <w:r>
        <w:t>zaobilazna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ekonomski</w:t>
      </w:r>
      <w:proofErr w:type="spellEnd"/>
      <w:r>
        <w:t xml:space="preserve"> </w:t>
      </w:r>
      <w:proofErr w:type="spellStart"/>
      <w:r>
        <w:t>nelogična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9.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je </w:t>
      </w:r>
      <w:proofErr w:type="spellStart"/>
      <w:r>
        <w:t>poštanski</w:t>
      </w:r>
      <w:proofErr w:type="spellEnd"/>
      <w:r>
        <w:t xml:space="preserve"> fah </w:t>
      </w:r>
      <w:proofErr w:type="spellStart"/>
      <w:r>
        <w:t>ili</w:t>
      </w:r>
      <w:proofErr w:type="spellEnd"/>
      <w:r>
        <w:t xml:space="preserve"> "prima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lica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10.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je </w:t>
      </w:r>
      <w:proofErr w:type="spellStart"/>
      <w:r>
        <w:t>teško</w:t>
      </w:r>
      <w:proofErr w:type="spellEnd"/>
      <w:r>
        <w:t xml:space="preserve"> </w:t>
      </w:r>
      <w:proofErr w:type="spellStart"/>
      <w:r>
        <w:t>provjeriti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11. </w:t>
      </w:r>
      <w:proofErr w:type="spellStart"/>
      <w:r>
        <w:t>Poštanska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za </w:t>
      </w:r>
      <w:proofErr w:type="spellStart"/>
      <w:r>
        <w:t>prepisku</w:t>
      </w:r>
      <w:proofErr w:type="spellEnd"/>
      <w:r>
        <w:t xml:space="preserve"> se </w:t>
      </w:r>
      <w:proofErr w:type="spellStart"/>
      <w:r>
        <w:t>razlikuje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zvanične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12.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je </w:t>
      </w:r>
      <w:proofErr w:type="spellStart"/>
      <w:r>
        <w:t>registrovan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navedenoj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,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stanara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mijenjaju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dostupna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indikator</w:t>
      </w:r>
      <w:proofErr w:type="spellEnd"/>
      <w:r>
        <w:t xml:space="preserve"> da to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stvarna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boravišta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prebivališta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13. </w:t>
      </w:r>
      <w:proofErr w:type="spellStart"/>
      <w:r>
        <w:t>Fakturisanje</w:t>
      </w:r>
      <w:proofErr w:type="spellEnd"/>
      <w:r>
        <w:t xml:space="preserve"> u </w:t>
      </w:r>
      <w:proofErr w:type="spellStart"/>
      <w:r>
        <w:t>neuobičajenim</w:t>
      </w:r>
      <w:proofErr w:type="spellEnd"/>
      <w:r>
        <w:t xml:space="preserve"> </w:t>
      </w:r>
      <w:proofErr w:type="spellStart"/>
      <w:r>
        <w:t>valutama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neuobičajenih</w:t>
      </w:r>
      <w:proofErr w:type="spellEnd"/>
      <w:r>
        <w:t xml:space="preserve"> </w:t>
      </w:r>
      <w:proofErr w:type="spellStart"/>
      <w:r>
        <w:t>posrednika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14.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 </w:t>
      </w:r>
      <w:proofErr w:type="spellStart"/>
      <w:r>
        <w:t>fakturisanja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neuobičajena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15.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neuobičajena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16.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partneri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neuobičajeni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17. </w:t>
      </w:r>
      <w:proofErr w:type="spellStart"/>
      <w:r>
        <w:t>Neuobičajen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vid </w:t>
      </w:r>
      <w:proofErr w:type="spellStart"/>
      <w:r>
        <w:t>prevoza</w:t>
      </w:r>
      <w:proofErr w:type="spellEnd"/>
      <w:r>
        <w:t xml:space="preserve"> je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naveden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transportnim</w:t>
      </w:r>
      <w:proofErr w:type="spellEnd"/>
      <w:r>
        <w:t xml:space="preserve"> </w:t>
      </w:r>
      <w:proofErr w:type="spellStart"/>
      <w:r>
        <w:t>dokumentima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18. </w:t>
      </w:r>
      <w:proofErr w:type="spellStart"/>
      <w:r>
        <w:t>Fakturisane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ne </w:t>
      </w:r>
      <w:proofErr w:type="spellStart"/>
      <w:r>
        <w:t>odgovaraju</w:t>
      </w:r>
      <w:proofErr w:type="spellEnd"/>
      <w:r>
        <w:t xml:space="preserve"> </w:t>
      </w:r>
      <w:proofErr w:type="spellStart"/>
      <w:r>
        <w:t>skladišnim</w:t>
      </w:r>
      <w:proofErr w:type="spellEnd"/>
      <w:r>
        <w:t xml:space="preserve"> </w:t>
      </w:r>
      <w:proofErr w:type="spellStart"/>
      <w:r>
        <w:t>kapacitetima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 </w:t>
      </w:r>
      <w:proofErr w:type="spellStart"/>
      <w:r>
        <w:t>skladištenja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19. </w:t>
      </w:r>
      <w:proofErr w:type="spellStart"/>
      <w:r>
        <w:t>Trgovanje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stranim</w:t>
      </w:r>
      <w:proofErr w:type="spellEnd"/>
      <w:r>
        <w:t xml:space="preserve"> </w:t>
      </w:r>
      <w:proofErr w:type="spellStart"/>
      <w:r>
        <w:t>zemljama</w:t>
      </w:r>
      <w:proofErr w:type="spellEnd"/>
      <w:r>
        <w:t xml:space="preserve"> se </w:t>
      </w:r>
      <w:proofErr w:type="spellStart"/>
      <w:r>
        <w:t>iznenada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povećalo</w:t>
      </w:r>
      <w:proofErr w:type="spellEnd"/>
      <w:r>
        <w:t>;</w:t>
      </w:r>
    </w:p>
    <w:p w:rsidR="00827838" w:rsidRDefault="00827838" w:rsidP="00827838">
      <w:pPr>
        <w:pStyle w:val="T30X"/>
        <w:ind w:left="283" w:hanging="283"/>
      </w:pPr>
      <w:r>
        <w:t xml:space="preserve">20.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transakcija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državama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teško</w:t>
      </w:r>
      <w:proofErr w:type="spellEnd"/>
      <w:r>
        <w:t xml:space="preserve"> </w:t>
      </w:r>
      <w:proofErr w:type="spellStart"/>
      <w:r>
        <w:t>provjeriti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.</w:t>
      </w:r>
    </w:p>
    <w:p w:rsidR="00827838" w:rsidRDefault="00827838" w:rsidP="00827838"/>
    <w:p w:rsidR="00827838" w:rsidRDefault="00827838"/>
    <w:sectPr w:rsidR="008278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E1B"/>
    <w:multiLevelType w:val="multilevel"/>
    <w:tmpl w:val="6ECC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679C9"/>
    <w:multiLevelType w:val="multilevel"/>
    <w:tmpl w:val="C132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A023B"/>
    <w:multiLevelType w:val="multilevel"/>
    <w:tmpl w:val="70A0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D1"/>
    <w:rsid w:val="002D67D1"/>
    <w:rsid w:val="003A1E7F"/>
    <w:rsid w:val="004973E9"/>
    <w:rsid w:val="00827838"/>
    <w:rsid w:val="00B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90D7C"/>
  <w15:chartTrackingRefBased/>
  <w15:docId w15:val="{162C6DDD-AAC5-44A3-93E5-0DAA5606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E7F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E7F"/>
    <w:pPr>
      <w:ind w:left="720"/>
      <w:contextualSpacing/>
    </w:pPr>
  </w:style>
  <w:style w:type="paragraph" w:customStyle="1" w:styleId="N01X">
    <w:name w:val="N01X"/>
    <w:basedOn w:val="Normal"/>
    <w:uiPriority w:val="99"/>
    <w:rsid w:val="00827838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82783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1464</Words>
  <Characters>8347</Characters>
  <Application>Microsoft Office Word</Application>
  <DocSecurity>0</DocSecurity>
  <Lines>69</Lines>
  <Paragraphs>19</Paragraphs>
  <ScaleCrop>false</ScaleCrop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7</cp:revision>
  <dcterms:created xsi:type="dcterms:W3CDTF">2025-11-21T07:53:00Z</dcterms:created>
  <dcterms:modified xsi:type="dcterms:W3CDTF">2025-11-21T08:00:00Z</dcterms:modified>
</cp:coreProperties>
</file>