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0BF3" w14:textId="77777777" w:rsidR="00A07773" w:rsidRPr="004D4F07" w:rsidRDefault="00A07773" w:rsidP="00A07773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lang w:val="sr-Latn-ME"/>
        </w:rPr>
      </w:pPr>
      <w:r w:rsidRPr="004D4F07">
        <w:rPr>
          <w:rFonts w:asciiTheme="minorHAnsi" w:hAnsiTheme="minorHAnsi" w:cstheme="minorHAnsi"/>
          <w:b/>
          <w:sz w:val="22"/>
          <w:lang w:val="sr-Latn-ME"/>
        </w:rPr>
        <w:t>OBRAZAC</w:t>
      </w:r>
    </w:p>
    <w:p w14:paraId="3F752E5D" w14:textId="77777777" w:rsidR="00067FCF" w:rsidRPr="004D4F07" w:rsidRDefault="00067FCF" w:rsidP="00BA739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lang w:val="sr-Latn-ME"/>
        </w:rPr>
      </w:pPr>
    </w:p>
    <w:p w14:paraId="0D806B66" w14:textId="77777777" w:rsidR="00067FCF" w:rsidRPr="004D4F07" w:rsidRDefault="00067FCF" w:rsidP="00BA739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lang w:val="sr-Latn-ME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887"/>
        <w:gridCol w:w="5453"/>
      </w:tblGrid>
      <w:tr w:rsidR="00BA2880" w:rsidRPr="004D4F07" w14:paraId="580E3305" w14:textId="77777777" w:rsidTr="00051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12A4D1B8" w14:textId="77777777" w:rsidR="00C72668" w:rsidRPr="004D4F07" w:rsidRDefault="00067FCF" w:rsidP="00067FC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IZVJEŠTAJ</w:t>
            </w:r>
            <w:r w:rsidR="005F6D49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 O SPROVEDENOJ ANALIZI PROCJENE UTICAJA PROPISA</w:t>
            </w:r>
          </w:p>
        </w:tc>
      </w:tr>
      <w:tr w:rsidR="00BA2880" w:rsidRPr="004D4F07" w14:paraId="3DF10B64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14:paraId="33C822FB" w14:textId="77777777" w:rsidR="008322D4" w:rsidRPr="004D4F07" w:rsidRDefault="008322D4" w:rsidP="0000426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 w:val="0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PREDLAGA</w:t>
            </w:r>
            <w:r w:rsidR="005F6D49" w:rsidRPr="004D4F07">
              <w:rPr>
                <w:rFonts w:asciiTheme="minorHAnsi" w:hAnsiTheme="minorHAnsi" w:cstheme="minorHAnsi"/>
                <w:sz w:val="22"/>
                <w:lang w:val="sr-Latn-ME"/>
              </w:rPr>
              <w:t>Č</w:t>
            </w:r>
            <w:r w:rsidR="0000426F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 PROPISA</w:t>
            </w:r>
          </w:p>
        </w:tc>
        <w:tc>
          <w:tcPr>
            <w:tcW w:w="5598" w:type="dxa"/>
          </w:tcPr>
          <w:p w14:paraId="1FF2BAB2" w14:textId="77777777" w:rsidR="008322D4" w:rsidRPr="004D4F07" w:rsidRDefault="00F726EC" w:rsidP="008322D4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b/>
                <w:sz w:val="22"/>
                <w:lang w:val="sr-Latn-ME"/>
              </w:rPr>
              <w:t>Ministarstvo ekonomskog razvoja</w:t>
            </w:r>
          </w:p>
        </w:tc>
      </w:tr>
      <w:tr w:rsidR="00BA2880" w:rsidRPr="004D4F07" w14:paraId="642FAAA2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14:paraId="634ED52A" w14:textId="77777777" w:rsidR="008322D4" w:rsidRPr="004D4F07" w:rsidRDefault="008322D4" w:rsidP="00067FC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 w:val="0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NA</w:t>
            </w:r>
            <w:r w:rsidR="00067FCF" w:rsidRPr="004D4F07">
              <w:rPr>
                <w:rFonts w:asciiTheme="minorHAnsi" w:hAnsiTheme="minorHAnsi" w:cstheme="minorHAnsi"/>
                <w:sz w:val="22"/>
                <w:lang w:val="sr-Latn-ME"/>
              </w:rPr>
              <w:t>ZIV</w:t>
            </w: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 PROPISA</w:t>
            </w:r>
          </w:p>
        </w:tc>
        <w:tc>
          <w:tcPr>
            <w:tcW w:w="5598" w:type="dxa"/>
          </w:tcPr>
          <w:p w14:paraId="6254A44B" w14:textId="5B1693C1" w:rsidR="008322D4" w:rsidRPr="004D4F07" w:rsidRDefault="005B551D" w:rsidP="008322D4">
            <w:pPr>
              <w:autoSpaceDE w:val="0"/>
              <w:autoSpaceDN w:val="0"/>
              <w:adjustRightInd w:val="0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lang w:val="sr-Latn-ME"/>
              </w:rPr>
            </w:pPr>
            <w:proofErr w:type="spellStart"/>
            <w:r w:rsidRPr="004D4F07">
              <w:rPr>
                <w:rFonts w:asciiTheme="minorHAnsi" w:hAnsiTheme="minorHAnsi" w:cstheme="minorHAnsi"/>
                <w:b/>
                <w:sz w:val="22"/>
                <w:lang w:val="sr-Latn-ME"/>
              </w:rPr>
              <w:t>Predlog</w:t>
            </w:r>
            <w:proofErr w:type="spellEnd"/>
            <w:r w:rsidRPr="004D4F07">
              <w:rPr>
                <w:rFonts w:asciiTheme="minorHAnsi" w:hAnsiTheme="minorHAnsi" w:cstheme="minorHAnsi"/>
                <w:b/>
                <w:sz w:val="22"/>
                <w:lang w:val="sr-Latn-ME"/>
              </w:rPr>
              <w:t xml:space="preserve"> zakona o Kreditno</w:t>
            </w:r>
            <w:r w:rsidR="005E4D84" w:rsidRPr="004D4F07">
              <w:rPr>
                <w:rFonts w:asciiTheme="minorHAnsi" w:hAnsiTheme="minorHAnsi" w:cstheme="minorHAnsi"/>
                <w:b/>
                <w:sz w:val="22"/>
                <w:lang w:val="sr-Latn-ME"/>
              </w:rPr>
              <w:t xml:space="preserve"> garantnom fondu</w:t>
            </w:r>
            <w:r w:rsidR="00AA6358" w:rsidRPr="004D4F07">
              <w:rPr>
                <w:rFonts w:asciiTheme="minorHAnsi" w:hAnsiTheme="minorHAnsi" w:cstheme="minorHAnsi"/>
                <w:b/>
                <w:sz w:val="22"/>
                <w:lang w:val="sr-Latn-ME"/>
              </w:rPr>
              <w:t xml:space="preserve"> Crne Gore</w:t>
            </w:r>
            <w:r w:rsidR="00524220" w:rsidRPr="004D4F07">
              <w:rPr>
                <w:rFonts w:asciiTheme="minorHAnsi" w:hAnsiTheme="minorHAnsi" w:cstheme="minorHAnsi"/>
                <w:b/>
                <w:sz w:val="22"/>
                <w:lang w:val="sr-Latn-ME"/>
              </w:rPr>
              <w:t xml:space="preserve"> (</w:t>
            </w:r>
            <w:r w:rsidR="00524220" w:rsidRPr="004D4F07">
              <w:rPr>
                <w:rFonts w:asciiTheme="minorHAnsi" w:hAnsiTheme="minorHAnsi" w:cstheme="minorHAnsi"/>
                <w:b/>
                <w:sz w:val="22"/>
                <w:lang w:val="sr-Latn-ME"/>
              </w:rPr>
              <w:t>KGFCG</w:t>
            </w:r>
            <w:r w:rsidR="00524220" w:rsidRPr="004D4F07">
              <w:rPr>
                <w:rFonts w:asciiTheme="minorHAnsi" w:hAnsiTheme="minorHAnsi" w:cstheme="minorHAnsi"/>
                <w:b/>
                <w:sz w:val="22"/>
                <w:lang w:val="sr-Latn-ME"/>
              </w:rPr>
              <w:t>)</w:t>
            </w:r>
          </w:p>
        </w:tc>
      </w:tr>
      <w:tr w:rsidR="00BA2880" w:rsidRPr="004D4F07" w14:paraId="186ED9D8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13B1FD71" w14:textId="77777777" w:rsidR="008322D4" w:rsidRPr="004D4F07" w:rsidRDefault="008322D4" w:rsidP="008322D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1</w:t>
            </w:r>
            <w:r w:rsidR="001D0BF0" w:rsidRPr="004D4F07">
              <w:rPr>
                <w:rFonts w:asciiTheme="minorHAnsi" w:hAnsiTheme="minorHAnsi" w:cstheme="minorHAnsi"/>
                <w:sz w:val="22"/>
                <w:lang w:val="sr-Latn-ME"/>
              </w:rPr>
              <w:t>.</w:t>
            </w: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 Definisanje problema</w:t>
            </w:r>
          </w:p>
          <w:p w14:paraId="2E54A3CE" w14:textId="77777777" w:rsidR="00A07773" w:rsidRPr="004D4F07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HAnsi" w:hAnsiTheme="minorHAnsi" w:cstheme="minorHAnsi"/>
                <w:b w:val="0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K</w:t>
            </w:r>
            <w:r w:rsidR="001D0BF0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oje </w:t>
            </w:r>
            <w:r w:rsidR="005F03ED" w:rsidRPr="004D4F07">
              <w:rPr>
                <w:rFonts w:asciiTheme="minorHAnsi" w:hAnsiTheme="minorHAnsi" w:cstheme="minorHAnsi"/>
                <w:sz w:val="22"/>
                <w:lang w:val="sr-Latn-ME"/>
              </w:rPr>
              <w:t>probleme  treba da r</w:t>
            </w:r>
            <w:r w:rsidR="006A1B2C" w:rsidRPr="004D4F07">
              <w:rPr>
                <w:rFonts w:asciiTheme="minorHAnsi" w:hAnsiTheme="minorHAnsi" w:cstheme="minorHAnsi"/>
                <w:sz w:val="22"/>
                <w:lang w:val="sr-Latn-ME"/>
              </w:rPr>
              <w:t>i</w:t>
            </w:r>
            <w:r w:rsidR="005F03ED" w:rsidRPr="004D4F07">
              <w:rPr>
                <w:rFonts w:asciiTheme="minorHAnsi" w:hAnsiTheme="minorHAnsi" w:cstheme="minorHAnsi"/>
                <w:sz w:val="22"/>
                <w:lang w:val="sr-Latn-ME"/>
              </w:rPr>
              <w:t>ješi predloženi akt?</w:t>
            </w:r>
          </w:p>
          <w:p w14:paraId="001CE1D1" w14:textId="77777777" w:rsidR="00A07773" w:rsidRPr="004D4F07" w:rsidRDefault="00D06D2A" w:rsidP="009728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HAnsi" w:hAnsiTheme="minorHAnsi" w:cstheme="minorHAnsi"/>
                <w:b w:val="0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K</w:t>
            </w:r>
            <w:r w:rsidR="00067FCF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oji </w:t>
            </w:r>
            <w:r w:rsidR="008322D4" w:rsidRPr="004D4F07">
              <w:rPr>
                <w:rFonts w:asciiTheme="minorHAnsi" w:hAnsiTheme="minorHAnsi" w:cstheme="minorHAnsi"/>
                <w:sz w:val="22"/>
                <w:lang w:val="sr-Latn-ME"/>
              </w:rPr>
              <w:t>su uzroci problema?</w:t>
            </w:r>
          </w:p>
          <w:p w14:paraId="6F0FC971" w14:textId="77777777" w:rsidR="00A07773" w:rsidRPr="004D4F07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HAnsi" w:hAnsiTheme="minorHAnsi" w:cstheme="minorHAnsi"/>
                <w:b w:val="0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K</w:t>
            </w:r>
            <w:r w:rsidR="00067FCF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oje </w:t>
            </w:r>
            <w:r w:rsidR="005F03ED" w:rsidRPr="004D4F07">
              <w:rPr>
                <w:rFonts w:asciiTheme="minorHAnsi" w:hAnsiTheme="minorHAnsi" w:cstheme="minorHAnsi"/>
                <w:sz w:val="22"/>
                <w:lang w:val="sr-Latn-ME"/>
              </w:rPr>
              <w:t>su posljedice problema?</w:t>
            </w:r>
          </w:p>
          <w:p w14:paraId="4BAFEEEF" w14:textId="77777777" w:rsidR="00A07773" w:rsidRPr="004D4F07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HAnsi" w:hAnsiTheme="minorHAnsi" w:cstheme="minorHAnsi"/>
                <w:b w:val="0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K</w:t>
            </w:r>
            <w:r w:rsidR="008322D4" w:rsidRPr="004D4F07">
              <w:rPr>
                <w:rFonts w:asciiTheme="minorHAnsi" w:hAnsiTheme="minorHAnsi" w:cstheme="minorHAnsi"/>
                <w:sz w:val="22"/>
                <w:lang w:val="sr-Latn-ME"/>
              </w:rPr>
              <w:t>o</w:t>
            </w: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j</w:t>
            </w:r>
            <w:r w:rsidR="00972845" w:rsidRPr="004D4F07">
              <w:rPr>
                <w:rFonts w:asciiTheme="minorHAnsi" w:hAnsiTheme="minorHAnsi" w:cstheme="minorHAnsi"/>
                <w:sz w:val="22"/>
                <w:lang w:val="sr-Latn-ME"/>
              </w:rPr>
              <w:t>i</w:t>
            </w:r>
            <w:r w:rsidR="00067FCF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 su subjekti</w:t>
            </w:r>
            <w:r w:rsidR="008322D4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 oštećen</w:t>
            </w:r>
            <w:r w:rsidR="00067FCF" w:rsidRPr="004D4F07">
              <w:rPr>
                <w:rFonts w:asciiTheme="minorHAnsi" w:hAnsiTheme="minorHAnsi" w:cstheme="minorHAnsi"/>
                <w:sz w:val="22"/>
                <w:lang w:val="sr-Latn-ME"/>
              </w:rPr>
              <w:t>i</w:t>
            </w:r>
            <w:r w:rsidR="008322D4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, na koji način i </w:t>
            </w:r>
            <w:r w:rsidR="00067FCF" w:rsidRPr="004D4F07">
              <w:rPr>
                <w:rFonts w:asciiTheme="minorHAnsi" w:hAnsiTheme="minorHAnsi" w:cstheme="minorHAnsi"/>
                <w:sz w:val="22"/>
                <w:lang w:val="sr-Latn-ME"/>
              </w:rPr>
              <w:t>u kojoj mjeri</w:t>
            </w:r>
            <w:r w:rsidR="008322D4" w:rsidRPr="004D4F07">
              <w:rPr>
                <w:rFonts w:asciiTheme="minorHAnsi" w:hAnsiTheme="minorHAnsi" w:cstheme="minorHAnsi"/>
                <w:sz w:val="22"/>
                <w:lang w:val="sr-Latn-ME"/>
              </w:rPr>
              <w:t>?</w:t>
            </w:r>
          </w:p>
          <w:p w14:paraId="376E2ADB" w14:textId="77777777" w:rsidR="00A07773" w:rsidRPr="004D4F07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HAnsi" w:hAnsiTheme="minorHAnsi" w:cstheme="minorHAnsi"/>
                <w:b w:val="0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K</w:t>
            </w:r>
            <w:r w:rsidR="001D0BF0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ako </w:t>
            </w:r>
            <w:r w:rsidR="008322D4" w:rsidRPr="004D4F07">
              <w:rPr>
                <w:rFonts w:asciiTheme="minorHAnsi" w:hAnsiTheme="minorHAnsi" w:cstheme="minorHAnsi"/>
                <w:sz w:val="22"/>
                <w:lang w:val="sr-Latn-ME"/>
              </w:rPr>
              <w:t>bi problem evoluirao bez promjene propisa (</w:t>
            </w:r>
            <w:r w:rsidR="005F03ED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“status </w:t>
            </w:r>
            <w:proofErr w:type="spellStart"/>
            <w:r w:rsidR="005F03ED" w:rsidRPr="004D4F07">
              <w:rPr>
                <w:rFonts w:asciiTheme="minorHAnsi" w:hAnsiTheme="minorHAnsi" w:cstheme="minorHAnsi"/>
                <w:sz w:val="22"/>
                <w:lang w:val="sr-Latn-ME"/>
              </w:rPr>
              <w:t>quo</w:t>
            </w:r>
            <w:proofErr w:type="spellEnd"/>
            <w:r w:rsidR="005F03ED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” </w:t>
            </w:r>
            <w:r w:rsidR="008322D4" w:rsidRPr="004D4F07">
              <w:rPr>
                <w:rFonts w:asciiTheme="minorHAnsi" w:hAnsiTheme="minorHAnsi" w:cstheme="minorHAnsi"/>
                <w:sz w:val="22"/>
                <w:lang w:val="sr-Latn-ME"/>
              </w:rPr>
              <w:t>opcija)?</w:t>
            </w:r>
          </w:p>
        </w:tc>
      </w:tr>
      <w:tr w:rsidR="00BA2880" w:rsidRPr="004D4F07" w14:paraId="6ACCE01B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6FA7F57A" w14:textId="03875A14" w:rsidR="00FA1E61" w:rsidRPr="004D4F07" w:rsidRDefault="00C92799" w:rsidP="00443C74">
            <w:pPr>
              <w:pStyle w:val="Body"/>
              <w:ind w:firstLine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</w:pP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Ovim zakonom uređuje se izdavanje garancija kreditnim institucijama za izmirenje obaveza preduzetnika, mi</w:t>
            </w:r>
            <w:r w:rsidR="00A5580E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kro, malih i srednjih preduzeća, </w:t>
            </w:r>
            <w:r w:rsidR="005C60C2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poljoprivredn</w:t>
            </w:r>
            <w:r w:rsidR="00307630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ih</w:t>
            </w:r>
            <w:r w:rsidR="005C60C2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 proizvođača</w:t>
            </w:r>
            <w:r w:rsidR="00307630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,</w:t>
            </w:r>
            <w:r w:rsidR="005C60C2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 koji su registrovani u skladu sa Pravilnikom o obliku i načinu vođenja registra subjekata i registra poljoprivrednih gazdinstava</w:t>
            </w: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, djelatnost i poslovanje Kreditno-garantnog fonda Crne Gore</w:t>
            </w:r>
            <w:r w:rsidR="00524220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 (</w:t>
            </w:r>
            <w:r w:rsidR="00524220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u daljem tekstu: KGFCG</w:t>
            </w:r>
            <w:r w:rsidR="00524220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)</w:t>
            </w: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.</w:t>
            </w:r>
            <w:r w:rsidR="001549AB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A1E61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Niz indikatora potvrđuje da se preduzetnici, mikro i mala preduzeća suočavaju sa poteškoćama i </w:t>
            </w:r>
            <w:proofErr w:type="spellStart"/>
            <w:r w:rsidR="00FA1E61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preprekama</w:t>
            </w:r>
            <w:proofErr w:type="spellEnd"/>
            <w:r w:rsidR="00FA1E61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 u pristupu finansijama u Crnoj Gori. </w:t>
            </w:r>
            <w:proofErr w:type="spellStart"/>
            <w:r w:rsidR="00FA1E61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Usljed</w:t>
            </w:r>
            <w:proofErr w:type="spellEnd"/>
            <w:r w:rsidR="00FA1E61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 strogih propisa, poslovne banke imaju visoke standarde upravljanja kreditnim rizikom koje preduzetnici, mikro, mala i srednja preduzeća generalno veoma teško postižu. Preduzetnici i mikro i mala preduzeća često nemaju dovoljno resursa da ispune ove zahtjeve, nemaju adekvatan </w:t>
            </w:r>
            <w:proofErr w:type="spellStart"/>
            <w:r w:rsidR="00FA1E61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kolateral</w:t>
            </w:r>
            <w:proofErr w:type="spellEnd"/>
            <w:r w:rsidR="00FA1E61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, i/ili nemaju dovoljan kapacitet finansijskog upravljanja, niti adekvatnu kreditnu istoriju ili rezultate poslovanja.</w:t>
            </w:r>
            <w:r w:rsidR="001549AB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A1E61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Uspostavljanjem nezavisne i stalne institucije, KGFCG će se nositi sa ovim izazovima smanjenjem rizika od kreditiranja MMSP i preduzetnika kroz pružanje djelimičnih rizičnih garancija. Garancije zajma mogu pružiti dodatnu sigurnost kako bi se povećao kreditni rezultat zajmoprimca i istome pomoglo u kompenzovanju kreditne istorije, dosadašnjeg iskustva i zahtjeva za </w:t>
            </w:r>
            <w:proofErr w:type="spellStart"/>
            <w:r w:rsidR="00FA1E61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kolateralom</w:t>
            </w:r>
            <w:proofErr w:type="spellEnd"/>
            <w:r w:rsidR="00FA1E61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.</w:t>
            </w:r>
          </w:p>
          <w:p w14:paraId="19814A80" w14:textId="77777777" w:rsidR="001549AB" w:rsidRPr="004D4F07" w:rsidRDefault="003B16ED" w:rsidP="00443C74">
            <w:pPr>
              <w:pStyle w:val="Body"/>
              <w:ind w:firstLine="0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  <w:shd w:val="clear" w:color="auto" w:fill="FFFFFF"/>
                <w:lang w:val="sr-Latn-ME"/>
              </w:rPr>
            </w:pP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Ograničen pristup finansijama, posebno za preduzetnike i MMSP, predstavlja izazov u ​​</w:t>
            </w:r>
            <w:proofErr w:type="spellStart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većini</w:t>
            </w:r>
            <w:proofErr w:type="spellEnd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 ekonomija u razvoju, </w:t>
            </w:r>
            <w:proofErr w:type="spellStart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uključujući</w:t>
            </w:r>
            <w:proofErr w:type="spellEnd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 Crnu Goru. Pandemija COVID-19 dodatno je pogoršala ove probleme i stvorila krizu l</w:t>
            </w:r>
            <w:r w:rsidR="00D75805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ikvidnosti i opstanka za veliki broj</w:t>
            </w: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proofErr w:type="spellStart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preduzeća</w:t>
            </w:r>
            <w:proofErr w:type="spellEnd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 i ugrozila zapošljavanje i prihode. Prevazilaženje ovog izazova može stimulisati razvoj crnogorske ekonomije, kako u odgovoru na krizu, tako i na duži rok.</w:t>
            </w:r>
            <w:r w:rsidR="001549AB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</w:p>
          <w:p w14:paraId="1013C9AC" w14:textId="18F1BDD8" w:rsidR="00443C74" w:rsidRPr="004D4F07" w:rsidRDefault="003B16ED" w:rsidP="00443C74">
            <w:pPr>
              <w:pStyle w:val="Body"/>
              <w:ind w:firstLine="0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sr-Latn-ME"/>
              </w:rPr>
            </w:pP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Evropska banka za</w:t>
            </w:r>
            <w:r w:rsidR="00D75805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 obnovu i razvoj (</w:t>
            </w:r>
            <w:r w:rsidR="00261B56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EBRD) podržala</w:t>
            </w:r>
            <w:r w:rsidR="00D75805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 je</w:t>
            </w: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 Vladu Crne Gore u određivanju ključnih specifikacija i zahtjeva za </w:t>
            </w:r>
            <w:r w:rsidR="00D75805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KG</w:t>
            </w: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F</w:t>
            </w:r>
            <w:r w:rsidR="00D75805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CG kako bi se za MMSP značajno</w:t>
            </w: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proofErr w:type="spellStart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povećao</w:t>
            </w:r>
            <w:proofErr w:type="spellEnd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 pristup finansiranju </w:t>
            </w:r>
            <w:r w:rsidR="00D75805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od strane </w:t>
            </w: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lokalni</w:t>
            </w:r>
            <w:r w:rsidR="00D75805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h </w:t>
            </w:r>
            <w:r w:rsidR="00261B56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kreditnih institucija</w:t>
            </w:r>
            <w:r w:rsidR="00D75805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 (</w:t>
            </w:r>
            <w:r w:rsidR="001549AB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K</w:t>
            </w:r>
            <w:r w:rsidR="00D75805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I). KGFCG </w:t>
            </w: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bi imao krizni garantni prozor za podršku </w:t>
            </w:r>
            <w:proofErr w:type="spellStart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preduzećima</w:t>
            </w:r>
            <w:proofErr w:type="spellEnd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 koja su pogođena krizom COVID-19 i potencijalnim </w:t>
            </w:r>
            <w:proofErr w:type="spellStart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budućim</w:t>
            </w:r>
            <w:proofErr w:type="spellEnd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 krizama, kao i standardni prozor koji bi podržao sva MMSP i preduzetni</w:t>
            </w:r>
            <w:r w:rsidR="00D75805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ke koji ispunjavaju uslove. KGFCG biće dizajniran kao permanentna</w:t>
            </w: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, </w:t>
            </w:r>
            <w:r w:rsidR="00D75805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nezavisna </w:t>
            </w: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i održiva institucija, koja bi pomogla </w:t>
            </w:r>
            <w:r w:rsidR="001B78B9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kreditnim</w:t>
            </w: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 institucijama da iskoriste svoj višak likvidnosti bezb</w:t>
            </w:r>
            <w:r w:rsidR="00D75805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j</w:t>
            </w: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edno i profitabilno za finansiranje </w:t>
            </w:r>
            <w:r w:rsidR="00D75805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i otvaranje novih</w:t>
            </w: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 radnih m</w:t>
            </w:r>
            <w:r w:rsidR="00D75805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j</w:t>
            </w: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esta, kvaliteta proizvoda, prihoda i izvoza.</w:t>
            </w:r>
          </w:p>
          <w:p w14:paraId="622C95A9" w14:textId="77777777" w:rsidR="00443C74" w:rsidRPr="004D4F07" w:rsidRDefault="00443C74" w:rsidP="00443C74">
            <w:pPr>
              <w:pStyle w:val="Body"/>
              <w:ind w:firstLine="0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  <w:shd w:val="clear" w:color="auto" w:fill="FFFFFF"/>
                <w:lang w:val="sr-Latn-ME"/>
              </w:rPr>
            </w:pPr>
          </w:p>
          <w:p w14:paraId="63766DDA" w14:textId="77777777" w:rsidR="00611A3D" w:rsidRPr="004D4F07" w:rsidRDefault="00611A3D" w:rsidP="003B16ED">
            <w:pPr>
              <w:pStyle w:val="Body"/>
              <w:ind w:left="360" w:firstLine="0"/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  <w:lang w:val="sr-Latn-ME"/>
              </w:rPr>
            </w:pPr>
            <w:r w:rsidRPr="004D4F0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  <w:lang w:val="sr-Latn-ME"/>
              </w:rPr>
              <w:t>Uzroci:</w:t>
            </w:r>
          </w:p>
          <w:p w14:paraId="51612EE4" w14:textId="77777777" w:rsidR="00611A3D" w:rsidRPr="004D4F07" w:rsidRDefault="00611A3D" w:rsidP="00A5580E">
            <w:pPr>
              <w:pStyle w:val="Body"/>
              <w:numPr>
                <w:ilvl w:val="0"/>
                <w:numId w:val="48"/>
              </w:numPr>
              <w:spacing w:before="0" w:line="259" w:lineRule="auto"/>
              <w:ind w:left="357" w:hanging="357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</w:pP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Ograničen pristup finansijskim sredstvima neophodnim za pokretanje i razvoj svog poslovanja</w:t>
            </w:r>
          </w:p>
          <w:p w14:paraId="6FDBD856" w14:textId="77777777" w:rsidR="00611A3D" w:rsidRPr="004D4F07" w:rsidRDefault="00611A3D" w:rsidP="00A5580E">
            <w:pPr>
              <w:pStyle w:val="Body"/>
              <w:numPr>
                <w:ilvl w:val="0"/>
                <w:numId w:val="48"/>
              </w:numPr>
              <w:spacing w:before="0" w:line="259" w:lineRule="auto"/>
              <w:ind w:left="357" w:hanging="357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</w:pP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Neblagovremeno izvršavanje finansijskih obaveza</w:t>
            </w:r>
          </w:p>
          <w:p w14:paraId="60075766" w14:textId="77777777" w:rsidR="00611A3D" w:rsidRPr="004D4F07" w:rsidRDefault="00611A3D" w:rsidP="00A5580E">
            <w:pPr>
              <w:pStyle w:val="Body"/>
              <w:numPr>
                <w:ilvl w:val="0"/>
                <w:numId w:val="48"/>
              </w:numPr>
              <w:spacing w:before="0" w:line="259" w:lineRule="auto"/>
              <w:ind w:left="357" w:hanging="357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</w:pP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Nedovoljni kreditni plasman preduzećima</w:t>
            </w:r>
          </w:p>
          <w:p w14:paraId="14B0BD26" w14:textId="77777777" w:rsidR="00611A3D" w:rsidRPr="004D4F07" w:rsidRDefault="00611A3D" w:rsidP="00A5580E">
            <w:pPr>
              <w:pStyle w:val="Body"/>
              <w:numPr>
                <w:ilvl w:val="0"/>
                <w:numId w:val="48"/>
              </w:numPr>
              <w:spacing w:before="0" w:line="259" w:lineRule="auto"/>
              <w:ind w:left="357" w:hanging="357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</w:pP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Stroge procedure odobravanja kredita</w:t>
            </w:r>
          </w:p>
          <w:p w14:paraId="5B550D28" w14:textId="77777777" w:rsidR="00443C74" w:rsidRPr="004D4F07" w:rsidRDefault="00443C74" w:rsidP="00FA1E61">
            <w:pPr>
              <w:pStyle w:val="Body"/>
              <w:ind w:left="360" w:firstLine="0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  <w:shd w:val="clear" w:color="auto" w:fill="FFFFFF"/>
                <w:lang w:val="sr-Latn-ME"/>
              </w:rPr>
            </w:pPr>
          </w:p>
          <w:p w14:paraId="68E693C4" w14:textId="77777777" w:rsidR="00FA1E61" w:rsidRPr="004D4F07" w:rsidRDefault="00FA1E61" w:rsidP="00FA1E61">
            <w:pPr>
              <w:pStyle w:val="Body"/>
              <w:ind w:left="360" w:firstLine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</w:pP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MMSP i preduzetnici imaju poteškoća u pristupu finansijama uglavnom zbog sljedećih </w:t>
            </w:r>
            <w:proofErr w:type="spellStart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prepreka</w:t>
            </w:r>
            <w:proofErr w:type="spellEnd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:</w:t>
            </w:r>
          </w:p>
          <w:p w14:paraId="70BFB70B" w14:textId="77777777" w:rsidR="00FA1E61" w:rsidRPr="004D4F07" w:rsidRDefault="00FA1E61" w:rsidP="00A5580E">
            <w:pPr>
              <w:pStyle w:val="Body"/>
              <w:numPr>
                <w:ilvl w:val="0"/>
                <w:numId w:val="46"/>
              </w:numPr>
              <w:spacing w:before="0" w:line="259" w:lineRule="auto"/>
              <w:ind w:left="357" w:hanging="357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</w:pP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Prihodi, novčani tok i likvidnost mnogih preduzeća su naglo smanjeni </w:t>
            </w:r>
            <w:proofErr w:type="spellStart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usljed</w:t>
            </w:r>
            <w:proofErr w:type="spellEnd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 pojave COVID-19 virusa, zbog čega imaju ograničenja i poteškoće prilikom oporavka; </w:t>
            </w:r>
          </w:p>
          <w:p w14:paraId="05DE0FF8" w14:textId="77777777" w:rsidR="00FA1E61" w:rsidRPr="004D4F07" w:rsidRDefault="00FA1E61" w:rsidP="00A5580E">
            <w:pPr>
              <w:pStyle w:val="Body"/>
              <w:numPr>
                <w:ilvl w:val="0"/>
                <w:numId w:val="46"/>
              </w:numPr>
              <w:spacing w:before="0" w:line="259" w:lineRule="auto"/>
              <w:ind w:left="357" w:hanging="357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</w:pP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Nedovoljan </w:t>
            </w:r>
            <w:proofErr w:type="spellStart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kolateral</w:t>
            </w:r>
            <w:proofErr w:type="spellEnd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;</w:t>
            </w:r>
          </w:p>
          <w:p w14:paraId="33175105" w14:textId="77777777" w:rsidR="00FA1E61" w:rsidRPr="004D4F07" w:rsidRDefault="00FA1E61" w:rsidP="00A5580E">
            <w:pPr>
              <w:pStyle w:val="Body"/>
              <w:numPr>
                <w:ilvl w:val="0"/>
                <w:numId w:val="46"/>
              </w:numPr>
              <w:spacing w:before="0" w:line="259" w:lineRule="auto"/>
              <w:ind w:left="357" w:hanging="357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</w:pP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Nedovoljna evidencija performansi i kreditna istorija;</w:t>
            </w:r>
          </w:p>
          <w:p w14:paraId="208C01F0" w14:textId="77777777" w:rsidR="00FA1E61" w:rsidRPr="004D4F07" w:rsidRDefault="00FA1E61" w:rsidP="00A5580E">
            <w:pPr>
              <w:pStyle w:val="Body"/>
              <w:numPr>
                <w:ilvl w:val="0"/>
                <w:numId w:val="46"/>
              </w:numPr>
              <w:spacing w:before="0" w:line="259" w:lineRule="auto"/>
              <w:ind w:left="357" w:hanging="357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</w:pP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Komercijalne banke su više fokusirane na srednja i velika preduzeća sa solidnom kreditnom istorijom, profesionalnim menadžmentom i </w:t>
            </w:r>
            <w:proofErr w:type="spellStart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kolateralom</w:t>
            </w:r>
            <w:proofErr w:type="spellEnd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 za nekretnine;</w:t>
            </w:r>
          </w:p>
          <w:p w14:paraId="363314DA" w14:textId="77777777" w:rsidR="00A5580E" w:rsidRPr="004D4F07" w:rsidRDefault="00332529" w:rsidP="001549AB">
            <w:pPr>
              <w:pStyle w:val="Body"/>
              <w:ind w:firstLine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</w:pP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K</w:t>
            </w:r>
            <w:r w:rsidR="00FA1E61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ao što je i kod odgovora na prethodno pitanje navedeno, oštećeni subjekti su u najvećoj mjeri preduzetnici, mikro, mala i srednja preduzeća. </w:t>
            </w:r>
            <w:r w:rsidR="00B344F3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Problem je najvidljiviji kod klijenata koji nemaju dovoljno sredstava obezbjeđenja, imaju ograničenu evidenciju i/ili kreditnu istoriju i slično. </w:t>
            </w:r>
          </w:p>
          <w:p w14:paraId="60B3BFAB" w14:textId="279D26AA" w:rsidR="003561AE" w:rsidRPr="004D4F07" w:rsidRDefault="00332529" w:rsidP="00443C74">
            <w:pPr>
              <w:pStyle w:val="Body"/>
              <w:ind w:firstLine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</w:pP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Otežan pristup finansijskim sredstvima je jaz koji postoji između ponude i tražnje za novcem u datim okolnostima. Postoje brojni razlozi koji utiču na to da pristup finansijskim sredstvima bude teži za MMSP, u odnosu na velika </w:t>
            </w:r>
            <w:proofErr w:type="spellStart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preduzeća</w:t>
            </w:r>
            <w:proofErr w:type="spellEnd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. Za razliku od velikih </w:t>
            </w:r>
            <w:proofErr w:type="spellStart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preduzeća</w:t>
            </w:r>
            <w:proofErr w:type="spellEnd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, koja imaju pristup </w:t>
            </w:r>
            <w:proofErr w:type="spellStart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tržištu</w:t>
            </w:r>
            <w:proofErr w:type="spellEnd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 kapitala, </w:t>
            </w:r>
            <w:proofErr w:type="spellStart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većini</w:t>
            </w:r>
            <w:proofErr w:type="spellEnd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 MSP </w:t>
            </w:r>
            <w:proofErr w:type="spellStart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trzište</w:t>
            </w:r>
            <w:proofErr w:type="spellEnd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 kapitala nije dostupno, pa se sredstva moraju tražiti iz drugih izvora, najčešće iz kredita. </w:t>
            </w:r>
            <w:r w:rsidR="0064296B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Imajući u vidu navedeno, u slučaju </w:t>
            </w:r>
            <w:proofErr w:type="spellStart"/>
            <w:r w:rsidR="0064296B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neosnivanja</w:t>
            </w:r>
            <w:proofErr w:type="spellEnd"/>
            <w:r w:rsidR="0064296B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524220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KGFCG</w:t>
            </w:r>
            <w:r w:rsidR="00524220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 – a </w:t>
            </w:r>
            <w:r w:rsidR="0064296B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problem otežanog pristupa finansijskim sredstvima kada su u pitanja MMSP i preduzetnici bi se dodatno produbio i prolongirao. U tom smislu, a u uslovima oporavka od COVID 19 pandemije veliki broj MMSP bi se našao u riziku otežanog poslovanja</w:t>
            </w:r>
            <w:r w:rsidR="005B551D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 (</w:t>
            </w:r>
            <w:r w:rsidR="0064296B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i eventualnog zatvaranja)</w:t>
            </w:r>
            <w:r w:rsidR="005B551D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.</w:t>
            </w:r>
          </w:p>
        </w:tc>
      </w:tr>
      <w:tr w:rsidR="00BA2880" w:rsidRPr="004D4F07" w14:paraId="354426D1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50BE559B" w14:textId="77777777" w:rsidR="001549AB" w:rsidRPr="004D4F07" w:rsidRDefault="001549AB" w:rsidP="008322D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 w:val="0"/>
                <w:bCs/>
                <w:sz w:val="22"/>
                <w:lang w:val="sr-Latn-ME"/>
              </w:rPr>
            </w:pPr>
          </w:p>
          <w:p w14:paraId="30E7076E" w14:textId="77777777" w:rsidR="008322D4" w:rsidRPr="004D4F07" w:rsidRDefault="008322D4" w:rsidP="008322D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 w:val="0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2</w:t>
            </w:r>
            <w:r w:rsidR="001D0BF0" w:rsidRPr="004D4F07">
              <w:rPr>
                <w:rFonts w:asciiTheme="minorHAnsi" w:hAnsiTheme="minorHAnsi" w:cstheme="minorHAnsi"/>
                <w:sz w:val="22"/>
                <w:lang w:val="sr-Latn-ME"/>
              </w:rPr>
              <w:t>.</w:t>
            </w: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 Ciljevi</w:t>
            </w:r>
          </w:p>
          <w:p w14:paraId="2A14E4EC" w14:textId="77777777" w:rsidR="00A07773" w:rsidRPr="004D4F07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HAnsi" w:hAnsiTheme="minorHAnsi" w:cstheme="minorHAnsi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K</w:t>
            </w:r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>oji ciljevi se postižu predloženim propisom?</w:t>
            </w:r>
          </w:p>
          <w:p w14:paraId="7E9F0307" w14:textId="77777777" w:rsidR="00A07773" w:rsidRPr="004D4F07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HAnsi" w:hAnsiTheme="minorHAnsi" w:cstheme="minorHAnsi"/>
                <w:b w:val="0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N</w:t>
            </w:r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avesti </w:t>
            </w:r>
            <w:r w:rsidR="00067FCF" w:rsidRPr="004D4F07">
              <w:rPr>
                <w:rFonts w:asciiTheme="minorHAnsi" w:hAnsiTheme="minorHAnsi" w:cstheme="minorHAnsi"/>
                <w:sz w:val="22"/>
                <w:lang w:val="sr-Latn-ME"/>
              </w:rPr>
              <w:t>usklađenost</w:t>
            </w:r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 ovih ciljeva sa postojećim strategijama ili programima Vlade, ako je primjenljivo.</w:t>
            </w:r>
          </w:p>
        </w:tc>
      </w:tr>
      <w:tr w:rsidR="00BA2880" w:rsidRPr="004D4F07" w14:paraId="39137C3B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129202C2" w14:textId="0794A4CB" w:rsidR="00142831" w:rsidRPr="004D4F07" w:rsidRDefault="008D6B40" w:rsidP="001549AB">
            <w:pPr>
              <w:pStyle w:val="Default"/>
              <w:spacing w:before="120" w:after="120"/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</w:pPr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>Ovim zakonom osniva se KGFCG i utvrđuju se njegova ovlašćenja, struktura, način upravljanja, poslovi, funkcionisanje, djelokrug, politika i procedura za izdavanje Kreditnih garancija. KGFCG ima položaj nezavisnog, samostalnog pravnog lica sa pravima, obavezama i odgovornostima ustanovljenim ovim Zakonom i Statutom KGFCG.</w:t>
            </w:r>
          </w:p>
          <w:p w14:paraId="0680965C" w14:textId="428CA4F2" w:rsidR="008D6B40" w:rsidRPr="004D4F07" w:rsidRDefault="008D6B40" w:rsidP="001549AB">
            <w:pPr>
              <w:pStyle w:val="Default"/>
              <w:spacing w:before="120" w:after="120"/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</w:pPr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>KGFCG se osniva kako bi se olakšao i povećao pristup finansijskim sredstvima za mikro, mala i srednja preduzeća i preduzetnike</w:t>
            </w:r>
            <w:r w:rsidR="001B78B9"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>,</w:t>
            </w:r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 xml:space="preserve"> </w:t>
            </w:r>
            <w:r w:rsidR="001B78B9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poljoprivredn</w:t>
            </w:r>
            <w:r w:rsidR="00261B56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e</w:t>
            </w:r>
            <w:r w:rsidR="001B78B9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 proizvođač</w:t>
            </w:r>
            <w:r w:rsidR="00261B56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>e,</w:t>
            </w:r>
            <w:r w:rsidR="001B78B9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  <w:lang w:val="sr-Latn-ME"/>
              </w:rPr>
              <w:t xml:space="preserve"> koji su registrovani u skladu sa Pravilnikom o obliku i načinu vođenja registra subjekata i registra poljoprivrednih gazdinstava </w:t>
            </w:r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>u Crnoj Gori</w:t>
            </w:r>
            <w:r w:rsidR="00261B56"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 xml:space="preserve">, </w:t>
            </w:r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 xml:space="preserve">u cilju stvaranja novih radnih mjesta, povećanja lokalne proizvodnje i usluga posebne vrijednosti, </w:t>
            </w:r>
            <w:proofErr w:type="spellStart"/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>unapređenja</w:t>
            </w:r>
            <w:proofErr w:type="spellEnd"/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 xml:space="preserve"> tržišnog balansa i povećanja prilika za finansiranje Kvalifikovanih zajmoprimaca.</w:t>
            </w:r>
          </w:p>
          <w:p w14:paraId="0E14FEA6" w14:textId="696F53B4" w:rsidR="00B74ACC" w:rsidRPr="004D4F07" w:rsidRDefault="00A5580E" w:rsidP="001549AB">
            <w:pPr>
              <w:pStyle w:val="Default"/>
              <w:spacing w:before="120" w:after="120"/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</w:pPr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 xml:space="preserve">Cilj izdavanja </w:t>
            </w:r>
            <w:r w:rsidR="00B74ACC"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>garancije</w:t>
            </w:r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 xml:space="preserve"> je omogućavanje </w:t>
            </w:r>
            <w:r w:rsidR="00D763BE"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>korisnicima</w:t>
            </w:r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 xml:space="preserve"> da zaključe ugovor o kreditu, lizingu ili drugom finansijskom instrumentu sa kreditnom institucijom, koji zbog </w:t>
            </w:r>
            <w:r w:rsidR="00D763BE"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 xml:space="preserve">nemogućnosti da zadovolje kriterijume postavljene od strane </w:t>
            </w:r>
            <w:proofErr w:type="spellStart"/>
            <w:r w:rsidR="00D763BE"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>krednidnih</w:t>
            </w:r>
            <w:proofErr w:type="spellEnd"/>
            <w:r w:rsidR="00D763BE"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 xml:space="preserve"> institucija</w:t>
            </w:r>
            <w:r w:rsidR="00261B56"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>,</w:t>
            </w:r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 xml:space="preserve"> ne bi mogli da </w:t>
            </w:r>
            <w:r w:rsidR="00261B56"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 xml:space="preserve">iste </w:t>
            </w:r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>zaključe.</w:t>
            </w:r>
            <w:r w:rsidR="00B74ACC"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 xml:space="preserve"> </w:t>
            </w:r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>Kreditnom in</w:t>
            </w:r>
            <w:r w:rsidR="00B74ACC"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>stitucijom</w:t>
            </w:r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 xml:space="preserve"> smatra se privredno društvo čija je djelatnost primanje depozita ili drugih povratnih sredstava od javnosti i odobravanje kredita za svoj račun.</w:t>
            </w:r>
          </w:p>
          <w:p w14:paraId="5679D4C2" w14:textId="20F43A90" w:rsidR="00BF5709" w:rsidRPr="004D4F07" w:rsidRDefault="00762BC8" w:rsidP="00443C74">
            <w:pPr>
              <w:pStyle w:val="Default"/>
              <w:spacing w:before="120" w:after="120"/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</w:pPr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 xml:space="preserve">Imajući u vidu da se Zakonom uređuje osnivanje </w:t>
            </w:r>
            <w:r w:rsidR="00524220"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>KGFCG</w:t>
            </w:r>
            <w:r w:rsidR="00307630"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 xml:space="preserve"> – a </w:t>
            </w:r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 xml:space="preserve">kojim će se, kako je i gore navedeno, olakšati MMSP </w:t>
            </w:r>
            <w:r w:rsidR="00AA5D6E"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 xml:space="preserve">da pristupe novčanim sredstvima, možemo reći da </w:t>
            </w:r>
            <w:r w:rsidR="00803BF7"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>postoji usklađenost kod ciljeva kada su u pitanju Strategija razvoja MSP 20218-2022. godina i Strategija razvoja ženskog preduzetništva 2021-2024. godina.</w:t>
            </w:r>
          </w:p>
          <w:p w14:paraId="1AE407FF" w14:textId="01F8C958" w:rsidR="00142831" w:rsidRPr="004D4F07" w:rsidRDefault="00BF5709" w:rsidP="001549AB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sr-Latn-ME"/>
              </w:rPr>
            </w:pPr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>Uspostavljanje KGF</w:t>
            </w:r>
            <w:r w:rsidR="00307630"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>CG</w:t>
            </w:r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 xml:space="preserve">-a predstavlja značajnu komponentu oporavka, nakon mjera usvojenih 29. aprila 2021. godine za podršku privredi u suzbijanju posljedica pandemije COVID-19. Uspostavljanje KGF-a </w:t>
            </w:r>
            <w:proofErr w:type="spellStart"/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>predstavljaće</w:t>
            </w:r>
            <w:proofErr w:type="spellEnd"/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 xml:space="preserve"> snažnu finansijsku podršku razvoju i jačanju mikro, malih i srednjih </w:t>
            </w:r>
            <w:proofErr w:type="spellStart"/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>preduzeća</w:t>
            </w:r>
            <w:proofErr w:type="spellEnd"/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 xml:space="preserve"> u Crnoj Gori. Pandemija COVID-19 imala je ozbiljan ekonomski uticaj na </w:t>
            </w:r>
            <w:proofErr w:type="spellStart"/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>većinu</w:t>
            </w:r>
            <w:proofErr w:type="spellEnd"/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 xml:space="preserve"> MMSP u Crnoj Gori (pogotovo imajući u vidu pad BDP-a od 15,2% u 2020. godini). I pored toga, a imajući u vidu usvojene pakete mjera u cilju suzbijanja posljedica COVID 19 pandemije, finansijski sistem u Crnoj Gori se smatra zdravim, likvidnim i dobro kapitalizovanim, zbog čega i predstavlja najprikladniji kanal za rješavanje nastalih potreba likvidnosti </w:t>
            </w:r>
            <w:proofErr w:type="spellStart"/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>preduzeća</w:t>
            </w:r>
            <w:proofErr w:type="spellEnd"/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 xml:space="preserve">. Međutim, sklonost banaka ka riziku da nastave i </w:t>
            </w:r>
            <w:proofErr w:type="spellStart"/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>povećaju</w:t>
            </w:r>
            <w:proofErr w:type="spellEnd"/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 xml:space="preserve"> kreditiranje MMSP-a je ograničena, </w:t>
            </w:r>
            <w:proofErr w:type="spellStart"/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>pozivajući</w:t>
            </w:r>
            <w:proofErr w:type="spellEnd"/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 xml:space="preserve"> na podsticaj Vlade za kreiranje </w:t>
            </w:r>
            <w:proofErr w:type="spellStart"/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>mogućnosti</w:t>
            </w:r>
            <w:proofErr w:type="spellEnd"/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 xml:space="preserve"> kreditiranja. Iako Vlada Crne Gore može podsticati finansiranje MMSP kroz </w:t>
            </w:r>
            <w:proofErr w:type="spellStart"/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>postojeće</w:t>
            </w:r>
            <w:proofErr w:type="spellEnd"/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 xml:space="preserve"> aranžmane sa međunarodnim finansijskim institucijama, nastoji se uspostaviti dugoročni finansijski instrument u obliku KGF-a, koji </w:t>
            </w:r>
            <w:proofErr w:type="spellStart"/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>će</w:t>
            </w:r>
            <w:proofErr w:type="spellEnd"/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 xml:space="preserve"> stimulisati fazu oporavka MMSP i koji </w:t>
            </w:r>
            <w:proofErr w:type="spellStart"/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>će</w:t>
            </w:r>
            <w:proofErr w:type="spellEnd"/>
            <w:r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 xml:space="preserve"> se koristiti kao instrument adekvatnog ublažavanja za sve potencijalne probleme u budućnosti izazvane ekonomskim šokovima.</w:t>
            </w:r>
          </w:p>
        </w:tc>
      </w:tr>
      <w:tr w:rsidR="00BA2880" w:rsidRPr="004D4F07" w14:paraId="6D25826D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3B91BEEC" w14:textId="77777777" w:rsidR="008322D4" w:rsidRPr="004D4F07" w:rsidRDefault="00282840" w:rsidP="0028284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 w:val="0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3</w:t>
            </w:r>
            <w:r w:rsidR="001D0BF0" w:rsidRPr="004D4F07">
              <w:rPr>
                <w:rFonts w:asciiTheme="minorHAnsi" w:hAnsiTheme="minorHAnsi" w:cstheme="minorHAnsi"/>
                <w:sz w:val="22"/>
                <w:lang w:val="sr-Latn-ME"/>
              </w:rPr>
              <w:t>.</w:t>
            </w: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 Opcije</w:t>
            </w:r>
          </w:p>
          <w:p w14:paraId="61563541" w14:textId="77777777" w:rsidR="00A07773" w:rsidRPr="004D4F07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K</w:t>
            </w:r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oje su moguće opcije za ispunjavanje ciljeva i rješavanje problema? (uvijek treba razmatrati “status </w:t>
            </w:r>
            <w:proofErr w:type="spellStart"/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>quo</w:t>
            </w:r>
            <w:proofErr w:type="spellEnd"/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” opciju i preporučljivo je uključiti i </w:t>
            </w:r>
            <w:proofErr w:type="spellStart"/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>neregulatornu</w:t>
            </w:r>
            <w:proofErr w:type="spellEnd"/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 opciju, osim ako postoji obaveza </w:t>
            </w:r>
            <w:r w:rsidR="00067FCF" w:rsidRPr="004D4F07">
              <w:rPr>
                <w:rFonts w:asciiTheme="minorHAnsi" w:hAnsiTheme="minorHAnsi" w:cstheme="minorHAnsi"/>
                <w:sz w:val="22"/>
                <w:lang w:val="sr-Latn-ME"/>
              </w:rPr>
              <w:t>donošenja predloženog propisa</w:t>
            </w:r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>)</w:t>
            </w: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.</w:t>
            </w:r>
          </w:p>
          <w:p w14:paraId="4345F06E" w14:textId="77777777" w:rsidR="00A07773" w:rsidRPr="004D4F07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O</w:t>
            </w:r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>brazložiti preferiranu opciju</w:t>
            </w:r>
            <w:r w:rsidR="00067FCF" w:rsidRPr="004D4F07">
              <w:rPr>
                <w:rFonts w:asciiTheme="minorHAnsi" w:hAnsiTheme="minorHAnsi" w:cstheme="minorHAnsi"/>
                <w:sz w:val="22"/>
                <w:lang w:val="sr-Latn-ME"/>
              </w:rPr>
              <w:t>?</w:t>
            </w:r>
          </w:p>
        </w:tc>
      </w:tr>
      <w:tr w:rsidR="00BA2880" w:rsidRPr="004D4F07" w14:paraId="111477A1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530980F7" w14:textId="77777777" w:rsidR="008178B2" w:rsidRPr="004D4F07" w:rsidRDefault="008178B2" w:rsidP="008178B2">
            <w:pPr>
              <w:rPr>
                <w:rStyle w:val="fontstyle01"/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</w:pPr>
            <w:r w:rsidRPr="004D4F07">
              <w:rPr>
                <w:rStyle w:val="fontstyle21"/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sr-Latn-ME"/>
              </w:rPr>
              <w:t xml:space="preserve">Odabirom </w:t>
            </w:r>
            <w:r w:rsidR="00775167" w:rsidRPr="004D4F07">
              <w:rPr>
                <w:rStyle w:val="fontstyle21"/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sr-Latn-ME"/>
              </w:rPr>
              <w:t>“</w:t>
            </w:r>
            <w:r w:rsidRPr="004D4F07">
              <w:rPr>
                <w:rStyle w:val="fontstyle21"/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sr-Latn-ME"/>
              </w:rPr>
              <w:t xml:space="preserve">statusa </w:t>
            </w:r>
            <w:proofErr w:type="spellStart"/>
            <w:r w:rsidRPr="004D4F07">
              <w:rPr>
                <w:rStyle w:val="fontstyle21"/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sr-Latn-ME"/>
              </w:rPr>
              <w:t>quo</w:t>
            </w:r>
            <w:proofErr w:type="spellEnd"/>
            <w:r w:rsidR="00775167" w:rsidRPr="004D4F07">
              <w:rPr>
                <w:rStyle w:val="fontstyle21"/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sr-Latn-ME"/>
              </w:rPr>
              <w:t>”</w:t>
            </w:r>
            <w:r w:rsidRPr="004D4F07">
              <w:rPr>
                <w:rStyle w:val="fontstyle21"/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sr-Latn-ME"/>
              </w:rPr>
              <w:t xml:space="preserve"> </w:t>
            </w:r>
            <w:r w:rsidRPr="004D4F07">
              <w:rPr>
                <w:rStyle w:val="fontstyle01"/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>opcije utvrđeni problem koji se odnosi na otežan pristup finansijskim sredstvima, veliki broj MMSP bi se našao u riziku otežanog poslovanja, što bi rezultiralo</w:t>
            </w:r>
            <w:r w:rsidRPr="004D4F07">
              <w:rPr>
                <w:rFonts w:asciiTheme="minorHAnsi" w:hAnsiTheme="minorHAnsi" w:cstheme="minorHAnsi"/>
                <w:b w:val="0"/>
                <w:sz w:val="22"/>
                <w:lang w:val="sr-Latn-ME"/>
              </w:rPr>
              <w:br/>
            </w:r>
            <w:r w:rsidRPr="004D4F07">
              <w:rPr>
                <w:rStyle w:val="fontstyle01"/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>njihovim eventualnim gašenjem.</w:t>
            </w:r>
          </w:p>
          <w:p w14:paraId="2EA556D4" w14:textId="77777777" w:rsidR="008178B2" w:rsidRPr="004D4F07" w:rsidRDefault="008178B2" w:rsidP="008178B2">
            <w:pPr>
              <w:rPr>
                <w:rStyle w:val="fontstyle01"/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</w:pPr>
          </w:p>
          <w:p w14:paraId="1800C75A" w14:textId="76118412" w:rsidR="008178B2" w:rsidRPr="004D4F07" w:rsidRDefault="008178B2" w:rsidP="008178B2">
            <w:pPr>
              <w:rPr>
                <w:rStyle w:val="fontstyle01"/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</w:pPr>
            <w:r w:rsidRPr="004D4F07">
              <w:rPr>
                <w:rStyle w:val="fontstyle01"/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 xml:space="preserve">Takođe, </w:t>
            </w:r>
            <w:proofErr w:type="spellStart"/>
            <w:r w:rsidRPr="004D4F07">
              <w:rPr>
                <w:rStyle w:val="fontstyle01"/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>neregulatornom</w:t>
            </w:r>
            <w:proofErr w:type="spellEnd"/>
            <w:r w:rsidRPr="004D4F07">
              <w:rPr>
                <w:rStyle w:val="fontstyle01"/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 xml:space="preserve"> opcijom, koja podrazumijeva </w:t>
            </w:r>
            <w:proofErr w:type="spellStart"/>
            <w:r w:rsidRPr="004D4F07">
              <w:rPr>
                <w:rStyle w:val="fontstyle01"/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>neosnivanje</w:t>
            </w:r>
            <w:proofErr w:type="spellEnd"/>
            <w:r w:rsidRPr="004D4F07">
              <w:rPr>
                <w:rStyle w:val="fontstyle01"/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 xml:space="preserve"> </w:t>
            </w:r>
            <w:r w:rsidR="00307630" w:rsidRPr="004D4F07">
              <w:rPr>
                <w:rFonts w:asciiTheme="minorHAnsi" w:hAnsiTheme="minorHAnsi" w:cstheme="minorHAnsi"/>
                <w:b w:val="0"/>
                <w:sz w:val="22"/>
                <w:u w:color="000000"/>
                <w:bdr w:val="nil"/>
                <w:shd w:val="clear" w:color="auto" w:fill="FFFFFF"/>
                <w:lang w:val="sr-Latn-ME"/>
              </w:rPr>
              <w:t>u daljem tekstu: KGFCG</w:t>
            </w:r>
            <w:r w:rsidR="00307630" w:rsidRPr="004D4F07">
              <w:rPr>
                <w:rFonts w:asciiTheme="minorHAnsi" w:hAnsiTheme="minorHAnsi" w:cstheme="minorHAnsi"/>
                <w:b w:val="0"/>
                <w:sz w:val="22"/>
                <w:u w:color="000000"/>
                <w:bdr w:val="nil"/>
                <w:shd w:val="clear" w:color="auto" w:fill="FFFFFF"/>
                <w:lang w:val="sr-Latn-ME"/>
              </w:rPr>
              <w:t>-a</w:t>
            </w:r>
            <w:r w:rsidRPr="004D4F07">
              <w:rPr>
                <w:rStyle w:val="fontstyle01"/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>, problem otežanog pristupa finansijskim sredstvima kada su u pitanja MMSP i preduzetnici bi se dodatno produbio i prolongirao. U tom smislu, a u uslovima oporavka od COVID 19 pandemije veliki broj MMSP bi se našao u riziku otežanog poslovanja</w:t>
            </w:r>
            <w:r w:rsidR="00BA6D48" w:rsidRPr="004D4F07">
              <w:rPr>
                <w:rStyle w:val="fontstyle01"/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 xml:space="preserve">, što dovodi do zaključka da se </w:t>
            </w:r>
            <w:r w:rsidR="00307630" w:rsidRPr="004D4F07">
              <w:rPr>
                <w:rFonts w:asciiTheme="minorHAnsi" w:hAnsiTheme="minorHAnsi" w:cstheme="minorHAnsi"/>
                <w:b w:val="0"/>
                <w:sz w:val="22"/>
                <w:u w:color="000000"/>
                <w:bdr w:val="nil"/>
                <w:shd w:val="clear" w:color="auto" w:fill="FFFFFF"/>
                <w:lang w:val="sr-Latn-ME"/>
              </w:rPr>
              <w:t>KGFCG</w:t>
            </w:r>
            <w:r w:rsidRPr="004D4F07">
              <w:rPr>
                <w:rStyle w:val="fontstyle01"/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 xml:space="preserve"> </w:t>
            </w:r>
            <w:r w:rsidR="00BA6D48" w:rsidRPr="004D4F07">
              <w:rPr>
                <w:rStyle w:val="fontstyle01"/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>jedino može uspostaviti</w:t>
            </w:r>
            <w:r w:rsidRPr="004D4F07">
              <w:rPr>
                <w:rStyle w:val="fontstyle01"/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 xml:space="preserve"> usvajanjem Zakona. Dakle, ne bi se mogli postići definisani ciljevi, imajući u vidu da je za postizanje ciljeva neophodno jedino moguće kroz donošenje novog Zakona.</w:t>
            </w:r>
          </w:p>
          <w:p w14:paraId="70EC9458" w14:textId="77777777" w:rsidR="00C056B6" w:rsidRPr="004D4F07" w:rsidRDefault="00C6455F" w:rsidP="00443C74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>Ministarstvo ekonomskog razvoja se opredijelilo za regulatornu intervenciju, kroz dono</w:t>
            </w:r>
            <w:r w:rsidR="005F5FB3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 xml:space="preserve">šenje Zakona o </w:t>
            </w:r>
            <w:r w:rsidR="00C92799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>KGFCG.</w:t>
            </w:r>
          </w:p>
          <w:p w14:paraId="3F03ED34" w14:textId="77777777" w:rsidR="00C92799" w:rsidRPr="004D4F07" w:rsidRDefault="00C92799" w:rsidP="00DC4BCB">
            <w:pPr>
              <w:pStyle w:val="Default"/>
              <w:spacing w:before="120" w:after="12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>Fond je nezavisno, neprofitno pravno lice osnovano na neodređeno vrijeme sa svojstvom pravnog lica.</w:t>
            </w:r>
          </w:p>
          <w:p w14:paraId="14AFB9D6" w14:textId="77777777" w:rsidR="00C92799" w:rsidRPr="004D4F07" w:rsidRDefault="00C92799" w:rsidP="00C92799">
            <w:pPr>
              <w:pStyle w:val="Default"/>
              <w:spacing w:before="120" w:after="120"/>
              <w:ind w:left="63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 xml:space="preserve">Naziv Fonda je: “Kreditno garantni Fond Crne Gore“. </w:t>
            </w:r>
          </w:p>
          <w:p w14:paraId="34790755" w14:textId="77777777" w:rsidR="00C92799" w:rsidRPr="004D4F07" w:rsidRDefault="00C92799" w:rsidP="00C92799">
            <w:pPr>
              <w:pStyle w:val="Default"/>
              <w:spacing w:before="120" w:after="120"/>
              <w:ind w:left="63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 xml:space="preserve">Naziv Fonda na engleskom jeziku je: “Montenegro </w:t>
            </w:r>
            <w:proofErr w:type="spellStart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>Credit</w:t>
            </w:r>
            <w:proofErr w:type="spellEnd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>Guarantee</w:t>
            </w:r>
            <w:proofErr w:type="spellEnd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>Fund</w:t>
            </w:r>
            <w:proofErr w:type="spellEnd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>“.</w:t>
            </w:r>
          </w:p>
          <w:p w14:paraId="221B1163" w14:textId="77777777" w:rsidR="00C92799" w:rsidRPr="004D4F07" w:rsidRDefault="00C92799" w:rsidP="00C92799">
            <w:pPr>
              <w:pStyle w:val="Default"/>
              <w:spacing w:before="120" w:after="120"/>
              <w:ind w:left="63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>Sjedište Fonda je Podgorici.</w:t>
            </w:r>
          </w:p>
          <w:p w14:paraId="0376BDB6" w14:textId="77777777" w:rsidR="00C92799" w:rsidRPr="004D4F07" w:rsidRDefault="00C92799" w:rsidP="00C92799">
            <w:pPr>
              <w:pStyle w:val="Default"/>
              <w:spacing w:before="120" w:after="120"/>
              <w:ind w:left="63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>Fond neće biti upisan u Centralni registar privrednih subjekata.</w:t>
            </w:r>
          </w:p>
          <w:p w14:paraId="7D58B22D" w14:textId="77777777" w:rsidR="00C92799" w:rsidRPr="004D4F07" w:rsidRDefault="00C92799" w:rsidP="00C92799">
            <w:pPr>
              <w:pStyle w:val="Default"/>
              <w:spacing w:before="120" w:after="120"/>
              <w:ind w:left="63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 xml:space="preserve">Fond će poslovati </w:t>
            </w:r>
            <w:proofErr w:type="spellStart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>preko</w:t>
            </w:r>
            <w:proofErr w:type="spellEnd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 xml:space="preserve"> računa koji je otvoren kod jedne ili više kreditnih institucija.</w:t>
            </w:r>
          </w:p>
          <w:p w14:paraId="4EB857FE" w14:textId="7A99AB8B" w:rsidR="005F5FB3" w:rsidRPr="004D4F07" w:rsidRDefault="00C92799" w:rsidP="005F5FB3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 xml:space="preserve">Odredbe zakona koje se odnose na zarade u javnom sektoru ne primjenjuju se u odnosu na poslovanje </w:t>
            </w:r>
            <w:proofErr w:type="spellStart"/>
            <w:r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>Fonda.</w:t>
            </w:r>
            <w:r w:rsidR="00775167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>Takođe</w:t>
            </w:r>
            <w:proofErr w:type="spellEnd"/>
            <w:r w:rsidR="00775167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>, Ministarstvo je došlo do zaključka da je o</w:t>
            </w:r>
            <w:r w:rsidR="003C662E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 xml:space="preserve">snivanje </w:t>
            </w:r>
            <w:r w:rsidR="00307630"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>KGFCG</w:t>
            </w:r>
            <w:r w:rsidR="00307630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 xml:space="preserve"> </w:t>
            </w:r>
            <w:r w:rsidR="003C662E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 xml:space="preserve">veoma važno za crnogorsku ekonomiju, posebno imajući u vidu činjenicu da najveći broj zaposlenih u Crnoj Gori radi u srednjim, malim i mikro preduzećima. Očekivanja su da će osnivanje </w:t>
            </w:r>
            <w:r w:rsidR="00307630"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>KGFCG</w:t>
            </w:r>
            <w:r w:rsidR="00307630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 xml:space="preserve"> </w:t>
            </w:r>
            <w:r w:rsidR="003C662E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>doprinijeti i povećanju BDP-a u budućnosti.</w:t>
            </w:r>
            <w:r w:rsidR="003C662E" w:rsidRPr="004D4F07">
              <w:rPr>
                <w:rFonts w:asciiTheme="minorHAnsi" w:hAnsiTheme="minorHAnsi" w:cstheme="minorHAnsi"/>
                <w:color w:val="auto"/>
                <w:sz w:val="22"/>
                <w:szCs w:val="22"/>
                <w:lang w:val="sr-Latn-ME"/>
              </w:rPr>
              <w:t xml:space="preserve"> </w:t>
            </w:r>
            <w:r w:rsidR="003C662E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>Takođe,</w:t>
            </w:r>
            <w:r w:rsidR="003C662E" w:rsidRPr="004D4F07">
              <w:rPr>
                <w:rFonts w:asciiTheme="minorHAnsi" w:hAnsiTheme="minorHAnsi" w:cstheme="minorHAnsi"/>
                <w:color w:val="auto"/>
                <w:sz w:val="22"/>
                <w:szCs w:val="22"/>
                <w:lang w:val="sr-Latn-ME"/>
              </w:rPr>
              <w:t xml:space="preserve"> </w:t>
            </w:r>
            <w:r w:rsidR="00307630" w:rsidRPr="004D4F07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u w:color="000000"/>
                <w:bdr w:val="nil"/>
                <w:shd w:val="clear" w:color="auto" w:fill="FFFFFF"/>
                <w:lang w:val="sr-Latn-ME"/>
              </w:rPr>
              <w:t>KGFCG</w:t>
            </w:r>
            <w:r w:rsidR="00307630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 xml:space="preserve"> </w:t>
            </w:r>
            <w:r w:rsidR="003C662E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 xml:space="preserve">se osniva da bude od koristi preduzećima i preduzetnicima koja nemaju puno iskustva u dobijanju kredita, nemaju dovoljno imovine da ponude kao </w:t>
            </w:r>
            <w:proofErr w:type="spellStart"/>
            <w:r w:rsidR="003C662E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>kolateral</w:t>
            </w:r>
            <w:proofErr w:type="spellEnd"/>
            <w:r w:rsidR="003C662E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 xml:space="preserve"> ili na neki drugi način imaju otežan pristup finansiranju. Imajući u vidu </w:t>
            </w:r>
            <w:r w:rsidR="00261B56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>navedeno, KGFCG</w:t>
            </w:r>
            <w:r w:rsidR="00307630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 xml:space="preserve"> </w:t>
            </w:r>
            <w:r w:rsidR="003C662E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>će pružiti djelimičnu garanciju za pokrivanje kreditnog rizika, što</w:t>
            </w:r>
            <w:r w:rsidR="00A7332A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 xml:space="preserve"> će kreditnim institucijama</w:t>
            </w:r>
            <w:r w:rsidR="003C662E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 xml:space="preserve"> olakšati dalje odlučivanje</w:t>
            </w:r>
            <w:r w:rsidR="001549AB" w:rsidRPr="004D4F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ME"/>
              </w:rPr>
              <w:t>.</w:t>
            </w:r>
          </w:p>
        </w:tc>
      </w:tr>
      <w:tr w:rsidR="00BA2880" w:rsidRPr="004D4F07" w14:paraId="2852B042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593E127C" w14:textId="77777777" w:rsidR="00282840" w:rsidRPr="004D4F07" w:rsidRDefault="00282840" w:rsidP="002828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4</w:t>
            </w:r>
            <w:r w:rsidR="001D0BF0" w:rsidRPr="004D4F07">
              <w:rPr>
                <w:rFonts w:asciiTheme="minorHAnsi" w:hAnsiTheme="minorHAnsi" w:cstheme="minorHAnsi"/>
                <w:sz w:val="22"/>
                <w:lang w:val="sr-Latn-ME"/>
              </w:rPr>
              <w:t>.</w:t>
            </w: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 Analiza uticaja</w:t>
            </w:r>
          </w:p>
          <w:p w14:paraId="3D580553" w14:textId="77777777" w:rsidR="00A07773" w:rsidRPr="004D4F07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N</w:t>
            </w:r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a koga će i kako će najvjerovatnije uticati rješenja u propisu - </w:t>
            </w:r>
            <w:r w:rsidR="00067FCF" w:rsidRPr="004D4F07">
              <w:rPr>
                <w:rFonts w:asciiTheme="minorHAnsi" w:hAnsiTheme="minorHAnsi" w:cstheme="minorHAnsi"/>
                <w:sz w:val="22"/>
                <w:lang w:val="sr-Latn-ME"/>
              </w:rPr>
              <w:t>n</w:t>
            </w:r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>abrojati pozitivne i negativne uticaje, direktne i indirektne</w:t>
            </w: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.</w:t>
            </w:r>
          </w:p>
          <w:p w14:paraId="74D118AA" w14:textId="77777777" w:rsidR="00A07773" w:rsidRPr="004D4F07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K</w:t>
            </w:r>
            <w:r w:rsidR="00067FCF" w:rsidRPr="004D4F07">
              <w:rPr>
                <w:rFonts w:asciiTheme="minorHAnsi" w:hAnsiTheme="minorHAnsi" w:cstheme="minorHAnsi"/>
                <w:sz w:val="22"/>
                <w:lang w:val="sr-Latn-ME"/>
              </w:rPr>
              <w:t>oje</w:t>
            </w:r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 troškove će primjena propisa </w:t>
            </w:r>
            <w:r w:rsidR="00067FCF" w:rsidRPr="004D4F07">
              <w:rPr>
                <w:rFonts w:asciiTheme="minorHAnsi" w:hAnsiTheme="minorHAnsi" w:cstheme="minorHAnsi"/>
                <w:sz w:val="22"/>
                <w:lang w:val="sr-Latn-ME"/>
              </w:rPr>
              <w:t>izazvati</w:t>
            </w:r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 građanima i privredi (naročito malim i srednjim preduzećima)</w:t>
            </w:r>
            <w:r w:rsidR="0000426F" w:rsidRPr="004D4F07">
              <w:rPr>
                <w:rFonts w:asciiTheme="minorHAnsi" w:hAnsiTheme="minorHAnsi" w:cstheme="minorHAnsi"/>
                <w:sz w:val="22"/>
                <w:lang w:val="sr-Latn-ME"/>
              </w:rPr>
              <w:t>.</w:t>
            </w:r>
          </w:p>
          <w:p w14:paraId="14AC37F5" w14:textId="77777777" w:rsidR="00A07773" w:rsidRPr="004D4F07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D</w:t>
            </w:r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>a li pozitivne posljedice donošenja propisa opravdava</w:t>
            </w:r>
            <w:r w:rsidR="0000426F" w:rsidRPr="004D4F07">
              <w:rPr>
                <w:rFonts w:asciiTheme="minorHAnsi" w:hAnsiTheme="minorHAnsi" w:cstheme="minorHAnsi"/>
                <w:sz w:val="22"/>
                <w:lang w:val="sr-Latn-ME"/>
              </w:rPr>
              <w:t>ju troškove koje će on stvoriti.</w:t>
            </w:r>
          </w:p>
          <w:p w14:paraId="2DEB71C5" w14:textId="77777777" w:rsidR="00A07773" w:rsidRPr="004D4F07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 w:val="0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D</w:t>
            </w:r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a li se propisom podržava stvaranje novih privrednih subjekata na tržištu i tržišna </w:t>
            </w:r>
            <w:r w:rsidR="001D0BF0" w:rsidRPr="004D4F07">
              <w:rPr>
                <w:rFonts w:asciiTheme="minorHAnsi" w:hAnsiTheme="minorHAnsi" w:cstheme="minorHAnsi"/>
                <w:sz w:val="22"/>
                <w:lang w:val="sr-Latn-ME"/>
              </w:rPr>
              <w:t>konkurencija</w:t>
            </w:r>
            <w:r w:rsidR="0000426F" w:rsidRPr="004D4F07">
              <w:rPr>
                <w:rFonts w:asciiTheme="minorHAnsi" w:hAnsiTheme="minorHAnsi" w:cstheme="minorHAnsi"/>
                <w:sz w:val="22"/>
                <w:lang w:val="sr-Latn-ME"/>
              </w:rPr>
              <w:t>.</w:t>
            </w:r>
          </w:p>
          <w:p w14:paraId="3C785C26" w14:textId="77777777" w:rsidR="00A07773" w:rsidRPr="004D4F07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U</w:t>
            </w:r>
            <w:r w:rsidR="001D0BF0" w:rsidRPr="004D4F07">
              <w:rPr>
                <w:rFonts w:asciiTheme="minorHAnsi" w:hAnsiTheme="minorHAnsi" w:cstheme="minorHAnsi"/>
                <w:sz w:val="22"/>
                <w:lang w:val="sr-Latn-ME"/>
              </w:rPr>
              <w:t>ključiti</w:t>
            </w:r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 procjenu administrativnih opterećenja i biznis barijera.</w:t>
            </w:r>
          </w:p>
          <w:p w14:paraId="7073DF84" w14:textId="77777777" w:rsidR="00D27C82" w:rsidRPr="004D4F07" w:rsidRDefault="00D27C82" w:rsidP="00D27C82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2"/>
                <w:lang w:val="sr-Latn-ME"/>
              </w:rPr>
            </w:pPr>
          </w:p>
        </w:tc>
      </w:tr>
      <w:tr w:rsidR="00BA2880" w:rsidRPr="004D4F07" w14:paraId="6B2CB04E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07409DA3" w14:textId="77777777" w:rsidR="00BA524D" w:rsidRPr="004D4F07" w:rsidRDefault="00BA524D" w:rsidP="00443C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sr-Latn-ME"/>
              </w:rPr>
            </w:pPr>
          </w:p>
          <w:p w14:paraId="54EC1888" w14:textId="77777777" w:rsidR="00BA524D" w:rsidRPr="004D4F07" w:rsidRDefault="00BA524D" w:rsidP="001549AB">
            <w:pPr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Na osnovu analize utvrđeno je da postoji potreba za uspo</w:t>
            </w:r>
            <w:r w:rsidR="00BA2880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stavljanjem efikasnog K</w:t>
            </w: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GF-a u Crnoj Gori. Uspostavljanje KGFCG-a može u velikoj mjeri poboljšati i stimulisati pristup finansijama za MMSP i </w:t>
            </w: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preduzeća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sa nedostatkom usluga.</w:t>
            </w:r>
          </w:p>
          <w:p w14:paraId="0075FA98" w14:textId="77777777" w:rsidR="00BA524D" w:rsidRPr="004D4F07" w:rsidRDefault="00BA524D" w:rsidP="00BA524D">
            <w:pPr>
              <w:pStyle w:val="ListParagraph"/>
              <w:autoSpaceDE w:val="0"/>
              <w:autoSpaceDN w:val="0"/>
              <w:adjustRightInd w:val="0"/>
              <w:ind w:left="630"/>
              <w:rPr>
                <w:rFonts w:asciiTheme="minorHAnsi" w:hAnsiTheme="minorHAnsi" w:cstheme="minorHAnsi"/>
                <w:b w:val="0"/>
                <w:sz w:val="20"/>
                <w:szCs w:val="20"/>
                <w:lang w:val="sr-Latn-ME"/>
              </w:rPr>
            </w:pPr>
          </w:p>
          <w:p w14:paraId="491B3CE2" w14:textId="77777777" w:rsidR="00BA524D" w:rsidRPr="004D4F07" w:rsidRDefault="00BA524D" w:rsidP="001549AB">
            <w:pPr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Kao što je gore navedeno, </w:t>
            </w: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najčešće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prijavljene </w:t>
            </w: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prepreke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u pristupu finansiranju za mikro </w:t>
            </w: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preduzeća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su:</w:t>
            </w:r>
          </w:p>
          <w:p w14:paraId="34FB95A0" w14:textId="77777777" w:rsidR="00BA524D" w:rsidRPr="004D4F07" w:rsidRDefault="00BA524D" w:rsidP="00BA524D">
            <w:pPr>
              <w:pStyle w:val="ListParagraph"/>
              <w:autoSpaceDE w:val="0"/>
              <w:autoSpaceDN w:val="0"/>
              <w:adjustRightInd w:val="0"/>
              <w:ind w:left="63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</w:p>
          <w:p w14:paraId="32A7F32B" w14:textId="77777777" w:rsidR="00BA524D" w:rsidRPr="004D4F07" w:rsidRDefault="00BA524D" w:rsidP="00BA524D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vrsta i/ili vrijednost </w:t>
            </w: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kolaterala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koje zahtijeva finansijska institucija (30,3%)</w:t>
            </w:r>
          </w:p>
          <w:p w14:paraId="70287C81" w14:textId="77777777" w:rsidR="00BA524D" w:rsidRPr="004D4F07" w:rsidRDefault="00BA524D" w:rsidP="00BA524D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troškovi pribavljanja finansijskih sredstava (29,1%);</w:t>
            </w:r>
          </w:p>
          <w:p w14:paraId="5C3D506E" w14:textId="77777777" w:rsidR="00BA524D" w:rsidRPr="004D4F07" w:rsidRDefault="00BA524D" w:rsidP="00BA524D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finansijsko blagostanje privrednih subjekata (28,6%).</w:t>
            </w:r>
          </w:p>
          <w:p w14:paraId="374377A2" w14:textId="77777777" w:rsidR="00BA524D" w:rsidRPr="004D4F07" w:rsidRDefault="00BA524D" w:rsidP="00BA524D">
            <w:pPr>
              <w:pStyle w:val="ListParagraph"/>
              <w:autoSpaceDE w:val="0"/>
              <w:autoSpaceDN w:val="0"/>
              <w:adjustRightInd w:val="0"/>
              <w:ind w:left="141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</w:p>
          <w:p w14:paraId="32515C5E" w14:textId="77777777" w:rsidR="00BA524D" w:rsidRPr="004D4F07" w:rsidRDefault="00BA524D" w:rsidP="001549AB">
            <w:pPr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Za mala i srednja </w:t>
            </w: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preduzeća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, </w:t>
            </w: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prepreke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uključuju:</w:t>
            </w:r>
          </w:p>
          <w:p w14:paraId="765145CE" w14:textId="77777777" w:rsidR="00BA524D" w:rsidRPr="004D4F07" w:rsidRDefault="00BA524D" w:rsidP="00BA524D">
            <w:pPr>
              <w:pStyle w:val="ListParagraph"/>
              <w:autoSpaceDE w:val="0"/>
              <w:autoSpaceDN w:val="0"/>
              <w:adjustRightInd w:val="0"/>
              <w:ind w:left="141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</w:p>
          <w:p w14:paraId="26EFF0DD" w14:textId="77777777" w:rsidR="00BA524D" w:rsidRPr="004D4F07" w:rsidRDefault="00BA524D" w:rsidP="00BA524D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vrsta i/ili </w:t>
            </w: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vrednost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</w:t>
            </w: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kolaterala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(28,4%);</w:t>
            </w:r>
          </w:p>
          <w:p w14:paraId="5DF82008" w14:textId="77777777" w:rsidR="00BA524D" w:rsidRPr="004D4F07" w:rsidRDefault="00BA524D" w:rsidP="00BA524D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troškovi pribavljanja finansijskih sredstava (26,9%);</w:t>
            </w:r>
          </w:p>
          <w:p w14:paraId="12F1B344" w14:textId="77777777" w:rsidR="00BA524D" w:rsidRPr="004D4F07" w:rsidRDefault="00BA524D" w:rsidP="00BA524D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teret ili napor za dobijanje finansijskih sredstava (22,4%).</w:t>
            </w:r>
          </w:p>
          <w:p w14:paraId="5D7701CE" w14:textId="77777777" w:rsidR="00BA524D" w:rsidRPr="004D4F07" w:rsidRDefault="00BA524D" w:rsidP="00BA524D">
            <w:pPr>
              <w:pStyle w:val="ListParagraph"/>
              <w:autoSpaceDE w:val="0"/>
              <w:autoSpaceDN w:val="0"/>
              <w:adjustRightInd w:val="0"/>
              <w:ind w:left="141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</w:p>
          <w:p w14:paraId="398D2E54" w14:textId="77777777" w:rsidR="00BA524D" w:rsidRPr="004D4F07" w:rsidRDefault="00BA524D" w:rsidP="001549AB">
            <w:pPr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KGFCG može da se pozabavi mnogim </w:t>
            </w: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preprekama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smanjenjem rizika kod pozajmljivanj</w:t>
            </w:r>
            <w:r w:rsidR="00A432C6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a od strane PFI. Konkretno, KGFCG</w:t>
            </w: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</w:t>
            </w: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će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</w:t>
            </w: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pomoći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PFI da pozajmljuju:</w:t>
            </w:r>
          </w:p>
          <w:p w14:paraId="783714F8" w14:textId="77777777" w:rsidR="00407399" w:rsidRPr="004D4F07" w:rsidRDefault="00407399" w:rsidP="00BA524D">
            <w:pPr>
              <w:pStyle w:val="ListParagraph"/>
              <w:autoSpaceDE w:val="0"/>
              <w:autoSpaceDN w:val="0"/>
              <w:adjustRightInd w:val="0"/>
              <w:ind w:left="141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</w:p>
          <w:p w14:paraId="742C60BB" w14:textId="77777777" w:rsidR="00BA524D" w:rsidRPr="004D4F07" w:rsidRDefault="00BA524D" w:rsidP="00BA524D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preduzeća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koja ne ispunjavaju u potpunosti prag za bodovanje rizika PFI;</w:t>
            </w:r>
          </w:p>
          <w:p w14:paraId="6587E2D6" w14:textId="77777777" w:rsidR="00BA524D" w:rsidRPr="004D4F07" w:rsidRDefault="00BA524D" w:rsidP="00BA524D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osnovana </w:t>
            </w: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preduzeća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koja imaju potencijal za </w:t>
            </w: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uspeh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i rast, kao i za otplatu kredita, ali nemaju dovoljno </w:t>
            </w: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kolaterala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;</w:t>
            </w:r>
          </w:p>
          <w:p w14:paraId="29162427" w14:textId="77777777" w:rsidR="00BA524D" w:rsidRPr="004D4F07" w:rsidRDefault="00BA524D" w:rsidP="00BA524D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preduzeća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koja imaju potencijal za usp</w:t>
            </w:r>
            <w:r w:rsidR="00407399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j</w:t>
            </w: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eh i rast, kao i za otplatu kredita, ali nemaju dovoljno kreditne istorije ili operativnog iskustva.</w:t>
            </w:r>
          </w:p>
          <w:p w14:paraId="5175C209" w14:textId="77777777" w:rsidR="004D59DD" w:rsidRPr="004D4F07" w:rsidRDefault="004D59DD" w:rsidP="004D59DD">
            <w:pPr>
              <w:pStyle w:val="ListParagraph"/>
              <w:autoSpaceDE w:val="0"/>
              <w:autoSpaceDN w:val="0"/>
              <w:adjustRightInd w:val="0"/>
              <w:ind w:left="63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</w:p>
          <w:p w14:paraId="2DA1B341" w14:textId="77777777" w:rsidR="004D59DD" w:rsidRPr="004D4F07" w:rsidRDefault="004D59DD" w:rsidP="001549AB">
            <w:pPr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Kao potencijalni korisnici KGFCG-a identifikovani su </w:t>
            </w: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sledeći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privredni subjekti:</w:t>
            </w:r>
          </w:p>
          <w:p w14:paraId="2F66923E" w14:textId="77777777" w:rsidR="004D59DD" w:rsidRPr="004D4F07" w:rsidRDefault="004D59DD" w:rsidP="004D59DD">
            <w:pPr>
              <w:pStyle w:val="ListParagraph"/>
              <w:autoSpaceDE w:val="0"/>
              <w:autoSpaceDN w:val="0"/>
              <w:adjustRightInd w:val="0"/>
              <w:ind w:left="63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</w:p>
          <w:p w14:paraId="0D050EE5" w14:textId="77777777" w:rsidR="004D59DD" w:rsidRPr="004D4F07" w:rsidRDefault="004D59DD" w:rsidP="004D59DD">
            <w:pPr>
              <w:pStyle w:val="ListParagraph"/>
              <w:autoSpaceDE w:val="0"/>
              <w:autoSpaceDN w:val="0"/>
              <w:adjustRightInd w:val="0"/>
              <w:ind w:left="63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• MMSP</w:t>
            </w:r>
          </w:p>
          <w:p w14:paraId="16192DC7" w14:textId="77777777" w:rsidR="004D59DD" w:rsidRPr="004D4F07" w:rsidRDefault="004D59DD" w:rsidP="004D59DD">
            <w:pPr>
              <w:pStyle w:val="ListParagraph"/>
              <w:autoSpaceDE w:val="0"/>
              <w:autoSpaceDN w:val="0"/>
              <w:adjustRightInd w:val="0"/>
              <w:ind w:left="63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• Preduzetnici</w:t>
            </w:r>
          </w:p>
          <w:p w14:paraId="5EFDE2D0" w14:textId="77777777" w:rsidR="004D59DD" w:rsidRPr="004D4F07" w:rsidRDefault="004D59DD" w:rsidP="004D59DD">
            <w:pPr>
              <w:pStyle w:val="ListParagraph"/>
              <w:autoSpaceDE w:val="0"/>
              <w:autoSpaceDN w:val="0"/>
              <w:adjustRightInd w:val="0"/>
              <w:ind w:left="63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• </w:t>
            </w: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Preduzeća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u vlasništvu žena</w:t>
            </w:r>
          </w:p>
          <w:p w14:paraId="4CF33641" w14:textId="77777777" w:rsidR="004D59DD" w:rsidRPr="004D4F07" w:rsidRDefault="004D59DD" w:rsidP="004D59DD">
            <w:pPr>
              <w:pStyle w:val="ListParagraph"/>
              <w:autoSpaceDE w:val="0"/>
              <w:autoSpaceDN w:val="0"/>
              <w:adjustRightInd w:val="0"/>
              <w:ind w:left="63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• Poljoprivrednici</w:t>
            </w:r>
          </w:p>
          <w:p w14:paraId="29753CA6" w14:textId="77777777" w:rsidR="004D59DD" w:rsidRPr="004D4F07" w:rsidRDefault="004D59DD" w:rsidP="004D59DD">
            <w:pPr>
              <w:pStyle w:val="ListParagraph"/>
              <w:autoSpaceDE w:val="0"/>
              <w:autoSpaceDN w:val="0"/>
              <w:adjustRightInd w:val="0"/>
              <w:ind w:left="63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• Turistička </w:t>
            </w: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preduzeća</w:t>
            </w:r>
            <w:proofErr w:type="spellEnd"/>
          </w:p>
          <w:p w14:paraId="11A46866" w14:textId="77777777" w:rsidR="004D59DD" w:rsidRPr="004D4F07" w:rsidRDefault="004D59DD" w:rsidP="004D59DD">
            <w:pPr>
              <w:pStyle w:val="ListParagraph"/>
              <w:autoSpaceDE w:val="0"/>
              <w:autoSpaceDN w:val="0"/>
              <w:adjustRightInd w:val="0"/>
              <w:ind w:left="63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• IT kompanije</w:t>
            </w:r>
          </w:p>
          <w:p w14:paraId="6B45DE74" w14:textId="77777777" w:rsidR="004D59DD" w:rsidRPr="004D4F07" w:rsidRDefault="004D59DD" w:rsidP="004D59DD">
            <w:pPr>
              <w:pStyle w:val="ListParagraph"/>
              <w:autoSpaceDE w:val="0"/>
              <w:autoSpaceDN w:val="0"/>
              <w:adjustRightInd w:val="0"/>
              <w:ind w:left="63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• Proizvođači</w:t>
            </w:r>
          </w:p>
          <w:p w14:paraId="7273FA54" w14:textId="77777777" w:rsidR="00BB511A" w:rsidRPr="004D4F07" w:rsidRDefault="004D59DD" w:rsidP="004D59DD">
            <w:pPr>
              <w:pStyle w:val="ListParagraph"/>
              <w:autoSpaceDE w:val="0"/>
              <w:autoSpaceDN w:val="0"/>
              <w:adjustRightInd w:val="0"/>
              <w:ind w:left="63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• Kompanije za energetsku efikasnost i obnovljive izvore energije</w:t>
            </w:r>
          </w:p>
          <w:p w14:paraId="665761D3" w14:textId="77777777" w:rsidR="00767639" w:rsidRPr="004D4F07" w:rsidRDefault="00767639" w:rsidP="00251CC3">
            <w:pPr>
              <w:pStyle w:val="ListParagraph"/>
              <w:autoSpaceDE w:val="0"/>
              <w:autoSpaceDN w:val="0"/>
              <w:adjustRightInd w:val="0"/>
              <w:ind w:left="63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</w:p>
          <w:p w14:paraId="4150B87D" w14:textId="77777777" w:rsidR="00D31CEE" w:rsidRPr="004D4F07" w:rsidRDefault="00D31CEE" w:rsidP="00443C74">
            <w:pPr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bCs/>
                <w:sz w:val="22"/>
                <w:lang w:val="sr-Latn-ME" w:eastAsia="en-US"/>
              </w:rPr>
            </w:pPr>
          </w:p>
          <w:p w14:paraId="50C26F46" w14:textId="77777777" w:rsidR="00D73BB3" w:rsidRPr="004D4F07" w:rsidRDefault="00D73BB3" w:rsidP="001549AB">
            <w:pPr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Zajmoprim</w:t>
            </w:r>
            <w:r w:rsidR="005B551D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ci će biti u direktnoj komunikaciji</w:t>
            </w:r>
            <w:r w:rsidR="007708DC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sa </w:t>
            </w:r>
            <w:r w:rsidR="005B551D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kreditnim institucijama</w:t>
            </w:r>
            <w:r w:rsidR="007708DC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, a ne sa KGFCG</w:t>
            </w: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, i bez ikakvih dodatnih koraka i/ili procedura koje mogu uzrokovati odlaganje procesa odobravanja ili </w:t>
            </w: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povećati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troškove. Ovo je od ključne v</w:t>
            </w:r>
            <w:r w:rsidR="007708DC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ažnosti za </w:t>
            </w:r>
            <w:proofErr w:type="spellStart"/>
            <w:r w:rsidR="007708DC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budući</w:t>
            </w:r>
            <w:proofErr w:type="spellEnd"/>
            <w:r w:rsidR="007708DC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razvoj KGFCG i prihvatanje od strane finansijskih institucija</w:t>
            </w: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i krajnjih korisnika kako bi se izb</w:t>
            </w:r>
            <w:r w:rsidR="007708DC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jegao nepotrebno usložnjavanje</w:t>
            </w: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procesa odobravanja, sukobi interesa, odricanje od odgovornosti, itd.;</w:t>
            </w:r>
          </w:p>
          <w:p w14:paraId="4E339E6E" w14:textId="77777777" w:rsidR="001549AB" w:rsidRPr="004D4F07" w:rsidRDefault="001549AB" w:rsidP="001549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sr-Latn-ME"/>
              </w:rPr>
            </w:pPr>
          </w:p>
          <w:p w14:paraId="2D51BF2C" w14:textId="77777777" w:rsidR="00D73BB3" w:rsidRPr="004D4F07" w:rsidRDefault="005B551D" w:rsidP="001F65A9">
            <w:pPr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Kreditne</w:t>
            </w:r>
            <w:r w:rsidR="007708DC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institucije</w:t>
            </w:r>
            <w:r w:rsidR="00D73BB3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obavljaju sve poslove preuzimanja kredita, proc</w:t>
            </w:r>
            <w:r w:rsidR="007708DC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j</w:t>
            </w:r>
            <w:r w:rsidR="00D73BB3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enu, strukturiranje, </w:t>
            </w:r>
            <w:proofErr w:type="spellStart"/>
            <w:r w:rsidR="00D73BB3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prac</w:t>
            </w:r>
            <w:r w:rsidR="007708DC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́enje</w:t>
            </w:r>
            <w:proofErr w:type="spellEnd"/>
            <w:r w:rsidR="007708DC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, izvršenje i naplatu; one imaju stručan kadar za to i licencirane</w:t>
            </w:r>
            <w:r w:rsidR="00D73BB3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su</w:t>
            </w:r>
            <w:r w:rsidR="007708DC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, a</w:t>
            </w:r>
            <w:r w:rsidR="00D73BB3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i pod nadzorom Centralne banke za obav</w:t>
            </w:r>
            <w:r w:rsidR="007708DC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ljanje tih funkcija. Ako bi KGFCG</w:t>
            </w:r>
            <w:r w:rsidR="00D73BB3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trebalo da preuzme neki aspekt te</w:t>
            </w:r>
            <w:r w:rsidR="007708DC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odgovornosti, to bi umnogome </w:t>
            </w:r>
            <w:proofErr w:type="spellStart"/>
            <w:r w:rsidR="00D73BB3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povećalo</w:t>
            </w:r>
            <w:proofErr w:type="spellEnd"/>
            <w:r w:rsidR="00D73BB3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vr</w:t>
            </w:r>
            <w:r w:rsidR="007708DC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ij</w:t>
            </w:r>
            <w:r w:rsidR="00D73BB3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eme potrebno za davanje kredita, troškove pozajmljivanja, potrebne pr</w:t>
            </w:r>
            <w:r w:rsidR="007708DC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ocentualne naknade za garanciju i </w:t>
            </w:r>
            <w:proofErr w:type="spellStart"/>
            <w:r w:rsidR="007708DC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sl</w:t>
            </w:r>
            <w:proofErr w:type="spellEnd"/>
            <w:r w:rsidR="00D73BB3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;</w:t>
            </w:r>
          </w:p>
          <w:p w14:paraId="341FD353" w14:textId="77777777" w:rsidR="001F65A9" w:rsidRPr="004D4F07" w:rsidRDefault="001F65A9" w:rsidP="001F65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sr-Latn-ME"/>
              </w:rPr>
            </w:pPr>
          </w:p>
          <w:p w14:paraId="43FAF6E9" w14:textId="77777777" w:rsidR="004979AC" w:rsidRPr="004D4F07" w:rsidRDefault="004979AC" w:rsidP="001F65A9">
            <w:pPr>
              <w:autoSpaceDE w:val="0"/>
              <w:autoSpaceDN w:val="0"/>
              <w:adjustRightInd w:val="0"/>
              <w:contextualSpacing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Mehanizmi kreditne garancije obično obezbjeđuju instrumente za ublažavanje rizika privatnim komercijalnim zajmodavcima, sa ciljem povećanja pristupa finansijama za preduzeća (obično MMSP i preduzetnike). Dobro osmišljeni i implementirani kreditno – garantni fondovi olakšavaju finansiranje preduzećima koja imaju poteškoća da dobiju finansijska sredstva i koja ne posluju na </w:t>
            </w: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zadvoljavajućem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nivou, ali su ipak vrijedna dobijanja kredita. U tom kontekstu potencijalni troškovi koji bi mogli nastati MMSP ukoliko se odluče na ovakav aranžman sa bankom u potpunosti će biti opravdani. Odnosno, benefiti za MMSP mnogo su veći od troškova. </w:t>
            </w:r>
          </w:p>
          <w:p w14:paraId="0DDF27BB" w14:textId="77777777" w:rsidR="00986F6D" w:rsidRPr="004D4F07" w:rsidRDefault="00986F6D" w:rsidP="004979AC">
            <w:pPr>
              <w:pStyle w:val="ListParagraph"/>
              <w:autoSpaceDE w:val="0"/>
              <w:autoSpaceDN w:val="0"/>
              <w:adjustRightInd w:val="0"/>
              <w:ind w:left="630"/>
              <w:contextualSpacing/>
              <w:rPr>
                <w:rFonts w:asciiTheme="minorHAnsi" w:hAnsiTheme="minorHAnsi" w:cstheme="minorHAnsi"/>
                <w:b w:val="0"/>
                <w:sz w:val="20"/>
                <w:szCs w:val="20"/>
                <w:lang w:val="sr-Latn-ME"/>
              </w:rPr>
            </w:pPr>
          </w:p>
          <w:p w14:paraId="4503F7AA" w14:textId="001B13F7" w:rsidR="00986F6D" w:rsidRPr="004D4F07" w:rsidRDefault="00986F6D" w:rsidP="001F65A9">
            <w:pPr>
              <w:autoSpaceDE w:val="0"/>
              <w:autoSpaceDN w:val="0"/>
              <w:adjustRightInd w:val="0"/>
              <w:contextualSpacing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Formiranjem KGF doći će do eliminisanja dupliranja procedura, kao i do skraćivanja </w:t>
            </w: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vremena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trajanja procedura. </w:t>
            </w:r>
            <w:r w:rsidR="00D763BE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Kreditne</w:t>
            </w: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institucije</w:t>
            </w:r>
            <w:r w:rsidR="00DC4BCB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</w:t>
            </w: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imaće direktan odnos sa </w:t>
            </w: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preduzećima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. </w:t>
            </w:r>
          </w:p>
          <w:p w14:paraId="44412094" w14:textId="77777777" w:rsidR="00986F6D" w:rsidRPr="004D4F07" w:rsidRDefault="00986F6D" w:rsidP="00986F6D">
            <w:pPr>
              <w:pStyle w:val="ListParagraph"/>
              <w:autoSpaceDE w:val="0"/>
              <w:autoSpaceDN w:val="0"/>
              <w:adjustRightInd w:val="0"/>
              <w:ind w:left="630"/>
              <w:contextualSpacing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</w:p>
          <w:p w14:paraId="118BB638" w14:textId="77777777" w:rsidR="00986F6D" w:rsidRPr="004D4F07" w:rsidRDefault="00986F6D" w:rsidP="001F65A9">
            <w:pPr>
              <w:autoSpaceDE w:val="0"/>
              <w:autoSpaceDN w:val="0"/>
              <w:adjustRightInd w:val="0"/>
              <w:contextualSpacing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Najveća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podrška od KGF-a očekuje se kod finansiranja klijenata koji nemaju dovoljno sredstava </w:t>
            </w: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obezbeđenja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, imaju ograničenu evidenciju i/ili kreditnu istoriju, start-</w:t>
            </w: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up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</w:t>
            </w: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preduzeća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, </w:t>
            </w: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preduzeća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u vlasništvu žena i projekte u poljoprivredi, turizmu, IT i drugim inovacijama.</w:t>
            </w:r>
          </w:p>
          <w:p w14:paraId="37DA3DC3" w14:textId="77777777" w:rsidR="00BA2880" w:rsidRPr="004D4F07" w:rsidRDefault="00BA2880" w:rsidP="00986F6D">
            <w:pPr>
              <w:pStyle w:val="ListParagraph"/>
              <w:autoSpaceDE w:val="0"/>
              <w:autoSpaceDN w:val="0"/>
              <w:adjustRightInd w:val="0"/>
              <w:ind w:left="630"/>
              <w:contextualSpacing/>
              <w:rPr>
                <w:rFonts w:asciiTheme="minorHAnsi" w:hAnsiTheme="minorHAnsi" w:cstheme="minorHAnsi"/>
                <w:b w:val="0"/>
                <w:sz w:val="20"/>
                <w:szCs w:val="20"/>
                <w:lang w:val="sr-Latn-ME"/>
              </w:rPr>
            </w:pPr>
          </w:p>
          <w:p w14:paraId="4A803D41" w14:textId="77777777" w:rsidR="004979AC" w:rsidRPr="004D4F07" w:rsidRDefault="004979AC" w:rsidP="00443C7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0"/>
                <w:szCs w:val="20"/>
                <w:lang w:val="sr-Latn-ME"/>
              </w:rPr>
            </w:pPr>
          </w:p>
          <w:p w14:paraId="34BAB12B" w14:textId="335CDFC0" w:rsidR="004979AC" w:rsidRPr="004D4F07" w:rsidRDefault="004979AC" w:rsidP="001F65A9">
            <w:pPr>
              <w:autoSpaceDE w:val="0"/>
              <w:autoSpaceDN w:val="0"/>
              <w:adjustRightInd w:val="0"/>
              <w:contextualSpacing/>
              <w:rPr>
                <w:rFonts w:asciiTheme="minorHAnsi" w:eastAsiaTheme="majorEastAsia" w:hAnsiTheme="minorHAnsi" w:cstheme="minorHAnsi"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Propisom se uređuje osnivanje i funkcionisanje </w:t>
            </w:r>
            <w:r w:rsidR="00307630" w:rsidRPr="004D4F07">
              <w:rPr>
                <w:rFonts w:asciiTheme="minorHAnsi" w:hAnsiTheme="minorHAnsi" w:cstheme="minorHAnsi"/>
                <w:b w:val="0"/>
                <w:sz w:val="22"/>
                <w:u w:color="000000"/>
                <w:bdr w:val="nil"/>
                <w:shd w:val="clear" w:color="auto" w:fill="FFFFFF"/>
                <w:lang w:val="sr-Latn-ME"/>
              </w:rPr>
              <w:t>KGFCG</w:t>
            </w:r>
            <w:r w:rsidR="00307630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</w:t>
            </w:r>
            <w:r w:rsidR="0026310C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koji će podržati i omogućiti lakši pristup finansijama već postojećih učesnika na tržištu. Osim toga, banke će kroz garantovane aranžmane sa KGF biti u mogućnosti da podrže start </w:t>
            </w:r>
            <w:proofErr w:type="spellStart"/>
            <w:r w:rsidR="0026310C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up</w:t>
            </w:r>
            <w:proofErr w:type="spellEnd"/>
            <w:r w:rsidR="0026310C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preduzeća, žensko preduzetništvo i </w:t>
            </w:r>
            <w:proofErr w:type="spellStart"/>
            <w:r w:rsidR="0026310C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sl</w:t>
            </w:r>
            <w:proofErr w:type="spellEnd"/>
            <w:r w:rsidR="0026310C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, čime će bez sumnje doći do formiranja novih privrednih subjekata i ojačanu konkurenciju. Navedeno će u srednjem i dugom roku dovesti do povećanja zaposlenosti.</w:t>
            </w:r>
          </w:p>
          <w:p w14:paraId="792B8E31" w14:textId="77777777" w:rsidR="00443C74" w:rsidRPr="004D4F07" w:rsidRDefault="00443C74" w:rsidP="001F65A9">
            <w:pPr>
              <w:autoSpaceDE w:val="0"/>
              <w:autoSpaceDN w:val="0"/>
              <w:adjustRightInd w:val="0"/>
              <w:contextualSpacing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</w:p>
          <w:p w14:paraId="16FAEA42" w14:textId="77777777" w:rsidR="0019388E" w:rsidRPr="004D4F07" w:rsidRDefault="0026310C" w:rsidP="001F65A9">
            <w:pPr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Propis neće izazvati biznis barijere niti uključuje administrativna opterećenja. Imajući u vidu sve gore navedeno propis će pozitivno uticati na MMSP i doprinijeće eliminisanju jedne od najčešće prijavljenih barijera od strane privrede – pristup finansijskim sredstvima.</w:t>
            </w:r>
          </w:p>
          <w:p w14:paraId="32F9B494" w14:textId="77777777" w:rsidR="001F65A9" w:rsidRPr="004D4F07" w:rsidRDefault="001F65A9" w:rsidP="001F65A9">
            <w:pPr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</w:p>
          <w:p w14:paraId="309159FF" w14:textId="77777777" w:rsidR="003E22F5" w:rsidRPr="004D4F07" w:rsidRDefault="003E22F5" w:rsidP="003E22F5">
            <w:pPr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Fond može kreditnoj instituciji izdati garanciju do visine garantnog iznosa koji predstavlja maksimalni procenat garancije </w:t>
            </w: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neotplaćene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glavnice kredita koji se pokriva garancijom, a koji iznosi najviše 50 % </w:t>
            </w: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neotplaćene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glavnice.</w:t>
            </w:r>
          </w:p>
          <w:p w14:paraId="5336695F" w14:textId="77777777" w:rsidR="003E22F5" w:rsidRPr="004D4F07" w:rsidRDefault="003E22F5" w:rsidP="003E22F5">
            <w:pPr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</w:p>
          <w:p w14:paraId="69754444" w14:textId="77777777" w:rsidR="003E22F5" w:rsidRPr="004D4F07" w:rsidRDefault="003E22F5" w:rsidP="003E22F5">
            <w:pPr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Ukupan garantova</w:t>
            </w:r>
            <w:r w:rsidR="00953135"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ni iznos ne može da pređe 2,5% </w:t>
            </w: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kapitala fonda, niti može </w:t>
            </w: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preći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novčani iznos od 250.000,00 eura.</w:t>
            </w:r>
          </w:p>
          <w:p w14:paraId="52C8CDFA" w14:textId="77777777" w:rsidR="003E22F5" w:rsidRPr="004D4F07" w:rsidRDefault="003E22F5" w:rsidP="003E22F5">
            <w:pPr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</w:p>
          <w:p w14:paraId="7C92D186" w14:textId="77777777" w:rsidR="003E22F5" w:rsidRPr="004D4F07" w:rsidRDefault="003E22F5" w:rsidP="003E22F5">
            <w:pPr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Ukupan iznos garancija izdatih od strane Fonda u odnosu na kapital Fonda, predstavlja koeficijent multiplikacije Fonda i ne može biti veći od 5.</w:t>
            </w:r>
          </w:p>
          <w:p w14:paraId="277CFC7D" w14:textId="77777777" w:rsidR="003E22F5" w:rsidRPr="004D4F07" w:rsidRDefault="003E22F5" w:rsidP="003E22F5">
            <w:pPr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</w:p>
          <w:p w14:paraId="00EF162A" w14:textId="77777777" w:rsidR="0019388E" w:rsidRPr="004D4F07" w:rsidRDefault="003E22F5" w:rsidP="0019388E">
            <w:pPr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Izuzetno od stava 1 ovog člana, Fond kredinoj instituciji može izdati garanciju do visine 100% </w:t>
            </w: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neotplaćene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glavnice kredita, ukoliko je to opravdano radi sprječavanja negativnih učinaka nastalih </w:t>
            </w: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>usled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bCs/>
                <w:sz w:val="22"/>
                <w:lang w:val="sr-Latn-ME" w:eastAsia="en-US"/>
              </w:rPr>
              <w:t xml:space="preserve"> ozbiljnih poremećaja na tržištu, a prethodno utvrđenih od strane Vlade Crne Gore.</w:t>
            </w:r>
          </w:p>
          <w:p w14:paraId="6F31F90F" w14:textId="77777777" w:rsidR="0019388E" w:rsidRPr="004D4F07" w:rsidRDefault="0019388E" w:rsidP="001938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sr-Latn-ME"/>
              </w:rPr>
            </w:pPr>
          </w:p>
        </w:tc>
      </w:tr>
      <w:tr w:rsidR="00BA2880" w:rsidRPr="004D4F07" w14:paraId="580991F7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2C748F75" w14:textId="77777777" w:rsidR="00673F68" w:rsidRPr="004D4F07" w:rsidRDefault="00673F68" w:rsidP="00673F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5</w:t>
            </w:r>
            <w:r w:rsidR="001D0BF0" w:rsidRPr="004D4F07">
              <w:rPr>
                <w:rFonts w:asciiTheme="minorHAnsi" w:hAnsiTheme="minorHAnsi" w:cstheme="minorHAnsi"/>
                <w:sz w:val="22"/>
                <w:lang w:val="sr-Latn-ME"/>
              </w:rPr>
              <w:t>.</w:t>
            </w: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Procjena fiskalnog uticaja</w:t>
            </w:r>
          </w:p>
          <w:p w14:paraId="0EB03D5F" w14:textId="77777777" w:rsidR="00A07773" w:rsidRPr="004D4F07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D</w:t>
            </w:r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>a li je potrebno obezbjeđenje finansijskih sredstava</w:t>
            </w:r>
            <w:r w:rsidR="00972845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 iz budžeta Crne Gore</w:t>
            </w:r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 za impleme</w:t>
            </w:r>
            <w:r w:rsidR="0000426F" w:rsidRPr="004D4F07">
              <w:rPr>
                <w:rFonts w:asciiTheme="minorHAnsi" w:hAnsiTheme="minorHAnsi" w:cstheme="minorHAnsi"/>
                <w:sz w:val="22"/>
                <w:lang w:val="sr-Latn-ME"/>
              </w:rPr>
              <w:t>ntaciju propisa i u kom iznosu?</w:t>
            </w:r>
          </w:p>
          <w:p w14:paraId="1A2F0C07" w14:textId="77777777" w:rsidR="00A07773" w:rsidRPr="004D4F07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 w:val="0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D</w:t>
            </w:r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a li je obezbjeđenje finansijskih sredstava jednokratno, ili tokom određenog vremenskog perioda? </w:t>
            </w:r>
            <w:r w:rsidR="00673F68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 Obrazložiti</w:t>
            </w:r>
            <w:r w:rsidR="0000426F" w:rsidRPr="004D4F07">
              <w:rPr>
                <w:rFonts w:asciiTheme="minorHAnsi" w:hAnsiTheme="minorHAnsi" w:cstheme="minorHAnsi"/>
                <w:sz w:val="22"/>
                <w:lang w:val="sr-Latn-ME"/>
              </w:rPr>
              <w:t>.</w:t>
            </w:r>
          </w:p>
          <w:p w14:paraId="19ED29F5" w14:textId="77777777" w:rsidR="00A07773" w:rsidRPr="004D4F07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D</w:t>
            </w:r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>a li implementacijom propisa proizilaze međunarodne finansijske obaveze</w:t>
            </w:r>
            <w:r w:rsidR="0000426F" w:rsidRPr="004D4F07">
              <w:rPr>
                <w:rFonts w:asciiTheme="minorHAnsi" w:hAnsiTheme="minorHAnsi" w:cstheme="minorHAnsi"/>
                <w:sz w:val="22"/>
                <w:lang w:val="sr-Latn-ME"/>
              </w:rPr>
              <w:t>? Obrazložiti.</w:t>
            </w:r>
          </w:p>
          <w:p w14:paraId="3A6F656F" w14:textId="77777777" w:rsidR="00A07773" w:rsidRPr="004D4F07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D</w:t>
            </w:r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a li su neophodna finansijska sredstva </w:t>
            </w:r>
            <w:proofErr w:type="spellStart"/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>obezbijeđena</w:t>
            </w:r>
            <w:proofErr w:type="spellEnd"/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 u budžetu za tekuću fiskalnu godinu, odnosno da li su planirana u bud</w:t>
            </w:r>
            <w:r w:rsidR="0000426F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žetu za narednu </w:t>
            </w:r>
            <w:proofErr w:type="spellStart"/>
            <w:r w:rsidR="0000426F" w:rsidRPr="004D4F07">
              <w:rPr>
                <w:rFonts w:asciiTheme="minorHAnsi" w:hAnsiTheme="minorHAnsi" w:cstheme="minorHAnsi"/>
                <w:sz w:val="22"/>
                <w:lang w:val="sr-Latn-ME"/>
              </w:rPr>
              <w:t>fiskanu</w:t>
            </w:r>
            <w:proofErr w:type="spellEnd"/>
            <w:r w:rsidR="0000426F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 godinu?</w:t>
            </w:r>
          </w:p>
          <w:p w14:paraId="5E932D76" w14:textId="77777777" w:rsidR="00A07773" w:rsidRPr="004D4F07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D</w:t>
            </w:r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>a li je usvajanjem propisa predviđeno donošenje podzakonskih akata iz kojih će proisteći finansijske obaveze?</w:t>
            </w:r>
          </w:p>
          <w:p w14:paraId="4F43F569" w14:textId="77777777" w:rsidR="00A07773" w:rsidRPr="004D4F07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D</w:t>
            </w:r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>a li će se implementacijom propisa ostvariti prihod za budžet Crne Gore?</w:t>
            </w:r>
          </w:p>
          <w:p w14:paraId="7D2AAC69" w14:textId="77777777" w:rsidR="00A07773" w:rsidRPr="004D4F07" w:rsidRDefault="00D56E8F" w:rsidP="00A0777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O</w:t>
            </w:r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>brazložiti metodologiju koja je korišćenja prilikom obračun</w:t>
            </w:r>
            <w:r w:rsidR="0000426F" w:rsidRPr="004D4F07">
              <w:rPr>
                <w:rFonts w:asciiTheme="minorHAnsi" w:hAnsiTheme="minorHAnsi" w:cstheme="minorHAnsi"/>
                <w:sz w:val="22"/>
                <w:lang w:val="sr-Latn-ME"/>
              </w:rPr>
              <w:t>a finansijskih izdataka/prihoda.</w:t>
            </w:r>
          </w:p>
          <w:p w14:paraId="69252E3B" w14:textId="77777777" w:rsidR="00A07773" w:rsidRPr="004D4F07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 w:val="0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D</w:t>
            </w:r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>a li su postojali problemi u preciznom obračunu finansijskih izdataka/prihoda? Obrazložiti</w:t>
            </w:r>
            <w:r w:rsidR="0000426F" w:rsidRPr="004D4F07">
              <w:rPr>
                <w:rFonts w:asciiTheme="minorHAnsi" w:hAnsiTheme="minorHAnsi" w:cstheme="minorHAnsi"/>
                <w:sz w:val="22"/>
                <w:lang w:val="sr-Latn-ME"/>
              </w:rPr>
              <w:t>.</w:t>
            </w:r>
          </w:p>
          <w:p w14:paraId="526B7176" w14:textId="77777777" w:rsidR="00A07773" w:rsidRPr="004D4F07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 w:val="0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D</w:t>
            </w:r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a li su postojale sugestije Ministarstva finansija </w:t>
            </w:r>
            <w:r w:rsidR="00A265F9" w:rsidRPr="004D4F07">
              <w:rPr>
                <w:rFonts w:asciiTheme="minorHAnsi" w:hAnsiTheme="minorHAnsi" w:cstheme="minorHAnsi"/>
                <w:sz w:val="22"/>
                <w:lang w:val="sr-Latn-ME"/>
              </w:rPr>
              <w:t>na nac</w:t>
            </w:r>
            <w:r w:rsidR="00736E8D" w:rsidRPr="004D4F07">
              <w:rPr>
                <w:rFonts w:asciiTheme="minorHAnsi" w:hAnsiTheme="minorHAnsi" w:cstheme="minorHAnsi"/>
                <w:sz w:val="22"/>
                <w:lang w:val="sr-Latn-ME"/>
              </w:rPr>
              <w:t>r</w:t>
            </w:r>
            <w:r w:rsidR="00A265F9" w:rsidRPr="004D4F07">
              <w:rPr>
                <w:rFonts w:asciiTheme="minorHAnsi" w:hAnsiTheme="minorHAnsi" w:cstheme="minorHAnsi"/>
                <w:sz w:val="22"/>
                <w:lang w:val="sr-Latn-ME"/>
              </w:rPr>
              <w:t>t/</w:t>
            </w:r>
            <w:proofErr w:type="spellStart"/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>predlog</w:t>
            </w:r>
            <w:proofErr w:type="spellEnd"/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 propisa?</w:t>
            </w:r>
          </w:p>
          <w:p w14:paraId="7EECA882" w14:textId="77777777" w:rsidR="00A07773" w:rsidRPr="004D4F07" w:rsidRDefault="00D06D2A" w:rsidP="0000426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 w:val="0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D</w:t>
            </w:r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a li su dobijene primjedbe </w:t>
            </w:r>
            <w:r w:rsidR="0000426F" w:rsidRPr="004D4F07">
              <w:rPr>
                <w:rFonts w:asciiTheme="minorHAnsi" w:hAnsiTheme="minorHAnsi" w:cstheme="minorHAnsi"/>
                <w:sz w:val="22"/>
                <w:lang w:val="sr-Latn-ME"/>
              </w:rPr>
              <w:t>uključene</w:t>
            </w:r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 u tekst propisa? Obrazložiti.</w:t>
            </w:r>
          </w:p>
        </w:tc>
      </w:tr>
      <w:tr w:rsidR="00BA2880" w:rsidRPr="004D4F07" w14:paraId="0A815497" w14:textId="77777777" w:rsidTr="00850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02318B9F" w14:textId="77777777" w:rsidR="003A707B" w:rsidRPr="004D4F07" w:rsidRDefault="003A707B" w:rsidP="003A707B">
            <w:pPr>
              <w:spacing w:after="160" w:line="256" w:lineRule="auto"/>
              <w:rPr>
                <w:rFonts w:asciiTheme="minorHAnsi" w:eastAsiaTheme="majorEastAsia" w:hAnsiTheme="minorHAnsi" w:cstheme="minorHAnsi"/>
                <w:b w:val="0"/>
                <w:sz w:val="22"/>
                <w:lang w:val="sr-Latn-ME" w:eastAsia="en-US"/>
              </w:rPr>
            </w:pPr>
          </w:p>
          <w:p w14:paraId="41C612E7" w14:textId="77777777" w:rsidR="00155059" w:rsidRPr="004D4F07" w:rsidRDefault="003C267B" w:rsidP="001F65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eastAsiaTheme="majorEastAsia" w:hAnsiTheme="minorHAnsi" w:cstheme="minorHAnsi"/>
                <w:b w:val="0"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sz w:val="22"/>
                <w:lang w:val="sr-Latn-ME" w:eastAsia="en-US"/>
              </w:rPr>
              <w:t>Početni kapital Fonda iznosi 10.000.000,00 eura.</w:t>
            </w:r>
            <w:r w:rsidR="001F65A9" w:rsidRPr="004D4F07">
              <w:rPr>
                <w:rFonts w:asciiTheme="minorHAnsi" w:eastAsiaTheme="majorEastAsia" w:hAnsiTheme="minorHAnsi" w:cstheme="minorHAnsi"/>
                <w:b w:val="0"/>
                <w:sz w:val="22"/>
                <w:lang w:val="sr-Latn-ME" w:eastAsia="en-US"/>
              </w:rPr>
              <w:t xml:space="preserve"> </w:t>
            </w:r>
            <w:r w:rsidRPr="004D4F07">
              <w:rPr>
                <w:rFonts w:asciiTheme="minorHAnsi" w:eastAsiaTheme="majorEastAsia" w:hAnsiTheme="minorHAnsi" w:cstheme="minorHAnsi"/>
                <w:b w:val="0"/>
                <w:sz w:val="22"/>
                <w:lang w:val="sr-Latn-ME" w:eastAsia="en-US"/>
              </w:rPr>
              <w:t>Početni kapital Fonda obezbjeđuje Vlada Crne Gore</w:t>
            </w:r>
            <w:r w:rsidRPr="004D4F07">
              <w:rPr>
                <w:rFonts w:asciiTheme="minorHAnsi" w:eastAsiaTheme="majorEastAsia" w:hAnsiTheme="minorHAnsi" w:cstheme="minorHAnsi"/>
                <w:sz w:val="22"/>
                <w:lang w:val="sr-Latn-ME" w:eastAsia="en-US"/>
              </w:rPr>
              <w:t>.</w:t>
            </w:r>
          </w:p>
          <w:p w14:paraId="66CFEDFA" w14:textId="77777777" w:rsidR="00B625EF" w:rsidRPr="004D4F07" w:rsidRDefault="00B625EF" w:rsidP="001F65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eastAsiaTheme="majorEastAsia" w:hAnsiTheme="minorHAnsi" w:cstheme="minorHAnsi"/>
                <w:b w:val="0"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sz w:val="22"/>
                <w:lang w:val="sr-Latn-ME" w:eastAsia="en-US"/>
              </w:rPr>
              <w:t>Propis neće izazvati međunarodne finansijske obaveze.</w:t>
            </w:r>
            <w:r w:rsidR="001F65A9" w:rsidRPr="004D4F07">
              <w:rPr>
                <w:rFonts w:asciiTheme="minorHAnsi" w:eastAsiaTheme="majorEastAsia" w:hAnsiTheme="minorHAnsi" w:cstheme="minorHAnsi"/>
                <w:b w:val="0"/>
                <w:sz w:val="22"/>
                <w:lang w:val="sr-Latn-ME" w:eastAsia="en-US"/>
              </w:rPr>
              <w:t xml:space="preserve"> </w:t>
            </w:r>
            <w:r w:rsidRPr="004D4F07">
              <w:rPr>
                <w:rFonts w:asciiTheme="minorHAnsi" w:eastAsiaTheme="majorEastAsia" w:hAnsiTheme="minorHAnsi" w:cstheme="minorHAnsi"/>
                <w:b w:val="0"/>
                <w:sz w:val="22"/>
                <w:lang w:val="sr-Latn-ME" w:eastAsia="en-US"/>
              </w:rPr>
              <w:t xml:space="preserve">Sredstva su planirana Nacrtom zakona o budžetu za 2022. </w:t>
            </w:r>
            <w:r w:rsidR="001F65A9" w:rsidRPr="004D4F07">
              <w:rPr>
                <w:rFonts w:asciiTheme="minorHAnsi" w:eastAsiaTheme="majorEastAsia" w:hAnsiTheme="minorHAnsi" w:cstheme="minorHAnsi"/>
                <w:b w:val="0"/>
                <w:sz w:val="22"/>
                <w:lang w:val="sr-Latn-ME" w:eastAsia="en-US"/>
              </w:rPr>
              <w:t>G</w:t>
            </w:r>
            <w:r w:rsidRPr="004D4F07">
              <w:rPr>
                <w:rFonts w:asciiTheme="minorHAnsi" w:eastAsiaTheme="majorEastAsia" w:hAnsiTheme="minorHAnsi" w:cstheme="minorHAnsi"/>
                <w:b w:val="0"/>
                <w:sz w:val="22"/>
                <w:lang w:val="sr-Latn-ME" w:eastAsia="en-US"/>
              </w:rPr>
              <w:t>odinu</w:t>
            </w:r>
            <w:r w:rsidR="001F65A9" w:rsidRPr="004D4F07">
              <w:rPr>
                <w:rFonts w:asciiTheme="minorHAnsi" w:eastAsiaTheme="majorEastAsia" w:hAnsiTheme="minorHAnsi" w:cstheme="minorHAnsi"/>
                <w:b w:val="0"/>
                <w:sz w:val="22"/>
                <w:lang w:val="sr-Latn-ME" w:eastAsia="en-US"/>
              </w:rPr>
              <w:t>.</w:t>
            </w:r>
          </w:p>
          <w:p w14:paraId="51E97A4B" w14:textId="77777777" w:rsidR="001F65A9" w:rsidRPr="004D4F07" w:rsidRDefault="00B625EF" w:rsidP="001F65A9">
            <w:pPr>
              <w:rPr>
                <w:rFonts w:asciiTheme="minorHAnsi" w:eastAsiaTheme="majorEastAsia" w:hAnsiTheme="minorHAnsi" w:cstheme="minorHAnsi"/>
                <w:b w:val="0"/>
                <w:sz w:val="22"/>
                <w:lang w:val="sr-Latn-ME" w:eastAsia="en-US"/>
              </w:rPr>
            </w:pPr>
            <w:r w:rsidRPr="004D4F07">
              <w:rPr>
                <w:rFonts w:asciiTheme="minorHAnsi" w:eastAsiaTheme="majorEastAsia" w:hAnsiTheme="minorHAnsi" w:cstheme="minorHAnsi"/>
                <w:b w:val="0"/>
                <w:sz w:val="22"/>
                <w:lang w:val="sr-Latn-ME" w:eastAsia="en-US"/>
              </w:rPr>
              <w:t>Usvajanjem propisa neće se stvoriti osnova za donošenje podzakonskih akata. Nakon osnivanja</w:t>
            </w:r>
            <w:r w:rsidR="00155059" w:rsidRPr="004D4F07">
              <w:rPr>
                <w:rFonts w:asciiTheme="minorHAnsi" w:eastAsiaTheme="majorEastAsia" w:hAnsiTheme="minorHAnsi" w:cstheme="minorHAnsi"/>
                <w:b w:val="0"/>
                <w:sz w:val="22"/>
                <w:lang w:val="sr-Latn-ME" w:eastAsia="en-US"/>
              </w:rPr>
              <w:t xml:space="preserve"> KGFCG</w:t>
            </w:r>
            <w:r w:rsidRPr="004D4F07">
              <w:rPr>
                <w:rFonts w:asciiTheme="minorHAnsi" w:eastAsiaTheme="majorEastAsia" w:hAnsiTheme="minorHAnsi" w:cstheme="minorHAnsi"/>
                <w:b w:val="0"/>
                <w:sz w:val="22"/>
                <w:lang w:val="sr-Latn-ME" w:eastAsia="en-US"/>
              </w:rPr>
              <w:t xml:space="preserve"> navedenim propisom</w:t>
            </w:r>
            <w:r w:rsidR="00155059" w:rsidRPr="004D4F07">
              <w:rPr>
                <w:rFonts w:asciiTheme="minorHAnsi" w:eastAsiaTheme="majorEastAsia" w:hAnsiTheme="minorHAnsi" w:cstheme="minorHAnsi"/>
                <w:b w:val="0"/>
                <w:sz w:val="22"/>
                <w:lang w:val="sr-Latn-ME" w:eastAsia="en-US"/>
              </w:rPr>
              <w:t>,</w:t>
            </w:r>
            <w:r w:rsidRPr="004D4F07">
              <w:rPr>
                <w:rFonts w:asciiTheme="minorHAnsi" w:eastAsiaTheme="majorEastAsia" w:hAnsiTheme="minorHAnsi" w:cstheme="minorHAnsi"/>
                <w:b w:val="0"/>
                <w:sz w:val="22"/>
                <w:lang w:val="sr-Latn-ME" w:eastAsia="en-US"/>
              </w:rPr>
              <w:t xml:space="preserve"> dalje funkcionisanje i </w:t>
            </w:r>
            <w:proofErr w:type="spellStart"/>
            <w:r w:rsidRPr="004D4F07">
              <w:rPr>
                <w:rFonts w:asciiTheme="minorHAnsi" w:eastAsiaTheme="majorEastAsia" w:hAnsiTheme="minorHAnsi" w:cstheme="minorHAnsi"/>
                <w:b w:val="0"/>
                <w:sz w:val="22"/>
                <w:lang w:val="sr-Latn-ME" w:eastAsia="en-US"/>
              </w:rPr>
              <w:t>operacionalizacija</w:t>
            </w:r>
            <w:proofErr w:type="spellEnd"/>
            <w:r w:rsidRPr="004D4F07">
              <w:rPr>
                <w:rFonts w:asciiTheme="minorHAnsi" w:eastAsiaTheme="majorEastAsia" w:hAnsiTheme="minorHAnsi" w:cstheme="minorHAnsi"/>
                <w:b w:val="0"/>
                <w:sz w:val="22"/>
                <w:lang w:val="sr-Latn-ME" w:eastAsia="en-US"/>
              </w:rPr>
              <w:t xml:space="preserve"> Fonda urediće se statutom, pravilnicima i sl.</w:t>
            </w:r>
            <w:r w:rsidR="001F65A9" w:rsidRPr="004D4F07">
              <w:rPr>
                <w:rFonts w:asciiTheme="minorHAnsi" w:eastAsiaTheme="majorEastAsia" w:hAnsiTheme="minorHAnsi" w:cstheme="minorHAnsi"/>
                <w:b w:val="0"/>
                <w:sz w:val="22"/>
                <w:lang w:val="sr-Latn-ME" w:eastAsia="en-US"/>
              </w:rPr>
              <w:t xml:space="preserve"> Implementacijom propisa indirektno bi moglo doći do povećanja prihoda za budžet Crne Gore kroz povećanje broja MMSP, otvaranja novih radnih mjesta i sl.</w:t>
            </w:r>
          </w:p>
          <w:p w14:paraId="05056D5C" w14:textId="77777777" w:rsidR="00255676" w:rsidRPr="004D4F07" w:rsidRDefault="00255676" w:rsidP="001F65A9">
            <w:pPr>
              <w:rPr>
                <w:rFonts w:asciiTheme="minorHAnsi" w:hAnsiTheme="minorHAnsi" w:cstheme="minorHAnsi"/>
                <w:sz w:val="22"/>
                <w:lang w:val="sr-Latn-ME"/>
              </w:rPr>
            </w:pPr>
          </w:p>
          <w:p w14:paraId="3C411B4B" w14:textId="77777777" w:rsidR="0019388E" w:rsidRPr="004D4F07" w:rsidRDefault="00255676" w:rsidP="001F65A9">
            <w:pPr>
              <w:rPr>
                <w:rFonts w:asciiTheme="minorHAnsi" w:hAnsiTheme="minorHAnsi" w:cstheme="minorHAnsi"/>
                <w:b w:val="0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b w:val="0"/>
                <w:sz w:val="22"/>
                <w:lang w:val="sr-Latn-ME"/>
              </w:rPr>
              <w:t>Metodologija kojom se došlo do obračuna rashoda zasnovana je na projekcijama eksperata, detaljnoj analizi konsultanata i uporednoj praksi zasnovanoj na analizi regiona, kreditno garantnih fondova u okruženju i sl. Ovom prilikom izvršena je detaljna analiza i tr</w:t>
            </w:r>
            <w:r w:rsidR="00E53DAD" w:rsidRPr="004D4F07">
              <w:rPr>
                <w:rFonts w:asciiTheme="minorHAnsi" w:hAnsiTheme="minorHAnsi" w:cstheme="minorHAnsi"/>
                <w:b w:val="0"/>
                <w:sz w:val="22"/>
                <w:lang w:val="sr-Latn-ME"/>
              </w:rPr>
              <w:t>ži</w:t>
            </w:r>
            <w:r w:rsidRPr="004D4F07">
              <w:rPr>
                <w:rFonts w:asciiTheme="minorHAnsi" w:hAnsiTheme="minorHAnsi" w:cstheme="minorHAnsi"/>
                <w:b w:val="0"/>
                <w:sz w:val="22"/>
                <w:lang w:val="sr-Latn-ME"/>
              </w:rPr>
              <w:t xml:space="preserve">šta u CG, kao i strukture i pristupa </w:t>
            </w:r>
            <w:proofErr w:type="spellStart"/>
            <w:r w:rsidRPr="004D4F07">
              <w:rPr>
                <w:rFonts w:asciiTheme="minorHAnsi" w:hAnsiTheme="minorHAnsi" w:cstheme="minorHAnsi"/>
                <w:b w:val="0"/>
                <w:sz w:val="22"/>
                <w:lang w:val="sr-Latn-ME"/>
              </w:rPr>
              <w:t>finansijskikm</w:t>
            </w:r>
            <w:proofErr w:type="spellEnd"/>
            <w:r w:rsidRPr="004D4F07">
              <w:rPr>
                <w:rFonts w:asciiTheme="minorHAnsi" w:hAnsiTheme="minorHAnsi" w:cstheme="minorHAnsi"/>
                <w:b w:val="0"/>
                <w:sz w:val="22"/>
                <w:lang w:val="sr-Latn-ME"/>
              </w:rPr>
              <w:t xml:space="preserve"> sredstvima MMSP.</w:t>
            </w:r>
          </w:p>
          <w:p w14:paraId="28C0E0EB" w14:textId="77777777" w:rsidR="007F4E3F" w:rsidRPr="004D4F07" w:rsidRDefault="007F4E3F" w:rsidP="007F4E3F">
            <w:pPr>
              <w:rPr>
                <w:rFonts w:asciiTheme="minorHAnsi" w:hAnsiTheme="minorHAnsi" w:cstheme="minorHAnsi"/>
                <w:sz w:val="22"/>
                <w:lang w:val="sr-Latn-ME"/>
              </w:rPr>
            </w:pPr>
          </w:p>
        </w:tc>
      </w:tr>
      <w:tr w:rsidR="00BA2880" w:rsidRPr="004D4F07" w14:paraId="467195BD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1E96E7B2" w14:textId="77777777" w:rsidR="00282840" w:rsidRPr="004D4F07" w:rsidRDefault="00673F68" w:rsidP="002828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6</w:t>
            </w:r>
            <w:r w:rsidR="001D0BF0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. </w:t>
            </w:r>
            <w:r w:rsidR="00282840" w:rsidRPr="004D4F07">
              <w:rPr>
                <w:rFonts w:asciiTheme="minorHAnsi" w:hAnsiTheme="minorHAnsi" w:cstheme="minorHAnsi"/>
                <w:b w:val="0"/>
                <w:sz w:val="22"/>
                <w:lang w:val="sr-Latn-ME"/>
              </w:rPr>
              <w:t>K</w:t>
            </w:r>
            <w:r w:rsidR="00282840" w:rsidRPr="004D4F07">
              <w:rPr>
                <w:rFonts w:asciiTheme="minorHAnsi" w:hAnsiTheme="minorHAnsi" w:cstheme="minorHAnsi"/>
                <w:sz w:val="22"/>
                <w:lang w:val="sr-Latn-ME"/>
              </w:rPr>
              <w:t>onsultacije zainteresovanih strana</w:t>
            </w:r>
          </w:p>
          <w:p w14:paraId="1E434C0B" w14:textId="77777777" w:rsidR="00A07773" w:rsidRPr="004D4F07" w:rsidRDefault="00A07773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Naznačiti da li je korišćena eksterna </w:t>
            </w:r>
            <w:r w:rsidR="0000426F" w:rsidRPr="004D4F07">
              <w:rPr>
                <w:rFonts w:asciiTheme="minorHAnsi" w:hAnsiTheme="minorHAnsi" w:cstheme="minorHAnsi"/>
                <w:sz w:val="22"/>
                <w:lang w:val="sr-Latn-ME"/>
              </w:rPr>
              <w:t>ekspertska podrška</w:t>
            </w: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 i ako da, kako</w:t>
            </w:r>
            <w:r w:rsidR="0000426F" w:rsidRPr="004D4F07">
              <w:rPr>
                <w:rFonts w:asciiTheme="minorHAnsi" w:hAnsiTheme="minorHAnsi" w:cstheme="minorHAnsi"/>
                <w:sz w:val="22"/>
                <w:lang w:val="sr-Latn-ME"/>
              </w:rPr>
              <w:t>.</w:t>
            </w:r>
          </w:p>
          <w:p w14:paraId="16C8F433" w14:textId="77777777" w:rsidR="00A07773" w:rsidRPr="004D4F07" w:rsidRDefault="001D0BF0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N</w:t>
            </w:r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>aznačiti koje su grupe zainteresovanih strana konsultovane, u kojoj fazi RIA procesa i kako (javne ili ciljane konsultacije)</w:t>
            </w:r>
            <w:r w:rsidR="0000426F" w:rsidRPr="004D4F07">
              <w:rPr>
                <w:rFonts w:asciiTheme="minorHAnsi" w:hAnsiTheme="minorHAnsi" w:cstheme="minorHAnsi"/>
                <w:sz w:val="22"/>
                <w:lang w:val="sr-Latn-ME"/>
              </w:rPr>
              <w:t>.</w:t>
            </w:r>
          </w:p>
          <w:p w14:paraId="364D16D4" w14:textId="77777777" w:rsidR="00A07773" w:rsidRPr="004D4F07" w:rsidRDefault="001D0BF0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 w:val="0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N</w:t>
            </w:r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>aznačiti glavne rezultate</w:t>
            </w:r>
            <w:r w:rsidR="00D4308A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 konsultacija</w:t>
            </w:r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, i </w:t>
            </w:r>
            <w:r w:rsidR="00D4308A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koji su </w:t>
            </w:r>
            <w:proofErr w:type="spellStart"/>
            <w:r w:rsidR="00D4308A" w:rsidRPr="004D4F07">
              <w:rPr>
                <w:rFonts w:asciiTheme="minorHAnsi" w:hAnsiTheme="minorHAnsi" w:cstheme="minorHAnsi"/>
                <w:sz w:val="22"/>
                <w:lang w:val="sr-Latn-ME"/>
              </w:rPr>
              <w:t>predlozi</w:t>
            </w:r>
            <w:proofErr w:type="spellEnd"/>
            <w:r w:rsidR="00D4308A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 i sugestije zainteresovanih strana prihv</w:t>
            </w:r>
            <w:r w:rsidR="0000426F" w:rsidRPr="004D4F07">
              <w:rPr>
                <w:rFonts w:asciiTheme="minorHAnsi" w:hAnsiTheme="minorHAnsi" w:cstheme="minorHAnsi"/>
                <w:sz w:val="22"/>
                <w:lang w:val="sr-Latn-ME"/>
              </w:rPr>
              <w:t>aćeni odnosno nijesu prihvaćeni.</w:t>
            </w:r>
            <w:r w:rsidR="00D4308A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 Obrazložiti</w:t>
            </w:r>
            <w:r w:rsidR="0000426F" w:rsidRPr="004D4F07">
              <w:rPr>
                <w:rFonts w:asciiTheme="minorHAnsi" w:hAnsiTheme="minorHAnsi" w:cstheme="minorHAnsi"/>
                <w:sz w:val="22"/>
                <w:lang w:val="sr-Latn-ME"/>
              </w:rPr>
              <w:t>.</w:t>
            </w:r>
          </w:p>
        </w:tc>
      </w:tr>
      <w:tr w:rsidR="00BA2880" w:rsidRPr="004D4F07" w14:paraId="4C1FA09D" w14:textId="77777777" w:rsidTr="00DC4B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0E8A3B85" w14:textId="77777777" w:rsidR="005426B9" w:rsidRPr="004D4F07" w:rsidRDefault="005426B9" w:rsidP="005426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22"/>
                <w:lang w:val="sr-Latn-ME"/>
              </w:rPr>
            </w:pPr>
          </w:p>
          <w:p w14:paraId="681A1835" w14:textId="6950F038" w:rsidR="00AA117E" w:rsidRPr="004D4F07" w:rsidRDefault="00E55D3A" w:rsidP="00DC4BCB">
            <w:pPr>
              <w:rPr>
                <w:rFonts w:asciiTheme="minorHAnsi" w:hAnsiTheme="minorHAnsi" w:cstheme="minorHAnsi"/>
                <w:b w:val="0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b w:val="0"/>
                <w:sz w:val="22"/>
                <w:lang w:val="sr-Latn-ME"/>
              </w:rPr>
              <w:t>Evropska banka za obnovu i razvoj (EBRD) pruži</w:t>
            </w:r>
            <w:r w:rsidR="00155059" w:rsidRPr="004D4F07">
              <w:rPr>
                <w:rFonts w:asciiTheme="minorHAnsi" w:hAnsiTheme="minorHAnsi" w:cstheme="minorHAnsi"/>
                <w:b w:val="0"/>
                <w:sz w:val="22"/>
                <w:lang w:val="sr-Latn-ME"/>
              </w:rPr>
              <w:t>la je</w:t>
            </w:r>
            <w:r w:rsidRPr="004D4F07">
              <w:rPr>
                <w:rFonts w:asciiTheme="minorHAnsi" w:hAnsiTheme="minorHAnsi" w:cstheme="minorHAnsi"/>
                <w:b w:val="0"/>
                <w:sz w:val="22"/>
                <w:lang w:val="sr-Latn-ME"/>
              </w:rPr>
              <w:t xml:space="preserve"> savjetodavnu podršku Ministarstvu ekonomskog razvoja u određivanju ključnih specifikacija i zahtjeva neophodnih za osnivanje </w:t>
            </w:r>
            <w:r w:rsidR="00307630" w:rsidRPr="004D4F07">
              <w:rPr>
                <w:rFonts w:asciiTheme="minorHAnsi" w:hAnsiTheme="minorHAnsi" w:cstheme="minorHAnsi"/>
                <w:b w:val="0"/>
                <w:sz w:val="22"/>
                <w:u w:color="000000"/>
                <w:bdr w:val="nil"/>
                <w:shd w:val="clear" w:color="auto" w:fill="FFFFFF"/>
                <w:lang w:val="sr-Latn-ME"/>
              </w:rPr>
              <w:t>KGFCG</w:t>
            </w:r>
            <w:r w:rsidRPr="004D4F07">
              <w:rPr>
                <w:rFonts w:asciiTheme="minorHAnsi" w:hAnsiTheme="minorHAnsi" w:cstheme="minorHAnsi"/>
                <w:b w:val="0"/>
                <w:sz w:val="22"/>
                <w:lang w:val="sr-Latn-ME"/>
              </w:rPr>
              <w:t xml:space="preserve">, koji bi stimulisao lokalne </w:t>
            </w:r>
            <w:r w:rsidR="00D763BE" w:rsidRPr="004D4F07">
              <w:rPr>
                <w:rFonts w:asciiTheme="minorHAnsi" w:hAnsiTheme="minorHAnsi" w:cstheme="minorHAnsi"/>
                <w:b w:val="0"/>
                <w:sz w:val="22"/>
                <w:lang w:val="sr-Latn-ME"/>
              </w:rPr>
              <w:t>kreditne</w:t>
            </w:r>
            <w:r w:rsidRPr="004D4F07">
              <w:rPr>
                <w:rFonts w:asciiTheme="minorHAnsi" w:hAnsiTheme="minorHAnsi" w:cstheme="minorHAnsi"/>
                <w:b w:val="0"/>
                <w:sz w:val="22"/>
                <w:lang w:val="sr-Latn-ME"/>
              </w:rPr>
              <w:t xml:space="preserve"> institucije da na siguran način iskoriste postojeći višak likvidnosti za finansiranje MMSP-a i preduzetnika, koji imaju </w:t>
            </w:r>
            <w:proofErr w:type="spellStart"/>
            <w:r w:rsidRPr="004D4F07">
              <w:rPr>
                <w:rFonts w:asciiTheme="minorHAnsi" w:hAnsiTheme="minorHAnsi" w:cstheme="minorHAnsi"/>
                <w:b w:val="0"/>
                <w:sz w:val="22"/>
                <w:lang w:val="sr-Latn-ME"/>
              </w:rPr>
              <w:t>poteškoća</w:t>
            </w:r>
            <w:proofErr w:type="spellEnd"/>
            <w:r w:rsidRPr="004D4F07">
              <w:rPr>
                <w:rFonts w:asciiTheme="minorHAnsi" w:hAnsiTheme="minorHAnsi" w:cstheme="minorHAnsi"/>
                <w:b w:val="0"/>
                <w:sz w:val="22"/>
                <w:lang w:val="sr-Latn-ME"/>
              </w:rPr>
              <w:t xml:space="preserve"> u </w:t>
            </w:r>
            <w:proofErr w:type="spellStart"/>
            <w:r w:rsidRPr="004D4F07">
              <w:rPr>
                <w:rFonts w:asciiTheme="minorHAnsi" w:hAnsiTheme="minorHAnsi" w:cstheme="minorHAnsi"/>
                <w:b w:val="0"/>
                <w:sz w:val="22"/>
                <w:lang w:val="sr-Latn-ME"/>
              </w:rPr>
              <w:t>obezbjeđivanju</w:t>
            </w:r>
            <w:proofErr w:type="spellEnd"/>
            <w:r w:rsidRPr="004D4F07">
              <w:rPr>
                <w:rFonts w:asciiTheme="minorHAnsi" w:hAnsiTheme="minorHAnsi" w:cstheme="minorHAnsi"/>
                <w:b w:val="0"/>
                <w:sz w:val="22"/>
                <w:lang w:val="sr-Latn-ME"/>
              </w:rPr>
              <w:t xml:space="preserve"> finansija i nemaju dovoljno sredstava, što uključuje i relativno nova </w:t>
            </w:r>
            <w:proofErr w:type="spellStart"/>
            <w:r w:rsidRPr="004D4F07">
              <w:rPr>
                <w:rFonts w:asciiTheme="minorHAnsi" w:hAnsiTheme="minorHAnsi" w:cstheme="minorHAnsi"/>
                <w:b w:val="0"/>
                <w:sz w:val="22"/>
                <w:lang w:val="sr-Latn-ME"/>
              </w:rPr>
              <w:t>preduzeća</w:t>
            </w:r>
            <w:proofErr w:type="spellEnd"/>
            <w:r w:rsidRPr="004D4F07">
              <w:rPr>
                <w:rFonts w:asciiTheme="minorHAnsi" w:hAnsiTheme="minorHAnsi" w:cstheme="minorHAnsi"/>
                <w:b w:val="0"/>
                <w:sz w:val="22"/>
                <w:lang w:val="sr-Latn-ME"/>
              </w:rPr>
              <w:t xml:space="preserve"> bez dugogodišnjeg iskustva, bez dovoljnog </w:t>
            </w:r>
            <w:proofErr w:type="spellStart"/>
            <w:r w:rsidRPr="004D4F07">
              <w:rPr>
                <w:rFonts w:asciiTheme="minorHAnsi" w:hAnsiTheme="minorHAnsi" w:cstheme="minorHAnsi"/>
                <w:b w:val="0"/>
                <w:sz w:val="22"/>
                <w:lang w:val="sr-Latn-ME"/>
              </w:rPr>
              <w:t>kolaterala</w:t>
            </w:r>
            <w:proofErr w:type="spellEnd"/>
            <w:r w:rsidRPr="004D4F07">
              <w:rPr>
                <w:rFonts w:asciiTheme="minorHAnsi" w:hAnsiTheme="minorHAnsi" w:cstheme="minorHAnsi"/>
                <w:b w:val="0"/>
                <w:sz w:val="22"/>
                <w:lang w:val="sr-Latn-ME"/>
              </w:rPr>
              <w:t xml:space="preserve"> itd.</w:t>
            </w:r>
          </w:p>
        </w:tc>
      </w:tr>
      <w:tr w:rsidR="00BA2880" w:rsidRPr="004D4F07" w14:paraId="621E62A5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74618E6F" w14:textId="77777777" w:rsidR="00282840" w:rsidRPr="004D4F07" w:rsidRDefault="00673F68" w:rsidP="002828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7</w:t>
            </w:r>
            <w:r w:rsidR="00282840" w:rsidRPr="004D4F07">
              <w:rPr>
                <w:rFonts w:asciiTheme="minorHAnsi" w:hAnsiTheme="minorHAnsi" w:cstheme="minorHAnsi"/>
                <w:sz w:val="22"/>
                <w:lang w:val="sr-Latn-ME"/>
              </w:rPr>
              <w:t>: Monitoring i evaluacija</w:t>
            </w:r>
          </w:p>
          <w:p w14:paraId="5DA22BA3" w14:textId="77777777" w:rsidR="0000426F" w:rsidRPr="004D4F07" w:rsidRDefault="00D06D2A" w:rsidP="0000426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K</w:t>
            </w:r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oje su potencijalne </w:t>
            </w:r>
            <w:proofErr w:type="spellStart"/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>prepreke</w:t>
            </w:r>
            <w:proofErr w:type="spellEnd"/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 xml:space="preserve"> za implementaciju propisa? </w:t>
            </w:r>
          </w:p>
          <w:p w14:paraId="3170FB09" w14:textId="77777777" w:rsidR="00A07773" w:rsidRPr="004D4F07" w:rsidRDefault="00D06D2A" w:rsidP="0000426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K</w:t>
            </w:r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>oje će mjere biti preduzete tokom primjene propisa da bi se ispunili ciljevi</w:t>
            </w: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?</w:t>
            </w:r>
          </w:p>
          <w:p w14:paraId="565B548C" w14:textId="77777777" w:rsidR="00A07773" w:rsidRPr="004D4F07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K</w:t>
            </w:r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>oji su glavni indikatori prema kojima će se mjeriti ispunjenje ciljeva?</w:t>
            </w:r>
          </w:p>
          <w:p w14:paraId="08C75541" w14:textId="77777777" w:rsidR="00A07773" w:rsidRPr="004D4F07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b w:val="0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sz w:val="22"/>
                <w:lang w:val="sr-Latn-ME"/>
              </w:rPr>
              <w:t>K</w:t>
            </w:r>
            <w:r w:rsidR="00A07773" w:rsidRPr="004D4F07">
              <w:rPr>
                <w:rFonts w:asciiTheme="minorHAnsi" w:hAnsiTheme="minorHAnsi" w:cstheme="minorHAnsi"/>
                <w:sz w:val="22"/>
                <w:lang w:val="sr-Latn-ME"/>
              </w:rPr>
              <w:t>o će biti zadužen za sprovođenje monitoringa i evaluacije primjene propisa?</w:t>
            </w:r>
          </w:p>
        </w:tc>
      </w:tr>
      <w:tr w:rsidR="00BA2880" w:rsidRPr="004D4F07" w14:paraId="68FAA1A0" w14:textId="77777777" w:rsidTr="00251C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42BB5172" w14:textId="77777777" w:rsidR="00E55D3A" w:rsidRPr="004D4F07" w:rsidRDefault="00E55D3A" w:rsidP="00443C74">
            <w:pPr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sz w:val="22"/>
                <w:lang w:val="sr-Latn-ME"/>
              </w:rPr>
            </w:pPr>
          </w:p>
          <w:p w14:paraId="273065C5" w14:textId="77777777" w:rsidR="00E55D3A" w:rsidRPr="004D4F07" w:rsidRDefault="00E55D3A" w:rsidP="00443C74">
            <w:pPr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b w:val="0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b w:val="0"/>
                <w:sz w:val="22"/>
                <w:lang w:val="sr-Latn-ME"/>
              </w:rPr>
              <w:t xml:space="preserve">Za sada nisu prepoznate </w:t>
            </w:r>
            <w:proofErr w:type="spellStart"/>
            <w:r w:rsidRPr="004D4F07">
              <w:rPr>
                <w:rFonts w:asciiTheme="minorHAnsi" w:hAnsiTheme="minorHAnsi" w:cstheme="minorHAnsi"/>
                <w:b w:val="0"/>
                <w:sz w:val="22"/>
                <w:lang w:val="sr-Latn-ME"/>
              </w:rPr>
              <w:t>prepreke</w:t>
            </w:r>
            <w:proofErr w:type="spellEnd"/>
            <w:r w:rsidRPr="004D4F07">
              <w:rPr>
                <w:rFonts w:asciiTheme="minorHAnsi" w:hAnsiTheme="minorHAnsi" w:cstheme="minorHAnsi"/>
                <w:b w:val="0"/>
                <w:sz w:val="22"/>
                <w:lang w:val="sr-Latn-ME"/>
              </w:rPr>
              <w:t xml:space="preserve"> za implementaciju propisa. </w:t>
            </w:r>
          </w:p>
          <w:p w14:paraId="06BD0ADD" w14:textId="77777777" w:rsidR="00E55D3A" w:rsidRPr="004D4F07" w:rsidRDefault="00E55D3A" w:rsidP="00E55D3A">
            <w:pPr>
              <w:pStyle w:val="ListParagraph"/>
              <w:autoSpaceDE w:val="0"/>
              <w:autoSpaceDN w:val="0"/>
              <w:adjustRightInd w:val="0"/>
              <w:ind w:left="630"/>
              <w:contextualSpacing/>
              <w:jc w:val="left"/>
              <w:rPr>
                <w:rFonts w:asciiTheme="minorHAnsi" w:hAnsiTheme="minorHAnsi" w:cstheme="minorHAnsi"/>
                <w:b w:val="0"/>
                <w:sz w:val="22"/>
                <w:lang w:val="sr-Latn-ME"/>
              </w:rPr>
            </w:pPr>
          </w:p>
          <w:p w14:paraId="1D568107" w14:textId="77777777" w:rsidR="00ED5A37" w:rsidRPr="004D4F07" w:rsidRDefault="00ED5A37" w:rsidP="00443C74">
            <w:pPr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b w:val="0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b w:val="0"/>
                <w:sz w:val="22"/>
                <w:lang w:val="sr-Latn-ME"/>
              </w:rPr>
              <w:t xml:space="preserve">Šire upoznavanje javnosti sa značajem osnivanja i funkcionisanja KGFCG, adekvatna promocija benefita i razloga za osnivanje KGFCG. Transparentnost i nezavisnost u radu Fonda, kojim će se stvoriti konkretna osnova </w:t>
            </w:r>
            <w:r w:rsidR="00277031" w:rsidRPr="004D4F07">
              <w:rPr>
                <w:rFonts w:asciiTheme="minorHAnsi" w:hAnsiTheme="minorHAnsi" w:cstheme="minorHAnsi"/>
                <w:b w:val="0"/>
                <w:sz w:val="22"/>
                <w:lang w:val="sr-Latn-ME"/>
              </w:rPr>
              <w:t>za jačanje saradnje sa kreditnim institucijama.</w:t>
            </w:r>
          </w:p>
          <w:p w14:paraId="1AA09AA0" w14:textId="77777777" w:rsidR="00ED5A37" w:rsidRPr="004D4F07" w:rsidRDefault="00ED5A37" w:rsidP="00ED5A37">
            <w:pPr>
              <w:pStyle w:val="ListParagraph"/>
              <w:autoSpaceDE w:val="0"/>
              <w:autoSpaceDN w:val="0"/>
              <w:adjustRightInd w:val="0"/>
              <w:ind w:left="630"/>
              <w:contextualSpacing/>
              <w:jc w:val="left"/>
              <w:rPr>
                <w:rFonts w:asciiTheme="minorHAnsi" w:hAnsiTheme="minorHAnsi" w:cstheme="minorHAnsi"/>
                <w:b w:val="0"/>
                <w:sz w:val="22"/>
                <w:lang w:val="sr-Latn-ME"/>
              </w:rPr>
            </w:pPr>
          </w:p>
          <w:p w14:paraId="1E589EA1" w14:textId="77777777" w:rsidR="00ED5A37" w:rsidRPr="004D4F07" w:rsidRDefault="00ED5A37" w:rsidP="00443C74">
            <w:pPr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b w:val="0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b w:val="0"/>
                <w:sz w:val="22"/>
                <w:lang w:val="sr-Latn-ME"/>
              </w:rPr>
              <w:t>Glavni indikatori prema kojem će se mjeriti implementacija propisa su broj radnih mjesta, garantovanih zajmova, broj podržanih preduzeća i sl.</w:t>
            </w:r>
          </w:p>
          <w:p w14:paraId="48CA4A4C" w14:textId="77777777" w:rsidR="00ED5A37" w:rsidRPr="004D4F07" w:rsidRDefault="00ED5A37" w:rsidP="00ED5A37">
            <w:pPr>
              <w:pStyle w:val="ListParagraph"/>
              <w:autoSpaceDE w:val="0"/>
              <w:autoSpaceDN w:val="0"/>
              <w:adjustRightInd w:val="0"/>
              <w:ind w:left="630"/>
              <w:contextualSpacing/>
              <w:jc w:val="left"/>
              <w:rPr>
                <w:rFonts w:asciiTheme="minorHAnsi" w:hAnsiTheme="minorHAnsi" w:cstheme="minorHAnsi"/>
                <w:b w:val="0"/>
                <w:sz w:val="22"/>
                <w:lang w:val="sr-Latn-ME"/>
              </w:rPr>
            </w:pPr>
          </w:p>
          <w:p w14:paraId="13912E36" w14:textId="77777777" w:rsidR="009B425D" w:rsidRPr="004D4F07" w:rsidRDefault="00ED5A37" w:rsidP="00443C74">
            <w:pPr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b w:val="0"/>
                <w:sz w:val="22"/>
                <w:lang w:val="sr-Latn-ME"/>
              </w:rPr>
            </w:pPr>
            <w:r w:rsidRPr="004D4F07">
              <w:rPr>
                <w:rFonts w:asciiTheme="minorHAnsi" w:hAnsiTheme="minorHAnsi" w:cstheme="minorHAnsi"/>
                <w:b w:val="0"/>
                <w:sz w:val="22"/>
                <w:lang w:val="sr-Latn-ME"/>
              </w:rPr>
              <w:t>M</w:t>
            </w:r>
            <w:r w:rsidR="00155059" w:rsidRPr="004D4F07">
              <w:rPr>
                <w:rFonts w:asciiTheme="minorHAnsi" w:hAnsiTheme="minorHAnsi" w:cstheme="minorHAnsi"/>
                <w:b w:val="0"/>
                <w:sz w:val="22"/>
                <w:lang w:val="sr-Latn-ME"/>
              </w:rPr>
              <w:t xml:space="preserve">inistarstvo ekonomskog razvoja kao predlagač propisa zaduženo je za sprovođenje i evaluaciju primjene propisa. </w:t>
            </w:r>
          </w:p>
          <w:p w14:paraId="43A696F9" w14:textId="77777777" w:rsidR="00ED5A37" w:rsidRPr="004D4F07" w:rsidRDefault="00ED5A37" w:rsidP="00ED5A37">
            <w:pPr>
              <w:pStyle w:val="ListParagraph"/>
              <w:autoSpaceDE w:val="0"/>
              <w:autoSpaceDN w:val="0"/>
              <w:adjustRightInd w:val="0"/>
              <w:ind w:left="630"/>
              <w:contextualSpacing/>
              <w:jc w:val="left"/>
              <w:rPr>
                <w:rFonts w:asciiTheme="minorHAnsi" w:hAnsiTheme="minorHAnsi" w:cstheme="minorHAnsi"/>
                <w:b w:val="0"/>
                <w:sz w:val="22"/>
                <w:lang w:val="sr-Latn-ME"/>
              </w:rPr>
            </w:pPr>
          </w:p>
        </w:tc>
      </w:tr>
    </w:tbl>
    <w:p w14:paraId="721768CA" w14:textId="77777777" w:rsidR="00645B6C" w:rsidRPr="004D4F07" w:rsidRDefault="00645B6C" w:rsidP="00645B6C">
      <w:pPr>
        <w:rPr>
          <w:rFonts w:asciiTheme="minorHAnsi" w:hAnsiTheme="minorHAnsi" w:cstheme="minorHAnsi"/>
          <w:b/>
          <w:bCs w:val="0"/>
          <w:sz w:val="22"/>
          <w:lang w:val="sr-Latn-ME"/>
        </w:rPr>
      </w:pPr>
    </w:p>
    <w:p w14:paraId="071BFC48" w14:textId="77777777" w:rsidR="00972845" w:rsidRPr="004D4F07" w:rsidRDefault="00972845">
      <w:pPr>
        <w:rPr>
          <w:rFonts w:asciiTheme="minorHAnsi" w:hAnsiTheme="minorHAnsi" w:cstheme="minorHAnsi"/>
          <w:sz w:val="22"/>
          <w:lang w:val="sr-Latn-ME"/>
        </w:rPr>
      </w:pPr>
      <w:r w:rsidRPr="004D4F07">
        <w:rPr>
          <w:rFonts w:asciiTheme="minorHAnsi" w:hAnsiTheme="minorHAnsi" w:cstheme="minorHAnsi"/>
          <w:sz w:val="22"/>
          <w:lang w:val="sr-Latn-ME"/>
        </w:rPr>
        <w:tab/>
      </w:r>
      <w:r w:rsidRPr="004D4F07">
        <w:rPr>
          <w:rFonts w:asciiTheme="minorHAnsi" w:hAnsiTheme="minorHAnsi" w:cstheme="minorHAnsi"/>
          <w:sz w:val="22"/>
          <w:lang w:val="sr-Latn-ME"/>
        </w:rPr>
        <w:tab/>
      </w:r>
      <w:r w:rsidRPr="004D4F07">
        <w:rPr>
          <w:rFonts w:asciiTheme="minorHAnsi" w:hAnsiTheme="minorHAnsi" w:cstheme="minorHAnsi"/>
          <w:sz w:val="22"/>
          <w:lang w:val="sr-Latn-ME"/>
        </w:rPr>
        <w:tab/>
      </w:r>
      <w:r w:rsidRPr="004D4F07">
        <w:rPr>
          <w:rFonts w:asciiTheme="minorHAnsi" w:hAnsiTheme="minorHAnsi" w:cstheme="minorHAnsi"/>
          <w:sz w:val="22"/>
          <w:lang w:val="sr-Latn-ME"/>
        </w:rPr>
        <w:tab/>
      </w:r>
      <w:r w:rsidRPr="004D4F07">
        <w:rPr>
          <w:rFonts w:asciiTheme="minorHAnsi" w:hAnsiTheme="minorHAnsi" w:cstheme="minorHAnsi"/>
          <w:sz w:val="22"/>
          <w:lang w:val="sr-Latn-ME"/>
        </w:rPr>
        <w:tab/>
      </w:r>
      <w:r w:rsidRPr="004D4F07">
        <w:rPr>
          <w:rFonts w:asciiTheme="minorHAnsi" w:hAnsiTheme="minorHAnsi" w:cstheme="minorHAnsi"/>
          <w:sz w:val="22"/>
          <w:lang w:val="sr-Latn-ME"/>
        </w:rPr>
        <w:tab/>
      </w:r>
      <w:r w:rsidRPr="004D4F07">
        <w:rPr>
          <w:rFonts w:asciiTheme="minorHAnsi" w:hAnsiTheme="minorHAnsi" w:cstheme="minorHAnsi"/>
          <w:sz w:val="22"/>
          <w:lang w:val="sr-Latn-ME"/>
        </w:rPr>
        <w:tab/>
      </w:r>
      <w:r w:rsidRPr="004D4F07">
        <w:rPr>
          <w:rFonts w:asciiTheme="minorHAnsi" w:hAnsiTheme="minorHAnsi" w:cstheme="minorHAnsi"/>
          <w:sz w:val="22"/>
          <w:lang w:val="sr-Latn-ME"/>
        </w:rPr>
        <w:tab/>
      </w:r>
    </w:p>
    <w:p w14:paraId="57AA030A" w14:textId="77777777" w:rsidR="00972845" w:rsidRPr="004D4F07" w:rsidRDefault="00972845">
      <w:pPr>
        <w:rPr>
          <w:rFonts w:asciiTheme="minorHAnsi" w:hAnsiTheme="minorHAnsi" w:cstheme="minorHAnsi"/>
          <w:sz w:val="22"/>
          <w:lang w:val="sr-Latn-ME"/>
        </w:rPr>
      </w:pPr>
    </w:p>
    <w:sectPr w:rsidR="00972845" w:rsidRPr="004D4F07" w:rsidSect="00C64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5FBA" w14:textId="77777777" w:rsidR="00A97E58" w:rsidRDefault="00A97E58" w:rsidP="00BA7396">
      <w:r>
        <w:separator/>
      </w:r>
    </w:p>
  </w:endnote>
  <w:endnote w:type="continuationSeparator" w:id="0">
    <w:p w14:paraId="774E42E2" w14:textId="77777777" w:rsidR="00A97E58" w:rsidRDefault="00A97E58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E232" w14:textId="77777777" w:rsidR="00A97E58" w:rsidRDefault="00A97E58" w:rsidP="00BA7396">
      <w:r>
        <w:separator/>
      </w:r>
    </w:p>
  </w:footnote>
  <w:footnote w:type="continuationSeparator" w:id="0">
    <w:p w14:paraId="788C20BD" w14:textId="77777777" w:rsidR="00A97E58" w:rsidRDefault="00A97E58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F6"/>
    <w:multiLevelType w:val="hybridMultilevel"/>
    <w:tmpl w:val="5CDCDB98"/>
    <w:lvl w:ilvl="0" w:tplc="3822B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B0514"/>
    <w:multiLevelType w:val="hybridMultilevel"/>
    <w:tmpl w:val="24C4EFCC"/>
    <w:lvl w:ilvl="0" w:tplc="3822B8E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D107F2"/>
    <w:multiLevelType w:val="hybridMultilevel"/>
    <w:tmpl w:val="787A635E"/>
    <w:lvl w:ilvl="0" w:tplc="08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01623287"/>
    <w:multiLevelType w:val="hybridMultilevel"/>
    <w:tmpl w:val="6D9A135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41EA1"/>
    <w:multiLevelType w:val="hybridMultilevel"/>
    <w:tmpl w:val="B96E37C8"/>
    <w:lvl w:ilvl="0" w:tplc="3822B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5B2BF0"/>
    <w:multiLevelType w:val="hybridMultilevel"/>
    <w:tmpl w:val="C91856E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927FA"/>
    <w:multiLevelType w:val="hybridMultilevel"/>
    <w:tmpl w:val="B1103650"/>
    <w:lvl w:ilvl="0" w:tplc="702CC46A">
      <w:start w:val="1"/>
      <w:numFmt w:val="bullet"/>
      <w:lvlText w:val="-"/>
      <w:lvlJc w:val="left"/>
      <w:pPr>
        <w:ind w:left="720" w:hanging="360"/>
      </w:pPr>
      <w:rPr>
        <w:rFonts w:ascii="SymbolMT" w:eastAsia="SymbolMT" w:hAnsi="Calibri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34267"/>
    <w:multiLevelType w:val="hybridMultilevel"/>
    <w:tmpl w:val="7108BBE6"/>
    <w:lvl w:ilvl="0" w:tplc="702CC46A">
      <w:start w:val="1"/>
      <w:numFmt w:val="bullet"/>
      <w:lvlText w:val="-"/>
      <w:lvlJc w:val="left"/>
      <w:pPr>
        <w:ind w:left="720" w:hanging="360"/>
      </w:pPr>
      <w:rPr>
        <w:rFonts w:ascii="SymbolMT" w:eastAsia="SymbolMT" w:hAnsi="Calibri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947173"/>
    <w:multiLevelType w:val="hybridMultilevel"/>
    <w:tmpl w:val="21FACE80"/>
    <w:lvl w:ilvl="0" w:tplc="4AA868A0">
      <w:start w:val="3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D5BE5"/>
    <w:multiLevelType w:val="hybridMultilevel"/>
    <w:tmpl w:val="334AFE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D7EFC"/>
    <w:multiLevelType w:val="hybridMultilevel"/>
    <w:tmpl w:val="A4B8BB84"/>
    <w:lvl w:ilvl="0" w:tplc="702CC46A">
      <w:start w:val="1"/>
      <w:numFmt w:val="bullet"/>
      <w:lvlText w:val="-"/>
      <w:lvlJc w:val="left"/>
      <w:pPr>
        <w:ind w:left="1080" w:hanging="360"/>
      </w:pPr>
      <w:rPr>
        <w:rFonts w:ascii="SymbolMT" w:eastAsia="SymbolMT" w:hAnsi="Calibri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592FF4"/>
    <w:multiLevelType w:val="hybridMultilevel"/>
    <w:tmpl w:val="B8BA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D64397"/>
    <w:multiLevelType w:val="hybridMultilevel"/>
    <w:tmpl w:val="5DF61844"/>
    <w:lvl w:ilvl="0" w:tplc="3822B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B013BE"/>
    <w:multiLevelType w:val="hybridMultilevel"/>
    <w:tmpl w:val="9A2AA7A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EA07DC7"/>
    <w:multiLevelType w:val="hybridMultilevel"/>
    <w:tmpl w:val="0442D624"/>
    <w:lvl w:ilvl="0" w:tplc="702CC46A">
      <w:start w:val="1"/>
      <w:numFmt w:val="bullet"/>
      <w:lvlText w:val="-"/>
      <w:lvlJc w:val="left"/>
      <w:pPr>
        <w:ind w:left="720" w:hanging="360"/>
      </w:pPr>
      <w:rPr>
        <w:rFonts w:ascii="SymbolMT" w:eastAsia="SymbolMT" w:hAnsi="Calibri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E6A50"/>
    <w:multiLevelType w:val="hybridMultilevel"/>
    <w:tmpl w:val="B95810EE"/>
    <w:lvl w:ilvl="0" w:tplc="702CC46A">
      <w:start w:val="1"/>
      <w:numFmt w:val="bullet"/>
      <w:lvlText w:val="-"/>
      <w:lvlJc w:val="left"/>
      <w:pPr>
        <w:ind w:left="780" w:hanging="360"/>
      </w:pPr>
      <w:rPr>
        <w:rFonts w:ascii="SymbolMT" w:eastAsia="SymbolMT" w:hAnsi="Calibri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76333"/>
    <w:multiLevelType w:val="hybridMultilevel"/>
    <w:tmpl w:val="D4681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731692"/>
    <w:multiLevelType w:val="hybridMultilevel"/>
    <w:tmpl w:val="13948738"/>
    <w:lvl w:ilvl="0" w:tplc="702CC46A">
      <w:start w:val="1"/>
      <w:numFmt w:val="bullet"/>
      <w:lvlText w:val="-"/>
      <w:lvlJc w:val="left"/>
      <w:pPr>
        <w:ind w:left="720" w:hanging="360"/>
      </w:pPr>
      <w:rPr>
        <w:rFonts w:ascii="SymbolMT" w:eastAsia="SymbolMT" w:hAnsi="Calibri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E459D"/>
    <w:multiLevelType w:val="hybridMultilevel"/>
    <w:tmpl w:val="B74EA33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3EF71EF"/>
    <w:multiLevelType w:val="hybridMultilevel"/>
    <w:tmpl w:val="3E8E2F60"/>
    <w:lvl w:ilvl="0" w:tplc="3822B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 w15:restartNumberingAfterBreak="0">
    <w:nsid w:val="46E16279"/>
    <w:multiLevelType w:val="hybridMultilevel"/>
    <w:tmpl w:val="0E9274BA"/>
    <w:lvl w:ilvl="0" w:tplc="702CC46A">
      <w:start w:val="1"/>
      <w:numFmt w:val="bullet"/>
      <w:lvlText w:val="-"/>
      <w:lvlJc w:val="left"/>
      <w:pPr>
        <w:ind w:left="720" w:hanging="360"/>
      </w:pPr>
      <w:rPr>
        <w:rFonts w:ascii="SymbolMT" w:eastAsia="SymbolMT" w:hAnsi="Calibri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80271"/>
    <w:multiLevelType w:val="hybridMultilevel"/>
    <w:tmpl w:val="C27CC9AE"/>
    <w:lvl w:ilvl="0" w:tplc="3822B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63BD6"/>
    <w:multiLevelType w:val="hybridMultilevel"/>
    <w:tmpl w:val="5CD26554"/>
    <w:lvl w:ilvl="0" w:tplc="3822B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D118C2"/>
    <w:multiLevelType w:val="hybridMultilevel"/>
    <w:tmpl w:val="E368B570"/>
    <w:lvl w:ilvl="0" w:tplc="702CC46A">
      <w:start w:val="1"/>
      <w:numFmt w:val="bullet"/>
      <w:lvlText w:val="-"/>
      <w:lvlJc w:val="left"/>
      <w:pPr>
        <w:ind w:left="720" w:hanging="360"/>
      </w:pPr>
      <w:rPr>
        <w:rFonts w:ascii="SymbolMT" w:eastAsia="SymbolMT" w:hAnsi="Calibri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D0A95"/>
    <w:multiLevelType w:val="hybridMultilevel"/>
    <w:tmpl w:val="4ED6B7F2"/>
    <w:lvl w:ilvl="0" w:tplc="3822B8EE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473702"/>
    <w:multiLevelType w:val="hybridMultilevel"/>
    <w:tmpl w:val="D1AA0110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8" w15:restartNumberingAfterBreak="0">
    <w:nsid w:val="61C4698F"/>
    <w:multiLevelType w:val="hybridMultilevel"/>
    <w:tmpl w:val="BA1A0E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E21E8"/>
    <w:multiLevelType w:val="hybridMultilevel"/>
    <w:tmpl w:val="046C17A6"/>
    <w:lvl w:ilvl="0" w:tplc="702CC46A">
      <w:start w:val="1"/>
      <w:numFmt w:val="bullet"/>
      <w:lvlText w:val="-"/>
      <w:lvlJc w:val="left"/>
      <w:pPr>
        <w:ind w:left="780" w:hanging="360"/>
      </w:pPr>
      <w:rPr>
        <w:rFonts w:ascii="SymbolMT" w:eastAsia="SymbolMT" w:hAnsi="Calibri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6AA4AD7"/>
    <w:multiLevelType w:val="hybridMultilevel"/>
    <w:tmpl w:val="C94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5E228D"/>
    <w:multiLevelType w:val="hybridMultilevel"/>
    <w:tmpl w:val="62E08828"/>
    <w:lvl w:ilvl="0" w:tplc="702CC46A">
      <w:start w:val="1"/>
      <w:numFmt w:val="bullet"/>
      <w:lvlText w:val="-"/>
      <w:lvlJc w:val="left"/>
      <w:pPr>
        <w:ind w:left="720" w:hanging="360"/>
      </w:pPr>
      <w:rPr>
        <w:rFonts w:ascii="SymbolMT" w:eastAsia="SymbolMT" w:hAnsi="Calibri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CC116E"/>
    <w:multiLevelType w:val="hybridMultilevel"/>
    <w:tmpl w:val="BB18F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1623F"/>
    <w:multiLevelType w:val="hybridMultilevel"/>
    <w:tmpl w:val="97368A92"/>
    <w:lvl w:ilvl="0" w:tplc="7A5A68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1757FE"/>
    <w:multiLevelType w:val="hybridMultilevel"/>
    <w:tmpl w:val="8466A3BE"/>
    <w:lvl w:ilvl="0" w:tplc="3BEE86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1E7100"/>
    <w:multiLevelType w:val="hybridMultilevel"/>
    <w:tmpl w:val="D0607390"/>
    <w:lvl w:ilvl="0" w:tplc="702CC46A">
      <w:start w:val="1"/>
      <w:numFmt w:val="bullet"/>
      <w:lvlText w:val="-"/>
      <w:lvlJc w:val="left"/>
      <w:pPr>
        <w:ind w:left="720" w:hanging="360"/>
      </w:pPr>
      <w:rPr>
        <w:rFonts w:ascii="SymbolMT" w:eastAsia="SymbolMT" w:hAnsi="Calibri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A7048"/>
    <w:multiLevelType w:val="hybridMultilevel"/>
    <w:tmpl w:val="3EE0A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D1F38"/>
    <w:multiLevelType w:val="hybridMultilevel"/>
    <w:tmpl w:val="CD34D556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36"/>
  </w:num>
  <w:num w:numId="5">
    <w:abstractNumId w:val="9"/>
  </w:num>
  <w:num w:numId="6">
    <w:abstractNumId w:val="6"/>
  </w:num>
  <w:num w:numId="7">
    <w:abstractNumId w:val="17"/>
  </w:num>
  <w:num w:numId="8">
    <w:abstractNumId w:val="24"/>
  </w:num>
  <w:num w:numId="9">
    <w:abstractNumId w:val="45"/>
  </w:num>
  <w:num w:numId="10">
    <w:abstractNumId w:val="32"/>
  </w:num>
  <w:num w:numId="11">
    <w:abstractNumId w:val="10"/>
  </w:num>
  <w:num w:numId="12">
    <w:abstractNumId w:val="15"/>
  </w:num>
  <w:num w:numId="13">
    <w:abstractNumId w:val="29"/>
  </w:num>
  <w:num w:numId="14">
    <w:abstractNumId w:val="41"/>
  </w:num>
  <w:num w:numId="15">
    <w:abstractNumId w:val="19"/>
  </w:num>
  <w:num w:numId="16">
    <w:abstractNumId w:val="34"/>
  </w:num>
  <w:num w:numId="17">
    <w:abstractNumId w:val="18"/>
  </w:num>
  <w:num w:numId="18">
    <w:abstractNumId w:val="14"/>
  </w:num>
  <w:num w:numId="19">
    <w:abstractNumId w:val="23"/>
  </w:num>
  <w:num w:numId="20">
    <w:abstractNumId w:val="21"/>
  </w:num>
  <w:num w:numId="21">
    <w:abstractNumId w:val="39"/>
  </w:num>
  <w:num w:numId="22">
    <w:abstractNumId w:val="12"/>
  </w:num>
  <w:num w:numId="23">
    <w:abstractNumId w:val="7"/>
  </w:num>
  <w:num w:numId="24">
    <w:abstractNumId w:val="11"/>
  </w:num>
  <w:num w:numId="25">
    <w:abstractNumId w:val="48"/>
  </w:num>
  <w:num w:numId="26">
    <w:abstractNumId w:val="22"/>
  </w:num>
  <w:num w:numId="27">
    <w:abstractNumId w:val="26"/>
  </w:num>
  <w:num w:numId="28">
    <w:abstractNumId w:val="46"/>
  </w:num>
  <w:num w:numId="29">
    <w:abstractNumId w:val="30"/>
  </w:num>
  <w:num w:numId="30">
    <w:abstractNumId w:val="4"/>
  </w:num>
  <w:num w:numId="31">
    <w:abstractNumId w:val="35"/>
  </w:num>
  <w:num w:numId="32">
    <w:abstractNumId w:val="28"/>
  </w:num>
  <w:num w:numId="33">
    <w:abstractNumId w:val="33"/>
  </w:num>
  <w:num w:numId="34">
    <w:abstractNumId w:val="0"/>
  </w:num>
  <w:num w:numId="35">
    <w:abstractNumId w:val="1"/>
  </w:num>
  <w:num w:numId="36">
    <w:abstractNumId w:val="31"/>
  </w:num>
  <w:num w:numId="37">
    <w:abstractNumId w:val="25"/>
  </w:num>
  <w:num w:numId="38">
    <w:abstractNumId w:val="42"/>
  </w:num>
  <w:num w:numId="39">
    <w:abstractNumId w:val="40"/>
  </w:num>
  <w:num w:numId="40">
    <w:abstractNumId w:val="13"/>
  </w:num>
  <w:num w:numId="41">
    <w:abstractNumId w:val="44"/>
  </w:num>
  <w:num w:numId="42">
    <w:abstractNumId w:val="43"/>
  </w:num>
  <w:num w:numId="43">
    <w:abstractNumId w:val="47"/>
  </w:num>
  <w:num w:numId="44">
    <w:abstractNumId w:val="20"/>
  </w:num>
  <w:num w:numId="45">
    <w:abstractNumId w:val="3"/>
  </w:num>
  <w:num w:numId="46">
    <w:abstractNumId w:val="37"/>
  </w:num>
  <w:num w:numId="47">
    <w:abstractNumId w:val="2"/>
  </w:num>
  <w:num w:numId="48">
    <w:abstractNumId w:val="27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396"/>
    <w:rsid w:val="0000426F"/>
    <w:rsid w:val="00005F66"/>
    <w:rsid w:val="000068A3"/>
    <w:rsid w:val="00007E20"/>
    <w:rsid w:val="000174AC"/>
    <w:rsid w:val="00044674"/>
    <w:rsid w:val="00047CD2"/>
    <w:rsid w:val="000511F0"/>
    <w:rsid w:val="00054691"/>
    <w:rsid w:val="00067FCF"/>
    <w:rsid w:val="000700D9"/>
    <w:rsid w:val="000716AC"/>
    <w:rsid w:val="00071952"/>
    <w:rsid w:val="00075306"/>
    <w:rsid w:val="0007580E"/>
    <w:rsid w:val="0008732A"/>
    <w:rsid w:val="000A3828"/>
    <w:rsid w:val="000B432C"/>
    <w:rsid w:val="000B660C"/>
    <w:rsid w:val="000C16CA"/>
    <w:rsid w:val="000E5392"/>
    <w:rsid w:val="00100FBE"/>
    <w:rsid w:val="001028CF"/>
    <w:rsid w:val="00114CE7"/>
    <w:rsid w:val="00122AB0"/>
    <w:rsid w:val="00122D06"/>
    <w:rsid w:val="00125C70"/>
    <w:rsid w:val="001278C8"/>
    <w:rsid w:val="00130093"/>
    <w:rsid w:val="001356B3"/>
    <w:rsid w:val="00142831"/>
    <w:rsid w:val="00145D23"/>
    <w:rsid w:val="00152E4E"/>
    <w:rsid w:val="001549AB"/>
    <w:rsid w:val="00155059"/>
    <w:rsid w:val="0015743B"/>
    <w:rsid w:val="00162BB1"/>
    <w:rsid w:val="00181B69"/>
    <w:rsid w:val="00182C3D"/>
    <w:rsid w:val="00186E72"/>
    <w:rsid w:val="0019388E"/>
    <w:rsid w:val="001939A8"/>
    <w:rsid w:val="001961D2"/>
    <w:rsid w:val="001A0BE9"/>
    <w:rsid w:val="001A3896"/>
    <w:rsid w:val="001A553E"/>
    <w:rsid w:val="001A5DEF"/>
    <w:rsid w:val="001B78B9"/>
    <w:rsid w:val="001C7348"/>
    <w:rsid w:val="001D0BF0"/>
    <w:rsid w:val="001D1DB3"/>
    <w:rsid w:val="001E05EC"/>
    <w:rsid w:val="001E1794"/>
    <w:rsid w:val="001E6EAF"/>
    <w:rsid w:val="001F65A9"/>
    <w:rsid w:val="001F723C"/>
    <w:rsid w:val="00205BC0"/>
    <w:rsid w:val="002119F0"/>
    <w:rsid w:val="00216E0B"/>
    <w:rsid w:val="00223D43"/>
    <w:rsid w:val="00230A3F"/>
    <w:rsid w:val="00240A5A"/>
    <w:rsid w:val="00251CC3"/>
    <w:rsid w:val="00255676"/>
    <w:rsid w:val="00261B56"/>
    <w:rsid w:val="0026310C"/>
    <w:rsid w:val="002634FC"/>
    <w:rsid w:val="0026731A"/>
    <w:rsid w:val="00275ECD"/>
    <w:rsid w:val="00277031"/>
    <w:rsid w:val="00280798"/>
    <w:rsid w:val="00280DBC"/>
    <w:rsid w:val="00282840"/>
    <w:rsid w:val="0028484D"/>
    <w:rsid w:val="00284A91"/>
    <w:rsid w:val="0028567B"/>
    <w:rsid w:val="00290F43"/>
    <w:rsid w:val="002924EC"/>
    <w:rsid w:val="002927AF"/>
    <w:rsid w:val="00294662"/>
    <w:rsid w:val="00295023"/>
    <w:rsid w:val="002A15F7"/>
    <w:rsid w:val="002A1FC5"/>
    <w:rsid w:val="002A2C2C"/>
    <w:rsid w:val="002C3210"/>
    <w:rsid w:val="002C473C"/>
    <w:rsid w:val="002C6A05"/>
    <w:rsid w:val="002D3BAD"/>
    <w:rsid w:val="002E2BE9"/>
    <w:rsid w:val="002E7569"/>
    <w:rsid w:val="00307630"/>
    <w:rsid w:val="00310915"/>
    <w:rsid w:val="003110F7"/>
    <w:rsid w:val="0032624D"/>
    <w:rsid w:val="00327CA7"/>
    <w:rsid w:val="00332529"/>
    <w:rsid w:val="003345F0"/>
    <w:rsid w:val="00340D27"/>
    <w:rsid w:val="0034394A"/>
    <w:rsid w:val="003448EB"/>
    <w:rsid w:val="0035397E"/>
    <w:rsid w:val="00354427"/>
    <w:rsid w:val="003561AE"/>
    <w:rsid w:val="00357476"/>
    <w:rsid w:val="00381475"/>
    <w:rsid w:val="003835EF"/>
    <w:rsid w:val="0038407B"/>
    <w:rsid w:val="0038675C"/>
    <w:rsid w:val="00392F99"/>
    <w:rsid w:val="00393EA1"/>
    <w:rsid w:val="00395587"/>
    <w:rsid w:val="003A707B"/>
    <w:rsid w:val="003B16ED"/>
    <w:rsid w:val="003B4E81"/>
    <w:rsid w:val="003C267B"/>
    <w:rsid w:val="003C662E"/>
    <w:rsid w:val="003D1820"/>
    <w:rsid w:val="003E22F5"/>
    <w:rsid w:val="003F3254"/>
    <w:rsid w:val="003F334E"/>
    <w:rsid w:val="003F4B7E"/>
    <w:rsid w:val="00407399"/>
    <w:rsid w:val="00420FC4"/>
    <w:rsid w:val="0042190F"/>
    <w:rsid w:val="0042444A"/>
    <w:rsid w:val="004258F3"/>
    <w:rsid w:val="004264A3"/>
    <w:rsid w:val="004424B6"/>
    <w:rsid w:val="00443C74"/>
    <w:rsid w:val="00451B81"/>
    <w:rsid w:val="004522E7"/>
    <w:rsid w:val="00455CA8"/>
    <w:rsid w:val="00461857"/>
    <w:rsid w:val="004728FC"/>
    <w:rsid w:val="00474265"/>
    <w:rsid w:val="0048029F"/>
    <w:rsid w:val="004979AC"/>
    <w:rsid w:val="004A226D"/>
    <w:rsid w:val="004A404C"/>
    <w:rsid w:val="004A4396"/>
    <w:rsid w:val="004B6542"/>
    <w:rsid w:val="004B71C8"/>
    <w:rsid w:val="004C065E"/>
    <w:rsid w:val="004D4F07"/>
    <w:rsid w:val="004D59DD"/>
    <w:rsid w:val="004F012D"/>
    <w:rsid w:val="004F0685"/>
    <w:rsid w:val="004F3B6C"/>
    <w:rsid w:val="00500079"/>
    <w:rsid w:val="00506C38"/>
    <w:rsid w:val="00512213"/>
    <w:rsid w:val="00516698"/>
    <w:rsid w:val="005209DF"/>
    <w:rsid w:val="0052386A"/>
    <w:rsid w:val="00524220"/>
    <w:rsid w:val="005265A9"/>
    <w:rsid w:val="005345FC"/>
    <w:rsid w:val="005426B9"/>
    <w:rsid w:val="0054756C"/>
    <w:rsid w:val="0055330C"/>
    <w:rsid w:val="00560FD9"/>
    <w:rsid w:val="00565CEB"/>
    <w:rsid w:val="005805F3"/>
    <w:rsid w:val="0058489C"/>
    <w:rsid w:val="005A21F2"/>
    <w:rsid w:val="005A272B"/>
    <w:rsid w:val="005A4192"/>
    <w:rsid w:val="005B551D"/>
    <w:rsid w:val="005C4266"/>
    <w:rsid w:val="005C60C2"/>
    <w:rsid w:val="005D31D4"/>
    <w:rsid w:val="005E4D84"/>
    <w:rsid w:val="005E7B27"/>
    <w:rsid w:val="005F03ED"/>
    <w:rsid w:val="005F2DA6"/>
    <w:rsid w:val="005F48F5"/>
    <w:rsid w:val="005F5FB3"/>
    <w:rsid w:val="005F6D49"/>
    <w:rsid w:val="00601210"/>
    <w:rsid w:val="00611A3D"/>
    <w:rsid w:val="006129CD"/>
    <w:rsid w:val="00615071"/>
    <w:rsid w:val="006163D5"/>
    <w:rsid w:val="0061744B"/>
    <w:rsid w:val="00626CBE"/>
    <w:rsid w:val="00630BE4"/>
    <w:rsid w:val="00636614"/>
    <w:rsid w:val="0064296B"/>
    <w:rsid w:val="00645AEC"/>
    <w:rsid w:val="00645B6C"/>
    <w:rsid w:val="00667E01"/>
    <w:rsid w:val="00672105"/>
    <w:rsid w:val="00673E85"/>
    <w:rsid w:val="00673F68"/>
    <w:rsid w:val="00680E82"/>
    <w:rsid w:val="00681DE1"/>
    <w:rsid w:val="00696603"/>
    <w:rsid w:val="006A1B2C"/>
    <w:rsid w:val="006A3B25"/>
    <w:rsid w:val="006A79BA"/>
    <w:rsid w:val="006C7A5F"/>
    <w:rsid w:val="006D23FA"/>
    <w:rsid w:val="006D6215"/>
    <w:rsid w:val="006E4E97"/>
    <w:rsid w:val="006E6B02"/>
    <w:rsid w:val="006F5637"/>
    <w:rsid w:val="007022A2"/>
    <w:rsid w:val="00702CFF"/>
    <w:rsid w:val="007159BB"/>
    <w:rsid w:val="00721DB9"/>
    <w:rsid w:val="00731EDD"/>
    <w:rsid w:val="00733149"/>
    <w:rsid w:val="00736E8D"/>
    <w:rsid w:val="00762BC8"/>
    <w:rsid w:val="0076356F"/>
    <w:rsid w:val="007653B0"/>
    <w:rsid w:val="00767639"/>
    <w:rsid w:val="007708DC"/>
    <w:rsid w:val="00775167"/>
    <w:rsid w:val="0078206F"/>
    <w:rsid w:val="0079208E"/>
    <w:rsid w:val="00797FD9"/>
    <w:rsid w:val="007A1C7D"/>
    <w:rsid w:val="007A56A4"/>
    <w:rsid w:val="007A5F54"/>
    <w:rsid w:val="007A6A02"/>
    <w:rsid w:val="007B2D1B"/>
    <w:rsid w:val="007B515F"/>
    <w:rsid w:val="007C12EB"/>
    <w:rsid w:val="007C38C6"/>
    <w:rsid w:val="007D2958"/>
    <w:rsid w:val="007D53DA"/>
    <w:rsid w:val="007E01D3"/>
    <w:rsid w:val="007E410F"/>
    <w:rsid w:val="007E59EE"/>
    <w:rsid w:val="007F4E3F"/>
    <w:rsid w:val="00803BF7"/>
    <w:rsid w:val="008178B2"/>
    <w:rsid w:val="008301C9"/>
    <w:rsid w:val="008322D4"/>
    <w:rsid w:val="00833765"/>
    <w:rsid w:val="00845AD4"/>
    <w:rsid w:val="0084708D"/>
    <w:rsid w:val="008509EC"/>
    <w:rsid w:val="0085327D"/>
    <w:rsid w:val="00862C39"/>
    <w:rsid w:val="00871235"/>
    <w:rsid w:val="0087286D"/>
    <w:rsid w:val="00897ABD"/>
    <w:rsid w:val="008A4818"/>
    <w:rsid w:val="008A49E9"/>
    <w:rsid w:val="008B09E9"/>
    <w:rsid w:val="008B3D10"/>
    <w:rsid w:val="008C2E26"/>
    <w:rsid w:val="008D3CFE"/>
    <w:rsid w:val="008D4EFE"/>
    <w:rsid w:val="008D6B40"/>
    <w:rsid w:val="008E4C92"/>
    <w:rsid w:val="009207CF"/>
    <w:rsid w:val="009213C6"/>
    <w:rsid w:val="00925462"/>
    <w:rsid w:val="0094186A"/>
    <w:rsid w:val="0094732F"/>
    <w:rsid w:val="00950F42"/>
    <w:rsid w:val="00952C50"/>
    <w:rsid w:val="00953135"/>
    <w:rsid w:val="0095546B"/>
    <w:rsid w:val="00960A46"/>
    <w:rsid w:val="009630A1"/>
    <w:rsid w:val="009709F0"/>
    <w:rsid w:val="00972845"/>
    <w:rsid w:val="00974E91"/>
    <w:rsid w:val="00977D0A"/>
    <w:rsid w:val="00980410"/>
    <w:rsid w:val="009805D2"/>
    <w:rsid w:val="00986CED"/>
    <w:rsid w:val="00986F6D"/>
    <w:rsid w:val="009A2EF8"/>
    <w:rsid w:val="009A45D9"/>
    <w:rsid w:val="009A6ED1"/>
    <w:rsid w:val="009B425D"/>
    <w:rsid w:val="009B4541"/>
    <w:rsid w:val="009D3553"/>
    <w:rsid w:val="009E7A65"/>
    <w:rsid w:val="009F27C5"/>
    <w:rsid w:val="00A0045B"/>
    <w:rsid w:val="00A02E48"/>
    <w:rsid w:val="00A04116"/>
    <w:rsid w:val="00A07773"/>
    <w:rsid w:val="00A265F9"/>
    <w:rsid w:val="00A41EE6"/>
    <w:rsid w:val="00A432C6"/>
    <w:rsid w:val="00A5580E"/>
    <w:rsid w:val="00A55EC0"/>
    <w:rsid w:val="00A608E2"/>
    <w:rsid w:val="00A635A7"/>
    <w:rsid w:val="00A71595"/>
    <w:rsid w:val="00A7332A"/>
    <w:rsid w:val="00A76ED5"/>
    <w:rsid w:val="00A7733D"/>
    <w:rsid w:val="00A90D7A"/>
    <w:rsid w:val="00A97E58"/>
    <w:rsid w:val="00AA0200"/>
    <w:rsid w:val="00AA117E"/>
    <w:rsid w:val="00AA24B8"/>
    <w:rsid w:val="00AA3B25"/>
    <w:rsid w:val="00AA5D6E"/>
    <w:rsid w:val="00AA6358"/>
    <w:rsid w:val="00AB7A8F"/>
    <w:rsid w:val="00AD100C"/>
    <w:rsid w:val="00AD1EF6"/>
    <w:rsid w:val="00AD45C5"/>
    <w:rsid w:val="00AD6D81"/>
    <w:rsid w:val="00AE26A5"/>
    <w:rsid w:val="00AF7DB9"/>
    <w:rsid w:val="00B035DA"/>
    <w:rsid w:val="00B12DB4"/>
    <w:rsid w:val="00B13CA8"/>
    <w:rsid w:val="00B14C1D"/>
    <w:rsid w:val="00B2646E"/>
    <w:rsid w:val="00B344F3"/>
    <w:rsid w:val="00B451DA"/>
    <w:rsid w:val="00B50546"/>
    <w:rsid w:val="00B625EF"/>
    <w:rsid w:val="00B74ACC"/>
    <w:rsid w:val="00B75ED0"/>
    <w:rsid w:val="00B81D0B"/>
    <w:rsid w:val="00B85D4B"/>
    <w:rsid w:val="00B86C2C"/>
    <w:rsid w:val="00B95E13"/>
    <w:rsid w:val="00BA2880"/>
    <w:rsid w:val="00BA524D"/>
    <w:rsid w:val="00BA6D48"/>
    <w:rsid w:val="00BA7396"/>
    <w:rsid w:val="00BB4E3D"/>
    <w:rsid w:val="00BB511A"/>
    <w:rsid w:val="00BD1F87"/>
    <w:rsid w:val="00BD4282"/>
    <w:rsid w:val="00BD4B64"/>
    <w:rsid w:val="00BE56BA"/>
    <w:rsid w:val="00BF4C18"/>
    <w:rsid w:val="00BF5709"/>
    <w:rsid w:val="00BF5AD0"/>
    <w:rsid w:val="00C03B13"/>
    <w:rsid w:val="00C03CF9"/>
    <w:rsid w:val="00C056B6"/>
    <w:rsid w:val="00C13391"/>
    <w:rsid w:val="00C158F5"/>
    <w:rsid w:val="00C17109"/>
    <w:rsid w:val="00C179F9"/>
    <w:rsid w:val="00C20B92"/>
    <w:rsid w:val="00C41754"/>
    <w:rsid w:val="00C41872"/>
    <w:rsid w:val="00C44B7B"/>
    <w:rsid w:val="00C47FB7"/>
    <w:rsid w:val="00C5148C"/>
    <w:rsid w:val="00C54808"/>
    <w:rsid w:val="00C610C2"/>
    <w:rsid w:val="00C6211A"/>
    <w:rsid w:val="00C624D3"/>
    <w:rsid w:val="00C6455F"/>
    <w:rsid w:val="00C65D3D"/>
    <w:rsid w:val="00C66535"/>
    <w:rsid w:val="00C72668"/>
    <w:rsid w:val="00C72DD7"/>
    <w:rsid w:val="00C7345B"/>
    <w:rsid w:val="00C75492"/>
    <w:rsid w:val="00C87DA2"/>
    <w:rsid w:val="00C92799"/>
    <w:rsid w:val="00C947CD"/>
    <w:rsid w:val="00C978C2"/>
    <w:rsid w:val="00C97B96"/>
    <w:rsid w:val="00CE0103"/>
    <w:rsid w:val="00CF7F2C"/>
    <w:rsid w:val="00D06D2A"/>
    <w:rsid w:val="00D13433"/>
    <w:rsid w:val="00D13578"/>
    <w:rsid w:val="00D136DF"/>
    <w:rsid w:val="00D1480A"/>
    <w:rsid w:val="00D27C82"/>
    <w:rsid w:val="00D27E5E"/>
    <w:rsid w:val="00D31CEE"/>
    <w:rsid w:val="00D31FEF"/>
    <w:rsid w:val="00D35D42"/>
    <w:rsid w:val="00D40585"/>
    <w:rsid w:val="00D4308A"/>
    <w:rsid w:val="00D56E8F"/>
    <w:rsid w:val="00D703A8"/>
    <w:rsid w:val="00D73BB3"/>
    <w:rsid w:val="00D73EE3"/>
    <w:rsid w:val="00D742BA"/>
    <w:rsid w:val="00D75805"/>
    <w:rsid w:val="00D763BE"/>
    <w:rsid w:val="00D8212D"/>
    <w:rsid w:val="00D82F63"/>
    <w:rsid w:val="00D85377"/>
    <w:rsid w:val="00D96854"/>
    <w:rsid w:val="00DA7772"/>
    <w:rsid w:val="00DB3D47"/>
    <w:rsid w:val="00DB5278"/>
    <w:rsid w:val="00DC4699"/>
    <w:rsid w:val="00DC4BCB"/>
    <w:rsid w:val="00DD1718"/>
    <w:rsid w:val="00DD428B"/>
    <w:rsid w:val="00DE1090"/>
    <w:rsid w:val="00DE171E"/>
    <w:rsid w:val="00DE731F"/>
    <w:rsid w:val="00DF502A"/>
    <w:rsid w:val="00DF7591"/>
    <w:rsid w:val="00E0258F"/>
    <w:rsid w:val="00E10E73"/>
    <w:rsid w:val="00E13C17"/>
    <w:rsid w:val="00E14021"/>
    <w:rsid w:val="00E1631B"/>
    <w:rsid w:val="00E16423"/>
    <w:rsid w:val="00E216A5"/>
    <w:rsid w:val="00E26C7B"/>
    <w:rsid w:val="00E3478E"/>
    <w:rsid w:val="00E53DAD"/>
    <w:rsid w:val="00E55D3A"/>
    <w:rsid w:val="00E721E9"/>
    <w:rsid w:val="00E8589C"/>
    <w:rsid w:val="00E86777"/>
    <w:rsid w:val="00E8680B"/>
    <w:rsid w:val="00E920EA"/>
    <w:rsid w:val="00E93169"/>
    <w:rsid w:val="00E938EB"/>
    <w:rsid w:val="00EA6FBF"/>
    <w:rsid w:val="00EB7CBE"/>
    <w:rsid w:val="00EC1EDB"/>
    <w:rsid w:val="00EC280F"/>
    <w:rsid w:val="00EC491E"/>
    <w:rsid w:val="00ED018E"/>
    <w:rsid w:val="00ED0AF4"/>
    <w:rsid w:val="00ED3125"/>
    <w:rsid w:val="00ED4766"/>
    <w:rsid w:val="00ED5745"/>
    <w:rsid w:val="00ED5A37"/>
    <w:rsid w:val="00EE42F2"/>
    <w:rsid w:val="00EE6820"/>
    <w:rsid w:val="00EF46CD"/>
    <w:rsid w:val="00EF5AFB"/>
    <w:rsid w:val="00EF634F"/>
    <w:rsid w:val="00F24A43"/>
    <w:rsid w:val="00F35530"/>
    <w:rsid w:val="00F67363"/>
    <w:rsid w:val="00F726EC"/>
    <w:rsid w:val="00F7433F"/>
    <w:rsid w:val="00F8355D"/>
    <w:rsid w:val="00F91CC8"/>
    <w:rsid w:val="00F92413"/>
    <w:rsid w:val="00FA1E61"/>
    <w:rsid w:val="00FA47B0"/>
    <w:rsid w:val="00FA72A2"/>
    <w:rsid w:val="00FB3F35"/>
    <w:rsid w:val="00FB6BD5"/>
    <w:rsid w:val="00FB7CBA"/>
    <w:rsid w:val="00FC304B"/>
    <w:rsid w:val="00FC37BD"/>
    <w:rsid w:val="00FC4FEC"/>
    <w:rsid w:val="00FE1435"/>
    <w:rsid w:val="00FE57C8"/>
    <w:rsid w:val="00FF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B93BC"/>
  <w15:docId w15:val="{F6242DEE-3A41-46ED-98E0-C8C1DC7E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BA7396"/>
    <w:pPr>
      <w:ind w:left="720"/>
    </w:pPr>
  </w:style>
  <w:style w:type="table" w:styleId="TableGrid">
    <w:name w:val="Table Grid"/>
    <w:basedOn w:val="TableNormal"/>
    <w:uiPriority w:val="39"/>
    <w:rsid w:val="0083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  <w:style w:type="paragraph" w:customStyle="1" w:styleId="Default">
    <w:name w:val="Default"/>
    <w:rsid w:val="00070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">
    <w:name w:val="Body"/>
    <w:rsid w:val="002E2BE9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64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customStyle="1" w:styleId="notranslate">
    <w:name w:val="notranslate"/>
    <w:basedOn w:val="DefaultParagraphFont"/>
    <w:rsid w:val="00071952"/>
  </w:style>
  <w:style w:type="paragraph" w:customStyle="1" w:styleId="1tekst">
    <w:name w:val="_1tekst"/>
    <w:basedOn w:val="Normal"/>
    <w:rsid w:val="00E216A5"/>
    <w:pPr>
      <w:ind w:left="375" w:right="375" w:firstLine="240"/>
    </w:pPr>
    <w:rPr>
      <w:rFonts w:ascii="Arial" w:eastAsiaTheme="minorEastAsia" w:hAnsi="Arial" w:cs="Arial"/>
      <w:bCs w:val="0"/>
      <w:sz w:val="20"/>
      <w:szCs w:val="20"/>
      <w:lang w:val="en-US" w:eastAsia="en-US"/>
    </w:rPr>
  </w:style>
  <w:style w:type="paragraph" w:customStyle="1" w:styleId="7podnas">
    <w:name w:val="_7podnas"/>
    <w:basedOn w:val="Normal"/>
    <w:rsid w:val="00E216A5"/>
    <w:pPr>
      <w:shd w:val="clear" w:color="auto" w:fill="FFFFFF"/>
      <w:spacing w:before="60"/>
      <w:jc w:val="center"/>
    </w:pPr>
    <w:rPr>
      <w:rFonts w:ascii="Arial" w:eastAsiaTheme="minorEastAsia" w:hAnsi="Arial" w:cs="Arial"/>
      <w:b/>
      <w:sz w:val="27"/>
      <w:szCs w:val="27"/>
      <w:lang w:val="en-US" w:eastAsia="en-US"/>
    </w:rPr>
  </w:style>
  <w:style w:type="paragraph" w:customStyle="1" w:styleId="4clan">
    <w:name w:val="_4clan"/>
    <w:basedOn w:val="Normal"/>
    <w:rsid w:val="00E216A5"/>
    <w:pPr>
      <w:spacing w:before="30" w:after="30"/>
      <w:jc w:val="center"/>
    </w:pPr>
    <w:rPr>
      <w:rFonts w:ascii="Arial" w:eastAsiaTheme="minorEastAsia" w:hAnsi="Arial" w:cs="Arial"/>
      <w:b/>
      <w:sz w:val="20"/>
      <w:szCs w:val="20"/>
      <w:lang w:val="en-US" w:eastAsia="en-US"/>
    </w:rPr>
  </w:style>
  <w:style w:type="paragraph" w:customStyle="1" w:styleId="BodyA">
    <w:name w:val="Body A"/>
    <w:rsid w:val="007E01D3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64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customStyle="1" w:styleId="fontstyle01">
    <w:name w:val="fontstyle01"/>
    <w:basedOn w:val="DefaultParagraphFont"/>
    <w:rsid w:val="008178B2"/>
    <w:rPr>
      <w:rFonts w:ascii="Arial" w:hAnsi="Arial" w:cs="Arial" w:hint="default"/>
      <w:b w:val="0"/>
      <w:bCs w:val="0"/>
      <w:i w:val="0"/>
      <w:iCs w:val="0"/>
      <w:color w:val="365F91"/>
      <w:sz w:val="20"/>
      <w:szCs w:val="20"/>
    </w:rPr>
  </w:style>
  <w:style w:type="character" w:customStyle="1" w:styleId="fontstyle21">
    <w:name w:val="fontstyle21"/>
    <w:basedOn w:val="DefaultParagraphFont"/>
    <w:rsid w:val="008178B2"/>
    <w:rPr>
      <w:rFonts w:ascii="Arial" w:hAnsi="Arial" w:cs="Arial" w:hint="default"/>
      <w:b/>
      <w:bCs/>
      <w:i/>
      <w:iCs/>
      <w:color w:val="365F9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38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1C657-E7E4-4D25-BAE3-4BD2D9D5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Sanja Varajic</cp:lastModifiedBy>
  <cp:revision>2</cp:revision>
  <cp:lastPrinted>2021-11-19T08:06:00Z</cp:lastPrinted>
  <dcterms:created xsi:type="dcterms:W3CDTF">2021-12-01T08:25:00Z</dcterms:created>
  <dcterms:modified xsi:type="dcterms:W3CDTF">2021-12-01T08:25:00Z</dcterms:modified>
</cp:coreProperties>
</file>