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4A" w:rsidRPr="00B2649B" w:rsidRDefault="00AE169D" w:rsidP="00AE169D">
      <w:pPr>
        <w:pStyle w:val="Title"/>
        <w:rPr>
          <w:lang w:val="pl-PL"/>
        </w:rPr>
      </w:pPr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735C5D" wp14:editId="79AB28CF">
                <wp:simplePos x="0" y="0"/>
                <wp:positionH relativeFrom="column">
                  <wp:posOffset>3900791</wp:posOffset>
                </wp:positionH>
                <wp:positionV relativeFrom="paragraph">
                  <wp:posOffset>-9728</wp:posOffset>
                </wp:positionV>
                <wp:extent cx="2266950" cy="853805"/>
                <wp:effectExtent l="0" t="0" r="0" b="381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85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A3A" w:rsidRPr="006F4DEB" w:rsidRDefault="00E03A3A" w:rsidP="00E03A3A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  <w:lang w:val="pl-PL"/>
                              </w:rPr>
                            </w:pPr>
                            <w:r w:rsidRPr="006F4DEB">
                              <w:rPr>
                                <w:sz w:val="20"/>
                                <w:lang w:val="pl-PL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  <w:lang w:val="pl-PL"/>
                              </w:rPr>
                              <w:t>Vuka Karadžića, br. 3</w:t>
                            </w:r>
                            <w:r w:rsidRPr="006F4DEB">
                              <w:rPr>
                                <w:sz w:val="20"/>
                                <w:lang w:val="pl-PL"/>
                              </w:rPr>
                              <w:t xml:space="preserve"> </w:t>
                            </w:r>
                          </w:p>
                          <w:p w:rsidR="00E03A3A" w:rsidRPr="006F4DEB" w:rsidRDefault="00E03A3A" w:rsidP="00E03A3A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  <w:lang w:val="pl-PL"/>
                              </w:rPr>
                            </w:pPr>
                            <w:r w:rsidRPr="006F4DEB">
                              <w:rPr>
                                <w:sz w:val="20"/>
                                <w:lang w:val="pl-PL"/>
                              </w:rPr>
                              <w:t>81000 Podgorica, Crna Gora</w:t>
                            </w:r>
                          </w:p>
                          <w:p w:rsidR="00E03A3A" w:rsidRPr="00AF27FF" w:rsidRDefault="00E03A3A" w:rsidP="00E03A3A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 +382 20 407 501</w:t>
                            </w:r>
                          </w:p>
                          <w:p w:rsidR="00E03A3A" w:rsidRPr="00AF27FF" w:rsidRDefault="00E03A3A" w:rsidP="00E03A3A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20 407 528</w:t>
                            </w:r>
                          </w:p>
                          <w:p w:rsidR="00E03A3A" w:rsidRPr="00AF27FF" w:rsidRDefault="00E03A3A" w:rsidP="00E03A3A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mpa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C3404A" w:rsidRPr="00AF27FF" w:rsidRDefault="00C3404A" w:rsidP="00E03A3A">
                            <w:pPr>
                              <w:spacing w:before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35C5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07.15pt;margin-top:-.75pt;width:178.5pt;height:6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pVggIAABE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" stroked="f">
                <v:textbox>
                  <w:txbxContent>
                    <w:p w:rsidR="00E03A3A" w:rsidRPr="006F4DEB" w:rsidRDefault="00E03A3A" w:rsidP="00E03A3A">
                      <w:pPr>
                        <w:spacing w:before="0" w:after="0" w:line="240" w:lineRule="auto"/>
                        <w:jc w:val="right"/>
                        <w:rPr>
                          <w:sz w:val="20"/>
                          <w:lang w:val="pl-PL"/>
                        </w:rPr>
                      </w:pPr>
                      <w:r w:rsidRPr="006F4DEB">
                        <w:rPr>
                          <w:sz w:val="20"/>
                          <w:lang w:val="pl-PL"/>
                        </w:rPr>
                        <w:t xml:space="preserve">Adresa: </w:t>
                      </w:r>
                      <w:r>
                        <w:rPr>
                          <w:sz w:val="20"/>
                          <w:lang w:val="pl-PL"/>
                        </w:rPr>
                        <w:t>Vuka Karadžića, br. 3</w:t>
                      </w:r>
                      <w:r w:rsidRPr="006F4DEB">
                        <w:rPr>
                          <w:sz w:val="20"/>
                          <w:lang w:val="pl-PL"/>
                        </w:rPr>
                        <w:t xml:space="preserve"> </w:t>
                      </w:r>
                    </w:p>
                    <w:p w:rsidR="00E03A3A" w:rsidRPr="006F4DEB" w:rsidRDefault="00E03A3A" w:rsidP="00E03A3A">
                      <w:pPr>
                        <w:spacing w:before="0" w:after="0" w:line="240" w:lineRule="auto"/>
                        <w:jc w:val="right"/>
                        <w:rPr>
                          <w:sz w:val="20"/>
                          <w:lang w:val="pl-PL"/>
                        </w:rPr>
                      </w:pPr>
                      <w:r w:rsidRPr="006F4DEB">
                        <w:rPr>
                          <w:sz w:val="20"/>
                          <w:lang w:val="pl-PL"/>
                        </w:rPr>
                        <w:t>81000 Podgorica, Crna Gora</w:t>
                      </w:r>
                    </w:p>
                    <w:p w:rsidR="00E03A3A" w:rsidRPr="00AF27FF" w:rsidRDefault="00E03A3A" w:rsidP="00E03A3A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sz w:val="20"/>
                        </w:rPr>
                        <w:t>: +382 20 407 501</w:t>
                      </w:r>
                    </w:p>
                    <w:p w:rsidR="00E03A3A" w:rsidRPr="00AF27FF" w:rsidRDefault="00E03A3A" w:rsidP="00E03A3A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20 407 528</w:t>
                      </w:r>
                    </w:p>
                    <w:p w:rsidR="00E03A3A" w:rsidRPr="00AF27FF" w:rsidRDefault="00E03A3A" w:rsidP="00E03A3A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mpa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C3404A" w:rsidRPr="00AF27FF" w:rsidRDefault="00C3404A" w:rsidP="00E03A3A">
                      <w:pPr>
                        <w:spacing w:before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GB" w:eastAsia="en-GB"/>
        </w:rPr>
        <w:drawing>
          <wp:anchor distT="0" distB="0" distL="114300" distR="114300" simplePos="0" relativeHeight="251661312" behindDoc="0" locked="0" layoutInCell="1" allowOverlap="1" wp14:anchorId="6760A9C2" wp14:editId="025D543E">
            <wp:simplePos x="0" y="0"/>
            <wp:positionH relativeFrom="column">
              <wp:posOffset>-155643</wp:posOffset>
            </wp:positionH>
            <wp:positionV relativeFrom="paragraph">
              <wp:posOffset>58366</wp:posOffset>
            </wp:positionV>
            <wp:extent cx="675303" cy="778706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35" cy="78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B1A">
        <w:rPr>
          <w:lang w:val="en-GB" w:eastAsia="en-GB"/>
        </w:rPr>
        <mc:AlternateContent>
          <mc:Choice Requires="wps">
            <w:drawing>
              <wp:anchor distT="0" distB="0" distL="114297" distR="114297" simplePos="0" relativeHeight="251660288" behindDoc="0" locked="0" layoutInCell="1" allowOverlap="1" wp14:anchorId="69D8D148" wp14:editId="3DE1A214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A64F8" id="Straight Connector 27" o:spid="_x0000_s1026" style="position:absolute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="00C3404A" w:rsidRPr="00B2649B">
        <w:rPr>
          <w:lang w:val="pl-PL"/>
        </w:rPr>
        <w:t>Crna Gora</w:t>
      </w:r>
    </w:p>
    <w:p w:rsidR="00C3404A" w:rsidRPr="00B2649B" w:rsidRDefault="00C3404A" w:rsidP="00C3404A">
      <w:pPr>
        <w:pStyle w:val="Title"/>
        <w:spacing w:after="0"/>
        <w:rPr>
          <w:lang w:val="pl-PL"/>
        </w:rPr>
      </w:pPr>
      <w:r w:rsidRPr="00B2649B">
        <w:rPr>
          <w:lang w:val="pl-PL"/>
        </w:rPr>
        <w:t xml:space="preserve">Ministarstvo </w:t>
      </w:r>
      <w:r w:rsidR="00C11431" w:rsidRPr="00B2649B">
        <w:rPr>
          <w:lang w:val="pl-PL"/>
        </w:rPr>
        <w:t>pravde,</w:t>
      </w:r>
      <w:r w:rsidRPr="00B2649B">
        <w:rPr>
          <w:lang w:val="pl-PL"/>
        </w:rPr>
        <w:t xml:space="preserve"> l</w:t>
      </w:r>
      <w:r w:rsidR="00C11431" w:rsidRPr="00B2649B">
        <w:rPr>
          <w:lang w:val="pl-PL"/>
        </w:rPr>
        <w:t>judskih</w:t>
      </w:r>
      <w:r w:rsidR="00B94587" w:rsidRPr="00B2649B">
        <w:rPr>
          <w:lang w:val="pl-PL"/>
        </w:rPr>
        <w:t xml:space="preserve"> i</w:t>
      </w:r>
      <w:r w:rsidR="00C11431" w:rsidRPr="00B2649B">
        <w:rPr>
          <w:lang w:val="pl-PL"/>
        </w:rPr>
        <w:t xml:space="preserve"> </w:t>
      </w:r>
      <w:r w:rsidR="00B94587" w:rsidRPr="00B2649B">
        <w:rPr>
          <w:lang w:val="pl-PL"/>
        </w:rPr>
        <w:t xml:space="preserve">manjinskih prava                                               </w:t>
      </w:r>
    </w:p>
    <w:p w:rsidR="00C3404A" w:rsidRPr="00B2649B" w:rsidRDefault="00C3404A" w:rsidP="00C3404A">
      <w:pPr>
        <w:pStyle w:val="Title"/>
        <w:spacing w:after="0"/>
        <w:rPr>
          <w:lang w:val="pl-PL"/>
        </w:rPr>
      </w:pPr>
      <w:bookmarkStart w:id="0" w:name="_GoBack"/>
      <w:bookmarkEnd w:id="0"/>
    </w:p>
    <w:p w:rsidR="00C3404A" w:rsidRPr="00B2649B" w:rsidRDefault="00C3404A" w:rsidP="00C3404A">
      <w:pPr>
        <w:spacing w:after="0" w:line="240" w:lineRule="auto"/>
        <w:rPr>
          <w:rFonts w:ascii="Cambria" w:eastAsia="MS Mincho" w:hAnsi="Cambria" w:cs="Calibri"/>
          <w:szCs w:val="24"/>
          <w:lang w:val="pl-PL"/>
        </w:rPr>
      </w:pPr>
    </w:p>
    <w:p w:rsidR="00B2649B" w:rsidRPr="00B2649B" w:rsidRDefault="00B2649B" w:rsidP="00B2649B">
      <w:pPr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Br. 01-056/21-6249/2</w:t>
      </w:r>
      <w:r w:rsidRPr="00B2649B">
        <w:rPr>
          <w:rFonts w:ascii="Arial" w:hAnsi="Arial" w:cs="Arial"/>
          <w:lang w:val="pl-PL"/>
        </w:rPr>
        <w:t xml:space="preserve">                              </w:t>
      </w:r>
      <w:r>
        <w:rPr>
          <w:rFonts w:ascii="Arial" w:hAnsi="Arial" w:cs="Arial"/>
          <w:lang w:val="pl-PL"/>
        </w:rPr>
        <w:t xml:space="preserve">           </w:t>
      </w:r>
      <w:r w:rsidRPr="00B2649B">
        <w:rPr>
          <w:rFonts w:ascii="Arial" w:hAnsi="Arial" w:cs="Arial"/>
          <w:lang w:val="pl-PL"/>
        </w:rPr>
        <w:t xml:space="preserve">                           08. jun 2021. godine</w:t>
      </w:r>
    </w:p>
    <w:p w:rsidR="00AA1849" w:rsidRPr="00B2649B" w:rsidRDefault="00AA1849" w:rsidP="00AA1849">
      <w:pPr>
        <w:jc w:val="center"/>
        <w:rPr>
          <w:rFonts w:asciiTheme="majorHAnsi" w:hAnsiTheme="majorHAnsi" w:cs="Calibri"/>
          <w:b/>
          <w:szCs w:val="24"/>
          <w:lang w:val="pl-PL"/>
        </w:rPr>
      </w:pPr>
    </w:p>
    <w:p w:rsidR="00AA1849" w:rsidRPr="00B2649B" w:rsidRDefault="00AA1849" w:rsidP="00AA1849">
      <w:pPr>
        <w:jc w:val="center"/>
        <w:rPr>
          <w:rFonts w:ascii="Arial" w:hAnsi="Arial" w:cs="Arial"/>
          <w:b/>
          <w:sz w:val="22"/>
          <w:lang w:val="pl-PL"/>
        </w:rPr>
      </w:pPr>
      <w:r w:rsidRPr="00B2649B">
        <w:rPr>
          <w:rFonts w:ascii="Arial" w:hAnsi="Arial" w:cs="Arial"/>
          <w:b/>
          <w:sz w:val="22"/>
          <w:lang w:val="pl-PL"/>
        </w:rPr>
        <w:t xml:space="preserve">Izvještaj o sprovedenim javnim konsultacijama o Nacrtu sektorske analize u oblasti </w:t>
      </w:r>
      <w:r w:rsidR="006F79F1" w:rsidRPr="00B2649B">
        <w:rPr>
          <w:rFonts w:ascii="Arial" w:hAnsi="Arial" w:cs="Arial"/>
          <w:b/>
          <w:sz w:val="22"/>
          <w:lang w:val="pl-PL"/>
        </w:rPr>
        <w:t xml:space="preserve">zaštite lica sa invaliditetom od diskriminacije i promociju jednakosti </w:t>
      </w:r>
      <w:r w:rsidRPr="00B2649B">
        <w:rPr>
          <w:rFonts w:ascii="Arial" w:hAnsi="Arial" w:cs="Arial"/>
          <w:b/>
          <w:sz w:val="22"/>
          <w:lang w:val="pl-PL"/>
        </w:rPr>
        <w:t>za 2021. godinu</w:t>
      </w:r>
    </w:p>
    <w:p w:rsidR="00AA1849" w:rsidRPr="00B2649B" w:rsidRDefault="00AA1849" w:rsidP="00AA1849">
      <w:pPr>
        <w:rPr>
          <w:rFonts w:ascii="Arial" w:hAnsi="Arial" w:cs="Arial"/>
          <w:sz w:val="22"/>
          <w:lang w:val="pl-PL"/>
        </w:rPr>
      </w:pPr>
    </w:p>
    <w:p w:rsidR="0062570F" w:rsidRPr="00B2649B" w:rsidRDefault="00AA1849" w:rsidP="00AA1849">
      <w:pPr>
        <w:rPr>
          <w:rFonts w:ascii="Arial" w:hAnsi="Arial" w:cs="Arial"/>
          <w:sz w:val="22"/>
          <w:lang w:val="pl-PL"/>
        </w:rPr>
      </w:pPr>
      <w:r w:rsidRPr="00B2649B">
        <w:rPr>
          <w:rFonts w:ascii="Arial" w:hAnsi="Arial" w:cs="Arial"/>
          <w:b/>
          <w:sz w:val="22"/>
          <w:lang w:val="pl-PL"/>
        </w:rPr>
        <w:t>Shodno članu 79 Zakona o državnoj upravi i člana 12 Uredbe o izboru predstavnika nevladinih organizacija u radna tijela organa državne uprave i sprovođenju javne rasprave u pripremi zakona i strategija u vezi člana 32a Zakona o nevladinim organizacijama, Ministarstvo pravde</w:t>
      </w:r>
      <w:r w:rsidR="00011843" w:rsidRPr="00B2649B">
        <w:rPr>
          <w:rFonts w:ascii="Arial" w:hAnsi="Arial" w:cs="Arial"/>
          <w:b/>
          <w:sz w:val="22"/>
          <w:lang w:val="pl-PL"/>
        </w:rPr>
        <w:t>,</w:t>
      </w:r>
      <w:r w:rsidRPr="00B2649B">
        <w:rPr>
          <w:rFonts w:ascii="Arial" w:hAnsi="Arial" w:cs="Arial"/>
          <w:b/>
          <w:sz w:val="22"/>
          <w:lang w:val="pl-PL"/>
        </w:rPr>
        <w:t xml:space="preserve"> ljudskih i manjinskih prava je dana 17. maja 2021. godine objavilo Javni poziv</w:t>
      </w:r>
      <w:r w:rsidR="007A43B1" w:rsidRPr="00B2649B">
        <w:rPr>
          <w:rStyle w:val="FootnoteReference"/>
          <w:rFonts w:ascii="Arial" w:hAnsi="Arial" w:cs="Arial"/>
          <w:b/>
          <w:sz w:val="22"/>
        </w:rPr>
        <w:footnoteReference w:id="1"/>
      </w:r>
      <w:r w:rsidRPr="00B2649B">
        <w:rPr>
          <w:rFonts w:ascii="Arial" w:hAnsi="Arial" w:cs="Arial"/>
          <w:b/>
          <w:sz w:val="22"/>
          <w:lang w:val="pl-PL"/>
        </w:rPr>
        <w:t xml:space="preserve"> za konsultovanje sa zainteresovanim nevladinim organizacijama</w:t>
      </w:r>
      <w:r w:rsidRPr="00B2649B">
        <w:rPr>
          <w:rFonts w:ascii="Arial" w:hAnsi="Arial" w:cs="Arial"/>
          <w:sz w:val="22"/>
          <w:lang w:val="pl-PL"/>
        </w:rPr>
        <w:t xml:space="preserve"> koje se bave </w:t>
      </w:r>
      <w:r w:rsidR="0062570F" w:rsidRPr="00B2649B">
        <w:rPr>
          <w:rFonts w:ascii="Arial" w:hAnsi="Arial" w:cs="Arial"/>
          <w:sz w:val="22"/>
          <w:lang w:val="pl-PL"/>
        </w:rPr>
        <w:t xml:space="preserve">zaštitom lica sa invaliditetom </w:t>
      </w:r>
      <w:r w:rsidRPr="00B2649B">
        <w:rPr>
          <w:rFonts w:ascii="Arial" w:hAnsi="Arial" w:cs="Arial"/>
          <w:sz w:val="22"/>
          <w:lang w:val="pl-PL"/>
        </w:rPr>
        <w:t xml:space="preserve">u cilju sačinjavanja Sektorske analize za utvrđivanje predloga prioritetnih oblasti od javnog interesa i potrebnih sredstava za finansiranje projekata i programa nevladinih organizacija u </w:t>
      </w:r>
      <w:r w:rsidR="0062570F" w:rsidRPr="00B2649B">
        <w:rPr>
          <w:rFonts w:ascii="Arial" w:hAnsi="Arial" w:cs="Arial"/>
          <w:sz w:val="22"/>
          <w:lang w:val="pl-PL"/>
        </w:rPr>
        <w:t>oblasti zaštite lica sa invaliditetom od diskriminacije i promociju jednakosti.</w:t>
      </w:r>
      <w:r w:rsidRPr="00B2649B">
        <w:rPr>
          <w:rFonts w:ascii="Arial" w:hAnsi="Arial" w:cs="Arial"/>
          <w:sz w:val="22"/>
          <w:lang w:val="pl-PL"/>
        </w:rPr>
        <w:t xml:space="preserve"> </w:t>
      </w:r>
    </w:p>
    <w:p w:rsidR="00B77F47" w:rsidRPr="00B2649B" w:rsidRDefault="00AA1849" w:rsidP="00AA1849">
      <w:pPr>
        <w:rPr>
          <w:rFonts w:ascii="Arial" w:hAnsi="Arial" w:cs="Arial"/>
          <w:sz w:val="22"/>
          <w:lang w:val="pl-PL"/>
        </w:rPr>
      </w:pPr>
      <w:r w:rsidRPr="00B2649B">
        <w:rPr>
          <w:rFonts w:ascii="Arial" w:hAnsi="Arial" w:cs="Arial"/>
          <w:sz w:val="22"/>
          <w:lang w:val="pl-PL"/>
        </w:rPr>
        <w:t>Konsultacije su realizovane u peri</w:t>
      </w:r>
      <w:r w:rsidR="0062570F" w:rsidRPr="00B2649B">
        <w:rPr>
          <w:rFonts w:ascii="Arial" w:hAnsi="Arial" w:cs="Arial"/>
          <w:sz w:val="22"/>
          <w:lang w:val="pl-PL"/>
        </w:rPr>
        <w:t>o</w:t>
      </w:r>
      <w:r w:rsidR="00385D37" w:rsidRPr="00B2649B">
        <w:rPr>
          <w:rFonts w:ascii="Arial" w:hAnsi="Arial" w:cs="Arial"/>
          <w:sz w:val="22"/>
          <w:lang w:val="pl-PL"/>
        </w:rPr>
        <w:t>du od petnaest dana (počev od 17. maja do 1</w:t>
      </w:r>
      <w:r w:rsidRPr="00B2649B">
        <w:rPr>
          <w:rFonts w:ascii="Arial" w:hAnsi="Arial" w:cs="Arial"/>
          <w:sz w:val="22"/>
          <w:lang w:val="pl-PL"/>
        </w:rPr>
        <w:t xml:space="preserve">. </w:t>
      </w:r>
      <w:r w:rsidR="0062570F" w:rsidRPr="00B2649B">
        <w:rPr>
          <w:rFonts w:ascii="Arial" w:hAnsi="Arial" w:cs="Arial"/>
          <w:sz w:val="22"/>
          <w:lang w:val="pl-PL"/>
        </w:rPr>
        <w:t>juna 2021</w:t>
      </w:r>
      <w:r w:rsidR="00B77F47" w:rsidRPr="00B2649B">
        <w:rPr>
          <w:rFonts w:ascii="Arial" w:hAnsi="Arial" w:cs="Arial"/>
          <w:sz w:val="22"/>
          <w:lang w:val="pl-PL"/>
        </w:rPr>
        <w:t>. godine</w:t>
      </w:r>
      <w:r w:rsidR="00E04693" w:rsidRPr="00B2649B">
        <w:rPr>
          <w:rFonts w:ascii="Arial" w:hAnsi="Arial" w:cs="Arial"/>
          <w:sz w:val="22"/>
          <w:lang w:val="pl-PL"/>
        </w:rPr>
        <w:t xml:space="preserve">) u okviru kojih su </w:t>
      </w:r>
      <w:r w:rsidR="00E364E7" w:rsidRPr="00B2649B">
        <w:rPr>
          <w:rFonts w:ascii="Arial" w:hAnsi="Arial" w:cs="Arial"/>
          <w:sz w:val="22"/>
          <w:lang w:val="pl-PL"/>
        </w:rPr>
        <w:t xml:space="preserve">sljedeće NVO </w:t>
      </w:r>
      <w:r w:rsidR="00B77F47" w:rsidRPr="00B2649B">
        <w:rPr>
          <w:rFonts w:ascii="Arial" w:hAnsi="Arial" w:cs="Arial"/>
          <w:sz w:val="22"/>
          <w:lang w:val="pl-PL"/>
        </w:rPr>
        <w:t xml:space="preserve">dostavile svoje komentare i sugestije. </w:t>
      </w:r>
    </w:p>
    <w:p w:rsidR="009572D1" w:rsidRPr="00B2649B" w:rsidRDefault="00B77F47" w:rsidP="00726440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Cs/>
          <w:sz w:val="22"/>
          <w:lang w:val="sr-Latn-ME" w:eastAsia="en-GB"/>
        </w:rPr>
      </w:pPr>
      <w:r w:rsidRPr="00B2649B">
        <w:rPr>
          <w:rFonts w:ascii="Arial" w:hAnsi="Arial" w:cs="Arial"/>
          <w:b/>
          <w:sz w:val="22"/>
          <w:lang w:val="pl-PL"/>
        </w:rPr>
        <w:t xml:space="preserve">NVO Institut za socijalnu i obrazovnu politiku </w:t>
      </w:r>
      <w:r w:rsidR="007E138D" w:rsidRPr="00B2649B">
        <w:rPr>
          <w:rFonts w:ascii="Arial" w:hAnsi="Arial" w:cs="Arial"/>
          <w:b/>
          <w:sz w:val="22"/>
          <w:lang w:val="pl-PL"/>
        </w:rPr>
        <w:t xml:space="preserve">I NVO savjeta za implementaciju omladinske politike </w:t>
      </w:r>
    </w:p>
    <w:p w:rsidR="00E04693" w:rsidRPr="00B2649B" w:rsidRDefault="00DF41EF" w:rsidP="009572D1">
      <w:pPr>
        <w:rPr>
          <w:rFonts w:ascii="Arial" w:eastAsia="Times New Roman" w:hAnsi="Arial" w:cs="Arial"/>
          <w:bCs/>
          <w:sz w:val="22"/>
          <w:lang w:val="sr-Latn-ME" w:eastAsia="en-GB"/>
        </w:rPr>
      </w:pPr>
      <w:r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Navodi da „opis problema </w:t>
      </w:r>
      <w:r w:rsidR="00E04693"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nije u dovoljnoj mjeri opisan </w:t>
      </w:r>
      <w:r w:rsidRPr="00B2649B">
        <w:rPr>
          <w:rFonts w:ascii="Arial" w:eastAsia="Times New Roman" w:hAnsi="Arial" w:cs="Arial"/>
          <w:bCs/>
          <w:sz w:val="22"/>
          <w:lang w:val="sr-Latn-ME" w:eastAsia="en-GB"/>
        </w:rPr>
        <w:t>jer se  na samo jednom mjestu spominje</w:t>
      </w:r>
      <w:r w:rsidR="00E04693"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 jedno istraživanje stavova javnog mnjenja iz različitih godina ali nisu navedeni decidni podaci o rezultatima i pokazateljima istog</w:t>
      </w:r>
      <w:r w:rsidRPr="00B2649B">
        <w:rPr>
          <w:rFonts w:ascii="Arial" w:eastAsia="Times New Roman" w:hAnsi="Arial" w:cs="Arial"/>
          <w:bCs/>
          <w:sz w:val="22"/>
          <w:lang w:val="sr-Latn-ME" w:eastAsia="en-GB"/>
        </w:rPr>
        <w:t>“</w:t>
      </w:r>
      <w:r w:rsidR="007E138D" w:rsidRPr="00B2649B">
        <w:rPr>
          <w:rFonts w:ascii="Arial" w:eastAsia="Times New Roman" w:hAnsi="Arial" w:cs="Arial"/>
          <w:bCs/>
          <w:sz w:val="22"/>
          <w:lang w:val="sr-Latn-ME" w:eastAsia="en-GB"/>
        </w:rPr>
        <w:t>.</w:t>
      </w:r>
      <w:r w:rsidR="00E04693" w:rsidRPr="00B2649B">
        <w:rPr>
          <w:rFonts w:ascii="Arial" w:eastAsia="Times New Roman" w:hAnsi="Arial" w:cs="Arial"/>
          <w:bCs/>
          <w:sz w:val="22"/>
          <w:lang w:val="sr-Latn-ME" w:eastAsia="en-GB"/>
        </w:rPr>
        <w:t>Takođe, nav</w:t>
      </w:r>
      <w:r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ode da </w:t>
      </w:r>
      <w:r w:rsidR="00E04693"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 se broj re</w:t>
      </w:r>
      <w:r w:rsidR="00651F8B" w:rsidRPr="00B2649B">
        <w:rPr>
          <w:rFonts w:ascii="Arial" w:eastAsia="Times New Roman" w:hAnsi="Arial" w:cs="Arial"/>
          <w:bCs/>
          <w:sz w:val="22"/>
          <w:lang w:val="sr-Latn-ME" w:eastAsia="en-GB"/>
        </w:rPr>
        <w:t>al</w:t>
      </w:r>
      <w:r w:rsidR="00E04693" w:rsidRPr="00B2649B">
        <w:rPr>
          <w:rFonts w:ascii="Arial" w:eastAsia="Times New Roman" w:hAnsi="Arial" w:cs="Arial"/>
          <w:bCs/>
          <w:sz w:val="22"/>
          <w:lang w:val="sr-Latn-ME" w:eastAsia="en-GB"/>
        </w:rPr>
        <w:t>izovanih odnosno ne</w:t>
      </w:r>
      <w:r w:rsidR="007E138D"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 </w:t>
      </w:r>
      <w:r w:rsidR="00E04693" w:rsidRPr="00B2649B">
        <w:rPr>
          <w:rFonts w:ascii="Arial" w:eastAsia="Times New Roman" w:hAnsi="Arial" w:cs="Arial"/>
          <w:bCs/>
          <w:sz w:val="22"/>
          <w:lang w:val="sr-Latn-ME" w:eastAsia="en-GB"/>
        </w:rPr>
        <w:t>realizovanih mjera</w:t>
      </w:r>
      <w:r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 iz strateških dokumenata, pa su </w:t>
      </w:r>
      <w:r w:rsidR="00E04693"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 mišljenja da </w:t>
      </w:r>
      <w:r w:rsidR="00AA0D28"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isto ne </w:t>
      </w:r>
      <w:r w:rsidR="00E04693"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 treba biti dio opisa problema osim ako se ne očekuje da neki od projekata NVO bude usmjeren na monitoring sprovođenja aktivnosti iz strateških dokumenata i mišljenja smo da je bilo potrebno zaista opi</w:t>
      </w:r>
      <w:r w:rsidR="00AA0D28"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sati problem decidno. Navode kao primjer da je potrebno </w:t>
      </w:r>
      <w:r w:rsidR="00E04693"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 navesti broj identifikovanih slučajeva diskriminacije, nasilja nad OSI, kršenja prava OSI iz oblasti rada itd</w:t>
      </w:r>
      <w:r w:rsidR="00651F8B" w:rsidRPr="00B2649B">
        <w:rPr>
          <w:rFonts w:ascii="Arial" w:eastAsia="Times New Roman" w:hAnsi="Arial" w:cs="Arial"/>
          <w:bCs/>
          <w:sz w:val="22"/>
          <w:lang w:val="sr-Latn-ME" w:eastAsia="en-GB"/>
        </w:rPr>
        <w:t>.</w:t>
      </w:r>
      <w:r w:rsidR="00E04693"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 </w:t>
      </w:r>
      <w:r w:rsidR="00AA0D28" w:rsidRPr="00B2649B">
        <w:rPr>
          <w:rFonts w:ascii="Arial" w:eastAsia="Times New Roman" w:hAnsi="Arial" w:cs="Arial"/>
          <w:bCs/>
          <w:sz w:val="22"/>
          <w:lang w:val="sr-Latn-ME" w:eastAsia="en-GB"/>
        </w:rPr>
        <w:t>Takodje sugerišu</w:t>
      </w:r>
      <w:r w:rsidR="00E34BDB"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 da se manje baziramo</w:t>
      </w:r>
      <w:r w:rsidR="00E04693"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 na preporuke međunarodnih subjekata koje svakako trebaju biti implementirane</w:t>
      </w:r>
      <w:r w:rsidR="00AA0D28" w:rsidRPr="00B2649B">
        <w:rPr>
          <w:rFonts w:ascii="Arial" w:eastAsia="Times New Roman" w:hAnsi="Arial" w:cs="Arial"/>
          <w:bCs/>
          <w:sz w:val="22"/>
          <w:lang w:val="sr-Latn-ME" w:eastAsia="en-GB"/>
        </w:rPr>
        <w:t>,</w:t>
      </w:r>
      <w:r w:rsidR="00E04693"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 ali ih </w:t>
      </w:r>
      <w:r w:rsidR="00E34BDB"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ne treba </w:t>
      </w:r>
      <w:r w:rsidR="00E04693"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indirektno koristiti da bi ukazali na problem koji </w:t>
      </w:r>
      <w:r w:rsidR="00E34BDB" w:rsidRPr="00B2649B">
        <w:rPr>
          <w:rFonts w:ascii="Arial" w:eastAsia="Times New Roman" w:hAnsi="Arial" w:cs="Arial"/>
          <w:bCs/>
          <w:sz w:val="22"/>
          <w:lang w:val="sr-Latn-ME" w:eastAsia="en-GB"/>
        </w:rPr>
        <w:t>nije adekvatno obrazložen.</w:t>
      </w:r>
      <w:r w:rsidR="00E04693"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Takođe, nije pozvano da se u opisu problema navode načini na koji se planiraju rješvati, tj realizovati date preporuke već se to piše u dijelu načina </w:t>
      </w:r>
      <w:r w:rsidR="007E138D" w:rsidRPr="00B2649B">
        <w:rPr>
          <w:rFonts w:ascii="Arial" w:eastAsia="Times New Roman" w:hAnsi="Arial" w:cs="Arial"/>
          <w:bCs/>
          <w:sz w:val="22"/>
          <w:lang w:val="sr-Latn-ME" w:eastAsia="en-GB"/>
        </w:rPr>
        <w:t>kako NVO može doprinijeti svojim</w:t>
      </w:r>
      <w:r w:rsidR="00E04693"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 aktivnostima rješavanju problema.</w:t>
      </w:r>
    </w:p>
    <w:p w:rsidR="00E04693" w:rsidRPr="00B2649B" w:rsidRDefault="007E138D" w:rsidP="00E04693">
      <w:pPr>
        <w:rPr>
          <w:rFonts w:ascii="Arial" w:eastAsia="Times New Roman" w:hAnsi="Arial" w:cs="Arial"/>
          <w:bCs/>
          <w:sz w:val="22"/>
          <w:lang w:val="sr-Latn-ME" w:eastAsia="en-GB"/>
        </w:rPr>
      </w:pPr>
      <w:r w:rsidRPr="00B2649B">
        <w:rPr>
          <w:rFonts w:ascii="Arial" w:eastAsia="Times New Roman" w:hAnsi="Arial" w:cs="Arial"/>
          <w:bCs/>
          <w:sz w:val="22"/>
          <w:lang w:val="sr-Latn-ME" w:eastAsia="en-GB"/>
        </w:rPr>
        <w:t>2.</w:t>
      </w:r>
      <w:r w:rsidR="00E04693" w:rsidRPr="00B2649B">
        <w:rPr>
          <w:rFonts w:ascii="Arial" w:eastAsia="Times New Roman" w:hAnsi="Arial" w:cs="Arial"/>
          <w:bCs/>
          <w:sz w:val="22"/>
          <w:lang w:val="sr-Latn-ME" w:eastAsia="en-GB"/>
        </w:rPr>
        <w:t>Preporučili bismo da se minimalni iznos dodijeljenih sredstava smanji sa trenutno predviđenih 10.000,00 eura na 5.000,00 eura kako bi se podržao veći broj projekata i uključio samim tim veći broj korisnika.</w:t>
      </w:r>
    </w:p>
    <w:p w:rsidR="00AA0D28" w:rsidRPr="00B2649B" w:rsidRDefault="00AA0D28" w:rsidP="00E04693">
      <w:pPr>
        <w:rPr>
          <w:rFonts w:ascii="Arial" w:eastAsia="Times New Roman" w:hAnsi="Arial" w:cs="Arial"/>
          <w:bCs/>
          <w:sz w:val="22"/>
          <w:lang w:val="sr-Latn-ME" w:eastAsia="en-GB"/>
        </w:rPr>
      </w:pPr>
    </w:p>
    <w:p w:rsidR="007E138D" w:rsidRPr="00B2649B" w:rsidRDefault="00AA0D28" w:rsidP="00E04693">
      <w:pPr>
        <w:rPr>
          <w:rFonts w:ascii="Arial" w:eastAsia="Times New Roman" w:hAnsi="Arial" w:cs="Arial"/>
          <w:bCs/>
          <w:sz w:val="22"/>
          <w:lang w:val="sr-Latn-ME" w:eastAsia="en-GB"/>
        </w:rPr>
      </w:pPr>
      <w:r w:rsidRPr="00B2649B">
        <w:rPr>
          <w:rFonts w:ascii="Arial" w:eastAsia="Times New Roman" w:hAnsi="Arial" w:cs="Arial"/>
          <w:b/>
          <w:bCs/>
          <w:i/>
          <w:sz w:val="22"/>
          <w:lang w:val="sr-Latn-ME" w:eastAsia="en-GB"/>
        </w:rPr>
        <w:lastRenderedPageBreak/>
        <w:t>Odgovor obrađivača</w:t>
      </w:r>
      <w:r w:rsidRPr="00B2649B">
        <w:rPr>
          <w:rFonts w:ascii="Arial" w:eastAsia="Times New Roman" w:hAnsi="Arial" w:cs="Arial"/>
          <w:bCs/>
          <w:sz w:val="22"/>
          <w:lang w:val="sr-Latn-ME" w:eastAsia="en-GB"/>
        </w:rPr>
        <w:t>: Izuzimajući predlog koji se odnosi na evidenciju žrtava  od nasilja  nad licima sa invaliditetom,  Ministarstvo pravde, ljudskih i manjinski</w:t>
      </w:r>
      <w:r w:rsidR="007E138D"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h prava je saglasan sa </w:t>
      </w:r>
      <w:r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 predlogom </w:t>
      </w:r>
      <w:r w:rsidR="007E138D"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pod tačkom 1. NVO Instituta za socijalnu i obrazovnu politiku i NVO Savjeta sa implementaciju omladinske  politike </w:t>
      </w:r>
      <w:r w:rsidRPr="00B2649B">
        <w:rPr>
          <w:rFonts w:ascii="Arial" w:eastAsia="Times New Roman" w:hAnsi="Arial" w:cs="Arial"/>
          <w:bCs/>
          <w:sz w:val="22"/>
          <w:lang w:val="sr-Latn-ME" w:eastAsia="en-GB"/>
        </w:rPr>
        <w:t>i isti prihvata</w:t>
      </w:r>
      <w:r w:rsidR="007E138D"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 kako je  navedeno u opisu.</w:t>
      </w:r>
    </w:p>
    <w:p w:rsidR="00AA0D28" w:rsidRPr="00B2649B" w:rsidRDefault="007E138D" w:rsidP="00E04693">
      <w:pPr>
        <w:rPr>
          <w:rFonts w:ascii="Arial" w:eastAsia="Times New Roman" w:hAnsi="Arial" w:cs="Arial"/>
          <w:bCs/>
          <w:sz w:val="22"/>
          <w:lang w:val="sr-Latn-ME" w:eastAsia="en-GB"/>
        </w:rPr>
      </w:pPr>
      <w:r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Predlog pod tačkom 2 </w:t>
      </w:r>
      <w:r w:rsidR="00AA0D28"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.  </w:t>
      </w:r>
      <w:r w:rsidRPr="00B2649B">
        <w:rPr>
          <w:rFonts w:ascii="Arial" w:eastAsia="Times New Roman" w:hAnsi="Arial" w:cs="Arial"/>
          <w:bCs/>
          <w:sz w:val="22"/>
          <w:lang w:val="sr-Latn-ME" w:eastAsia="en-GB"/>
        </w:rPr>
        <w:t>kojim je predloženo smanjenje  minimalnog iznosa  dodijeljenih sredstava sa  10000 na 5000 nije prihvaćen, sa napomenom da se razvoj manjih ideja stimuliše kroz partnerstvo i razvoj sveobuhvatnijih projektnih ideja.U konačnom  će zavisiti od ukupnih sredstava  opredijeljenih za finansiranje nevladinim organizacijama.</w:t>
      </w:r>
    </w:p>
    <w:p w:rsidR="00B77F47" w:rsidRPr="00B2649B" w:rsidRDefault="00B77F47" w:rsidP="00B77F47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bCs/>
          <w:sz w:val="22"/>
          <w:lang w:val="sr-Latn-ME" w:eastAsia="en-GB"/>
        </w:rPr>
      </w:pPr>
      <w:r w:rsidRPr="00B2649B">
        <w:rPr>
          <w:rFonts w:ascii="Arial" w:eastAsia="Times New Roman" w:hAnsi="Arial" w:cs="Arial"/>
          <w:b/>
          <w:sz w:val="22"/>
          <w:lang w:val="sr-Latn-CS"/>
        </w:rPr>
        <w:t>Udruženje mladih sa hendikepom Crne Gore (UMHCG)</w:t>
      </w:r>
    </w:p>
    <w:p w:rsidR="00B77F47" w:rsidRPr="00B2649B" w:rsidRDefault="00B77F47" w:rsidP="00B77F47">
      <w:pPr>
        <w:spacing w:after="0" w:line="240" w:lineRule="auto"/>
        <w:ind w:firstLine="720"/>
        <w:rPr>
          <w:rFonts w:ascii="Arial" w:eastAsia="Times New Roman" w:hAnsi="Arial" w:cs="Arial"/>
          <w:b/>
          <w:sz w:val="22"/>
          <w:lang w:val="sr-Latn-CS"/>
        </w:rPr>
      </w:pPr>
      <w:r w:rsidRPr="00B2649B">
        <w:rPr>
          <w:rFonts w:ascii="Arial" w:eastAsia="Times New Roman" w:hAnsi="Arial" w:cs="Arial"/>
          <w:b/>
          <w:sz w:val="22"/>
          <w:lang w:val="sr-Latn-CS"/>
        </w:rPr>
        <w:t>Opšti osvrt:</w:t>
      </w:r>
    </w:p>
    <w:p w:rsidR="00B77F47" w:rsidRPr="00B2649B" w:rsidRDefault="0038465C" w:rsidP="00AA0D28">
      <w:pPr>
        <w:spacing w:after="0" w:line="240" w:lineRule="auto"/>
        <w:rPr>
          <w:rFonts w:ascii="Arial" w:eastAsia="Times New Roman" w:hAnsi="Arial" w:cs="Arial"/>
          <w:sz w:val="22"/>
          <w:lang w:val="sr-Latn-RS"/>
        </w:rPr>
      </w:pPr>
      <w:r w:rsidRPr="00B2649B">
        <w:rPr>
          <w:rFonts w:ascii="Arial" w:eastAsia="Times New Roman" w:hAnsi="Arial" w:cs="Arial"/>
          <w:sz w:val="22"/>
          <w:lang w:val="sr-Latn-ME"/>
        </w:rPr>
        <w:t>Udruženje mladih sa hendikepom Crne gore u predlozima i komentarima na sektorsku analizu predlaže da t</w:t>
      </w:r>
      <w:r w:rsidR="00B77F47" w:rsidRPr="00B2649B">
        <w:rPr>
          <w:rFonts w:ascii="Arial" w:eastAsia="Times New Roman" w:hAnsi="Arial" w:cs="Arial"/>
          <w:sz w:val="22"/>
          <w:lang w:val="sr-Cyrl-BA"/>
        </w:rPr>
        <w:t>ermin „djeca sa smetnjama u razvoju“ treba zamijeniti terminom „djeca s invaliditetom“</w:t>
      </w:r>
      <w:r w:rsidR="00B77F47" w:rsidRPr="00B2649B">
        <w:rPr>
          <w:rFonts w:ascii="Arial" w:eastAsia="Times New Roman" w:hAnsi="Arial" w:cs="Arial"/>
          <w:sz w:val="22"/>
          <w:lang w:val="sr-Latn-RS"/>
        </w:rPr>
        <w:t xml:space="preserve">, a termin „intelektualne smetnje“ potrebno je zamijeniti terminom „intelektualni invaliditet“ </w:t>
      </w:r>
      <w:r w:rsidRPr="00B2649B">
        <w:rPr>
          <w:rFonts w:ascii="Arial" w:eastAsia="Times New Roman" w:hAnsi="Arial" w:cs="Arial"/>
          <w:sz w:val="22"/>
          <w:lang w:val="sr-Latn-RS"/>
        </w:rPr>
        <w:t xml:space="preserve">obrazlažući da su </w:t>
      </w:r>
      <w:r w:rsidR="00B77F47" w:rsidRPr="00B2649B">
        <w:rPr>
          <w:rFonts w:ascii="Arial" w:eastAsia="Times New Roman" w:hAnsi="Arial" w:cs="Arial"/>
          <w:sz w:val="22"/>
          <w:lang w:val="sr-Latn-RS"/>
        </w:rPr>
        <w:t xml:space="preserve">predloženi termini u </w:t>
      </w:r>
      <w:r w:rsidR="00B77F47" w:rsidRPr="00B2649B">
        <w:rPr>
          <w:rFonts w:ascii="Arial" w:eastAsia="Times New Roman" w:hAnsi="Arial" w:cs="Arial"/>
          <w:sz w:val="22"/>
          <w:lang w:val="sr-Cyrl-BA"/>
        </w:rPr>
        <w:t xml:space="preserve">skladu s modelom pristupa </w:t>
      </w:r>
      <w:r w:rsidR="00B77F47" w:rsidRPr="00B2649B">
        <w:rPr>
          <w:rFonts w:ascii="Arial" w:eastAsia="Times New Roman" w:hAnsi="Arial" w:cs="Arial"/>
          <w:sz w:val="22"/>
          <w:lang w:val="sr-Latn-RS"/>
        </w:rPr>
        <w:t xml:space="preserve">invaliditetu </w:t>
      </w:r>
      <w:r w:rsidR="00B77F47" w:rsidRPr="00B2649B">
        <w:rPr>
          <w:rFonts w:ascii="Arial" w:eastAsia="Times New Roman" w:hAnsi="Arial" w:cs="Arial"/>
          <w:sz w:val="22"/>
          <w:lang w:val="sr-Cyrl-BA"/>
        </w:rPr>
        <w:t>zasnovanog na ljudskim pravima i kao tak</w:t>
      </w:r>
      <w:r w:rsidR="00B77F47" w:rsidRPr="00B2649B">
        <w:rPr>
          <w:rFonts w:ascii="Arial" w:eastAsia="Times New Roman" w:hAnsi="Arial" w:cs="Arial"/>
          <w:sz w:val="22"/>
          <w:lang w:val="sr-Latn-RS"/>
        </w:rPr>
        <w:t xml:space="preserve">vi </w:t>
      </w:r>
      <w:r w:rsidR="00B77F47" w:rsidRPr="00B2649B">
        <w:rPr>
          <w:rFonts w:ascii="Arial" w:eastAsia="Times New Roman" w:hAnsi="Arial" w:cs="Arial"/>
          <w:sz w:val="22"/>
          <w:lang w:val="sr-Cyrl-BA"/>
        </w:rPr>
        <w:t>se nalaz</w:t>
      </w:r>
      <w:r w:rsidR="00B77F47" w:rsidRPr="00B2649B">
        <w:rPr>
          <w:rFonts w:ascii="Arial" w:eastAsia="Times New Roman" w:hAnsi="Arial" w:cs="Arial"/>
          <w:sz w:val="22"/>
          <w:lang w:val="sr-Latn-RS"/>
        </w:rPr>
        <w:t>e</w:t>
      </w:r>
      <w:r w:rsidR="00B77F47" w:rsidRPr="00B2649B">
        <w:rPr>
          <w:rFonts w:ascii="Arial" w:eastAsia="Times New Roman" w:hAnsi="Arial" w:cs="Arial"/>
          <w:sz w:val="22"/>
          <w:lang w:val="sr-Cyrl-BA"/>
        </w:rPr>
        <w:t xml:space="preserve"> u zvaničnom prevodu </w:t>
      </w:r>
      <w:r w:rsidR="00B77F47" w:rsidRPr="00B2649B">
        <w:rPr>
          <w:rFonts w:ascii="Arial" w:eastAsia="Times New Roman" w:hAnsi="Arial" w:cs="Arial"/>
          <w:i/>
          <w:sz w:val="22"/>
          <w:lang w:val="sr-Cyrl-BA"/>
        </w:rPr>
        <w:t>Konvencije UN o pravima OSI</w:t>
      </w:r>
      <w:r w:rsidR="00B77F47" w:rsidRPr="00B2649B">
        <w:rPr>
          <w:rFonts w:ascii="Arial" w:eastAsia="Times New Roman" w:hAnsi="Arial" w:cs="Arial"/>
          <w:sz w:val="22"/>
          <w:lang w:val="sr-Latn-RS"/>
        </w:rPr>
        <w:t xml:space="preserve"> odnosno </w:t>
      </w:r>
      <w:r w:rsidR="00B77F47" w:rsidRPr="00B2649B">
        <w:rPr>
          <w:rFonts w:ascii="Arial" w:eastAsia="Times New Roman" w:hAnsi="Arial" w:cs="Arial"/>
          <w:sz w:val="22"/>
          <w:lang w:val="sr-Cyrl-BA"/>
        </w:rPr>
        <w:t xml:space="preserve">crnogorskom </w:t>
      </w:r>
      <w:r w:rsidR="00B77F47" w:rsidRPr="00B2649B">
        <w:rPr>
          <w:rFonts w:ascii="Arial" w:eastAsia="Times New Roman" w:hAnsi="Arial" w:cs="Arial"/>
          <w:i/>
          <w:sz w:val="22"/>
          <w:lang w:val="sr-Cyrl-BA"/>
        </w:rPr>
        <w:t>Zakonu o ratifikaciji Konvencije UN o pravima osoba sa invaliditetom</w:t>
      </w:r>
      <w:r w:rsidR="00B77F47" w:rsidRPr="00B2649B">
        <w:rPr>
          <w:rFonts w:ascii="Arial" w:eastAsia="Times New Roman" w:hAnsi="Arial" w:cs="Arial"/>
          <w:sz w:val="22"/>
          <w:lang w:val="sr-Cyrl-BA"/>
        </w:rPr>
        <w:t>.</w:t>
      </w:r>
      <w:r w:rsidR="00B77F47" w:rsidRPr="00B2649B">
        <w:rPr>
          <w:rFonts w:ascii="Arial" w:eastAsia="Times New Roman" w:hAnsi="Arial" w:cs="Arial"/>
          <w:sz w:val="22"/>
          <w:lang w:val="sr-Latn-ME"/>
        </w:rPr>
        <w:t xml:space="preserve"> </w:t>
      </w:r>
      <w:r w:rsidRPr="00B2649B">
        <w:rPr>
          <w:rFonts w:ascii="Arial" w:eastAsia="Times New Roman" w:hAnsi="Arial" w:cs="Arial"/>
          <w:sz w:val="22"/>
          <w:lang w:val="sr-Latn-ME"/>
        </w:rPr>
        <w:t xml:space="preserve"> Takodje navode da p</w:t>
      </w:r>
      <w:r w:rsidR="00B77F47" w:rsidRPr="00B2649B">
        <w:rPr>
          <w:rFonts w:ascii="Arial" w:eastAsia="Times New Roman" w:hAnsi="Arial" w:cs="Arial"/>
          <w:sz w:val="22"/>
          <w:lang w:val="sr-Latn-ME"/>
        </w:rPr>
        <w:t xml:space="preserve">ojam smetnje postoji u crnogorskom zakonodavstvu koje nije usklađeno s Konvencijom, zbog čega između ostalog Komitet u svojim Zaključnim razmatranjima iz 2017. konstatuje da u CG ne postoji jedinstvena definicija invaliditeta usklađena s Konvencijom. </w:t>
      </w:r>
      <w:r w:rsidR="00B77F47" w:rsidRPr="00B2649B">
        <w:rPr>
          <w:rFonts w:ascii="Arial" w:eastAsia="Times New Roman" w:hAnsi="Arial" w:cs="Arial"/>
          <w:sz w:val="22"/>
          <w:lang w:val="sr-Cyrl-BA"/>
        </w:rPr>
        <w:t xml:space="preserve"> </w:t>
      </w:r>
    </w:p>
    <w:p w:rsidR="00B77F47" w:rsidRPr="00B2649B" w:rsidRDefault="0038465C" w:rsidP="00B77F47">
      <w:pPr>
        <w:spacing w:after="0" w:line="240" w:lineRule="auto"/>
        <w:ind w:firstLine="720"/>
        <w:rPr>
          <w:rFonts w:ascii="Arial" w:eastAsia="Times New Roman" w:hAnsi="Arial" w:cs="Arial"/>
          <w:sz w:val="22"/>
          <w:lang w:val="sr-Latn-RS"/>
        </w:rPr>
      </w:pPr>
      <w:r w:rsidRPr="00B2649B">
        <w:rPr>
          <w:rFonts w:ascii="Arial" w:eastAsia="Times New Roman" w:hAnsi="Arial" w:cs="Arial"/>
          <w:sz w:val="22"/>
          <w:lang w:val="sr-Latn-RS"/>
        </w:rPr>
        <w:t xml:space="preserve">Takođe, ukazuju ma </w:t>
      </w:r>
      <w:r w:rsidR="00B77F47" w:rsidRPr="00B2649B">
        <w:rPr>
          <w:rFonts w:ascii="Arial" w:eastAsia="Times New Roman" w:hAnsi="Arial" w:cs="Arial"/>
          <w:sz w:val="22"/>
          <w:lang w:val="sr-Latn-RS"/>
        </w:rPr>
        <w:t xml:space="preserve"> nekoliko specifičnih segmenata za koje smatramo da trebaju biti dopunjeni ili ispravljeni u opisu problema:</w:t>
      </w:r>
    </w:p>
    <w:p w:rsidR="0038465C" w:rsidRPr="00B2649B" w:rsidRDefault="00B77F47" w:rsidP="0038465C">
      <w:pPr>
        <w:spacing w:after="0" w:line="240" w:lineRule="auto"/>
        <w:ind w:firstLine="720"/>
        <w:rPr>
          <w:rFonts w:ascii="Arial" w:eastAsia="Times New Roman" w:hAnsi="Arial" w:cs="Arial"/>
          <w:sz w:val="22"/>
          <w:lang w:val="sr-Latn-RS"/>
        </w:rPr>
      </w:pPr>
      <w:r w:rsidRPr="00B2649B">
        <w:rPr>
          <w:rFonts w:ascii="Arial" w:eastAsia="Times New Roman" w:hAnsi="Arial" w:cs="Arial"/>
          <w:b/>
          <w:sz w:val="22"/>
          <w:lang w:val="sr-Latn-RS"/>
        </w:rPr>
        <w:t xml:space="preserve">1. Alternativni izvještaj UMHCG o realizaciji Akcionog plana za implementaciju Strategije za zaštitu lica sa invaliditetom od diskriminacije i promociju jednakosti za period 2017 – 2021. za 2017. i 2018, </w:t>
      </w:r>
      <w:r w:rsidRPr="00B2649B">
        <w:rPr>
          <w:rFonts w:ascii="Arial" w:eastAsia="Times New Roman" w:hAnsi="Arial" w:cs="Arial"/>
          <w:sz w:val="22"/>
          <w:lang w:val="sr-Latn-RS"/>
        </w:rPr>
        <w:t>koji je dostupan na</w:t>
      </w:r>
      <w:r w:rsidRPr="00B2649B">
        <w:rPr>
          <w:rFonts w:ascii="Arial" w:eastAsia="Times New Roman" w:hAnsi="Arial" w:cs="Arial"/>
          <w:color w:val="C00000"/>
          <w:sz w:val="22"/>
          <w:lang w:val="sr-Latn-RS"/>
        </w:rPr>
        <w:t xml:space="preserve"> </w:t>
      </w:r>
      <w:hyperlink r:id="rId9" w:history="1">
        <w:r w:rsidRPr="00B2649B">
          <w:rPr>
            <w:rStyle w:val="Hyperlink"/>
            <w:rFonts w:ascii="Arial" w:eastAsia="Times New Roman" w:hAnsi="Arial" w:cs="Arial"/>
            <w:sz w:val="22"/>
            <w:lang w:val="sr-Latn-RS"/>
          </w:rPr>
          <w:t>sajtu UMHCG</w:t>
        </w:r>
      </w:hyperlink>
      <w:r w:rsidRPr="00B2649B">
        <w:rPr>
          <w:rFonts w:ascii="Arial" w:eastAsia="Times New Roman" w:hAnsi="Arial" w:cs="Arial"/>
          <w:sz w:val="22"/>
          <w:lang w:val="sr-Latn-RS"/>
        </w:rPr>
        <w:t>,</w:t>
      </w:r>
      <w:r w:rsidRPr="00B2649B">
        <w:rPr>
          <w:rFonts w:ascii="Arial" w:eastAsia="Times New Roman" w:hAnsi="Arial" w:cs="Arial"/>
          <w:b/>
          <w:color w:val="C00000"/>
          <w:sz w:val="22"/>
          <w:lang w:val="sr-Latn-RS"/>
        </w:rPr>
        <w:t xml:space="preserve"> </w:t>
      </w:r>
      <w:r w:rsidRPr="00B2649B">
        <w:rPr>
          <w:rFonts w:ascii="Arial" w:eastAsia="Times New Roman" w:hAnsi="Arial" w:cs="Arial"/>
          <w:sz w:val="22"/>
          <w:lang w:val="sr-Latn-RS"/>
        </w:rPr>
        <w:t>pokazuje značajno drugačiju statistiku u realizaciji mjera i aktivnosti u odnos</w:t>
      </w:r>
      <w:r w:rsidR="0038465C" w:rsidRPr="00B2649B">
        <w:rPr>
          <w:rFonts w:ascii="Arial" w:eastAsia="Times New Roman" w:hAnsi="Arial" w:cs="Arial"/>
          <w:sz w:val="22"/>
          <w:lang w:val="sr-Latn-RS"/>
        </w:rPr>
        <w:t>u na zvanični Vladin izvještaj, pa predlažu da se na isti predlagač osvrne u dokumentu.</w:t>
      </w:r>
    </w:p>
    <w:p w:rsidR="00B77F47" w:rsidRPr="00B2649B" w:rsidRDefault="00B77F47" w:rsidP="00B77F47">
      <w:pPr>
        <w:spacing w:after="0" w:line="240" w:lineRule="auto"/>
        <w:ind w:firstLine="720"/>
        <w:rPr>
          <w:rFonts w:ascii="Arial" w:eastAsia="Times New Roman" w:hAnsi="Arial" w:cs="Arial"/>
          <w:i/>
          <w:color w:val="C00000"/>
          <w:sz w:val="22"/>
          <w:lang w:val="sr-Latn-RS"/>
        </w:rPr>
      </w:pPr>
      <w:r w:rsidRPr="00B2649B">
        <w:rPr>
          <w:rFonts w:ascii="Arial" w:eastAsia="Times New Roman" w:hAnsi="Arial" w:cs="Arial"/>
          <w:sz w:val="22"/>
          <w:lang w:val="sr-Latn-RS"/>
        </w:rPr>
        <w:t>T</w:t>
      </w:r>
      <w:r w:rsidR="0038465C" w:rsidRPr="00B2649B">
        <w:rPr>
          <w:rFonts w:ascii="Arial" w:eastAsia="Times New Roman" w:hAnsi="Arial" w:cs="Arial"/>
          <w:sz w:val="22"/>
          <w:lang w:val="sr-Latn-RS"/>
        </w:rPr>
        <w:t xml:space="preserve">akođe, smatraju </w:t>
      </w:r>
      <w:r w:rsidRPr="00B2649B">
        <w:rPr>
          <w:rFonts w:ascii="Arial" w:eastAsia="Times New Roman" w:hAnsi="Arial" w:cs="Arial"/>
          <w:sz w:val="22"/>
          <w:lang w:val="sr-Latn-RS"/>
        </w:rPr>
        <w:t>stav</w:t>
      </w:r>
      <w:r w:rsidR="0038465C" w:rsidRPr="00B2649B">
        <w:rPr>
          <w:rFonts w:ascii="Arial" w:eastAsia="Times New Roman" w:hAnsi="Arial" w:cs="Arial"/>
          <w:sz w:val="22"/>
          <w:lang w:val="sr-Latn-RS"/>
        </w:rPr>
        <w:t>oove</w:t>
      </w:r>
      <w:r w:rsidRPr="00B2649B">
        <w:rPr>
          <w:rFonts w:ascii="Arial" w:eastAsia="Times New Roman" w:hAnsi="Arial" w:cs="Arial"/>
          <w:sz w:val="22"/>
          <w:lang w:val="sr-Latn-RS"/>
        </w:rPr>
        <w:t xml:space="preserve"> resora da neke propise ne treba mijenjati smatramo neprihvatljivim, i neodrživim kao argument zašto neki propisi nijesu izmijenjeni jer je neophodnost njihove izmjene definisana preporukama u </w:t>
      </w:r>
      <w:r w:rsidRPr="00B2649B">
        <w:rPr>
          <w:rFonts w:ascii="Arial" w:eastAsia="Times New Roman" w:hAnsi="Arial" w:cs="Arial"/>
          <w:i/>
          <w:sz w:val="22"/>
          <w:lang w:val="sr-Latn-RS"/>
        </w:rPr>
        <w:t xml:space="preserve">Analizi usklađenosti zakonodavstva u Crnoj Gori sa Zakonom o zabrani diskriminacije lica sa invaliditetom i Konvencijom UN o pravima lica sa invaliditetom, </w:t>
      </w:r>
      <w:r w:rsidRPr="00B2649B">
        <w:rPr>
          <w:rFonts w:ascii="Arial" w:eastAsia="Times New Roman" w:hAnsi="Arial" w:cs="Arial"/>
          <w:sz w:val="22"/>
          <w:lang w:val="sr-Latn-RS"/>
        </w:rPr>
        <w:t>koju je upravo usvojila Vlada, čime su resori obavezni sprovoditi mjere i aktivnosti nastale iz navedenih preporuka u pomenutoj Analizi</w:t>
      </w:r>
      <w:r w:rsidRPr="00B2649B">
        <w:rPr>
          <w:rFonts w:ascii="Arial" w:eastAsia="Times New Roman" w:hAnsi="Arial" w:cs="Arial"/>
          <w:color w:val="C00000"/>
          <w:sz w:val="22"/>
          <w:lang w:val="sr-Latn-RS"/>
        </w:rPr>
        <w:t xml:space="preserve">. </w:t>
      </w:r>
    </w:p>
    <w:p w:rsidR="00B77F47" w:rsidRPr="00B2649B" w:rsidRDefault="00B77F47" w:rsidP="00B77F47">
      <w:pPr>
        <w:spacing w:after="0" w:line="240" w:lineRule="auto"/>
        <w:ind w:firstLine="720"/>
        <w:rPr>
          <w:rFonts w:ascii="Arial" w:eastAsia="Times New Roman" w:hAnsi="Arial" w:cs="Arial"/>
          <w:sz w:val="22"/>
          <w:lang w:val="sr-Latn-RS"/>
        </w:rPr>
      </w:pPr>
      <w:r w:rsidRPr="00B2649B">
        <w:rPr>
          <w:rFonts w:ascii="Arial" w:eastAsia="Times New Roman" w:hAnsi="Arial" w:cs="Arial"/>
          <w:sz w:val="22"/>
          <w:lang w:val="sr-Latn-RS"/>
        </w:rPr>
        <w:t>U segmentu gdje se pominju pokr</w:t>
      </w:r>
      <w:r w:rsidR="006C292B" w:rsidRPr="00B2649B">
        <w:rPr>
          <w:rFonts w:ascii="Arial" w:eastAsia="Times New Roman" w:hAnsi="Arial" w:cs="Arial"/>
          <w:sz w:val="22"/>
          <w:lang w:val="sr-Cyrl-BA"/>
        </w:rPr>
        <w:t xml:space="preserve"> djeca sa smetnjama u razvoju“ treba zamijeniti terminom „djeca s invaliditetom“</w:t>
      </w:r>
      <w:r w:rsidR="006C292B" w:rsidRPr="00B2649B">
        <w:rPr>
          <w:rFonts w:ascii="Arial" w:eastAsia="Times New Roman" w:hAnsi="Arial" w:cs="Arial"/>
          <w:sz w:val="22"/>
          <w:lang w:val="sr-Latn-RS"/>
        </w:rPr>
        <w:t xml:space="preserve">, a termin „intelektualne smetnje“ potrebno je zamijeniti terminom „intelektualni invaliditet“ obrazlažući da su predloženi </w:t>
      </w:r>
      <w:r w:rsidRPr="00B2649B">
        <w:rPr>
          <w:rFonts w:ascii="Arial" w:eastAsia="Times New Roman" w:hAnsi="Arial" w:cs="Arial"/>
          <w:sz w:val="22"/>
          <w:lang w:val="sr-Latn-RS"/>
        </w:rPr>
        <w:t xml:space="preserve">enuti postupci pred Zaštitnikom potebno je dati osvrt i na druge postupke, poput građanskih parnica i sl. pa je potrebno navedeno precizirati, posebno imajući u vidu da </w:t>
      </w:r>
      <w:r w:rsidRPr="00B2649B">
        <w:rPr>
          <w:rFonts w:ascii="Arial" w:eastAsia="Times New Roman" w:hAnsi="Arial" w:cs="Arial"/>
          <w:b/>
          <w:sz w:val="22"/>
          <w:lang w:val="sr-Latn-RS"/>
        </w:rPr>
        <w:t>ne postoje evidencije o postupcima za zaštitu od diskriminacije iako je to zakonska obaveza</w:t>
      </w:r>
      <w:r w:rsidRPr="00B2649B">
        <w:rPr>
          <w:rFonts w:ascii="Arial" w:eastAsia="Times New Roman" w:hAnsi="Arial" w:cs="Arial"/>
          <w:sz w:val="22"/>
          <w:lang w:val="sr-Latn-RS"/>
        </w:rPr>
        <w:t>.</w:t>
      </w:r>
    </w:p>
    <w:p w:rsidR="00B77F47" w:rsidRPr="00B2649B" w:rsidRDefault="00B77F47" w:rsidP="00B77F47">
      <w:pPr>
        <w:spacing w:after="0" w:line="240" w:lineRule="auto"/>
        <w:ind w:firstLine="720"/>
        <w:rPr>
          <w:rFonts w:ascii="Arial" w:eastAsia="Times New Roman" w:hAnsi="Arial" w:cs="Arial"/>
          <w:sz w:val="22"/>
          <w:lang w:val="bs-Latn-BA"/>
        </w:rPr>
      </w:pPr>
      <w:r w:rsidRPr="00B2649B">
        <w:rPr>
          <w:rFonts w:ascii="Arial" w:eastAsia="Times New Roman" w:hAnsi="Arial" w:cs="Arial"/>
          <w:sz w:val="22"/>
          <w:lang w:val="bs-Latn-BA"/>
        </w:rPr>
        <w:t>Dodatno, u Nacrtu se pominje da je potrebno raditi na edukaciji OSI i svih građana o primjeni mehanizama za zaštitu od diskriminacije, međutim,  ukazujemo na to da je uzrok malog broja pokrenutih postupaka, osim nedovoljne informisanosti i nepovjerenje u pravosudni sistem, i dugo trajanje postupaka. Jedan od osnovnih razloga za pokretanje postupka odnosi se na uklanjanje posljedica diskriminacije kako se ista ne bi ponovila. Dakle,  ukoliko presuda nije izvršna i tuženi npr. u slučaju nepristupačnosti ne prilagodi objekat, u tom slučaju je i pokretanje sporova nedjelotvorno, odnosno obeshrabrujuće za OSI. Smatramo da je ovo važno navesti jer su zaposleni u pravosuđu jedna od ciljnih grupa koju</w:t>
      </w:r>
      <w:r w:rsidRPr="00B2649B">
        <w:rPr>
          <w:rFonts w:ascii="Arial" w:hAnsi="Arial" w:cs="Arial"/>
          <w:sz w:val="22"/>
          <w:lang w:val="bs-Latn-BA"/>
        </w:rPr>
        <w:t xml:space="preserve"> </w:t>
      </w:r>
      <w:r w:rsidRPr="00B2649B">
        <w:rPr>
          <w:rFonts w:ascii="Arial" w:eastAsia="Times New Roman" w:hAnsi="Arial" w:cs="Arial"/>
          <w:sz w:val="22"/>
          <w:lang w:val="bs-Latn-BA"/>
        </w:rPr>
        <w:t>trebaju biti obuhvaćeni projektima u cilju adekvatnijeg pristupa pravdi za OSI.</w:t>
      </w:r>
    </w:p>
    <w:p w:rsidR="00B77F47" w:rsidRPr="00B2649B" w:rsidRDefault="00B77F47" w:rsidP="00B77F47">
      <w:pPr>
        <w:spacing w:after="0" w:line="240" w:lineRule="auto"/>
        <w:ind w:firstLine="720"/>
        <w:rPr>
          <w:rFonts w:ascii="Arial" w:eastAsia="Times New Roman" w:hAnsi="Arial" w:cs="Arial"/>
          <w:color w:val="FF0000"/>
          <w:sz w:val="22"/>
          <w:lang w:val="bs-Latn-BA"/>
        </w:rPr>
      </w:pPr>
      <w:r w:rsidRPr="00B2649B">
        <w:rPr>
          <w:rFonts w:ascii="Arial" w:eastAsia="Times New Roman" w:hAnsi="Arial" w:cs="Arial"/>
          <w:sz w:val="22"/>
          <w:lang w:val="sr-Latn-ME"/>
        </w:rPr>
        <w:lastRenderedPageBreak/>
        <w:t xml:space="preserve">Molimo da se prilikom citata </w:t>
      </w:r>
      <w:r w:rsidRPr="00B2649B">
        <w:rPr>
          <w:rFonts w:ascii="Arial" w:eastAsia="Times New Roman" w:hAnsi="Arial" w:cs="Arial"/>
          <w:b/>
          <w:bCs/>
          <w:sz w:val="22"/>
          <w:lang w:val="sr-Latn-ME"/>
        </w:rPr>
        <w:t xml:space="preserve">Zaključnih razmatranja Komiteta </w:t>
      </w:r>
      <w:r w:rsidRPr="00B2649B">
        <w:rPr>
          <w:rFonts w:ascii="Arial" w:eastAsia="Times New Roman" w:hAnsi="Arial" w:cs="Arial"/>
          <w:sz w:val="22"/>
          <w:lang w:val="sr-Latn-ME"/>
        </w:rPr>
        <w:t xml:space="preserve">koriste one dostavljene u tekstu nacrta Akcionog plana za sprovođenje preporuka Komiteta (radna verzija tadašnjeg Ministarstva rada i socijalnog staranja koja je proslijeđena mejlom a čiji je tekst dostavilo UMHCG koje je i prevelo zvanični tekst) zbog toga što je to adekvatan prevod, </w:t>
      </w:r>
      <w:r w:rsidRPr="00B2649B">
        <w:rPr>
          <w:rFonts w:ascii="Arial" w:eastAsia="Times New Roman" w:hAnsi="Arial" w:cs="Arial"/>
          <w:b/>
          <w:sz w:val="22"/>
          <w:lang w:val="sr-Latn-ME"/>
        </w:rPr>
        <w:t>u odnosu na postojeću verziju Ministarstva čiji prevod u nekoliko segmenata nije adekvatan i precizan</w:t>
      </w:r>
      <w:r w:rsidRPr="00B2649B">
        <w:rPr>
          <w:rFonts w:ascii="Arial" w:eastAsia="Times New Roman" w:hAnsi="Arial" w:cs="Arial"/>
          <w:sz w:val="22"/>
          <w:lang w:val="sr-Latn-ME"/>
        </w:rPr>
        <w:t>.</w:t>
      </w:r>
    </w:p>
    <w:p w:rsidR="00B77F47" w:rsidRPr="00B2649B" w:rsidRDefault="00B77F47" w:rsidP="00B77F47">
      <w:pPr>
        <w:spacing w:after="0" w:line="240" w:lineRule="auto"/>
        <w:ind w:firstLine="720"/>
        <w:rPr>
          <w:rFonts w:ascii="Arial" w:eastAsia="Times New Roman" w:hAnsi="Arial" w:cs="Arial"/>
          <w:sz w:val="22"/>
          <w:lang w:val="bs-Latn-BA"/>
        </w:rPr>
      </w:pPr>
      <w:r w:rsidRPr="00B2649B">
        <w:rPr>
          <w:rFonts w:ascii="Arial" w:eastAsia="Times New Roman" w:hAnsi="Arial" w:cs="Arial"/>
          <w:sz w:val="22"/>
          <w:lang w:val="bs-Latn-BA"/>
        </w:rPr>
        <w:t>U dijelu opisa problema u odnosu na javni i politički život, kao i prethodne godine, ukazujemo da je veoma važno pored OSI, kao ciljne grupe prepoznati i donosioce odluka, odnosno državnu i opštinske izborne komisije, te poslanike i odbornike u nacionalnom i lokalnim parlamentima, odnosno predstavnike političkih partija.</w:t>
      </w:r>
    </w:p>
    <w:p w:rsidR="00B77F47" w:rsidRPr="00B2649B" w:rsidRDefault="00B77F47" w:rsidP="00B77F47">
      <w:pPr>
        <w:spacing w:after="0" w:line="240" w:lineRule="auto"/>
        <w:ind w:firstLine="720"/>
        <w:rPr>
          <w:rFonts w:ascii="Arial" w:eastAsia="Times New Roman" w:hAnsi="Arial" w:cs="Arial"/>
          <w:sz w:val="22"/>
          <w:lang w:val="sr-Latn-ME"/>
        </w:rPr>
      </w:pPr>
      <w:r w:rsidRPr="00B2649B">
        <w:rPr>
          <w:rFonts w:ascii="Arial" w:eastAsia="Times New Roman" w:hAnsi="Arial" w:cs="Arial"/>
          <w:sz w:val="22"/>
          <w:lang w:val="sr-Latn-ME"/>
        </w:rPr>
        <w:t xml:space="preserve">Među problemima je važno navesti i činjenicu da, iako </w:t>
      </w:r>
      <w:r w:rsidRPr="00B2649B">
        <w:rPr>
          <w:rFonts w:ascii="Arial" w:eastAsia="Times New Roman" w:hAnsi="Arial" w:cs="Arial"/>
          <w:b/>
          <w:bCs/>
          <w:sz w:val="22"/>
          <w:lang w:val="sr-Latn-ME"/>
        </w:rPr>
        <w:t>postoje različita istraživanja javnog mnjenja, nedostaju ona direktno usmjerena na same osobe s invaliditetom i članove njihovih porodica</w:t>
      </w:r>
      <w:r w:rsidRPr="00B2649B">
        <w:rPr>
          <w:rFonts w:ascii="Arial" w:eastAsia="Times New Roman" w:hAnsi="Arial" w:cs="Arial"/>
          <w:sz w:val="22"/>
          <w:lang w:val="sr-Latn-ME"/>
        </w:rPr>
        <w:t>, pa se postojeća odnose na percepciju diskriminacije, a ne na iskustva i stavove samih osoba s invaliditetom. U tom smislu, u segmentu izvora koji potvrđuju opis problema pored istraživanja MPLJMP važno je navesti i druga relevanta istraživanja koje su sprovele NVO, među kojima je i UMHCG koje 2019. je sprovelo Istraživanje o sprovođenju Strategije za zaštitu od diskriminacije lica sa invaliditetom i promociju jednakosti, s ciljem ispitivanja percepcije i iskustava diskriminacije O</w:t>
      </w:r>
      <w:r w:rsidR="00011843" w:rsidRPr="00B2649B">
        <w:rPr>
          <w:rFonts w:ascii="Arial" w:eastAsia="Times New Roman" w:hAnsi="Arial" w:cs="Arial"/>
          <w:sz w:val="22"/>
          <w:lang w:val="sr-Latn-ME"/>
        </w:rPr>
        <w:t>SI, na uzorku od 83 ispitanika.</w:t>
      </w:r>
      <w:r w:rsidRPr="00B2649B">
        <w:rPr>
          <w:rFonts w:ascii="Arial" w:eastAsia="Times New Roman" w:hAnsi="Arial" w:cs="Arial"/>
          <w:sz w:val="22"/>
          <w:lang w:val="sr-Latn-ME"/>
        </w:rPr>
        <w:t xml:space="preserve">Takođe, skrećemo pažnju da linkovi koji su navedeni u dijelu </w:t>
      </w:r>
      <w:r w:rsidRPr="00B2649B">
        <w:rPr>
          <w:rFonts w:ascii="Arial" w:eastAsia="Times New Roman" w:hAnsi="Arial" w:cs="Arial"/>
          <w:i/>
          <w:sz w:val="22"/>
          <w:lang w:val="sr-Latn-ME"/>
        </w:rPr>
        <w:t xml:space="preserve">Izvor(i) podataka </w:t>
      </w:r>
      <w:r w:rsidRPr="00B2649B">
        <w:rPr>
          <w:rFonts w:ascii="Arial" w:eastAsia="Times New Roman" w:hAnsi="Arial" w:cs="Arial"/>
          <w:sz w:val="22"/>
          <w:lang w:val="sr-Latn-ME"/>
        </w:rPr>
        <w:t>sada nijesu dostupni zbog kreiranja novog sajta Vlade, pa bi prilikom izrade finalne verzije Sektorske analize trebalo obratiti pažnju na to da linkovi budu aktivni.</w:t>
      </w:r>
    </w:p>
    <w:p w:rsidR="00B2649B" w:rsidRDefault="00B77F47" w:rsidP="00B2649B">
      <w:pPr>
        <w:spacing w:after="0" w:line="240" w:lineRule="auto"/>
        <w:ind w:firstLine="720"/>
        <w:rPr>
          <w:rFonts w:ascii="Arial" w:eastAsia="Times New Roman" w:hAnsi="Arial" w:cs="Arial"/>
          <w:sz w:val="22"/>
          <w:lang w:val="sr-Latn-ME"/>
        </w:rPr>
      </w:pPr>
      <w:r w:rsidRPr="00B2649B">
        <w:rPr>
          <w:rFonts w:ascii="Arial" w:eastAsia="Times New Roman" w:hAnsi="Arial" w:cs="Arial"/>
          <w:b/>
          <w:sz w:val="22"/>
          <w:lang w:val="sr-Latn-ME"/>
        </w:rPr>
        <w:t>2</w:t>
      </w:r>
      <w:r w:rsidRPr="00B2649B">
        <w:rPr>
          <w:rFonts w:ascii="Arial" w:eastAsia="Times New Roman" w:hAnsi="Arial" w:cs="Arial"/>
          <w:sz w:val="22"/>
          <w:lang w:val="sr-Latn-ME"/>
        </w:rPr>
        <w:t>.</w:t>
      </w:r>
      <w:r w:rsidR="007B66D6" w:rsidRPr="00B2649B">
        <w:rPr>
          <w:rFonts w:ascii="Arial" w:eastAsia="Times New Roman" w:hAnsi="Arial" w:cs="Arial"/>
          <w:sz w:val="22"/>
          <w:lang w:val="sr-Latn-ME"/>
        </w:rPr>
        <w:t xml:space="preserve"> </w:t>
      </w:r>
      <w:r w:rsidRPr="00B2649B">
        <w:rPr>
          <w:rFonts w:ascii="Arial" w:eastAsia="Times New Roman" w:hAnsi="Arial" w:cs="Arial"/>
          <w:sz w:val="22"/>
          <w:lang w:val="sr-Latn-ME"/>
        </w:rPr>
        <w:t xml:space="preserve"> Ponovo skrećemo pažnju na široko postavljene oblasti iz Strategije za zaštitu lica sa invaliditetom od diskriminacije i promociju jednakosti za period 2017-2021. Naime, u </w:t>
      </w:r>
      <w:r w:rsidRPr="00B2649B">
        <w:rPr>
          <w:rFonts w:ascii="Arial" w:eastAsia="Times New Roman" w:hAnsi="Arial" w:cs="Arial"/>
          <w:b/>
          <w:bCs/>
          <w:sz w:val="22"/>
          <w:lang w:val="sr-Latn-ME"/>
        </w:rPr>
        <w:t xml:space="preserve">tački 2 Nacrta, u dijelu koji se tiče prioritetnih problema koje treba riješiti u 2021. finansiranjem projekata i programa NVO, odnosno podtački 2.1. </w:t>
      </w:r>
      <w:r w:rsidRPr="00B2649B">
        <w:rPr>
          <w:rFonts w:ascii="Arial" w:eastAsia="Times New Roman" w:hAnsi="Arial" w:cs="Arial"/>
          <w:sz w:val="22"/>
          <w:lang w:val="sr-Latn-ME"/>
        </w:rPr>
        <w:t xml:space="preserve">koja se odnosi na </w:t>
      </w:r>
      <w:r w:rsidRPr="00B2649B">
        <w:rPr>
          <w:rFonts w:ascii="Arial" w:eastAsia="Times New Roman" w:hAnsi="Arial" w:cs="Arial"/>
          <w:b/>
          <w:bCs/>
          <w:sz w:val="22"/>
          <w:lang w:val="sr-Latn-ME"/>
        </w:rPr>
        <w:t>opis problema</w:t>
      </w:r>
      <w:r w:rsidRPr="00B2649B">
        <w:rPr>
          <w:rFonts w:ascii="Arial" w:eastAsia="Times New Roman" w:hAnsi="Arial" w:cs="Arial"/>
          <w:sz w:val="22"/>
          <w:lang w:val="sr-Latn-ME"/>
        </w:rPr>
        <w:t xml:space="preserve">, neophodno je </w:t>
      </w:r>
      <w:r w:rsidRPr="00B2649B">
        <w:rPr>
          <w:rFonts w:ascii="Arial" w:eastAsia="Times New Roman" w:hAnsi="Arial" w:cs="Arial"/>
          <w:b/>
          <w:sz w:val="22"/>
          <w:lang w:val="sr-Latn-ME"/>
        </w:rPr>
        <w:t>suziti oblasti koje su široko postavljene, na način da se akcenat stavi na aktivnosti koje imaju za cilj zaštitu od diskriminacije i promociju jednakosti, ali ne i konkretno ostvarivanje samih prava OSI</w:t>
      </w:r>
      <w:r w:rsidRPr="00B2649B">
        <w:rPr>
          <w:rFonts w:ascii="Arial" w:eastAsia="Times New Roman" w:hAnsi="Arial" w:cs="Arial"/>
          <w:sz w:val="22"/>
          <w:lang w:val="sr-Latn-ME"/>
        </w:rPr>
        <w:t xml:space="preserve"> posredstvom projekata kao što je npr. profesionalna rehabilitacija i zapošljavanje OSI, kao aktivnost projekta, kako ne bi došlo do preklapanja finansiranja aktivnosti iz ovih oblasti tj. odobravanja projekata koje su u nadležnosti drugih resora, što će svakako biti podržano od strane drugih institucija. Navedeno znači da je u cilju zaštite od diskriminacije OSI potrebno obratiti pažnju na najprioritetnije probleme i potrebe u okviru svih 11 oblasti. Ovo ističemo jer se u praksi može desiti da MPLJMP finansira projekat koji se odnosi na zapošljavanje OSI (što nije nadležnost MPLJMP u kontekstu sprovođenja javnih politika u oblasti zapošljavanja), a ne na istraživanje potreba OSI i poslodavaca, poštovanja radnih prava OSI, edukacija poslodavaca i OSI i sl. (što jeste u nadležnosti MPLJMP jer se ovako postavljene aktivnosti odnose na sprečavanje diskriminacije, edukaciju o pojavnim oblicima, posljedicama i mehanizmima zaštite od diskriminacije i sl). </w:t>
      </w:r>
    </w:p>
    <w:p w:rsidR="00B77F47" w:rsidRPr="00B2649B" w:rsidRDefault="00B77F47" w:rsidP="00B2649B">
      <w:pPr>
        <w:spacing w:after="0" w:line="240" w:lineRule="auto"/>
        <w:ind w:firstLine="720"/>
        <w:rPr>
          <w:rFonts w:ascii="Arial" w:eastAsia="Times New Roman" w:hAnsi="Arial" w:cs="Arial"/>
          <w:sz w:val="22"/>
          <w:lang w:val="sr-Latn-ME"/>
        </w:rPr>
      </w:pPr>
      <w:r w:rsidRPr="00B2649B">
        <w:rPr>
          <w:rFonts w:ascii="Arial" w:eastAsia="Times New Roman" w:hAnsi="Arial" w:cs="Arial"/>
          <w:b/>
          <w:sz w:val="22"/>
          <w:lang w:val="sr-Latn-ME"/>
        </w:rPr>
        <w:t>3.</w:t>
      </w:r>
      <w:r w:rsidRPr="00B2649B">
        <w:rPr>
          <w:rFonts w:ascii="Arial" w:eastAsia="Times New Roman" w:hAnsi="Arial" w:cs="Arial"/>
          <w:sz w:val="22"/>
          <w:lang w:val="sr-Latn-ME"/>
        </w:rPr>
        <w:t xml:space="preserve"> U Nacrtu sektorske analize u dijelu opisa problema među problemima koji će se rješavati finansiranjem projekata i programa nevladinih organizacija, osim već pomenutih, treba prepoznati i navesti sve preporuke </w:t>
      </w:r>
      <w:hyperlink r:id="rId10" w:history="1">
        <w:r w:rsidRPr="00B2649B">
          <w:rPr>
            <w:rStyle w:val="Hyperlink"/>
            <w:rFonts w:ascii="Arial" w:eastAsia="Times New Roman" w:hAnsi="Arial" w:cs="Arial"/>
            <w:b/>
            <w:bCs/>
            <w:sz w:val="22"/>
            <w:lang w:val="sr-Latn-ME"/>
          </w:rPr>
          <w:t>Zaključnih razmatranja Komiteta UN za prava OSI</w:t>
        </w:r>
      </w:hyperlink>
      <w:r w:rsidRPr="00B2649B">
        <w:rPr>
          <w:rFonts w:ascii="Arial" w:eastAsia="Times New Roman" w:hAnsi="Arial" w:cs="Arial"/>
          <w:b/>
          <w:bCs/>
          <w:sz w:val="22"/>
          <w:lang w:val="sr-Latn-ME"/>
        </w:rPr>
        <w:t xml:space="preserve"> </w:t>
      </w:r>
      <w:r w:rsidRPr="00B2649B">
        <w:rPr>
          <w:rFonts w:ascii="Arial" w:eastAsia="Times New Roman" w:hAnsi="Arial" w:cs="Arial"/>
          <w:sz w:val="22"/>
          <w:lang w:val="sr-Latn-ME"/>
        </w:rPr>
        <w:t xml:space="preserve">u nadležnosti MPLJMP, posebno u vezi sa članovima: </w:t>
      </w:r>
    </w:p>
    <w:p w:rsidR="00B77F47" w:rsidRPr="00B2649B" w:rsidRDefault="00B77F47" w:rsidP="00B77F47">
      <w:pPr>
        <w:numPr>
          <w:ilvl w:val="0"/>
          <w:numId w:val="10"/>
        </w:numPr>
        <w:spacing w:before="0" w:after="0" w:line="240" w:lineRule="auto"/>
        <w:rPr>
          <w:rFonts w:ascii="Arial" w:eastAsia="Times New Roman" w:hAnsi="Arial" w:cs="Arial"/>
          <w:sz w:val="22"/>
          <w:lang w:val="sr-Latn-ME"/>
        </w:rPr>
      </w:pPr>
      <w:r w:rsidRPr="00B2649B">
        <w:rPr>
          <w:rFonts w:ascii="Arial" w:eastAsia="Times New Roman" w:hAnsi="Arial" w:cs="Arial"/>
          <w:i/>
          <w:iCs/>
          <w:sz w:val="22"/>
          <w:lang w:val="sr-Latn-ME"/>
        </w:rPr>
        <w:t xml:space="preserve">5. (d) Osigura da je svaka </w:t>
      </w:r>
      <w:r w:rsidRPr="00B2649B">
        <w:rPr>
          <w:rFonts w:ascii="Arial" w:eastAsia="Times New Roman" w:hAnsi="Arial" w:cs="Arial"/>
          <w:b/>
          <w:bCs/>
          <w:i/>
          <w:iCs/>
          <w:sz w:val="22"/>
          <w:lang w:val="sr-Latn-ME"/>
        </w:rPr>
        <w:t xml:space="preserve">procedura procjene </w:t>
      </w:r>
      <w:r w:rsidRPr="00B2649B">
        <w:rPr>
          <w:rFonts w:ascii="Arial" w:eastAsia="Times New Roman" w:hAnsi="Arial" w:cs="Arial"/>
          <w:i/>
          <w:iCs/>
          <w:sz w:val="22"/>
          <w:lang w:val="sr-Latn-ME"/>
        </w:rPr>
        <w:t xml:space="preserve">u skladu s Konvencijom i da ne dovodi do </w:t>
      </w:r>
      <w:r w:rsidRPr="00B2649B">
        <w:rPr>
          <w:rFonts w:ascii="Arial" w:eastAsia="Times New Roman" w:hAnsi="Arial" w:cs="Arial"/>
          <w:b/>
          <w:bCs/>
          <w:i/>
          <w:iCs/>
          <w:sz w:val="22"/>
          <w:lang w:val="sr-Latn-ME"/>
        </w:rPr>
        <w:t xml:space="preserve">diskriminatornog tretmana, kao i da ukine upotrebu različitih definicija invaliditeta i ponižavajuće terminologije </w:t>
      </w:r>
      <w:r w:rsidRPr="00B2649B">
        <w:rPr>
          <w:rFonts w:ascii="Arial" w:eastAsia="Times New Roman" w:hAnsi="Arial" w:cs="Arial"/>
          <w:i/>
          <w:iCs/>
          <w:sz w:val="22"/>
          <w:lang w:val="sr-Latn-ME"/>
        </w:rPr>
        <w:t xml:space="preserve">i da umjesto toga koristi pristup zasnovan na ljudskim pravima; </w:t>
      </w:r>
    </w:p>
    <w:p w:rsidR="00B77F47" w:rsidRPr="00B2649B" w:rsidRDefault="00B77F47" w:rsidP="00B77F47">
      <w:pPr>
        <w:numPr>
          <w:ilvl w:val="0"/>
          <w:numId w:val="10"/>
        </w:numPr>
        <w:spacing w:before="0" w:after="0" w:line="240" w:lineRule="auto"/>
        <w:rPr>
          <w:rFonts w:ascii="Arial" w:eastAsia="Times New Roman" w:hAnsi="Arial" w:cs="Arial"/>
          <w:sz w:val="22"/>
          <w:lang w:val="sr-Latn-ME"/>
        </w:rPr>
      </w:pPr>
      <w:r w:rsidRPr="00B2649B">
        <w:rPr>
          <w:rFonts w:ascii="Arial" w:eastAsia="Times New Roman" w:hAnsi="Arial" w:cs="Arial"/>
          <w:i/>
          <w:iCs/>
          <w:sz w:val="22"/>
          <w:lang w:val="sr-Latn-ME"/>
        </w:rPr>
        <w:t>7. (a) Uspostavi politike i programe koji će osigurati pravo djece s invaliditetom da izraze svoje mišljenje o svim stvarima koje ih se tiču;</w:t>
      </w:r>
      <w:r w:rsidRPr="00B2649B">
        <w:rPr>
          <w:rFonts w:ascii="Arial" w:eastAsia="Times New Roman" w:hAnsi="Arial" w:cs="Arial"/>
          <w:i/>
          <w:iCs/>
          <w:sz w:val="22"/>
          <w:lang w:val="sr-Latn-ME"/>
        </w:rPr>
        <w:cr/>
      </w:r>
      <w:r w:rsidRPr="00B2649B">
        <w:rPr>
          <w:rFonts w:ascii="Arial" w:eastAsia="Times New Roman" w:hAnsi="Arial" w:cs="Arial"/>
          <w:sz w:val="22"/>
          <w:lang w:val="sr-Latn-ME"/>
        </w:rPr>
        <w:t xml:space="preserve">.. </w:t>
      </w:r>
    </w:p>
    <w:p w:rsidR="00B77F47" w:rsidRPr="00B2649B" w:rsidRDefault="00B77F47" w:rsidP="00B77F47">
      <w:pPr>
        <w:spacing w:after="0" w:line="240" w:lineRule="auto"/>
        <w:ind w:firstLine="720"/>
        <w:rPr>
          <w:rFonts w:ascii="Arial" w:eastAsia="Times New Roman" w:hAnsi="Arial" w:cs="Arial"/>
          <w:sz w:val="22"/>
          <w:lang w:val="sr-Latn-ME"/>
        </w:rPr>
      </w:pPr>
      <w:r w:rsidRPr="00B2649B">
        <w:rPr>
          <w:rFonts w:ascii="Arial" w:eastAsia="Times New Roman" w:hAnsi="Arial" w:cs="Arial"/>
          <w:sz w:val="22"/>
          <w:lang w:val="sr-Latn-ME"/>
        </w:rPr>
        <w:t xml:space="preserve">Shodno navedenom, kao strateške ciljeve i opravdane aktivnosti navodimo sljedeće: </w:t>
      </w:r>
    </w:p>
    <w:p w:rsidR="00B77F47" w:rsidRPr="00B2649B" w:rsidRDefault="00B77F47" w:rsidP="00B77F47">
      <w:pPr>
        <w:numPr>
          <w:ilvl w:val="0"/>
          <w:numId w:val="12"/>
        </w:numPr>
        <w:spacing w:before="0" w:after="0" w:line="240" w:lineRule="auto"/>
        <w:rPr>
          <w:rFonts w:ascii="Arial" w:eastAsia="Times New Roman" w:hAnsi="Arial" w:cs="Arial"/>
          <w:sz w:val="22"/>
          <w:lang w:val="sr-Latn-ME"/>
        </w:rPr>
      </w:pPr>
      <w:r w:rsidRPr="00B2649B">
        <w:rPr>
          <w:rFonts w:ascii="Arial" w:eastAsia="Times New Roman" w:hAnsi="Arial" w:cs="Arial"/>
          <w:sz w:val="22"/>
          <w:lang w:val="sr-Latn-ME"/>
        </w:rPr>
        <w:lastRenderedPageBreak/>
        <w:t>Čl. 5. (d) koji se odnosi na sprečavanje diskriminatornog tretmana, kao i na ukidanje upotrebe različitih definicija invaliditeta i ponižavajuće terminologije takođe treba pomenuti u dijelu opisa problema. Dakle, potpuno odsustvo korišćenja ispravne terminologije ukazuje na to da državni službenici i drugi zaposleni ili starješine organa javne uprave, različitih drugih uprava i agencija, te zaposleni u pravosuđu, prosvjeti, medijski poslenici, kao i drugi akteri, nemaju jasnu predstavu o tome koja je terminologija ispravna, niti zašto je važna, a posebno da ona utiče i na stepen ostvarivanja i zaštite ljudskih prava OSI u konkretnim oblastima, što se u praksi svakodnevno dešava a na šta je Komitet i upozorio insistirajući isključivo na modelu zasnovanom na ljudskim prravima. Navedeno je posebno izraženo upravo u oblastima gdje se nijesu desile izmjene propisa, niti njihovo usklađivanje s Konvencijom pa NVO mogu raditi različite analize, edukacije i javna zagovaranja na osnovu navedenog.</w:t>
      </w:r>
    </w:p>
    <w:p w:rsidR="00B77F47" w:rsidRPr="00B2649B" w:rsidRDefault="00B77F47" w:rsidP="00B77F47">
      <w:pPr>
        <w:numPr>
          <w:ilvl w:val="0"/>
          <w:numId w:val="11"/>
        </w:numPr>
        <w:spacing w:before="0" w:after="0" w:line="240" w:lineRule="auto"/>
        <w:rPr>
          <w:rFonts w:ascii="Arial" w:eastAsia="Times New Roman" w:hAnsi="Arial" w:cs="Arial"/>
          <w:sz w:val="22"/>
          <w:lang w:val="sr-Latn-ME"/>
        </w:rPr>
      </w:pPr>
      <w:r w:rsidRPr="00B2649B">
        <w:rPr>
          <w:rFonts w:ascii="Arial" w:eastAsia="Times New Roman" w:hAnsi="Arial" w:cs="Arial"/>
          <w:sz w:val="22"/>
          <w:lang w:val="sr-Latn-ME"/>
        </w:rPr>
        <w:t>Član 7. (a) koji se odnosi na uspostavljanje politika i programa koji će osigurati pravo djece s invaliditetom da izraze svoje mišljenje o svim stvarima koje ih se tiču. Budući da Komitet sa zabrinutošću primjećuje da su djeca s invaliditetom nedovoljno uključena u odlučivanje o stvarima koje utiču na njihove živote, veoma je važno u tom smislu spriječiti socijalnu isključenost i diskriminaciju djece. Navedeno se može postići upravo kroz razvoj politika i programa  koji će doprinijeti uključenosti djece s invalliditetom u svim sferama društvenog  života, ravnopravno sa ostalom djecom. Ovo će doprinijeti, između ostalog, sprječavanju zanemarivanja, nasilja nad djecom, odnosno diskriminacije zbog invaliditeta ili nekog drugog ličnog svojstva djeteta.</w:t>
      </w:r>
    </w:p>
    <w:p w:rsidR="00B77F47" w:rsidRPr="00B2649B" w:rsidRDefault="00B77F47" w:rsidP="00B77F47">
      <w:pPr>
        <w:spacing w:after="0" w:line="240" w:lineRule="auto"/>
        <w:ind w:firstLine="720"/>
        <w:rPr>
          <w:rFonts w:ascii="Arial" w:eastAsia="Times New Roman" w:hAnsi="Arial" w:cs="Arial"/>
          <w:sz w:val="22"/>
          <w:lang w:val="sr-Latn-ME"/>
        </w:rPr>
      </w:pPr>
      <w:r w:rsidRPr="00B2649B">
        <w:rPr>
          <w:rFonts w:ascii="Arial" w:eastAsia="Times New Roman" w:hAnsi="Arial" w:cs="Arial"/>
          <w:sz w:val="22"/>
          <w:lang w:val="sr-Latn-ME"/>
        </w:rPr>
        <w:t xml:space="preserve">Navedene preporuke potrebno je definisati i kao </w:t>
      </w:r>
      <w:r w:rsidRPr="00B2649B">
        <w:rPr>
          <w:rFonts w:ascii="Arial" w:eastAsia="Times New Roman" w:hAnsi="Arial" w:cs="Arial"/>
          <w:b/>
          <w:bCs/>
          <w:sz w:val="22"/>
          <w:lang w:val="sr-Latn-ME"/>
        </w:rPr>
        <w:t xml:space="preserve">opravdane aktivnosti u dijelu 2.3. </w:t>
      </w:r>
      <w:r w:rsidRPr="00B2649B">
        <w:rPr>
          <w:rFonts w:ascii="Arial" w:eastAsia="Times New Roman" w:hAnsi="Arial" w:cs="Arial"/>
          <w:bCs/>
          <w:sz w:val="22"/>
          <w:lang w:val="sr-Latn-ME"/>
        </w:rPr>
        <w:t xml:space="preserve">a ne samo kao </w:t>
      </w:r>
      <w:r w:rsidRPr="00B2649B">
        <w:rPr>
          <w:rFonts w:ascii="Arial" w:eastAsia="Times New Roman" w:hAnsi="Arial" w:cs="Arial"/>
          <w:b/>
          <w:bCs/>
          <w:sz w:val="22"/>
          <w:lang w:val="sr-Latn-ME"/>
        </w:rPr>
        <w:t xml:space="preserve">strateške ciljeve u dijelu 3.1. </w:t>
      </w:r>
      <w:r w:rsidRPr="00B2649B">
        <w:rPr>
          <w:rFonts w:ascii="Arial" w:eastAsia="Times New Roman" w:hAnsi="Arial" w:cs="Arial"/>
          <w:sz w:val="22"/>
          <w:lang w:val="sr-Latn-ME"/>
        </w:rPr>
        <w:t xml:space="preserve">Nacrta sektorske analize. To znači da je u tački 2.3. potrebno citirati i članove </w:t>
      </w:r>
      <w:r w:rsidRPr="00B2649B">
        <w:rPr>
          <w:rFonts w:ascii="Arial" w:eastAsia="Times New Roman" w:hAnsi="Arial" w:cs="Arial"/>
          <w:b/>
          <w:sz w:val="22"/>
          <w:lang w:val="sr-Latn-ME"/>
        </w:rPr>
        <w:t>5 i 7</w:t>
      </w:r>
      <w:r w:rsidRPr="00B2649B">
        <w:rPr>
          <w:rFonts w:ascii="Arial" w:eastAsia="Times New Roman" w:hAnsi="Arial" w:cs="Arial"/>
          <w:sz w:val="22"/>
          <w:lang w:val="sr-Latn-ME"/>
        </w:rPr>
        <w:t>, kao što je to učinjeno i sa ostalim članovima (članovi 6, 8a)b), 11 i 29).</w:t>
      </w:r>
    </w:p>
    <w:p w:rsidR="00B77F47" w:rsidRPr="00B2649B" w:rsidRDefault="00B77F47" w:rsidP="007B66D6">
      <w:pPr>
        <w:spacing w:after="0" w:line="240" w:lineRule="auto"/>
        <w:ind w:firstLine="720"/>
        <w:rPr>
          <w:rFonts w:ascii="Arial" w:eastAsia="Times New Roman" w:hAnsi="Arial" w:cs="Arial"/>
          <w:sz w:val="22"/>
          <w:lang w:val="sr-Latn-ME"/>
        </w:rPr>
      </w:pPr>
      <w:r w:rsidRPr="00B2649B">
        <w:rPr>
          <w:rFonts w:ascii="Arial" w:eastAsia="Times New Roman" w:hAnsi="Arial" w:cs="Arial"/>
          <w:b/>
          <w:sz w:val="22"/>
          <w:lang w:val="sr-Latn-ME"/>
        </w:rPr>
        <w:t>4.</w:t>
      </w:r>
      <w:r w:rsidRPr="00B2649B">
        <w:rPr>
          <w:rFonts w:ascii="Arial" w:eastAsia="Times New Roman" w:hAnsi="Arial" w:cs="Arial"/>
          <w:sz w:val="22"/>
          <w:lang w:val="sr-Latn-ME"/>
        </w:rPr>
        <w:t xml:space="preserve"> U </w:t>
      </w:r>
      <w:r w:rsidRPr="00B2649B">
        <w:rPr>
          <w:rFonts w:ascii="Arial" w:eastAsia="Times New Roman" w:hAnsi="Arial" w:cs="Arial"/>
          <w:b/>
          <w:sz w:val="22"/>
          <w:lang w:val="sr-Latn-ME"/>
        </w:rPr>
        <w:t>Tački 2, podtački 2.2.</w:t>
      </w:r>
      <w:r w:rsidRPr="00B2649B">
        <w:rPr>
          <w:rFonts w:ascii="Arial" w:eastAsia="Times New Roman" w:hAnsi="Arial" w:cs="Arial"/>
          <w:sz w:val="22"/>
          <w:lang w:val="sr-Latn-ME"/>
        </w:rPr>
        <w:t xml:space="preserve"> u dijelu </w:t>
      </w:r>
      <w:r w:rsidRPr="00B2649B">
        <w:rPr>
          <w:rFonts w:ascii="Arial" w:eastAsia="Times New Roman" w:hAnsi="Arial" w:cs="Arial"/>
          <w:i/>
          <w:sz w:val="22"/>
          <w:lang w:val="sr-Latn-ME"/>
        </w:rPr>
        <w:t>Naziv poglavlja/mjere/aktivnosti</w:t>
      </w:r>
      <w:r w:rsidRPr="00B2649B">
        <w:rPr>
          <w:rFonts w:ascii="Arial" w:eastAsia="Times New Roman" w:hAnsi="Arial" w:cs="Arial"/>
          <w:sz w:val="22"/>
          <w:lang w:val="sr-Latn-ME"/>
        </w:rPr>
        <w:t xml:space="preserve"> nedostaje obrazloženje za tačku 8. Izvještaj o napretku Crne Gore za pregovaračko poglavlje 23.</w:t>
      </w:r>
    </w:p>
    <w:p w:rsidR="00B77F47" w:rsidRPr="00B2649B" w:rsidRDefault="00B77F47" w:rsidP="007B66D6">
      <w:pPr>
        <w:spacing w:after="0" w:line="240" w:lineRule="auto"/>
        <w:ind w:firstLine="720"/>
        <w:rPr>
          <w:rFonts w:ascii="Arial" w:eastAsia="Times New Roman" w:hAnsi="Arial" w:cs="Arial"/>
          <w:sz w:val="22"/>
          <w:lang w:val="sr-Latn-ME"/>
        </w:rPr>
      </w:pPr>
      <w:r w:rsidRPr="00B2649B">
        <w:rPr>
          <w:rFonts w:ascii="Arial" w:eastAsia="Times New Roman" w:hAnsi="Arial" w:cs="Arial"/>
          <w:b/>
          <w:sz w:val="22"/>
          <w:lang w:val="sr-Latn-ME"/>
        </w:rPr>
        <w:t>5.</w:t>
      </w:r>
      <w:r w:rsidRPr="00B2649B">
        <w:rPr>
          <w:rFonts w:ascii="Arial" w:eastAsia="Times New Roman" w:hAnsi="Arial" w:cs="Arial"/>
          <w:sz w:val="22"/>
          <w:lang w:val="sr-Latn-ME"/>
        </w:rPr>
        <w:t xml:space="preserve"> Isto tako, u </w:t>
      </w:r>
      <w:r w:rsidRPr="00B2649B">
        <w:rPr>
          <w:rFonts w:ascii="Arial" w:eastAsia="Times New Roman" w:hAnsi="Arial" w:cs="Arial"/>
          <w:b/>
          <w:sz w:val="22"/>
          <w:lang w:val="sr-Latn-ME"/>
        </w:rPr>
        <w:t xml:space="preserve">podtački 2.3. </w:t>
      </w:r>
      <w:r w:rsidRPr="00B2649B">
        <w:rPr>
          <w:rFonts w:ascii="Arial" w:eastAsia="Times New Roman" w:hAnsi="Arial" w:cs="Arial"/>
          <w:sz w:val="22"/>
          <w:lang w:val="sr-Latn-ME"/>
        </w:rPr>
        <w:t xml:space="preserve">nije jasno na koji način se predviđa doprinos NVO jer se navodi da se preporučuje ili planira „povezivanje NVO iz dva regiona“. U tom kontekstu, ukoliko je cilj Ministarstva da se uključe i „manje“, lokalne NVO, a posebno organizacije osoba s invaliditetom jer navedeni konkurs na njih treba biti usmjeren, onda smatramo da treba </w:t>
      </w:r>
      <w:r w:rsidRPr="00B2649B">
        <w:rPr>
          <w:rFonts w:ascii="Arial" w:eastAsia="Times New Roman" w:hAnsi="Arial" w:cs="Arial"/>
          <w:b/>
          <w:bCs/>
          <w:sz w:val="22"/>
          <w:lang w:val="sr-Latn-ME"/>
        </w:rPr>
        <w:t xml:space="preserve">afirmisati partnerstvo u dijelu jačanja kapaciteta lokalnih NVO čiji bi aktivisti bili prepoznati kao jedna od ciljnih grupa. </w:t>
      </w:r>
    </w:p>
    <w:p w:rsidR="00B77F47" w:rsidRPr="00B2649B" w:rsidRDefault="00B77F47" w:rsidP="00B77F47">
      <w:pPr>
        <w:spacing w:after="0" w:line="240" w:lineRule="auto"/>
        <w:ind w:firstLine="720"/>
        <w:rPr>
          <w:rFonts w:ascii="Arial" w:eastAsia="Times New Roman" w:hAnsi="Arial" w:cs="Arial"/>
          <w:sz w:val="22"/>
          <w:lang w:val="sr-Latn-ME"/>
        </w:rPr>
      </w:pPr>
      <w:r w:rsidRPr="00B2649B">
        <w:rPr>
          <w:rFonts w:ascii="Arial" w:eastAsia="Times New Roman" w:hAnsi="Arial" w:cs="Arial"/>
          <w:sz w:val="22"/>
          <w:lang w:val="sr-Latn-ME"/>
        </w:rPr>
        <w:t xml:space="preserve">Smatramo da indikator </w:t>
      </w:r>
      <w:r w:rsidRPr="00B2649B">
        <w:rPr>
          <w:rFonts w:ascii="Arial" w:eastAsia="Times New Roman" w:hAnsi="Arial" w:cs="Arial"/>
          <w:i/>
          <w:iCs/>
          <w:sz w:val="22"/>
          <w:lang w:val="sr-Latn-ME"/>
        </w:rPr>
        <w:t xml:space="preserve">Broj izmijenjenih zakona </w:t>
      </w:r>
      <w:r w:rsidRPr="00B2649B">
        <w:rPr>
          <w:rFonts w:ascii="Arial" w:eastAsia="Times New Roman" w:hAnsi="Arial" w:cs="Arial"/>
          <w:sz w:val="22"/>
          <w:lang w:val="sr-Latn-ME"/>
        </w:rPr>
        <w:t xml:space="preserve">treba preformulisati u Broj inicijativa za izmjene zakona jer ovako definisan indikator može samo biti u nadležnosti Vlade i Skupštine, ali nikako i NVO i njihovih projekata. Takođe, predlažemo brisanje indikatora </w:t>
      </w:r>
      <w:r w:rsidRPr="00B2649B">
        <w:rPr>
          <w:rFonts w:ascii="Arial" w:eastAsia="Times New Roman" w:hAnsi="Arial" w:cs="Arial"/>
          <w:i/>
          <w:iCs/>
          <w:sz w:val="22"/>
          <w:lang w:val="sr-Latn-ME"/>
        </w:rPr>
        <w:t xml:space="preserve">Broj realizovanih kulturno-informativnih manifestacija </w:t>
      </w:r>
      <w:r w:rsidRPr="00B2649B">
        <w:rPr>
          <w:rFonts w:ascii="Arial" w:eastAsia="Times New Roman" w:hAnsi="Arial" w:cs="Arial"/>
          <w:sz w:val="22"/>
          <w:lang w:val="sr-Latn-ME"/>
        </w:rPr>
        <w:t xml:space="preserve">jer se ovako naveden može odnositi na nadležnost MPNKS – resora kulture, ali ne i na MPLJMP, upravo što je u kontekstu prethodnog komentara za sužavanje oblasti i datog primjera za oblast zapošljavanja. </w:t>
      </w:r>
    </w:p>
    <w:p w:rsidR="00B77F47" w:rsidRPr="00B2649B" w:rsidRDefault="00B77F47" w:rsidP="00B77F47">
      <w:pPr>
        <w:spacing w:after="0" w:line="240" w:lineRule="auto"/>
        <w:ind w:firstLine="720"/>
        <w:rPr>
          <w:rFonts w:ascii="Arial" w:eastAsia="Times New Roman" w:hAnsi="Arial" w:cs="Arial"/>
          <w:sz w:val="22"/>
          <w:lang w:val="sr-Latn-ME"/>
        </w:rPr>
      </w:pPr>
      <w:r w:rsidRPr="00B2649B">
        <w:rPr>
          <w:rFonts w:ascii="Arial" w:eastAsia="Times New Roman" w:hAnsi="Arial" w:cs="Arial"/>
          <w:b/>
          <w:bCs/>
          <w:sz w:val="22"/>
          <w:lang w:val="sr-Latn-ME"/>
        </w:rPr>
        <w:t xml:space="preserve">Izvori podataka </w:t>
      </w:r>
      <w:r w:rsidRPr="00B2649B">
        <w:rPr>
          <w:rFonts w:ascii="Arial" w:eastAsia="Times New Roman" w:hAnsi="Arial" w:cs="Arial"/>
          <w:sz w:val="22"/>
          <w:lang w:val="sr-Latn-ME"/>
        </w:rPr>
        <w:t xml:space="preserve">su svakako </w:t>
      </w:r>
      <w:r w:rsidRPr="00B2649B">
        <w:rPr>
          <w:rFonts w:ascii="Arial" w:eastAsia="Times New Roman" w:hAnsi="Arial" w:cs="Arial"/>
          <w:i/>
          <w:iCs/>
          <w:sz w:val="22"/>
          <w:lang w:val="sr-Latn-ME"/>
        </w:rPr>
        <w:t xml:space="preserve">i periodični i finalni izvještaji NVO </w:t>
      </w:r>
      <w:r w:rsidRPr="00B2649B">
        <w:rPr>
          <w:rFonts w:ascii="Arial" w:eastAsia="Times New Roman" w:hAnsi="Arial" w:cs="Arial"/>
          <w:sz w:val="22"/>
          <w:lang w:val="sr-Latn-ME"/>
        </w:rPr>
        <w:t xml:space="preserve">koje sprovode projekte pa ih treba i dodati. </w:t>
      </w:r>
    </w:p>
    <w:p w:rsidR="00B77F47" w:rsidRPr="00B2649B" w:rsidRDefault="00B77F47" w:rsidP="007B66D6">
      <w:pPr>
        <w:ind w:firstLine="720"/>
        <w:rPr>
          <w:rFonts w:ascii="Arial" w:eastAsia="Times New Roman" w:hAnsi="Arial" w:cs="Arial"/>
          <w:b/>
          <w:bCs/>
          <w:sz w:val="22"/>
          <w:lang w:val="sr-Latn-ME" w:eastAsia="en-GB"/>
        </w:rPr>
      </w:pPr>
      <w:r w:rsidRPr="00B2649B">
        <w:rPr>
          <w:rFonts w:ascii="Arial" w:eastAsia="Times New Roman" w:hAnsi="Arial" w:cs="Arial"/>
          <w:b/>
          <w:sz w:val="22"/>
          <w:lang w:val="sr-Latn-ME"/>
        </w:rPr>
        <w:t>6.</w:t>
      </w:r>
      <w:r w:rsidRPr="00B2649B">
        <w:rPr>
          <w:rFonts w:ascii="Arial" w:eastAsia="Times New Roman" w:hAnsi="Arial" w:cs="Arial"/>
          <w:sz w:val="22"/>
          <w:lang w:val="sr-Latn-ME"/>
        </w:rPr>
        <w:t xml:space="preserve"> U </w:t>
      </w:r>
      <w:r w:rsidRPr="00B2649B">
        <w:rPr>
          <w:rFonts w:ascii="Arial" w:eastAsia="Times New Roman" w:hAnsi="Arial" w:cs="Arial"/>
          <w:b/>
          <w:sz w:val="22"/>
          <w:lang w:val="sr-Latn-ME"/>
        </w:rPr>
        <w:t>Tački 3.</w:t>
      </w:r>
      <w:r w:rsidRPr="00B2649B">
        <w:rPr>
          <w:rFonts w:ascii="Arial" w:eastAsia="Times New Roman" w:hAnsi="Arial" w:cs="Arial"/>
          <w:sz w:val="22"/>
          <w:lang w:val="sr-Latn-ME"/>
        </w:rPr>
        <w:t xml:space="preserve"> Nacrta Sektorske analize potrebno je pored dodavanja predloženih strateških ciljeva postojeći cilj 2. preformulisati u dijelu „sprečavanje kršenja zabrane diskriminacije“ brisanjem pojmova „sprečavanje kršenja“.</w:t>
      </w:r>
    </w:p>
    <w:p w:rsidR="00AA1849" w:rsidRPr="00B2649B" w:rsidRDefault="00AA1849" w:rsidP="00AA1849">
      <w:pPr>
        <w:rPr>
          <w:rFonts w:ascii="Arial" w:eastAsia="Times New Roman" w:hAnsi="Arial" w:cs="Arial"/>
          <w:b/>
          <w:bCs/>
          <w:sz w:val="22"/>
          <w:lang w:val="sr-Latn-ME" w:eastAsia="en-GB"/>
        </w:rPr>
      </w:pPr>
    </w:p>
    <w:p w:rsidR="006C292B" w:rsidRPr="00B2649B" w:rsidRDefault="006C292B" w:rsidP="00AA1849">
      <w:pPr>
        <w:rPr>
          <w:rFonts w:ascii="Arial" w:eastAsia="Times New Roman" w:hAnsi="Arial" w:cs="Arial"/>
          <w:b/>
          <w:bCs/>
          <w:sz w:val="22"/>
          <w:lang w:val="sr-Latn-ME" w:eastAsia="en-GB"/>
        </w:rPr>
      </w:pPr>
      <w:r w:rsidRPr="00B2649B">
        <w:rPr>
          <w:rFonts w:ascii="Arial" w:eastAsia="Times New Roman" w:hAnsi="Arial" w:cs="Arial"/>
          <w:b/>
          <w:bCs/>
          <w:sz w:val="22"/>
          <w:lang w:val="sr-Latn-ME" w:eastAsia="en-GB"/>
        </w:rPr>
        <w:t xml:space="preserve">Stav obrađivača: </w:t>
      </w:r>
    </w:p>
    <w:p w:rsidR="003C1FF1" w:rsidRPr="00B2649B" w:rsidRDefault="006C292B" w:rsidP="00AA1849">
      <w:pPr>
        <w:rPr>
          <w:rFonts w:ascii="Arial" w:eastAsia="Times New Roman" w:hAnsi="Arial" w:cs="Arial"/>
          <w:b/>
          <w:bCs/>
          <w:sz w:val="22"/>
          <w:lang w:val="sr-Latn-ME" w:eastAsia="en-GB"/>
        </w:rPr>
      </w:pPr>
      <w:r w:rsidRPr="00B2649B">
        <w:rPr>
          <w:rFonts w:ascii="Arial" w:eastAsia="Times New Roman" w:hAnsi="Arial" w:cs="Arial"/>
          <w:b/>
          <w:bCs/>
          <w:sz w:val="22"/>
          <w:lang w:val="sr-Latn-ME" w:eastAsia="en-GB"/>
        </w:rPr>
        <w:t xml:space="preserve">Ministarstvo pravde, ljudskih i manjinskih prava u odnosu na   predlog da se  termini </w:t>
      </w:r>
      <w:r w:rsidR="00E34BDB" w:rsidRPr="00B2649B">
        <w:rPr>
          <w:rFonts w:ascii="Arial" w:eastAsia="Times New Roman" w:hAnsi="Arial" w:cs="Arial"/>
          <w:b/>
          <w:bCs/>
          <w:sz w:val="22"/>
          <w:lang w:val="sr-Latn-ME" w:eastAsia="en-GB"/>
        </w:rPr>
        <w:t xml:space="preserve">„djeca sa smetnjama  u razvoju“ redefinišu u termin“ djeca sa invaliditetom“, kao i da se termin intelektualne smetnje zamijene terminom „intelektualni invaliditet “  nije </w:t>
      </w:r>
      <w:r w:rsidR="00E34BDB" w:rsidRPr="00B2649B">
        <w:rPr>
          <w:rFonts w:ascii="Arial" w:eastAsia="Times New Roman" w:hAnsi="Arial" w:cs="Arial"/>
          <w:b/>
          <w:bCs/>
          <w:sz w:val="22"/>
          <w:lang w:val="sr-Latn-ME" w:eastAsia="en-GB"/>
        </w:rPr>
        <w:lastRenderedPageBreak/>
        <w:t xml:space="preserve">prihvaćen sa razloga što je u ovom momentu ovo terminologija koja je u upotrebi i crnogorskom zakonodavstvu, </w:t>
      </w:r>
      <w:r w:rsidR="003C1FF1" w:rsidRPr="00B2649B">
        <w:rPr>
          <w:rFonts w:ascii="Arial" w:eastAsia="Times New Roman" w:hAnsi="Arial" w:cs="Arial"/>
          <w:b/>
          <w:bCs/>
          <w:sz w:val="22"/>
          <w:lang w:val="sr-Latn-ME" w:eastAsia="en-GB"/>
        </w:rPr>
        <w:t xml:space="preserve">te s tim u vezi u obevezi smo </w:t>
      </w:r>
      <w:r w:rsidR="00E34BDB" w:rsidRPr="00B2649B">
        <w:rPr>
          <w:rFonts w:ascii="Arial" w:eastAsia="Times New Roman" w:hAnsi="Arial" w:cs="Arial"/>
          <w:b/>
          <w:bCs/>
          <w:sz w:val="22"/>
          <w:lang w:val="sr-Latn-ME" w:eastAsia="en-GB"/>
        </w:rPr>
        <w:t xml:space="preserve">koristiti terminologiju koja se koristi u crnogorskim propisima. </w:t>
      </w:r>
    </w:p>
    <w:p w:rsidR="00603201" w:rsidRPr="00B2649B" w:rsidRDefault="0025255C" w:rsidP="00AA1849">
      <w:pPr>
        <w:rPr>
          <w:rFonts w:ascii="Arial" w:eastAsia="Times New Roman" w:hAnsi="Arial" w:cs="Arial"/>
          <w:sz w:val="22"/>
          <w:lang w:val="sr-Latn-RS"/>
        </w:rPr>
      </w:pPr>
      <w:r w:rsidRPr="00B2649B">
        <w:rPr>
          <w:rFonts w:ascii="Arial" w:eastAsia="Times New Roman" w:hAnsi="Arial" w:cs="Arial"/>
          <w:sz w:val="22"/>
          <w:lang w:val="sr-Latn-RS"/>
        </w:rPr>
        <w:t xml:space="preserve">Kada je u pitanju tačka 1 koja se odnosi na </w:t>
      </w:r>
      <w:r w:rsidRPr="00B2649B">
        <w:rPr>
          <w:rFonts w:ascii="Arial" w:eastAsia="Times New Roman" w:hAnsi="Arial" w:cs="Arial"/>
          <w:b/>
          <w:sz w:val="22"/>
          <w:lang w:val="sr-Latn-RS"/>
        </w:rPr>
        <w:t xml:space="preserve">Alternativni izvještaj UMHCG o realizaciji Akcionog plana za implementaciju Strategije za zaštitu lica sa invaliditetom od diskriminacije i promociju jednakosti za period 2017 – 2021. za 2017. i 2018, </w:t>
      </w:r>
      <w:r w:rsidRPr="00B2649B">
        <w:rPr>
          <w:rFonts w:ascii="Arial" w:eastAsia="Times New Roman" w:hAnsi="Arial" w:cs="Arial"/>
          <w:sz w:val="22"/>
          <w:lang w:val="sr-Latn-RS"/>
        </w:rPr>
        <w:t xml:space="preserve">koji </w:t>
      </w:r>
      <w:r w:rsidRPr="00B2649B">
        <w:rPr>
          <w:rStyle w:val="Hyperlink"/>
          <w:rFonts w:ascii="Arial" w:eastAsia="Times New Roman" w:hAnsi="Arial" w:cs="Arial"/>
          <w:sz w:val="22"/>
          <w:lang w:val="sr-Latn-RS"/>
        </w:rPr>
        <w:t xml:space="preserve"> </w:t>
      </w:r>
      <w:r w:rsidR="00603201" w:rsidRPr="00B2649B">
        <w:rPr>
          <w:rFonts w:ascii="Arial" w:eastAsia="Times New Roman" w:hAnsi="Arial" w:cs="Arial"/>
          <w:sz w:val="22"/>
          <w:lang w:val="sr-Latn-RS"/>
        </w:rPr>
        <w:t>pokazuje značajno drugačiju statistiku u realizaciji mjera i aktivnosti u odnosu na zvanični Vladin izvještaj</w:t>
      </w:r>
      <w:r w:rsidR="003C1FF1" w:rsidRPr="00B2649B">
        <w:rPr>
          <w:rFonts w:ascii="Arial" w:eastAsia="Times New Roman" w:hAnsi="Arial" w:cs="Arial"/>
          <w:sz w:val="22"/>
          <w:lang w:val="sr-Latn-RS"/>
        </w:rPr>
        <w:t xml:space="preserve">, stim u vezi predlagač </w:t>
      </w:r>
      <w:r w:rsidRPr="00B2649B">
        <w:rPr>
          <w:rFonts w:ascii="Arial" w:eastAsia="Times New Roman" w:hAnsi="Arial" w:cs="Arial"/>
          <w:sz w:val="22"/>
          <w:lang w:val="sr-Latn-RS"/>
        </w:rPr>
        <w:t xml:space="preserve">daje sljedeći odgovor: Ministarstvo pravde ljudskih i manjinskih prava </w:t>
      </w:r>
      <w:r w:rsidR="00FD6B1F" w:rsidRPr="00B2649B">
        <w:rPr>
          <w:rFonts w:ascii="Arial" w:eastAsia="Times New Roman" w:hAnsi="Arial" w:cs="Arial"/>
          <w:sz w:val="22"/>
          <w:lang w:val="sr-Latn-RS"/>
        </w:rPr>
        <w:t xml:space="preserve">ne prihvata komentare i sugestije </w:t>
      </w:r>
      <w:r w:rsidR="00B55E3A" w:rsidRPr="00B2649B">
        <w:rPr>
          <w:rFonts w:ascii="Arial" w:eastAsia="Times New Roman" w:hAnsi="Arial" w:cs="Arial"/>
          <w:sz w:val="22"/>
          <w:lang w:val="sr-Latn-RS"/>
        </w:rPr>
        <w:t xml:space="preserve">na metodologjiu rada iz razloga jer </w:t>
      </w:r>
      <w:r w:rsidR="003C1FF1" w:rsidRPr="00B2649B">
        <w:rPr>
          <w:rFonts w:ascii="Arial" w:eastAsia="Times New Roman" w:hAnsi="Arial" w:cs="Arial"/>
          <w:sz w:val="22"/>
          <w:lang w:val="sr-Latn-RS"/>
        </w:rPr>
        <w:t xml:space="preserve"> pomenuti izvještaj </w:t>
      </w:r>
      <w:r w:rsidR="00B55E3A" w:rsidRPr="00B2649B">
        <w:rPr>
          <w:rFonts w:ascii="Arial" w:eastAsia="Times New Roman" w:hAnsi="Arial" w:cs="Arial"/>
          <w:sz w:val="22"/>
          <w:lang w:val="sr-Latn-RS"/>
        </w:rPr>
        <w:t>Vlad</w:t>
      </w:r>
      <w:r w:rsidR="003C1FF1" w:rsidRPr="00B2649B">
        <w:rPr>
          <w:rFonts w:ascii="Arial" w:eastAsia="Times New Roman" w:hAnsi="Arial" w:cs="Arial"/>
          <w:sz w:val="22"/>
          <w:lang w:val="sr-Latn-RS"/>
        </w:rPr>
        <w:t>e</w:t>
      </w:r>
      <w:r w:rsidR="00B55E3A" w:rsidRPr="00B2649B">
        <w:rPr>
          <w:rFonts w:ascii="Arial" w:eastAsia="Times New Roman" w:hAnsi="Arial" w:cs="Arial"/>
          <w:sz w:val="22"/>
          <w:lang w:val="sr-Latn-RS"/>
        </w:rPr>
        <w:t xml:space="preserve"> C</w:t>
      </w:r>
      <w:r w:rsidR="00FD6B1F" w:rsidRPr="00B2649B">
        <w:rPr>
          <w:rFonts w:ascii="Arial" w:eastAsia="Times New Roman" w:hAnsi="Arial" w:cs="Arial"/>
          <w:sz w:val="22"/>
          <w:lang w:val="sr-Latn-RS"/>
        </w:rPr>
        <w:t xml:space="preserve">rne </w:t>
      </w:r>
      <w:r w:rsidR="00B55E3A" w:rsidRPr="00B2649B">
        <w:rPr>
          <w:rFonts w:ascii="Arial" w:eastAsia="Times New Roman" w:hAnsi="Arial" w:cs="Arial"/>
          <w:sz w:val="22"/>
          <w:lang w:val="sr-Latn-RS"/>
        </w:rPr>
        <w:t>G</w:t>
      </w:r>
      <w:r w:rsidR="00FD6B1F" w:rsidRPr="00B2649B">
        <w:rPr>
          <w:rFonts w:ascii="Arial" w:eastAsia="Times New Roman" w:hAnsi="Arial" w:cs="Arial"/>
          <w:sz w:val="22"/>
          <w:lang w:val="sr-Latn-RS"/>
        </w:rPr>
        <w:t xml:space="preserve">ore </w:t>
      </w:r>
      <w:r w:rsidR="003C1FF1" w:rsidRPr="00B2649B">
        <w:rPr>
          <w:rFonts w:ascii="Arial" w:eastAsia="Times New Roman" w:hAnsi="Arial" w:cs="Arial"/>
          <w:sz w:val="22"/>
          <w:lang w:val="sr-Latn-RS"/>
        </w:rPr>
        <w:t xml:space="preserve"> pripremljen u skladu sa M</w:t>
      </w:r>
      <w:r w:rsidR="00B55E3A" w:rsidRPr="00B2649B">
        <w:rPr>
          <w:rFonts w:ascii="Arial" w:eastAsia="Times New Roman" w:hAnsi="Arial" w:cs="Arial"/>
          <w:sz w:val="22"/>
          <w:lang w:val="sr-Latn-RS"/>
        </w:rPr>
        <w:t>etologi</w:t>
      </w:r>
      <w:r w:rsidR="003C1FF1" w:rsidRPr="00B2649B">
        <w:rPr>
          <w:rFonts w:ascii="Arial" w:eastAsia="Times New Roman" w:hAnsi="Arial" w:cs="Arial"/>
          <w:sz w:val="22"/>
          <w:lang w:val="sr-Latn-RS"/>
        </w:rPr>
        <w:t>jom</w:t>
      </w:r>
      <w:r w:rsidR="00FD6B1F" w:rsidRPr="00B2649B">
        <w:rPr>
          <w:rFonts w:ascii="Arial" w:eastAsia="Times New Roman" w:hAnsi="Arial" w:cs="Arial"/>
          <w:sz w:val="22"/>
          <w:lang w:val="sr-Latn-RS"/>
        </w:rPr>
        <w:t xml:space="preserve"> razvijanja politika, izrade i praćenja sprovođenja strateških dokumenata po kojoj su drž</w:t>
      </w:r>
      <w:r w:rsidR="00B55E3A" w:rsidRPr="00B2649B">
        <w:rPr>
          <w:rFonts w:ascii="Arial" w:eastAsia="Times New Roman" w:hAnsi="Arial" w:cs="Arial"/>
          <w:sz w:val="22"/>
          <w:lang w:val="sr-Latn-RS"/>
        </w:rPr>
        <w:t>avne institucije obavezne da postupaju</w:t>
      </w:r>
      <w:r w:rsidR="003C1FF1" w:rsidRPr="00B2649B">
        <w:rPr>
          <w:rFonts w:ascii="Arial" w:eastAsia="Times New Roman" w:hAnsi="Arial" w:cs="Arial"/>
          <w:sz w:val="22"/>
          <w:lang w:val="sr-Latn-RS"/>
        </w:rPr>
        <w:t xml:space="preserve"> i po kojoj je pripremljen pridmetni izvještaj.</w:t>
      </w:r>
    </w:p>
    <w:p w:rsidR="003C1FF1" w:rsidRPr="00B2649B" w:rsidRDefault="003C1FF1" w:rsidP="00AA1849">
      <w:pPr>
        <w:rPr>
          <w:rFonts w:ascii="Arial" w:eastAsia="Times New Roman" w:hAnsi="Arial" w:cs="Arial"/>
          <w:sz w:val="22"/>
          <w:lang w:val="sr-Latn-RS"/>
        </w:rPr>
      </w:pPr>
    </w:p>
    <w:p w:rsidR="003C1FF1" w:rsidRPr="00B2649B" w:rsidRDefault="003C1FF1" w:rsidP="00AA1849">
      <w:pPr>
        <w:rPr>
          <w:rFonts w:ascii="Arial" w:eastAsia="Times New Roman" w:hAnsi="Arial" w:cs="Arial"/>
          <w:bCs/>
          <w:sz w:val="22"/>
          <w:lang w:val="sr-Latn-ME"/>
        </w:rPr>
      </w:pPr>
      <w:r w:rsidRPr="00B2649B">
        <w:rPr>
          <w:rFonts w:ascii="Arial" w:eastAsia="Times New Roman" w:hAnsi="Arial" w:cs="Arial"/>
          <w:sz w:val="22"/>
          <w:lang w:val="sr-Latn-RS"/>
        </w:rPr>
        <w:t>Istovremeno Obračivač prihvata</w:t>
      </w:r>
      <w:r w:rsidR="002F3756" w:rsidRPr="00B2649B">
        <w:rPr>
          <w:rFonts w:ascii="Arial" w:eastAsia="Times New Roman" w:hAnsi="Arial" w:cs="Arial"/>
          <w:sz w:val="22"/>
          <w:lang w:val="sr-Latn-RS"/>
        </w:rPr>
        <w:t xml:space="preserve"> komentar </w:t>
      </w:r>
      <w:r w:rsidRPr="00B2649B">
        <w:rPr>
          <w:rFonts w:ascii="Arial" w:eastAsia="Times New Roman" w:hAnsi="Arial" w:cs="Arial"/>
          <w:sz w:val="22"/>
          <w:lang w:val="sr-Latn-RS"/>
        </w:rPr>
        <w:t xml:space="preserve">  UMHCG da </w:t>
      </w:r>
      <w:r w:rsidRPr="00B2649B">
        <w:rPr>
          <w:rFonts w:ascii="Arial" w:eastAsia="Times New Roman" w:hAnsi="Arial" w:cs="Arial"/>
          <w:bCs/>
          <w:sz w:val="22"/>
          <w:lang w:val="sr-Latn-ME"/>
        </w:rPr>
        <w:t xml:space="preserve">nedostaju  istraživanja koja se  direktno usmjerena na  zaštitu od diskriminacije lica  sa </w:t>
      </w:r>
      <w:r w:rsidR="002F3756" w:rsidRPr="00B2649B">
        <w:rPr>
          <w:rFonts w:ascii="Arial" w:eastAsia="Times New Roman" w:hAnsi="Arial" w:cs="Arial"/>
          <w:bCs/>
          <w:sz w:val="22"/>
          <w:lang w:val="sr-Latn-ME"/>
        </w:rPr>
        <w:t>i</w:t>
      </w:r>
      <w:r w:rsidRPr="00B2649B">
        <w:rPr>
          <w:rFonts w:ascii="Arial" w:eastAsia="Times New Roman" w:hAnsi="Arial" w:cs="Arial"/>
          <w:bCs/>
          <w:sz w:val="22"/>
          <w:lang w:val="sr-Latn-ME"/>
        </w:rPr>
        <w:t>nvaliditetom i članove njihovih porodica i isti predlog će se uvrstiti u tekst  sektorske analize.</w:t>
      </w:r>
    </w:p>
    <w:p w:rsidR="00414EE0" w:rsidRPr="00B2649B" w:rsidRDefault="003C1FF1" w:rsidP="00AA1849">
      <w:pPr>
        <w:rPr>
          <w:rFonts w:ascii="Arial" w:eastAsia="Times New Roman" w:hAnsi="Arial" w:cs="Arial"/>
          <w:bCs/>
          <w:sz w:val="22"/>
          <w:lang w:val="sr-Latn-ME"/>
        </w:rPr>
      </w:pPr>
      <w:r w:rsidRPr="00B2649B">
        <w:rPr>
          <w:rFonts w:ascii="Arial" w:eastAsia="Times New Roman" w:hAnsi="Arial" w:cs="Arial"/>
          <w:bCs/>
          <w:sz w:val="22"/>
          <w:lang w:val="sr-Latn-ME"/>
        </w:rPr>
        <w:t>Obrađivač je  posebno  razmotrio  predlog  UMHCG označen tačkom 2. i sa istim je saglasan ali je javnim konkursom  navedeno koji su relevatni  zakoni u ovoj oblasti, te s tim u vezi  koje oblasti su od uključne važnosti  za sprovodjenje  strateškog cilja u ovoj oblasti, pa stim u vezi i preporuka Komiteta UN</w:t>
      </w:r>
      <w:r w:rsidR="00414EE0" w:rsidRPr="00B2649B">
        <w:rPr>
          <w:rFonts w:ascii="Arial" w:eastAsia="Times New Roman" w:hAnsi="Arial" w:cs="Arial"/>
          <w:bCs/>
          <w:sz w:val="22"/>
          <w:lang w:val="sr-Latn-ME"/>
        </w:rPr>
        <w:t>.</w:t>
      </w:r>
    </w:p>
    <w:p w:rsidR="00414EE0" w:rsidRPr="00B2649B" w:rsidRDefault="00414EE0" w:rsidP="00414EE0">
      <w:pPr>
        <w:rPr>
          <w:rFonts w:ascii="Arial" w:eastAsia="Times New Roman" w:hAnsi="Arial" w:cs="Arial"/>
          <w:bCs/>
          <w:sz w:val="22"/>
          <w:lang w:val="sr-Latn-ME"/>
        </w:rPr>
      </w:pPr>
      <w:r w:rsidRPr="00B2649B">
        <w:rPr>
          <w:rFonts w:ascii="Arial" w:eastAsia="Times New Roman" w:hAnsi="Arial" w:cs="Arial"/>
          <w:bCs/>
          <w:sz w:val="22"/>
          <w:lang w:val="sr-Latn-ME"/>
        </w:rPr>
        <w:t>4.Tačka  2, podtačka 2.2. je u cjelosti prihvatljiva.</w:t>
      </w:r>
    </w:p>
    <w:p w:rsidR="003C1FF1" w:rsidRPr="00B2649B" w:rsidRDefault="00414EE0" w:rsidP="00414EE0">
      <w:pPr>
        <w:rPr>
          <w:rFonts w:ascii="Arial" w:eastAsia="Times New Roman" w:hAnsi="Arial" w:cs="Arial"/>
          <w:sz w:val="22"/>
          <w:lang w:val="sr-Latn-ME"/>
        </w:rPr>
      </w:pPr>
      <w:r w:rsidRPr="00B2649B">
        <w:rPr>
          <w:rFonts w:ascii="Arial" w:eastAsia="Times New Roman" w:hAnsi="Arial" w:cs="Arial"/>
          <w:bCs/>
          <w:sz w:val="22"/>
          <w:lang w:val="sr-Latn-ME"/>
        </w:rPr>
        <w:t>5. Tačka 2</w:t>
      </w:r>
      <w:r w:rsidR="003C1FF1" w:rsidRPr="00B2649B">
        <w:rPr>
          <w:rFonts w:ascii="Arial" w:eastAsia="Times New Roman" w:hAnsi="Arial" w:cs="Arial"/>
          <w:bCs/>
          <w:sz w:val="22"/>
          <w:lang w:val="sr-Latn-ME"/>
        </w:rPr>
        <w:t xml:space="preserve"> </w:t>
      </w:r>
      <w:r w:rsidRPr="00B2649B">
        <w:rPr>
          <w:rFonts w:ascii="Arial" w:eastAsia="Times New Roman" w:hAnsi="Arial" w:cs="Arial"/>
          <w:sz w:val="22"/>
          <w:lang w:val="sr-Latn-ME"/>
        </w:rPr>
        <w:t>podtački 2.3. nije prihvaćena, sa razloga  što je pitanje jačanje kapaciteta  nevladinih organizacija bio predmet konkursa kod  Ministarstva javne uprave, digitalnog društva i medija.</w:t>
      </w:r>
    </w:p>
    <w:p w:rsidR="00414EE0" w:rsidRPr="00B2649B" w:rsidRDefault="00414EE0" w:rsidP="00414EE0">
      <w:pPr>
        <w:rPr>
          <w:rFonts w:ascii="Arial" w:eastAsia="Times New Roman" w:hAnsi="Arial" w:cs="Arial"/>
          <w:b/>
          <w:bCs/>
          <w:sz w:val="22"/>
          <w:lang w:val="sr-Latn-ME"/>
        </w:rPr>
      </w:pPr>
      <w:r w:rsidRPr="00B2649B">
        <w:rPr>
          <w:rFonts w:ascii="Arial" w:eastAsia="Times New Roman" w:hAnsi="Arial" w:cs="Arial"/>
          <w:sz w:val="22"/>
          <w:lang w:val="sr-Latn-ME"/>
        </w:rPr>
        <w:t xml:space="preserve">Predlog  da se  indikator </w:t>
      </w:r>
      <w:r w:rsidRPr="00B2649B">
        <w:rPr>
          <w:rFonts w:ascii="Arial" w:eastAsia="Times New Roman" w:hAnsi="Arial" w:cs="Arial"/>
          <w:i/>
          <w:iCs/>
          <w:sz w:val="22"/>
          <w:lang w:val="sr-Latn-ME"/>
        </w:rPr>
        <w:t xml:space="preserve">Broj izmijenjenih zakona </w:t>
      </w:r>
      <w:r w:rsidRPr="00B2649B">
        <w:rPr>
          <w:rFonts w:ascii="Arial" w:eastAsia="Times New Roman" w:hAnsi="Arial" w:cs="Arial"/>
          <w:sz w:val="22"/>
          <w:lang w:val="sr-Latn-ME"/>
        </w:rPr>
        <w:t>preformuliše u Broj inicijativa za izmjen</w:t>
      </w:r>
      <w:r w:rsidR="00D31912" w:rsidRPr="00B2649B">
        <w:rPr>
          <w:rFonts w:ascii="Arial" w:eastAsia="Times New Roman" w:hAnsi="Arial" w:cs="Arial"/>
          <w:sz w:val="22"/>
          <w:lang w:val="sr-Latn-ME"/>
        </w:rPr>
        <w:t>e zakonaje djelimično prihvaćen, na način što će se dodat</w:t>
      </w:r>
      <w:r w:rsidR="002F3756" w:rsidRPr="00B2649B">
        <w:rPr>
          <w:rFonts w:ascii="Arial" w:eastAsia="Times New Roman" w:hAnsi="Arial" w:cs="Arial"/>
          <w:sz w:val="22"/>
          <w:lang w:val="sr-Latn-ME"/>
        </w:rPr>
        <w:t>i i indikator  na način kako je  predloženo</w:t>
      </w:r>
      <w:r w:rsidR="00D31912" w:rsidRPr="00B2649B">
        <w:rPr>
          <w:rFonts w:ascii="Arial" w:eastAsia="Times New Roman" w:hAnsi="Arial" w:cs="Arial"/>
          <w:sz w:val="22"/>
          <w:lang w:val="sr-Latn-ME"/>
        </w:rPr>
        <w:t xml:space="preserve"> .</w:t>
      </w:r>
    </w:p>
    <w:p w:rsidR="00AA1849" w:rsidRPr="00B2649B" w:rsidRDefault="00D31912" w:rsidP="00AA1849">
      <w:pPr>
        <w:rPr>
          <w:rFonts w:ascii="Arial" w:eastAsia="Times New Roman" w:hAnsi="Arial" w:cs="Arial"/>
          <w:bCs/>
          <w:sz w:val="22"/>
          <w:lang w:val="sr-Latn-ME" w:eastAsia="en-GB"/>
        </w:rPr>
      </w:pPr>
      <w:r w:rsidRPr="00B2649B">
        <w:rPr>
          <w:rFonts w:ascii="Arial" w:eastAsia="Times New Roman" w:hAnsi="Arial" w:cs="Arial"/>
          <w:bCs/>
          <w:sz w:val="22"/>
          <w:lang w:val="sr-Latn-ME" w:eastAsia="en-GB"/>
        </w:rPr>
        <w:t>6. Tačka  kojom je traženo brisanje  riječi „sprečavanje kršenja“ je prihaćena.</w:t>
      </w:r>
      <w:r w:rsidR="00AA1849" w:rsidRPr="00B2649B">
        <w:rPr>
          <w:rFonts w:ascii="Arial" w:eastAsia="Times New Roman" w:hAnsi="Arial" w:cs="Arial"/>
          <w:bCs/>
          <w:sz w:val="22"/>
          <w:lang w:val="sr-Latn-ME" w:eastAsia="en-GB"/>
        </w:rPr>
        <w:t xml:space="preserve">                                              </w:t>
      </w:r>
    </w:p>
    <w:p w:rsidR="00AA1849" w:rsidRPr="00B2649B" w:rsidRDefault="00651F8B" w:rsidP="00B2649B">
      <w:pPr>
        <w:pStyle w:val="Heading2"/>
        <w:spacing w:after="0" w:afterAutospacing="0"/>
        <w:jc w:val="right"/>
        <w:rPr>
          <w:rFonts w:ascii="Arial" w:eastAsia="Calibri" w:hAnsi="Arial" w:cs="Arial"/>
          <w:bCs w:val="0"/>
          <w:sz w:val="22"/>
          <w:szCs w:val="22"/>
          <w:lang w:val="pl-PL" w:eastAsia="en-US"/>
        </w:rPr>
      </w:pPr>
      <w:r w:rsidRPr="00B2649B">
        <w:rPr>
          <w:rFonts w:ascii="Arial" w:eastAsia="Calibri" w:hAnsi="Arial" w:cs="Arial"/>
          <w:bCs w:val="0"/>
          <w:sz w:val="22"/>
          <w:szCs w:val="22"/>
          <w:lang w:val="pl-PL" w:eastAsia="en-US"/>
        </w:rPr>
        <w:t>Ministarstvo pravde ljudskih i manjinskih prava</w:t>
      </w:r>
    </w:p>
    <w:p w:rsidR="00B2649B" w:rsidRPr="00B2649B" w:rsidRDefault="00B2649B" w:rsidP="00B2649B">
      <w:pPr>
        <w:pStyle w:val="Heading2"/>
        <w:spacing w:before="0" w:beforeAutospacing="0"/>
        <w:jc w:val="right"/>
        <w:rPr>
          <w:rFonts w:ascii="Arial" w:hAnsi="Arial" w:cs="Arial"/>
          <w:i/>
          <w:sz w:val="22"/>
          <w:szCs w:val="22"/>
          <w:lang w:val="sr-Latn-ME"/>
        </w:rPr>
      </w:pPr>
      <w:r w:rsidRPr="00B2649B">
        <w:rPr>
          <w:rFonts w:ascii="Arial" w:eastAsia="Calibri" w:hAnsi="Arial" w:cs="Arial"/>
          <w:bCs w:val="0"/>
          <w:sz w:val="22"/>
          <w:szCs w:val="22"/>
          <w:lang w:val="pl-PL" w:eastAsia="en-US"/>
        </w:rPr>
        <w:t>Direktorat za zaštitu i jednakost lica sa invaliditetom</w:t>
      </w:r>
    </w:p>
    <w:p w:rsidR="00F26B1A" w:rsidRPr="00B2649B" w:rsidRDefault="00F26B1A" w:rsidP="00F26B1A">
      <w:pPr>
        <w:spacing w:after="0" w:line="276" w:lineRule="auto"/>
        <w:jc w:val="right"/>
        <w:rPr>
          <w:rFonts w:ascii="Arial" w:hAnsi="Arial" w:cs="Arial"/>
          <w:sz w:val="22"/>
          <w:lang w:val="pl-PL"/>
        </w:rPr>
      </w:pPr>
    </w:p>
    <w:sectPr w:rsidR="00F26B1A" w:rsidRPr="00B2649B" w:rsidSect="002A6D5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725" w:rsidRDefault="002E4725">
      <w:pPr>
        <w:spacing w:after="0" w:line="240" w:lineRule="auto"/>
      </w:pPr>
      <w:r>
        <w:separator/>
      </w:r>
    </w:p>
  </w:endnote>
  <w:endnote w:type="continuationSeparator" w:id="0">
    <w:p w:rsidR="002E4725" w:rsidRDefault="002E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244395"/>
      <w:docPartObj>
        <w:docPartGallery w:val="Page Numbers (Bottom of Page)"/>
        <w:docPartUnique/>
      </w:docPartObj>
    </w:sdtPr>
    <w:sdtEndPr/>
    <w:sdtContent>
      <w:p w:rsidR="00591365" w:rsidRDefault="00766577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A3A">
          <w:rPr>
            <w:noProof/>
          </w:rPr>
          <w:t>5</w:t>
        </w:r>
        <w:r>
          <w:rPr>
            <w:noProof/>
          </w:rPr>
          <w:fldChar w:fldCharType="end"/>
        </w:r>
        <w:r>
          <w:t>]</w:t>
        </w:r>
      </w:p>
    </w:sdtContent>
  </w:sdt>
  <w:p w:rsidR="00591365" w:rsidRDefault="002E4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725" w:rsidRDefault="002E4725">
      <w:pPr>
        <w:spacing w:after="0" w:line="240" w:lineRule="auto"/>
      </w:pPr>
      <w:r>
        <w:separator/>
      </w:r>
    </w:p>
  </w:footnote>
  <w:footnote w:type="continuationSeparator" w:id="0">
    <w:p w:rsidR="002E4725" w:rsidRDefault="002E4725">
      <w:pPr>
        <w:spacing w:after="0" w:line="240" w:lineRule="auto"/>
      </w:pPr>
      <w:r>
        <w:continuationSeparator/>
      </w:r>
    </w:p>
  </w:footnote>
  <w:footnote w:id="1">
    <w:p w:rsidR="007A43B1" w:rsidRPr="007A43B1" w:rsidRDefault="007A43B1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264BDC" w:rsidRPr="00F47944">
          <w:rPr>
            <w:rStyle w:val="Hyperlink"/>
          </w:rPr>
          <w:t>https://www.gov.me/dokumenta/9b11e6b4-71ff-4bb4-b42f-5c9a1458e4d2</w:t>
        </w:r>
      </w:hyperlink>
      <w:r w:rsidR="00264BD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65" w:rsidRPr="00D33931" w:rsidRDefault="002E4725" w:rsidP="00360A3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76DB"/>
    <w:multiLevelType w:val="hybridMultilevel"/>
    <w:tmpl w:val="FC2CAF6C"/>
    <w:lvl w:ilvl="0" w:tplc="68CCB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1994"/>
    <w:multiLevelType w:val="hybridMultilevel"/>
    <w:tmpl w:val="ADCE5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C70"/>
    <w:multiLevelType w:val="hybridMultilevel"/>
    <w:tmpl w:val="63C4AA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9296B"/>
    <w:multiLevelType w:val="hybridMultilevel"/>
    <w:tmpl w:val="3A6C8E0A"/>
    <w:lvl w:ilvl="0" w:tplc="68CCB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D3B9E"/>
    <w:multiLevelType w:val="hybridMultilevel"/>
    <w:tmpl w:val="B52AA5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3201D"/>
    <w:multiLevelType w:val="hybridMultilevel"/>
    <w:tmpl w:val="35A42DA8"/>
    <w:lvl w:ilvl="0" w:tplc="C054CD9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03DDF"/>
    <w:multiLevelType w:val="hybridMultilevel"/>
    <w:tmpl w:val="B106DF7E"/>
    <w:lvl w:ilvl="0" w:tplc="68CCB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D05F7"/>
    <w:multiLevelType w:val="hybridMultilevel"/>
    <w:tmpl w:val="ADCE5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E0238"/>
    <w:multiLevelType w:val="hybridMultilevel"/>
    <w:tmpl w:val="1FB6ED36"/>
    <w:lvl w:ilvl="0" w:tplc="8F3EBE82">
      <w:start w:val="5"/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693602D3"/>
    <w:multiLevelType w:val="hybridMultilevel"/>
    <w:tmpl w:val="0F44F0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74C30"/>
    <w:multiLevelType w:val="hybridMultilevel"/>
    <w:tmpl w:val="17B4D4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655A7"/>
    <w:multiLevelType w:val="hybridMultilevel"/>
    <w:tmpl w:val="821E28AE"/>
    <w:lvl w:ilvl="0" w:tplc="F67456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A0A7C"/>
    <w:multiLevelType w:val="hybridMultilevel"/>
    <w:tmpl w:val="D5862D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12"/>
  </w:num>
  <w:num w:numId="7">
    <w:abstractNumId w:val="5"/>
  </w:num>
  <w:num w:numId="8">
    <w:abstractNumId w:val="11"/>
  </w:num>
  <w:num w:numId="9">
    <w:abstractNumId w:val="7"/>
  </w:num>
  <w:num w:numId="10">
    <w:abstractNumId w:val="3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4A"/>
    <w:rsid w:val="00011843"/>
    <w:rsid w:val="00032DBB"/>
    <w:rsid w:val="0007394C"/>
    <w:rsid w:val="00074FA7"/>
    <w:rsid w:val="000918B6"/>
    <w:rsid w:val="000A56E4"/>
    <w:rsid w:val="00105026"/>
    <w:rsid w:val="00167432"/>
    <w:rsid w:val="0017197D"/>
    <w:rsid w:val="00182097"/>
    <w:rsid w:val="001A7885"/>
    <w:rsid w:val="001C38E4"/>
    <w:rsid w:val="001F3C6C"/>
    <w:rsid w:val="00246F73"/>
    <w:rsid w:val="0025255C"/>
    <w:rsid w:val="00264BDC"/>
    <w:rsid w:val="002A6D56"/>
    <w:rsid w:val="002E4725"/>
    <w:rsid w:val="002F3756"/>
    <w:rsid w:val="0038465C"/>
    <w:rsid w:val="00385D37"/>
    <w:rsid w:val="003A5F68"/>
    <w:rsid w:val="003C1FF1"/>
    <w:rsid w:val="003C467E"/>
    <w:rsid w:val="004003F0"/>
    <w:rsid w:val="00414EE0"/>
    <w:rsid w:val="00436DBC"/>
    <w:rsid w:val="00487624"/>
    <w:rsid w:val="00541828"/>
    <w:rsid w:val="00586588"/>
    <w:rsid w:val="005B41CB"/>
    <w:rsid w:val="00602584"/>
    <w:rsid w:val="00603201"/>
    <w:rsid w:val="00604C08"/>
    <w:rsid w:val="0062570F"/>
    <w:rsid w:val="006435B5"/>
    <w:rsid w:val="00651F8B"/>
    <w:rsid w:val="00695D0C"/>
    <w:rsid w:val="006C292B"/>
    <w:rsid w:val="006F79F1"/>
    <w:rsid w:val="00766577"/>
    <w:rsid w:val="007977FE"/>
    <w:rsid w:val="007A43B1"/>
    <w:rsid w:val="007B66D6"/>
    <w:rsid w:val="007E138D"/>
    <w:rsid w:val="00844FD9"/>
    <w:rsid w:val="00902A29"/>
    <w:rsid w:val="00914C23"/>
    <w:rsid w:val="009572D1"/>
    <w:rsid w:val="009B214A"/>
    <w:rsid w:val="00A31465"/>
    <w:rsid w:val="00A83492"/>
    <w:rsid w:val="00A844FB"/>
    <w:rsid w:val="00AA0D28"/>
    <w:rsid w:val="00AA1849"/>
    <w:rsid w:val="00AE169D"/>
    <w:rsid w:val="00B2649B"/>
    <w:rsid w:val="00B55E3A"/>
    <w:rsid w:val="00B77F47"/>
    <w:rsid w:val="00B94587"/>
    <w:rsid w:val="00BA19B3"/>
    <w:rsid w:val="00C045B8"/>
    <w:rsid w:val="00C111B9"/>
    <w:rsid w:val="00C11431"/>
    <w:rsid w:val="00C247AE"/>
    <w:rsid w:val="00C3404A"/>
    <w:rsid w:val="00CB01E8"/>
    <w:rsid w:val="00D31912"/>
    <w:rsid w:val="00D359D9"/>
    <w:rsid w:val="00DF41EF"/>
    <w:rsid w:val="00E03A3A"/>
    <w:rsid w:val="00E04693"/>
    <w:rsid w:val="00E34BDB"/>
    <w:rsid w:val="00E364E7"/>
    <w:rsid w:val="00F0322D"/>
    <w:rsid w:val="00F26B1A"/>
    <w:rsid w:val="00F27F80"/>
    <w:rsid w:val="00FA246C"/>
    <w:rsid w:val="00FD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60663-61B5-48DC-9E62-61DBE1C1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F73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A1849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04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4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04A"/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3404A"/>
    <w:pPr>
      <w:spacing w:after="80" w:line="192" w:lineRule="auto"/>
      <w:ind w:left="1134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3404A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Hyperlink">
    <w:name w:val="Hyperlink"/>
    <w:basedOn w:val="DefaultParagraphFont"/>
    <w:uiPriority w:val="99"/>
    <w:unhideWhenUsed/>
    <w:rsid w:val="00F26B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F26B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A184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3B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3B1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A43B1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B77F47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5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D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D0C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D0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D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0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umhcg.com/wp-content/uploads/2021/03/29-III-21-Zaklju%C4%8Dna-razmatranja-UNCRP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hcg.com/wp-content/uploads/2019/07/Alternativni-izvjestaj_MNE_WebFINAL.pd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me/dokumenta/9b11e6b4-71ff-4bb4-b42f-5c9a1458e4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09812-5806-49F5-8043-A936726D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valon.dasharami</dc:creator>
  <cp:lastModifiedBy>Maja Jovic</cp:lastModifiedBy>
  <cp:revision>7</cp:revision>
  <cp:lastPrinted>2021-06-08T09:26:00Z</cp:lastPrinted>
  <dcterms:created xsi:type="dcterms:W3CDTF">2021-06-07T11:55:00Z</dcterms:created>
  <dcterms:modified xsi:type="dcterms:W3CDTF">2021-06-08T10:01:00Z</dcterms:modified>
</cp:coreProperties>
</file>