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92" w:rsidRPr="00AD1B16" w:rsidRDefault="00D61692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AD1B16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2998" cy="82658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9" cy="82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CRNA GORA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MINISTARSTVO FINANSIJA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Sektor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za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ekonomsku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politiku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razvoj</w:t>
      </w:r>
    </w:p>
    <w:p w:rsidR="00D61692" w:rsidRPr="00AD1B16" w:rsidRDefault="00D61692" w:rsidP="00D61692">
      <w:pPr>
        <w:rPr>
          <w:rFonts w:cstheme="minorHAnsi"/>
        </w:rPr>
      </w:pPr>
    </w:p>
    <w:p w:rsidR="00D61692" w:rsidRPr="00AD1B16" w:rsidRDefault="00D61692" w:rsidP="00D61692">
      <w:pPr>
        <w:jc w:val="center"/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4F7F71" w:rsidRPr="00AD1B16" w:rsidRDefault="004F7F71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D61692">
      <w:pPr>
        <w:spacing w:line="240" w:lineRule="auto"/>
        <w:jc w:val="center"/>
        <w:rPr>
          <w:rFonts w:cstheme="minorHAnsi"/>
          <w:b/>
          <w:bCs/>
          <w:iCs/>
          <w:sz w:val="52"/>
          <w:szCs w:val="52"/>
        </w:rPr>
      </w:pPr>
      <w:r w:rsidRPr="00AD1B16">
        <w:rPr>
          <w:rFonts w:cstheme="minorHAnsi"/>
          <w:b/>
          <w:bCs/>
          <w:iCs/>
          <w:sz w:val="52"/>
          <w:szCs w:val="52"/>
        </w:rPr>
        <w:t>MJESEČNI MAKROEKONOMSKI INDIKATORI</w:t>
      </w:r>
    </w:p>
    <w:p w:rsidR="00D61692" w:rsidRPr="00AD1B16" w:rsidRDefault="009526D1" w:rsidP="00D6169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April</w:t>
      </w:r>
      <w:r w:rsidR="00DC3690" w:rsidRPr="00AD1B16">
        <w:rPr>
          <w:rFonts w:cstheme="minorHAnsi"/>
          <w:b/>
          <w:bCs/>
          <w:sz w:val="32"/>
          <w:szCs w:val="32"/>
        </w:rPr>
        <w:t xml:space="preserve"> 201</w:t>
      </w:r>
      <w:r w:rsidR="00F13EE1">
        <w:rPr>
          <w:rFonts w:cstheme="minorHAnsi"/>
          <w:b/>
          <w:bCs/>
          <w:sz w:val="32"/>
          <w:szCs w:val="32"/>
        </w:rPr>
        <w:t>3</w:t>
      </w:r>
      <w:r w:rsidR="00D61692" w:rsidRPr="00AD1B16">
        <w:rPr>
          <w:rFonts w:cstheme="minorHAnsi"/>
          <w:b/>
          <w:bCs/>
          <w:sz w:val="32"/>
          <w:szCs w:val="32"/>
        </w:rPr>
        <w:t>.</w:t>
      </w:r>
    </w:p>
    <w:p w:rsidR="00D61692" w:rsidRPr="00AD1B16" w:rsidRDefault="00D61692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D20CDA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8278DA" w:rsidP="00D20CDA">
      <w:pPr>
        <w:spacing w:after="0" w:line="240" w:lineRule="auto"/>
        <w:rPr>
          <w:rFonts w:cstheme="minorHAnsi"/>
          <w:bCs/>
          <w:sz w:val="28"/>
          <w:szCs w:val="28"/>
        </w:rPr>
      </w:pPr>
      <w:r w:rsidRPr="008278DA">
        <w:rPr>
          <w:rFonts w:cstheme="minorHAnsi"/>
          <w:b/>
          <w:bCs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6.5pt;margin-top:367.6pt;width:234.35pt;height:304.1pt;rotation:-360;z-index:-251657216;mso-position-horizontal-relative:margin;mso-position-vertical-relative:margin;mso-width-relative:margin;mso-height-relative:margin" wrapcoords="1181 -93 506 93 -169 466 -169 21088 591 21507 1012 21647 1181 21647 20334 21647 21178 21507 21769 20902 21769 466 20841 0 20334 -93 1181 -93" o:allowincell="f" adj="1739" fillcolor="#943634 [2405]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02935" w:rsidRDefault="00D02935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BE47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A43854" w:rsidRDefault="00A43854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A43854" w:rsidRPr="00A43854" w:rsidRDefault="00A43854" w:rsidP="00A43854">
                  <w:pPr>
                    <w:pStyle w:val="NoSpacing"/>
                    <w:numPr>
                      <w:ilvl w:val="0"/>
                      <w:numId w:val="6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A4385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Cijena aluminijuma pada</w:t>
                  </w:r>
                </w:p>
                <w:p w:rsidR="00A43854" w:rsidRPr="00A43854" w:rsidRDefault="00A43854" w:rsidP="00A43854">
                  <w:pPr>
                    <w:pStyle w:val="NoSpacing"/>
                    <w:numPr>
                      <w:ilvl w:val="0"/>
                      <w:numId w:val="6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A4385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Rast industrijske proizvo-dnje pod uticajem poveća-ne proizvodnje el. energije</w:t>
                  </w:r>
                </w:p>
                <w:p w:rsidR="00D02935" w:rsidRDefault="00A43854" w:rsidP="00A43854">
                  <w:pPr>
                    <w:pStyle w:val="NoSpacing"/>
                    <w:numPr>
                      <w:ilvl w:val="0"/>
                      <w:numId w:val="6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A4385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Izvorni prihodi budzeta Crne Gore veći su u odnosu na 2012 i plan 2013</w:t>
                  </w:r>
                </w:p>
                <w:p w:rsidR="00A43854" w:rsidRPr="00A43854" w:rsidRDefault="00A43854" w:rsidP="00A43854">
                  <w:pPr>
                    <w:pStyle w:val="NoSpacing"/>
                    <w:numPr>
                      <w:ilvl w:val="0"/>
                      <w:numId w:val="6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Kreditna aktivnost raste-djelimičnan uticaj primje-ne nove metodologije</w:t>
                  </w:r>
                </w:p>
              </w:txbxContent>
            </v:textbox>
            <w10:wrap type="tight" anchorx="margin" anchory="margin"/>
          </v:shape>
        </w:pict>
      </w:r>
      <w:r w:rsidR="004F7F71" w:rsidRPr="00AD1B16">
        <w:rPr>
          <w:rFonts w:cstheme="minorHAnsi"/>
          <w:b/>
          <w:bCs/>
          <w:noProof/>
          <w:sz w:val="28"/>
          <w:szCs w:val="28"/>
          <w:lang w:val="sr-Latn-CS" w:eastAsia="sr-Latn-C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40640</wp:posOffset>
            </wp:positionV>
            <wp:extent cx="5528945" cy="5076190"/>
            <wp:effectExtent l="19050" t="0" r="0" b="0"/>
            <wp:wrapNone/>
            <wp:docPr id="11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07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692" w:rsidRPr="00AD1B16" w:rsidRDefault="00D61692" w:rsidP="00D20CDA">
      <w:pPr>
        <w:spacing w:after="0" w:line="240" w:lineRule="auto"/>
        <w:rPr>
          <w:rFonts w:cstheme="minorHAnsi"/>
          <w:bCs/>
          <w:iCs/>
          <w:sz w:val="26"/>
          <w:szCs w:val="26"/>
        </w:rPr>
      </w:pPr>
    </w:p>
    <w:p w:rsidR="00D61692" w:rsidRPr="00AD1B16" w:rsidRDefault="00D61692" w:rsidP="00D61692">
      <w:pPr>
        <w:pStyle w:val="NoSpacing"/>
        <w:rPr>
          <w:rFonts w:asciiTheme="minorHAnsi" w:hAnsiTheme="minorHAnsi" w:cstheme="minorHAnsi"/>
          <w:bCs/>
          <w:iCs/>
          <w:sz w:val="26"/>
          <w:szCs w:val="26"/>
        </w:rPr>
      </w:pPr>
    </w:p>
    <w:p w:rsidR="00694445" w:rsidRPr="00AD1B16" w:rsidRDefault="00694445" w:rsidP="00694445">
      <w:pPr>
        <w:pStyle w:val="NoSpacing"/>
        <w:rPr>
          <w:rFonts w:asciiTheme="minorHAnsi" w:hAnsiTheme="minorHAnsi" w:cstheme="minorHAnsi"/>
          <w:bCs/>
          <w:sz w:val="28"/>
          <w:szCs w:val="20"/>
        </w:rPr>
      </w:pPr>
    </w:p>
    <w:p w:rsidR="00694445" w:rsidRPr="00AD1B16" w:rsidRDefault="00694445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</w:pPr>
    </w:p>
    <w:p w:rsidR="003324D9" w:rsidRPr="00AD1B16" w:rsidRDefault="003324D9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777134" w:rsidRPr="00AD1B16" w:rsidRDefault="00777134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4F7F71" w:rsidRPr="00AD1B16" w:rsidRDefault="004F7F71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A43854" w:rsidRPr="00AD1B16" w:rsidRDefault="00A43854" w:rsidP="00A43854">
      <w:pPr>
        <w:pStyle w:val="NoSpacing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Autori priloga</w:t>
      </w:r>
      <w:r w:rsidRPr="00AD1B16">
        <w:rPr>
          <w:b/>
          <w:bCs/>
          <w:color w:val="000000"/>
          <w:sz w:val="16"/>
          <w:szCs w:val="16"/>
        </w:rPr>
        <w:t>:</w:t>
      </w:r>
      <w:r>
        <w:rPr>
          <w:b/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Radovan Živković</w:t>
      </w:r>
      <w:r>
        <w:rPr>
          <w:bCs/>
          <w:color w:val="000000"/>
          <w:sz w:val="16"/>
          <w:szCs w:val="16"/>
        </w:rPr>
        <w:t xml:space="preserve"> , </w:t>
      </w:r>
      <w:r w:rsidRPr="00AD1B16">
        <w:rPr>
          <w:bCs/>
          <w:color w:val="000000"/>
          <w:sz w:val="16"/>
          <w:szCs w:val="16"/>
        </w:rPr>
        <w:t>Radojka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Martinović, Olja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Tomanović,</w:t>
      </w:r>
      <w:r w:rsidRPr="008E1A73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Stanko Jeknić</w:t>
      </w:r>
      <w:r w:rsidRPr="00AD1B16">
        <w:rPr>
          <w:bCs/>
          <w:color w:val="000000"/>
          <w:sz w:val="16"/>
          <w:szCs w:val="16"/>
        </w:rPr>
        <w:t xml:space="preserve"> , Marija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Novosel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i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ZdenkaDabović</w:t>
      </w:r>
    </w:p>
    <w:p w:rsidR="00B40133" w:rsidRPr="00AD1B16" w:rsidRDefault="00B40133" w:rsidP="004F7F71">
      <w:pPr>
        <w:pStyle w:val="NoSpacing"/>
      </w:pPr>
      <w:r w:rsidRPr="00AD1B16">
        <w:br w:type="page"/>
      </w:r>
    </w:p>
    <w:tbl>
      <w:tblPr>
        <w:tblStyle w:val="TableGrid"/>
        <w:tblW w:w="10740" w:type="dxa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3629"/>
        <w:gridCol w:w="57"/>
      </w:tblGrid>
      <w:tr w:rsidR="00716A7D" w:rsidRPr="00AD1B16" w:rsidTr="00DA27DF">
        <w:trPr>
          <w:gridAfter w:val="1"/>
          <w:wAfter w:w="57" w:type="dxa"/>
        </w:trPr>
        <w:tc>
          <w:tcPr>
            <w:tcW w:w="7054" w:type="dxa"/>
            <w:tcBorders>
              <w:top w:val="thinThickSmallGap" w:sz="12" w:space="0" w:color="auto"/>
              <w:bottom w:val="single" w:sz="4" w:space="0" w:color="auto"/>
            </w:tcBorders>
          </w:tcPr>
          <w:p w:rsidR="00716A7D" w:rsidRPr="00AD1B16" w:rsidRDefault="00716A7D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D1B16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lastRenderedPageBreak/>
              <w:br w:type="page"/>
            </w:r>
            <w:bookmarkStart w:id="0" w:name="OLE_LINK3"/>
            <w:r w:rsidRPr="00AD1B16">
              <w:rPr>
                <w:b/>
                <w:bCs/>
                <w:sz w:val="20"/>
                <w:szCs w:val="20"/>
              </w:rPr>
              <w:t>Međunarodno</w:t>
            </w:r>
            <w:r w:rsidR="005D0E14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okruženje</w:t>
            </w:r>
            <w:bookmarkEnd w:id="0"/>
          </w:p>
        </w:tc>
        <w:tc>
          <w:tcPr>
            <w:tcW w:w="3629" w:type="dxa"/>
            <w:vMerge w:val="restart"/>
            <w:tcBorders>
              <w:top w:val="thinThickSmallGap" w:sz="12" w:space="0" w:color="auto"/>
              <w:bottom w:val="nil"/>
            </w:tcBorders>
          </w:tcPr>
          <w:p w:rsidR="00D01C27" w:rsidRPr="00AD1B16" w:rsidRDefault="00E75B57" w:rsidP="00EB64B9">
            <w:pPr>
              <w:ind w:left="-108"/>
              <w:rPr>
                <w:sz w:val="14"/>
                <w:szCs w:val="14"/>
              </w:rPr>
            </w:pPr>
            <w:r w:rsidRPr="00E75B57">
              <w:rPr>
                <w:noProof/>
                <w:sz w:val="14"/>
                <w:szCs w:val="14"/>
                <w:lang w:val="sr-Latn-CS" w:eastAsia="sr-Latn-CS"/>
              </w:rPr>
              <w:drawing>
                <wp:inline distT="0" distB="0" distL="0" distR="0">
                  <wp:extent cx="2266950" cy="20447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F6B9D" w:rsidRPr="00AD1B16" w:rsidTr="00DA27DF">
        <w:trPr>
          <w:gridAfter w:val="1"/>
          <w:wAfter w:w="57" w:type="dxa"/>
          <w:trHeight w:val="3014"/>
        </w:trPr>
        <w:tc>
          <w:tcPr>
            <w:tcW w:w="7054" w:type="dxa"/>
            <w:tcBorders>
              <w:top w:val="single" w:sz="4" w:space="0" w:color="auto"/>
              <w:bottom w:val="thinThickSmallGap" w:sz="12" w:space="0" w:color="auto"/>
            </w:tcBorders>
          </w:tcPr>
          <w:p w:rsidR="00974320" w:rsidRPr="00AD1B16" w:rsidRDefault="003F5206" w:rsidP="00B67BD4">
            <w:pPr>
              <w:pStyle w:val="Default"/>
              <w:jc w:val="both"/>
              <w:rPr>
                <w:sz w:val="17"/>
                <w:szCs w:val="17"/>
              </w:rPr>
            </w:pPr>
            <w:r w:rsidRPr="003F5206">
              <w:rPr>
                <w:sz w:val="20"/>
                <w:szCs w:val="17"/>
              </w:rPr>
              <w:t>Indikator ukupnog ekonomskog sentimenta Eurozone pao je u martu za 1.1 poen u odnosu na februar  i iznos</w:t>
            </w:r>
            <w:r w:rsidR="00CF472E">
              <w:rPr>
                <w:sz w:val="20"/>
                <w:szCs w:val="17"/>
              </w:rPr>
              <w:t>io je 90,0 (prosjek od 1990-2012</w:t>
            </w:r>
            <w:r w:rsidRPr="003F5206">
              <w:rPr>
                <w:sz w:val="20"/>
                <w:szCs w:val="17"/>
              </w:rPr>
              <w:t>=100). U isto vrijeme on je oslabio u EU za 0,6 i iznosio je 91,4.</w:t>
            </w:r>
            <w:r w:rsidR="00B67BD4">
              <w:rPr>
                <w:sz w:val="20"/>
                <w:szCs w:val="17"/>
              </w:rPr>
              <w:t xml:space="preserve"> </w:t>
            </w:r>
            <w:r w:rsidR="00CF472E">
              <w:rPr>
                <w:sz w:val="20"/>
                <w:szCs w:val="17"/>
              </w:rPr>
              <w:t>Ovim je zaustavljen pozi</w:t>
            </w:r>
            <w:r w:rsidRPr="003F5206">
              <w:rPr>
                <w:sz w:val="20"/>
                <w:szCs w:val="17"/>
              </w:rPr>
              <w:t>tivan trend indikatora od Novembra 2012. U Eurozoni</w:t>
            </w:r>
            <w:r w:rsidR="00B67BD4">
              <w:rPr>
                <w:sz w:val="20"/>
                <w:szCs w:val="17"/>
              </w:rPr>
              <w:t xml:space="preserve"> </w:t>
            </w:r>
            <w:r w:rsidR="00B67BD4" w:rsidRPr="003F5206">
              <w:rPr>
                <w:sz w:val="20"/>
                <w:szCs w:val="17"/>
              </w:rPr>
              <w:t>su pali</w:t>
            </w:r>
            <w:r w:rsidRPr="003F5206">
              <w:rPr>
                <w:sz w:val="20"/>
                <w:szCs w:val="17"/>
              </w:rPr>
              <w:t xml:space="preserve"> svi indikatori povjerenja u realnom sektoru, dok je indicator povjerenja potr</w:t>
            </w:r>
            <w:r w:rsidR="00B67BD4">
              <w:rPr>
                <w:sz w:val="20"/>
                <w:szCs w:val="17"/>
              </w:rPr>
              <w:t xml:space="preserve">ošača ostao stabilan.  Economski </w:t>
            </w:r>
            <w:r w:rsidRPr="003F5206">
              <w:rPr>
                <w:sz w:val="20"/>
                <w:szCs w:val="17"/>
              </w:rPr>
              <w:t>sentiment je pogoršan u Francuskoj (-1.7), Njemačkoj (-1.6) i Španiji (-0.9), dok je ostao relativno stabilan u Holandiji (-0.3) i poboljšan u Italiji. (Pobrojane zemlje su najveće ekonomije Eurozone</w:t>
            </w:r>
            <w:r w:rsidR="00CF472E">
              <w:rPr>
                <w:sz w:val="20"/>
                <w:szCs w:val="17"/>
              </w:rPr>
              <w:t>)</w:t>
            </w:r>
            <w:r w:rsidRPr="003F5206">
              <w:rPr>
                <w:sz w:val="20"/>
                <w:szCs w:val="17"/>
              </w:rPr>
              <w:t xml:space="preserve">.  </w:t>
            </w:r>
            <w:r w:rsidR="00343799">
              <w:rPr>
                <w:sz w:val="20"/>
                <w:szCs w:val="17"/>
              </w:rPr>
              <w:t xml:space="preserve">Indikator povjerenja finansijskog sektora , koji ne ulazi u kalkulaciju  ekonomskog sentimenta je oslabio za 1,1 poen , ali su očekivanja tražnje u sljedeća tri mjeseca pozitivna. (jačanje kreditne tražnje). Brent sirova nafta je prodavana po 111 USD/T . Cijena aluminijuma je naglo pala na 1911 USD/T, dok je krus dolara </w:t>
            </w:r>
            <w:r w:rsidR="00001BAC">
              <w:rPr>
                <w:sz w:val="20"/>
                <w:szCs w:val="17"/>
              </w:rPr>
              <w:t>bio 1EUR=1,28USD. Cijene u eurozoni padaju tako da je inflacija u martu 2013 iznosila 1,7%.</w:t>
            </w:r>
          </w:p>
        </w:tc>
        <w:tc>
          <w:tcPr>
            <w:tcW w:w="3629" w:type="dxa"/>
            <w:vMerge/>
            <w:tcBorders>
              <w:top w:val="nil"/>
              <w:bottom w:val="thinThickSmallGap" w:sz="12" w:space="0" w:color="auto"/>
            </w:tcBorders>
            <w:vAlign w:val="center"/>
          </w:tcPr>
          <w:p w:rsidR="00DF6B9D" w:rsidRPr="00AD1B16" w:rsidRDefault="00DF6B9D" w:rsidP="001C6750">
            <w:pPr>
              <w:ind w:left="34" w:hanging="34"/>
              <w:rPr>
                <w:sz w:val="17"/>
                <w:szCs w:val="17"/>
              </w:rPr>
            </w:pPr>
          </w:p>
        </w:tc>
      </w:tr>
      <w:tr w:rsidR="00DF6B9D" w:rsidRPr="00AD1B16" w:rsidTr="0061438B">
        <w:trPr>
          <w:gridAfter w:val="1"/>
          <w:wAfter w:w="57" w:type="dxa"/>
          <w:trHeight w:val="215"/>
        </w:trPr>
        <w:tc>
          <w:tcPr>
            <w:tcW w:w="7054" w:type="dxa"/>
            <w:tcBorders>
              <w:top w:val="thinThickSmallGap" w:sz="12" w:space="0" w:color="auto"/>
              <w:bottom w:val="single" w:sz="4" w:space="0" w:color="auto"/>
            </w:tcBorders>
          </w:tcPr>
          <w:p w:rsidR="00DF6B9D" w:rsidRPr="00AD1B16" w:rsidRDefault="00DF6B9D" w:rsidP="00F13EE1">
            <w:pPr>
              <w:pStyle w:val="ListParagraph"/>
              <w:numPr>
                <w:ilvl w:val="0"/>
                <w:numId w:val="1"/>
              </w:numPr>
              <w:rPr>
                <w:rStyle w:val="CaptionChar"/>
              </w:rPr>
            </w:pPr>
            <w:r w:rsidRPr="00AD1B16">
              <w:rPr>
                <w:rStyle w:val="CaptionChar"/>
              </w:rPr>
              <w:t>Realn</w:t>
            </w:r>
            <w:r w:rsidR="00F13EE1">
              <w:rPr>
                <w:rStyle w:val="CaptionChar"/>
              </w:rPr>
              <w:t xml:space="preserve">i </w:t>
            </w:r>
            <w:r w:rsidRPr="00AD1B16">
              <w:rPr>
                <w:rStyle w:val="CaptionChar"/>
              </w:rPr>
              <w:t>sektor</w:t>
            </w:r>
          </w:p>
        </w:tc>
        <w:tc>
          <w:tcPr>
            <w:tcW w:w="3629" w:type="dxa"/>
            <w:vMerge w:val="restart"/>
            <w:tcBorders>
              <w:top w:val="thinThickSmallGap" w:sz="12" w:space="0" w:color="auto"/>
              <w:bottom w:val="nil"/>
            </w:tcBorders>
            <w:vAlign w:val="center"/>
          </w:tcPr>
          <w:p w:rsidR="00DF6B9D" w:rsidRPr="00AD1B16" w:rsidRDefault="00933026" w:rsidP="0061438B">
            <w:pPr>
              <w:ind w:left="-250"/>
              <w:jc w:val="center"/>
            </w:pPr>
            <w:r>
              <w:rPr>
                <w:noProof/>
                <w:lang w:val="sr-Latn-CS" w:eastAsia="sr-Latn-C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254000</wp:posOffset>
                  </wp:positionV>
                  <wp:extent cx="2095500" cy="2222500"/>
                  <wp:effectExtent l="0" t="0" r="0" b="0"/>
                  <wp:wrapSquare wrapText="bothSides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  <w:tr w:rsidR="00DF6B9D" w:rsidRPr="00AD1B16" w:rsidTr="00DA27DF">
        <w:trPr>
          <w:gridAfter w:val="1"/>
          <w:wAfter w:w="57" w:type="dxa"/>
          <w:trHeight w:val="3288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F6B9D" w:rsidRPr="003F5206" w:rsidRDefault="00A44FD9" w:rsidP="00291A2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933026" w:rsidRPr="003F5206">
              <w:rPr>
                <w:rFonts w:ascii="Calibri" w:hAnsi="Calibri" w:cs="Calibri"/>
                <w:b/>
                <w:sz w:val="20"/>
                <w:szCs w:val="20"/>
              </w:rPr>
              <w:t xml:space="preserve"> martu tekuće godine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zabilježen</w:t>
            </w:r>
            <w:r w:rsidR="00933026" w:rsidRPr="003F5206">
              <w:rPr>
                <w:rFonts w:ascii="Calibri" w:hAnsi="Calibri" w:cs="Calibri"/>
                <w:b/>
                <w:sz w:val="20"/>
                <w:szCs w:val="20"/>
              </w:rPr>
              <w:t xml:space="preserve"> je rast industrijske</w:t>
            </w:r>
            <w:r w:rsidR="00291A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 xml:space="preserve">proizvodnje od 10,4% </w:t>
            </w:r>
            <w:r w:rsidR="00291A21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>opredijeljen je rastom u sektoru “snabdijevanje el.energijom, gasom i parom”(103,1%), usljed visokog rasta proizvodnje električne energije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,</w:t>
            </w:r>
            <w:r w:rsidR="00291A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>dok su sektori “vađenje rude i kamena “ i “prerađivačka industrija” ostvar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ili godišnji pad od 2,2 I 34,4%. 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>Pad  u sektoru  prerađivačke industrije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>(34,4%) rezultat je višemjesečnih problema u funkcionisanju KAP-u, usljed čega proizvodnja osnovnih metala u martu bilježi godišnji pad od 38%. U odnosu na f</w:t>
            </w:r>
            <w:r w:rsidR="002C761A" w:rsidRPr="003F5206">
              <w:rPr>
                <w:rFonts w:ascii="Calibri" w:hAnsi="Calibri" w:cs="Calibri"/>
                <w:sz w:val="20"/>
                <w:szCs w:val="20"/>
              </w:rPr>
              <w:t>ebruar, industrijska proizvodnja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 xml:space="preserve"> je ostvarila rast od 24,6%,u dok je u periodu januar-mart rast iznosio 3,3%, u odnosu na isti period prošle godine. Crnu Goru je u martu  posjetilo 3,6% turista više i ostvareno 1,4% manje  noćenja, nego u istom mjesecu prošle godine, dok je u periodu januar-mart ostvareno 7,3% više dolaza</w:t>
            </w:r>
            <w:r>
              <w:rPr>
                <w:rFonts w:ascii="Calibri" w:hAnsi="Calibri" w:cs="Calibri"/>
                <w:sz w:val="20"/>
                <w:szCs w:val="20"/>
              </w:rPr>
              <w:t>ka i 1,4% manje noćenja.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>nego u istom periodu prethodne godine. Promet u trgovini na malo (tekuće cijene) u martu bilježi godišnji rast od 6,6%, rast od 16,9% u odnosu na prethodni mjesec, dok je u period</w:t>
            </w:r>
            <w:r w:rsidR="002C761A" w:rsidRPr="003F5206">
              <w:rPr>
                <w:rFonts w:ascii="Calibri" w:hAnsi="Calibri" w:cs="Calibri"/>
                <w:sz w:val="20"/>
                <w:szCs w:val="20"/>
              </w:rPr>
              <w:t>u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 xml:space="preserve"> januar-mart rast iznosio 8,8%, u odnosu na uporedni period 2012.godine.Vrijednost izvršenih građevinskih radova  u I kvartalu ove godine veća je za 5,7% u odnosu na uporedni kvartal  prošle godine, dok su izvršeni efektivni časovi rada veći za 33,0%, u odnosu na isti </w:t>
            </w:r>
            <w:r w:rsidR="00F830FB" w:rsidRPr="003F5206">
              <w:rPr>
                <w:rFonts w:ascii="Calibri" w:hAnsi="Calibri" w:cs="Calibri"/>
                <w:sz w:val="20"/>
                <w:szCs w:val="20"/>
              </w:rPr>
              <w:t>kvartal</w:t>
            </w:r>
            <w:r w:rsidR="00933026" w:rsidRPr="003F5206">
              <w:rPr>
                <w:rFonts w:ascii="Calibri" w:hAnsi="Calibri" w:cs="Calibri"/>
                <w:sz w:val="20"/>
                <w:szCs w:val="20"/>
              </w:rPr>
              <w:t xml:space="preserve"> 2012.godine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29" w:type="dxa"/>
            <w:vMerge/>
            <w:tcBorders>
              <w:top w:val="nil"/>
              <w:bottom w:val="thinThickSmallGap" w:sz="18" w:space="0" w:color="auto"/>
            </w:tcBorders>
            <w:vAlign w:val="center"/>
          </w:tcPr>
          <w:p w:rsidR="00DF6B9D" w:rsidRPr="00AD1B16" w:rsidRDefault="00DF6B9D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3F5206" w:rsidRDefault="00FC48D0" w:rsidP="0093302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520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Inflacija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FC48D0" w:rsidP="00676A4B">
            <w:pPr>
              <w:ind w:left="-250"/>
              <w:jc w:val="center"/>
              <w:rPr>
                <w:b/>
                <w:noProof/>
              </w:rPr>
            </w:pPr>
            <w:r w:rsidRPr="00FC48D0">
              <w:rPr>
                <w:b/>
                <w:noProof/>
                <w:lang w:val="sr-Latn-CS" w:eastAsia="sr-Latn-C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65405</wp:posOffset>
                  </wp:positionV>
                  <wp:extent cx="2194560" cy="1901825"/>
                  <wp:effectExtent l="0" t="0" r="0" b="0"/>
                  <wp:wrapSquare wrapText="bothSides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DF6B9D" w:rsidRPr="00AD1B16" w:rsidTr="007F40A8">
        <w:trPr>
          <w:gridAfter w:val="1"/>
          <w:wAfter w:w="57" w:type="dxa"/>
          <w:trHeight w:val="3122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F6B9D" w:rsidRPr="003F5206" w:rsidRDefault="00A44FD9" w:rsidP="00A44FD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cs="Arial-ItalicMT"/>
                <w:b/>
                <w:iCs/>
                <w:sz w:val="20"/>
                <w:szCs w:val="20"/>
                <w:lang w:eastAsia="sr-Latn-CS"/>
              </w:rPr>
              <w:t>Indikatori</w:t>
            </w:r>
            <w:r w:rsidR="00FC48D0" w:rsidRPr="003F5206">
              <w:rPr>
                <w:rFonts w:cs="Arial-ItalicMT"/>
                <w:b/>
                <w:iCs/>
                <w:sz w:val="20"/>
                <w:szCs w:val="20"/>
                <w:lang w:eastAsia="sr-Latn-CS"/>
              </w:rPr>
              <w:t xml:space="preserve"> za mart 2013 godine ukazuju na stabilizaciju cijena i zadržavanje inflacije na istom nivou kao prethodnog mjeseca.</w:t>
            </w:r>
            <w:r>
              <w:rPr>
                <w:rFonts w:cs="Arial-ItalicMT"/>
                <w:b/>
                <w:iCs/>
                <w:sz w:val="20"/>
                <w:szCs w:val="20"/>
                <w:lang w:eastAsia="sr-Latn-CS"/>
              </w:rPr>
              <w:t xml:space="preserve"> </w:t>
            </w:r>
            <w:r w:rsidR="00FC48D0" w:rsidRPr="003F5206">
              <w:rPr>
                <w:rFonts w:cs="Arial-ItalicMT"/>
                <w:iCs/>
                <w:sz w:val="20"/>
                <w:szCs w:val="20"/>
                <w:lang w:eastAsia="sr-Latn-CS"/>
              </w:rPr>
              <w:t>Godišnja stopa inflacije, u martu 2013.godine, bila je bez promjena u odnosu na februar i iznosila je 3,3%.</w:t>
            </w:r>
            <w:r>
              <w:rPr>
                <w:rFonts w:cs="Arial-ItalicMT"/>
                <w:iCs/>
                <w:sz w:val="20"/>
                <w:szCs w:val="20"/>
                <w:lang w:eastAsia="sr-Latn-CS"/>
              </w:rPr>
              <w:t xml:space="preserve"> </w:t>
            </w:r>
            <w:r w:rsidR="00FC48D0" w:rsidRPr="003F5206">
              <w:rPr>
                <w:rFonts w:cs="Arial-ItalicMT"/>
                <w:iCs/>
                <w:sz w:val="20"/>
                <w:szCs w:val="20"/>
                <w:lang w:eastAsia="sr-Latn-CS"/>
              </w:rPr>
              <w:t>Na rast nivoa cijena najviše su uticali rast cijena hrane</w:t>
            </w:r>
            <w:r>
              <w:rPr>
                <w:rFonts w:cs="Arial-ItalicMT"/>
                <w:iCs/>
                <w:sz w:val="20"/>
                <w:szCs w:val="20"/>
                <w:lang w:eastAsia="sr-Latn-CS"/>
              </w:rPr>
              <w:t xml:space="preserve"> </w:t>
            </w:r>
            <w:r w:rsidR="00FC48D0" w:rsidRPr="003F5206">
              <w:rPr>
                <w:rFonts w:cs="Arial-ItalicMT"/>
                <w:iCs/>
                <w:sz w:val="20"/>
                <w:szCs w:val="20"/>
                <w:lang w:eastAsia="sr-Latn-CS"/>
              </w:rPr>
              <w:t>(4,5%), odjeće(15,7%) i električne energije</w:t>
            </w:r>
            <w:r>
              <w:rPr>
                <w:rFonts w:cs="Arial-ItalicMT"/>
                <w:iCs/>
                <w:sz w:val="20"/>
                <w:szCs w:val="20"/>
                <w:lang w:eastAsia="sr-Latn-CS"/>
              </w:rPr>
              <w:t xml:space="preserve"> </w:t>
            </w:r>
            <w:r w:rsidR="00FC48D0" w:rsidRPr="003F5206">
              <w:rPr>
                <w:rFonts w:cs="Arial-ItalicMT"/>
                <w:iCs/>
                <w:sz w:val="20"/>
                <w:szCs w:val="20"/>
                <w:lang w:eastAsia="sr-Latn-CS"/>
              </w:rPr>
              <w:t>(9,7%), dok je relativno niži rast cijena farmaceutskih proizvoda(2,8%) i pad cijena duvana(0,7%), goriva(1,0%) i transportnih usluga(1,0%), uticao na usporavanje inflacije u martu tekuće godine.</w:t>
            </w:r>
            <w:r>
              <w:rPr>
                <w:rFonts w:cs="Arial-ItalicMT"/>
                <w:iCs/>
                <w:sz w:val="20"/>
                <w:szCs w:val="20"/>
                <w:lang w:eastAsia="sr-Latn-CS"/>
              </w:rPr>
              <w:t xml:space="preserve"> </w:t>
            </w:r>
            <w:r w:rsidR="00FC48D0" w:rsidRPr="003F5206">
              <w:rPr>
                <w:rFonts w:cs="Arial-ItalicMT"/>
                <w:iCs/>
                <w:sz w:val="20"/>
                <w:szCs w:val="20"/>
                <w:lang w:eastAsia="sr-Latn-CS"/>
              </w:rPr>
              <w:t xml:space="preserve"> Harmonizovani indeks potrošačkih cijena u martu 2013.godine ukazuje na godišnji rast od 3,0%,</w:t>
            </w:r>
            <w:r w:rsidR="00FC48D0" w:rsidRPr="003F5206">
              <w:rPr>
                <w:sz w:val="20"/>
                <w:szCs w:val="20"/>
              </w:rPr>
              <w:t xml:space="preserve"> pri čemu su najveći uticaj na ostvarenu stopu imali rast cijena u grupama „hrana“(4,8%), “odjeća“(15,0%), “električna energija, gas i ostala goriva“(7,5%) i „usluge smještaja“(3,7%)</w:t>
            </w:r>
            <w:r w:rsidR="00FC48D0" w:rsidRPr="003F5206">
              <w:rPr>
                <w:rFonts w:cs="Arial-ItalicMT"/>
                <w:iCs/>
                <w:sz w:val="20"/>
                <w:szCs w:val="20"/>
                <w:lang w:eastAsia="sr-Latn-CS"/>
              </w:rPr>
              <w:t>. Proizvođačke cijene su u martu 2013 godine niže su za 0,1% u odnosu na februar, dok je na godišnjem nivou ostvaren rast od 4,2%,</w:t>
            </w:r>
            <w:r w:rsidR="00FC48D0" w:rsidRPr="003F52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9" w:type="dxa"/>
            <w:vMerge/>
            <w:tcBorders>
              <w:bottom w:val="thinThickSmallGap" w:sz="18" w:space="0" w:color="auto"/>
            </w:tcBorders>
            <w:vAlign w:val="center"/>
          </w:tcPr>
          <w:p w:rsidR="00DF6B9D" w:rsidRPr="00AD1B16" w:rsidRDefault="00DF6B9D" w:rsidP="00480082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17"/>
                <w:szCs w:val="17"/>
              </w:rPr>
            </w:pPr>
          </w:p>
        </w:tc>
      </w:tr>
      <w:tr w:rsidR="00DF6B9D" w:rsidRPr="00AD1B16" w:rsidTr="007F40A8">
        <w:trPr>
          <w:gridAfter w:val="1"/>
          <w:wAfter w:w="57" w:type="dxa"/>
          <w:trHeight w:val="255"/>
        </w:trPr>
        <w:tc>
          <w:tcPr>
            <w:tcW w:w="7054" w:type="dxa"/>
            <w:tcBorders>
              <w:bottom w:val="nil"/>
            </w:tcBorders>
            <w:vAlign w:val="center"/>
          </w:tcPr>
          <w:p w:rsidR="00607500" w:rsidRPr="00AD1B16" w:rsidRDefault="00DF6B9D" w:rsidP="00A3386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Zaposlenost</w:t>
            </w:r>
            <w:r w:rsidR="00E35767">
              <w:rPr>
                <w:b/>
                <w:bCs/>
                <w:sz w:val="20"/>
                <w:szCs w:val="20"/>
              </w:rPr>
              <w:t xml:space="preserve"> i</w:t>
            </w:r>
            <w:r w:rsidR="008573C7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zarade</w:t>
            </w:r>
          </w:p>
        </w:tc>
        <w:tc>
          <w:tcPr>
            <w:tcW w:w="3629" w:type="dxa"/>
            <w:vMerge w:val="restart"/>
            <w:tcBorders>
              <w:bottom w:val="nil"/>
            </w:tcBorders>
            <w:vAlign w:val="center"/>
          </w:tcPr>
          <w:p w:rsidR="00DF6B9D" w:rsidRPr="00AD1B16" w:rsidRDefault="00DA27DF" w:rsidP="00905F6A">
            <w:pPr>
              <w:ind w:left="-250"/>
              <w:jc w:val="center"/>
            </w:pPr>
            <w:r w:rsidRPr="00DA27DF">
              <w:rPr>
                <w:noProof/>
                <w:lang w:val="sr-Latn-CS" w:eastAsia="sr-Latn-CS"/>
              </w:rPr>
              <w:drawing>
                <wp:inline distT="0" distB="0" distL="0" distR="0">
                  <wp:extent cx="2432050" cy="205105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F4195C" w:rsidRPr="00AD1B16" w:rsidTr="007F40A8">
        <w:trPr>
          <w:gridAfter w:val="1"/>
          <w:wAfter w:w="57" w:type="dxa"/>
          <w:trHeight w:val="60"/>
        </w:trPr>
        <w:tc>
          <w:tcPr>
            <w:tcW w:w="7054" w:type="dxa"/>
            <w:tcBorders>
              <w:top w:val="nil"/>
            </w:tcBorders>
          </w:tcPr>
          <w:p w:rsidR="00D47D6A" w:rsidRDefault="00D47D6A" w:rsidP="004932C1">
            <w:pPr>
              <w:jc w:val="both"/>
              <w:rPr>
                <w:b/>
                <w:sz w:val="20"/>
                <w:szCs w:val="20"/>
              </w:rPr>
            </w:pPr>
          </w:p>
          <w:p w:rsidR="006B45BC" w:rsidRDefault="006B45BC" w:rsidP="006B45BC">
            <w:pPr>
              <w:jc w:val="both"/>
              <w:rPr>
                <w:b/>
                <w:sz w:val="20"/>
                <w:szCs w:val="18"/>
              </w:rPr>
            </w:pPr>
            <w:r w:rsidRPr="006A7058">
              <w:rPr>
                <w:b/>
                <w:sz w:val="20"/>
                <w:szCs w:val="18"/>
              </w:rPr>
              <w:t>Broj zaposlenih u martu 2013 je iznosio 167</w:t>
            </w:r>
            <w:r w:rsidR="00A44FD9">
              <w:rPr>
                <w:b/>
                <w:sz w:val="20"/>
                <w:szCs w:val="18"/>
              </w:rPr>
              <w:t>.</w:t>
            </w:r>
            <w:r w:rsidRPr="006A7058">
              <w:rPr>
                <w:b/>
                <w:sz w:val="20"/>
                <w:szCs w:val="18"/>
              </w:rPr>
              <w:t>738, a broj nezaposlenih 32</w:t>
            </w:r>
            <w:r w:rsidR="00A44FD9">
              <w:rPr>
                <w:b/>
                <w:sz w:val="20"/>
                <w:szCs w:val="18"/>
              </w:rPr>
              <w:t>.</w:t>
            </w:r>
            <w:r w:rsidRPr="006A7058">
              <w:rPr>
                <w:b/>
                <w:sz w:val="20"/>
                <w:szCs w:val="18"/>
              </w:rPr>
              <w:t>968</w:t>
            </w:r>
            <w:r>
              <w:rPr>
                <w:sz w:val="20"/>
                <w:szCs w:val="18"/>
              </w:rPr>
              <w:t>.</w:t>
            </w:r>
            <w:r w:rsidR="00A44FD9">
              <w:rPr>
                <w:sz w:val="20"/>
                <w:szCs w:val="18"/>
              </w:rPr>
              <w:t xml:space="preserve"> </w:t>
            </w:r>
            <w:r w:rsidR="00A44FD9" w:rsidRPr="00A44FD9">
              <w:rPr>
                <w:b/>
                <w:sz w:val="20"/>
                <w:szCs w:val="18"/>
              </w:rPr>
              <w:t>B</w:t>
            </w:r>
            <w:r w:rsidRPr="001F7B8D">
              <w:rPr>
                <w:b/>
                <w:sz w:val="20"/>
                <w:szCs w:val="18"/>
              </w:rPr>
              <w:t>roj zaposlenih je povećan za 3,5%, a broj nezaposlenih 3,3%</w:t>
            </w:r>
            <w:r>
              <w:rPr>
                <w:sz w:val="20"/>
                <w:szCs w:val="18"/>
              </w:rPr>
              <w:t xml:space="preserve"> </w:t>
            </w:r>
            <w:r w:rsidR="00A44FD9">
              <w:rPr>
                <w:sz w:val="20"/>
                <w:szCs w:val="18"/>
              </w:rPr>
              <w:t>u  I kvartalu</w:t>
            </w:r>
            <w:r w:rsidR="007F40A8">
              <w:rPr>
                <w:sz w:val="20"/>
                <w:szCs w:val="18"/>
              </w:rPr>
              <w:t xml:space="preserve"> u odnosu na isti period prošle godine, </w:t>
            </w:r>
            <w:r>
              <w:rPr>
                <w:sz w:val="20"/>
                <w:szCs w:val="18"/>
              </w:rPr>
              <w:t xml:space="preserve">dok je u martu 2013. u odnosu na isti mjesec prethodne godine broj zaposlenih povećan 3,2%, a broj nezaposlenih 4,5%. </w:t>
            </w:r>
            <w:r w:rsidRPr="001F7B8D">
              <w:rPr>
                <w:b/>
                <w:sz w:val="20"/>
                <w:szCs w:val="18"/>
              </w:rPr>
              <w:t>Stopa nezaposlenosti je povećana sa 13,6% u martu 2012. na 14,2% u martu 2013</w:t>
            </w:r>
            <w:r>
              <w:rPr>
                <w:sz w:val="20"/>
                <w:szCs w:val="18"/>
              </w:rPr>
              <w:t>. I dalje se povećava broj lica koja prvi put traže zaposlenje, a naročito mladih visokoškolaca</w:t>
            </w:r>
            <w:r w:rsidRPr="001F7B8D">
              <w:rPr>
                <w:b/>
                <w:sz w:val="20"/>
                <w:szCs w:val="18"/>
              </w:rPr>
              <w:t>. Oglašena su 1182 slobodna radna mjesta</w:t>
            </w:r>
            <w:r>
              <w:rPr>
                <w:sz w:val="20"/>
                <w:szCs w:val="18"/>
              </w:rPr>
              <w:t xml:space="preserve"> u martu 2013 što je 39,1% manje nego u istom mjesecu prethodne godine,a naročito je smanjen broj koji se odnosi na visokoškolce (82,4%). </w:t>
            </w:r>
            <w:r w:rsidRPr="00FB320E">
              <w:rPr>
                <w:b/>
                <w:sz w:val="20"/>
                <w:szCs w:val="18"/>
              </w:rPr>
              <w:t>Istovremeno je izdato 2280 radnih dozvola strancima</w:t>
            </w:r>
            <w:r>
              <w:rPr>
                <w:sz w:val="20"/>
                <w:szCs w:val="18"/>
              </w:rPr>
              <w:t xml:space="preserve"> (37,8% više), odnosno ukupno za cijeli kvartal 4920. </w:t>
            </w:r>
            <w:r w:rsidRPr="00FB320E">
              <w:rPr>
                <w:b/>
                <w:sz w:val="20"/>
                <w:szCs w:val="18"/>
              </w:rPr>
              <w:t>Prosječna zarada u martu 2013. je iznosila 723€, a smanjena je 1,5</w:t>
            </w:r>
            <w:r>
              <w:rPr>
                <w:sz w:val="20"/>
                <w:szCs w:val="18"/>
              </w:rPr>
              <w:t xml:space="preserve">% u periodu januar-mart 2013. u odnosu na januar-mart 2012. </w:t>
            </w:r>
            <w:r w:rsidRPr="00FB320E">
              <w:rPr>
                <w:b/>
                <w:sz w:val="20"/>
                <w:szCs w:val="18"/>
              </w:rPr>
              <w:t xml:space="preserve">Prosječna neto zarada je u martu 2013. iznosila 476, a </w:t>
            </w:r>
            <w:r w:rsidR="007F40A8">
              <w:rPr>
                <w:b/>
                <w:sz w:val="20"/>
                <w:szCs w:val="18"/>
              </w:rPr>
              <w:t>nominalno</w:t>
            </w:r>
            <w:r w:rsidRPr="00FB320E">
              <w:rPr>
                <w:b/>
                <w:sz w:val="20"/>
                <w:szCs w:val="18"/>
              </w:rPr>
              <w:t xml:space="preserve"> je smanjena 2,4</w:t>
            </w:r>
            <w:r>
              <w:rPr>
                <w:sz w:val="20"/>
                <w:szCs w:val="18"/>
              </w:rPr>
              <w:t xml:space="preserve">%. </w:t>
            </w:r>
            <w:r w:rsidR="007F40A8">
              <w:rPr>
                <w:b/>
                <w:sz w:val="20"/>
                <w:szCs w:val="18"/>
              </w:rPr>
              <w:t>Realne zarade bez poreza i</w:t>
            </w:r>
            <w:r w:rsidRPr="00FB320E">
              <w:rPr>
                <w:b/>
                <w:sz w:val="20"/>
                <w:szCs w:val="18"/>
              </w:rPr>
              <w:t xml:space="preserve"> doprinosa </w:t>
            </w:r>
            <w:r w:rsidR="007F40A8">
              <w:rPr>
                <w:b/>
                <w:sz w:val="20"/>
                <w:szCs w:val="18"/>
              </w:rPr>
              <w:t>realno su manje za 5,8%.</w:t>
            </w:r>
            <w:r w:rsidRPr="00FB320E">
              <w:rPr>
                <w:b/>
                <w:sz w:val="20"/>
                <w:szCs w:val="18"/>
              </w:rPr>
              <w:t xml:space="preserve"> </w:t>
            </w:r>
          </w:p>
          <w:p w:rsidR="00F4195C" w:rsidRPr="00AD1B16" w:rsidRDefault="00F4195C" w:rsidP="0023490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  <w:vAlign w:val="center"/>
          </w:tcPr>
          <w:p w:rsidR="00F4195C" w:rsidRPr="00AD1B16" w:rsidRDefault="00F4195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716A7D" w:rsidRPr="00AD1B16" w:rsidTr="009526D1">
        <w:trPr>
          <w:trHeight w:val="236"/>
        </w:trPr>
        <w:tc>
          <w:tcPr>
            <w:tcW w:w="7054" w:type="dxa"/>
            <w:tcBorders>
              <w:top w:val="thinThickSmallGap" w:sz="18" w:space="0" w:color="auto"/>
              <w:bottom w:val="single" w:sz="4" w:space="0" w:color="auto"/>
            </w:tcBorders>
          </w:tcPr>
          <w:p w:rsidR="00716A7D" w:rsidRPr="00AD1B16" w:rsidRDefault="00A46C9C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D1B16">
              <w:lastRenderedPageBreak/>
              <w:br w:type="page"/>
            </w:r>
            <w:r w:rsidR="00716A7D" w:rsidRPr="00AD1B16">
              <w:rPr>
                <w:b/>
                <w:bCs/>
                <w:sz w:val="20"/>
                <w:szCs w:val="20"/>
              </w:rPr>
              <w:t>Javne</w:t>
            </w:r>
            <w:r w:rsidR="00F13EE1">
              <w:rPr>
                <w:b/>
                <w:bCs/>
                <w:sz w:val="20"/>
                <w:szCs w:val="20"/>
              </w:rPr>
              <w:t xml:space="preserve"> </w:t>
            </w:r>
            <w:r w:rsidR="00716A7D" w:rsidRPr="00AD1B16">
              <w:rPr>
                <w:b/>
                <w:bCs/>
                <w:sz w:val="20"/>
                <w:szCs w:val="20"/>
              </w:rPr>
              <w:t>finansije</w:t>
            </w:r>
          </w:p>
        </w:tc>
        <w:tc>
          <w:tcPr>
            <w:tcW w:w="3686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487296" w:rsidRPr="00AD1B16" w:rsidRDefault="00A20787" w:rsidP="00F70CC9">
            <w:pPr>
              <w:ind w:left="-250"/>
              <w:jc w:val="center"/>
            </w:pPr>
            <w:r w:rsidRPr="00A20787">
              <w:rPr>
                <w:noProof/>
                <w:lang w:val="sr-Latn-CS" w:eastAsia="sr-Latn-CS"/>
              </w:rPr>
              <w:drawing>
                <wp:inline distT="0" distB="0" distL="0" distR="0">
                  <wp:extent cx="2350770" cy="2542540"/>
                  <wp:effectExtent l="19050" t="0" r="1143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D0474" w:rsidRPr="00AD1B16" w:rsidTr="00920528">
        <w:trPr>
          <w:trHeight w:val="3425"/>
        </w:trPr>
        <w:tc>
          <w:tcPr>
            <w:tcW w:w="7054" w:type="dxa"/>
            <w:tcBorders>
              <w:top w:val="single" w:sz="4" w:space="0" w:color="auto"/>
            </w:tcBorders>
          </w:tcPr>
          <w:p w:rsidR="00A20787" w:rsidRPr="007F40A8" w:rsidRDefault="00A20787" w:rsidP="00A20787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</w:pPr>
            <w:r w:rsidRPr="005149E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hr-HR" w:eastAsia="sr-Latn-CS"/>
              </w:rPr>
              <w:t xml:space="preserve">Martovski izvorni prihodi budzeta Crne Gore veći su u odnosu na 2012 godinu, kao i u odnosu na planirane prihode u 2013 godini. </w:t>
            </w:r>
            <w:r w:rsidRPr="005149E4"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  <w:t>što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  <w:t xml:space="preserve"> je rezultat vladinih mjera na suzbijanju sive ekonomije.</w:t>
            </w:r>
            <w:r w:rsidRPr="007F40A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hr-HR" w:eastAsia="sr-Latn-CS"/>
              </w:rPr>
              <w:t xml:space="preserve"> Izvorni budzetski prihodi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  <w:t xml:space="preserve"> u martu 2013. godine iznosili su 88,29 mil.€ i veci su za 15,74% u odnosu na mart 2012 godine, a za 6,44% su veci od planiranih u 2013. Primijetno je povecanje prihoda kod svih vrsta prihoda izuzev kod </w:t>
            </w:r>
            <w:r w:rsidRPr="007F40A8">
              <w:rPr>
                <w:rFonts w:asciiTheme="minorHAnsi" w:hAnsiTheme="minorHAnsi" w:cstheme="minorHAnsi"/>
                <w:sz w:val="20"/>
                <w:szCs w:val="20"/>
              </w:rPr>
              <w:t>poreza na međunarodnu trgovinu i transakcije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  <w:t>.</w:t>
            </w:r>
          </w:p>
          <w:p w:rsidR="00A20787" w:rsidRPr="007F40A8" w:rsidRDefault="00A20787" w:rsidP="00A20787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</w:pPr>
            <w:r w:rsidRPr="007F40A8">
              <w:rPr>
                <w:rFonts w:asciiTheme="minorHAnsi" w:hAnsiTheme="minorHAnsi" w:cstheme="minorHAnsi"/>
                <w:b/>
                <w:iCs/>
                <w:sz w:val="20"/>
                <w:szCs w:val="20"/>
                <w:lang w:val="hr-HR" w:eastAsia="sr-Latn-CS"/>
              </w:rPr>
              <w:t>Izdaci budzeta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 w:eastAsia="sr-Latn-CS"/>
              </w:rPr>
              <w:t xml:space="preserve"> iznosili su 106,19 mil € i bili su veci za 21,31 mil.€ u odnosu na isti period 2012. i za 2,19 mil € veći u odnosu na plan. Povecanje je uslijedilo zbog većih izdatka po osnovu prava iz oblasti penziskog i invalidskog osiguranja, transfera institucijama pojedincima nevladinom I javnom sektoru, kao i izdataka za kapitalni budzet.</w:t>
            </w:r>
          </w:p>
          <w:p w:rsidR="00F74097" w:rsidRPr="00A20787" w:rsidRDefault="00A20787" w:rsidP="00A20787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F40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val="hr-HR"/>
              </w:rPr>
              <w:t>Budzetski deficit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 xml:space="preserve"> iznosio je 17,19 mil € 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 niž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>i je od deficit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a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 xml:space="preserve"> u martu 2012 godine za 9,30 mil. €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 xml:space="preserve"> </w:t>
            </w:r>
            <w:r w:rsidRPr="007F40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val="hr-HR"/>
              </w:rPr>
              <w:t>Drzavni dug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 xml:space="preserve"> na kraju marta 2013 iznosio je 1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.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 xml:space="preserve">755,70 mil. € ili 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49,92% 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 xml:space="preserve">procijenjenog BDV-a. </w:t>
            </w:r>
            <w:r w:rsidRPr="007F40A8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i</w:t>
            </w:r>
            <w:r w:rsidRPr="007F40A8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  <w:lang w:val="hr-HR"/>
              </w:rPr>
              <w:t>  </w:t>
            </w:r>
            <w:r w:rsidRPr="007F40A8">
              <w:rPr>
                <w:rFonts w:asciiTheme="minorHAnsi" w:hAnsiTheme="minorHAnsi" w:cstheme="minorHAnsi"/>
                <w:sz w:val="20"/>
                <w:szCs w:val="20"/>
              </w:rPr>
              <w:t xml:space="preserve"> povećan je za 1,3% u odnosu na prethodni mjes</w:t>
            </w:r>
            <w:r w:rsidR="00866AE8">
              <w:rPr>
                <w:rFonts w:asciiTheme="minorHAnsi" w:hAnsiTheme="minorHAnsi" w:cstheme="minorHAnsi"/>
                <w:sz w:val="20"/>
                <w:szCs w:val="20"/>
              </w:rPr>
              <w:t>ec. Unutrašnji dug iznosio je 4</w:t>
            </w:r>
            <w:r w:rsidRPr="007F40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66AE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7F40A8">
              <w:rPr>
                <w:rFonts w:asciiTheme="minorHAnsi" w:hAnsiTheme="minorHAnsi" w:cstheme="minorHAnsi"/>
                <w:sz w:val="20"/>
                <w:szCs w:val="20"/>
              </w:rPr>
              <w:t xml:space="preserve">,3 mil. €, a dug prema nerezidentima </w:t>
            </w:r>
            <w:r w:rsidRPr="007F40A8">
              <w:rPr>
                <w:rFonts w:asciiTheme="minorHAnsi" w:hAnsiTheme="minorHAnsi" w:cstheme="minorHAnsi"/>
                <w:bCs/>
                <w:sz w:val="20"/>
                <w:szCs w:val="20"/>
              </w:rPr>
              <w:t>1335,40</w:t>
            </w:r>
            <w:r w:rsidRPr="007F40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F40A8">
              <w:rPr>
                <w:rFonts w:asciiTheme="minorHAnsi" w:hAnsiTheme="minorHAnsi" w:cstheme="minorHAnsi"/>
                <w:sz w:val="20"/>
                <w:szCs w:val="20"/>
              </w:rPr>
              <w:t>mil. €.</w:t>
            </w:r>
          </w:p>
        </w:tc>
        <w:tc>
          <w:tcPr>
            <w:tcW w:w="3686" w:type="dxa"/>
            <w:gridSpan w:val="2"/>
            <w:vMerge/>
            <w:tcBorders>
              <w:top w:val="nil"/>
            </w:tcBorders>
            <w:vAlign w:val="center"/>
          </w:tcPr>
          <w:p w:rsidR="00AD0474" w:rsidRPr="00AD1B16" w:rsidRDefault="00AD0474" w:rsidP="00461324">
            <w:pPr>
              <w:jc w:val="center"/>
              <w:rPr>
                <w:noProof/>
              </w:rPr>
            </w:pPr>
          </w:p>
        </w:tc>
      </w:tr>
      <w:tr w:rsidR="00ED66A9" w:rsidRPr="00AD1B16" w:rsidTr="009526D1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ED66A9" w:rsidRPr="00AD1B16" w:rsidRDefault="00ED66A9" w:rsidP="00461324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Bankarski</w:t>
            </w:r>
            <w:r w:rsidR="00812E0B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sektor</w:t>
            </w:r>
            <w:r w:rsidR="00812E0B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i</w:t>
            </w:r>
            <w:r w:rsidR="00812E0B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likvidnost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ED66A9" w:rsidRPr="00AD1B16" w:rsidRDefault="0001616B" w:rsidP="00A2097F">
            <w:pPr>
              <w:ind w:left="-250"/>
              <w:jc w:val="center"/>
            </w:pPr>
            <w:r w:rsidRPr="0001616B">
              <w:rPr>
                <w:noProof/>
                <w:lang w:val="sr-Latn-CS" w:eastAsia="sr-Latn-CS"/>
              </w:rPr>
              <w:drawing>
                <wp:inline distT="0" distB="0" distL="0" distR="0">
                  <wp:extent cx="2484000" cy="2365091"/>
                  <wp:effectExtent l="0" t="0" r="0" b="0"/>
                  <wp:docPr id="8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A46C9C" w:rsidRPr="00AD1B16" w:rsidTr="00920528">
        <w:trPr>
          <w:trHeight w:val="4232"/>
        </w:trPr>
        <w:tc>
          <w:tcPr>
            <w:tcW w:w="7054" w:type="dxa"/>
            <w:tcBorders>
              <w:top w:val="single" w:sz="4" w:space="0" w:color="auto"/>
            </w:tcBorders>
          </w:tcPr>
          <w:tbl>
            <w:tblPr>
              <w:tblStyle w:val="TableGrid"/>
              <w:tblW w:w="10740" w:type="dxa"/>
              <w:tblBorders>
                <w:top w:val="thinThickSmallGap" w:sz="18" w:space="0" w:color="auto"/>
                <w:left w:val="none" w:sz="0" w:space="0" w:color="auto"/>
                <w:bottom w:val="thinThickSmallGap" w:sz="18" w:space="0" w:color="auto"/>
                <w:right w:val="none" w:sz="0" w:space="0" w:color="auto"/>
                <w:insideH w:val="thinThickSmallGap" w:sz="18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912"/>
              <w:gridCol w:w="3828"/>
            </w:tblGrid>
            <w:tr w:rsidR="00681A9E" w:rsidTr="009526D1">
              <w:trPr>
                <w:trHeight w:val="3899"/>
              </w:trPr>
              <w:tc>
                <w:tcPr>
                  <w:tcW w:w="69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C2D80" w:rsidRDefault="00AC2D80" w:rsidP="00AC2D80">
                  <w:pPr>
                    <w:pStyle w:val="NormalWeb"/>
                    <w:spacing w:before="0" w:beforeAutospacing="0"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</w:pPr>
                  <w:r w:rsidRPr="00D621AA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Pozitivni trendovi u bankarskom sektoru su se ispoljili u martu kroz rast ukupnog kapitala, kredita i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 depozita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. Ukupan </w:t>
                  </w:r>
                  <w:r w:rsidRPr="00685AF4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kapita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l banaka na kraju marta je iznosio 396,7 mil.€, i povećan je za 37,4%, ili 108,0 mil .€ u odnosu na kraj  prethodne godine.Rast su zabilježili i </w:t>
                  </w:r>
                  <w:r w:rsidRPr="00D1663C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ukupni </w:t>
                  </w:r>
                  <w:r w:rsidRPr="00685AF4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depoziti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,</w:t>
                  </w:r>
                  <w:r w:rsidRPr="00685AF4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koji su sa iznosom od 1.999,3 mil. € ostvarili  povećanje od 0,9 % na mjesečnom  i  11,5 % na godišnjem nivou.Od ukupnog iznosa depozita , na depozite stanovništva se odnosilo 1165,o mil. € ili 58,3 %,  a na  depozite privrede  525,4 mil. € ili 26,3 %. </w:t>
                  </w:r>
                  <w:r w:rsidRPr="00D1663C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Ukupni krediti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i ostala potraživanja  su u martu povećani za 6,4 % u odnosu na kraj prethodne godine i 6,0 % na godišnjem nivou.</w:t>
                  </w:r>
                  <w:r w:rsidR="00A43854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Ovakav rast kredita je djelimično uslovljen i primjenom međunarodnih računovodstvenih standarda ,čija je primjena počela početkom ove godine.U ročnoj strukturi kredita dominiraju dugoročni krediti sa 65,8 %, što predstavlja nešto veći udio nego na kraju prethodnog mjeseca (64,7%).Učešće </w:t>
                  </w:r>
                  <w:r w:rsidRPr="00386CCE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nekvalitetnih kredita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i ostalih potraživanja u ukupnim kreditima je krajem marta iznosilo 18,7 %. Visok nivo nekvalitetnih kredita ukazuje na sistemski problem uticaja </w:t>
                  </w:r>
                  <w:r w:rsidRPr="0004436C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nelikvidnosti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realnog sektora na stanje u bankarskom sektoru. U  martu  je bilo evidentirano  52.680  pravnih i fizičkih lica, koji obavljaju neku djelatnost, Ili 0,8%  više nego u februaru. U blokadi je bilo  12.459  firmi ili 23.65 % ,koje su ukupno dugovale 425,9 mil. €, ili 2,8%   manje u odnosu na prethodni mjesec.</w:t>
                  </w:r>
                </w:p>
                <w:p w:rsidR="00681A9E" w:rsidRDefault="00681A9E" w:rsidP="0098562F">
                  <w:pPr>
                    <w:pStyle w:val="NormalWeb"/>
                    <w:spacing w:before="0" w:beforeAutospacing="0" w:after="0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7"/>
                    </w:rPr>
                  </w:pPr>
                </w:p>
              </w:tc>
              <w:tc>
                <w:tcPr>
                  <w:tcW w:w="3828" w:type="dxa"/>
                  <w:tcBorders>
                    <w:top w:val="thinThickSmallGap" w:sz="1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1A9E" w:rsidRDefault="00681A9E"/>
              </w:tc>
            </w:tr>
          </w:tbl>
          <w:p w:rsidR="00A46C9C" w:rsidRPr="00812E0B" w:rsidRDefault="00A46C9C" w:rsidP="00447221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sz w:val="20"/>
                <w:szCs w:val="17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46C9C" w:rsidRPr="00AD1B16" w:rsidRDefault="00A46C9C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A46C9C" w:rsidRPr="00AD1B16" w:rsidTr="009526D1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A46C9C" w:rsidRPr="00AD1B16" w:rsidRDefault="00A46C9C" w:rsidP="00734688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Spoljnotrgovinska</w:t>
            </w:r>
            <w:r w:rsidR="00553E61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razmjena</w:t>
            </w:r>
            <w:r w:rsidR="00553E61">
              <w:rPr>
                <w:b/>
                <w:bCs/>
                <w:sz w:val="20"/>
                <w:szCs w:val="20"/>
              </w:rPr>
              <w:t xml:space="preserve"> </w:t>
            </w:r>
            <w:r w:rsidR="00734688">
              <w:rPr>
                <w:b/>
                <w:bCs/>
                <w:sz w:val="20"/>
                <w:szCs w:val="20"/>
              </w:rPr>
              <w:t xml:space="preserve"> i</w:t>
            </w:r>
            <w:r w:rsidR="00553E61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investicije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46C9C" w:rsidRPr="00AD1B16" w:rsidRDefault="00763F01" w:rsidP="00B74947">
            <w:pPr>
              <w:ind w:left="-250"/>
              <w:jc w:val="center"/>
              <w:rPr>
                <w:sz w:val="17"/>
                <w:szCs w:val="17"/>
              </w:rPr>
            </w:pPr>
            <w:r w:rsidRPr="00763F01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465222" cy="2275027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46C9C" w:rsidRPr="00AD1B16" w:rsidTr="009526D1">
        <w:trPr>
          <w:trHeight w:val="4010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46C9C" w:rsidRPr="002A4910" w:rsidRDefault="00625943" w:rsidP="00807379">
            <w:pPr>
              <w:jc w:val="both"/>
              <w:rPr>
                <w:sz w:val="16"/>
                <w:szCs w:val="16"/>
              </w:rPr>
            </w:pPr>
            <w:r w:rsidRPr="005149E4">
              <w:rPr>
                <w:rFonts w:cstheme="minorHAnsi"/>
                <w:b/>
                <w:sz w:val="20"/>
                <w:szCs w:val="18"/>
                <w:lang w:val="sr-Latn-CS"/>
              </w:rPr>
              <w:t xml:space="preserve">Trenutna konjuktura u proizvodnji električne energije uticala je na kratkoročnu promjenu strukture i visine spoljnotrgovinskog deficita. 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Robnu razmjenu Crne Gore u </w:t>
            </w:r>
            <w:r w:rsidRPr="005149E4">
              <w:rPr>
                <w:rFonts w:cstheme="minorHAnsi"/>
                <w:b/>
                <w:sz w:val="20"/>
                <w:szCs w:val="18"/>
                <w:lang w:val="sr-Latn-CS"/>
              </w:rPr>
              <w:t>prvom kvartalu 2013.godine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 karakteriše smanjenje spoljnotrgovinskog deficita i povećanje izvoza, dok je uvoz imao smanjenu vrijednost.  Kretanje izvoza i uvoza uticali su da se  </w:t>
            </w:r>
            <w:r w:rsidRPr="005149E4">
              <w:rPr>
                <w:rFonts w:cstheme="minorHAnsi"/>
                <w:b/>
                <w:sz w:val="20"/>
                <w:szCs w:val="18"/>
                <w:lang w:val="sr-Latn-CS"/>
              </w:rPr>
              <w:t>ukupna razmjena sa inostranstvom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 smanji za 6,5% u odnosu na isti period prethodne godine i iznosi 451,4mil.€. Spoljnotrgovinski deficit je iznosio 273,0mil.€, što je za 12,8% manje nego u istom periodu 2012.godine. Jedan od pokazatelja pozitivnih kretanja u robnoj razmjeni je pokrivenost uvoza izvozom koja je iznosila 24,6% i veća je za 3,3% nego u prvom kvartalu 2012.godine. </w:t>
            </w:r>
            <w:r w:rsidRPr="005149E4">
              <w:rPr>
                <w:rFonts w:cstheme="minorHAnsi"/>
                <w:sz w:val="20"/>
                <w:szCs w:val="18"/>
              </w:rPr>
              <w:t xml:space="preserve">Ukupan </w:t>
            </w:r>
            <w:r w:rsidRPr="005149E4">
              <w:rPr>
                <w:rFonts w:cstheme="minorHAnsi"/>
                <w:b/>
                <w:sz w:val="20"/>
                <w:szCs w:val="18"/>
              </w:rPr>
              <w:t>i</w:t>
            </w:r>
            <w:r w:rsidRPr="005149E4">
              <w:rPr>
                <w:rFonts w:cstheme="minorHAnsi"/>
                <w:b/>
                <w:sz w:val="20"/>
                <w:szCs w:val="18"/>
                <w:lang w:val="sr-Latn-CS"/>
              </w:rPr>
              <w:t>zvoz</w:t>
            </w:r>
            <w:r w:rsidRPr="005149E4">
              <w:rPr>
                <w:rFonts w:cstheme="minorHAnsi"/>
                <w:sz w:val="20"/>
                <w:szCs w:val="18"/>
              </w:rPr>
              <w:t xml:space="preserve">  robe vrijedio je  89,2mil.€ ili 5,2% više, ali njegovo učešće u ukupnoj razmjeni je i dalje nisko i iznosi 19,8%. </w:t>
            </w:r>
            <w:r w:rsidRPr="005149E4">
              <w:rPr>
                <w:rFonts w:cstheme="minorHAnsi"/>
                <w:b/>
                <w:sz w:val="20"/>
                <w:szCs w:val="18"/>
              </w:rPr>
              <w:t>Uvoz</w:t>
            </w:r>
            <w:r w:rsidRPr="005149E4">
              <w:rPr>
                <w:rFonts w:cstheme="minorHAnsi"/>
                <w:sz w:val="20"/>
                <w:szCs w:val="18"/>
              </w:rPr>
              <w:t xml:space="preserve"> robe vrijedio je 362,2mil.€, što je za 9,0% niže.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 Na rast </w:t>
            </w:r>
            <w:r w:rsidRPr="005149E4">
              <w:rPr>
                <w:rFonts w:cstheme="minorHAnsi"/>
                <w:b/>
                <w:sz w:val="20"/>
                <w:szCs w:val="18"/>
                <w:lang w:val="sr-Latn-CS"/>
              </w:rPr>
              <w:t>izvoza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, najvećim dijelom uticao je izvoz električne energije (rast proizvodnje usljed povoljne hidrološke situacije), koji je povećan za 131,0% ( 27,5% ukupnog izvoza). Izvoz aluminijuma bilježi stopu pada od  36,0%  pod uticajem  smanjenja proizvodnje KAP-a i cijena metala na svjetskom tržištu, dok je izvoz  gvožđa i čelika smanjen čak za 44,0%. Pad  </w:t>
            </w:r>
            <w:r w:rsidRPr="005149E4">
              <w:rPr>
                <w:rFonts w:cstheme="minorHAnsi"/>
                <w:b/>
                <w:sz w:val="20"/>
                <w:szCs w:val="18"/>
                <w:lang w:val="sr-Latn-CS"/>
              </w:rPr>
              <w:t>uvoza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 roba je većim dijelom rezultat smanjenja uvoza električne energije </w:t>
            </w:r>
            <w:r w:rsidR="00807379" w:rsidRPr="005149E4">
              <w:rPr>
                <w:rFonts w:cstheme="minorHAnsi"/>
                <w:sz w:val="20"/>
                <w:szCs w:val="18"/>
                <w:lang w:val="sr-Latn-CS"/>
              </w:rPr>
              <w:t xml:space="preserve">za 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>64,0%</w:t>
            </w:r>
            <w:r w:rsidR="00807379" w:rsidRPr="005149E4">
              <w:rPr>
                <w:rFonts w:cstheme="minorHAnsi"/>
                <w:sz w:val="20"/>
                <w:szCs w:val="18"/>
                <w:lang w:val="sr-Latn-CS"/>
              </w:rPr>
              <w:t xml:space="preserve"> 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 xml:space="preserve"> i  nafte i naftnih derivata </w:t>
            </w:r>
            <w:r w:rsidR="00807379" w:rsidRPr="005149E4">
              <w:rPr>
                <w:rFonts w:cstheme="minorHAnsi"/>
                <w:sz w:val="20"/>
                <w:szCs w:val="18"/>
                <w:lang w:val="sr-Latn-CS"/>
              </w:rPr>
              <w:t xml:space="preserve">za </w:t>
            </w:r>
            <w:r w:rsidRPr="005149E4">
              <w:rPr>
                <w:rFonts w:cstheme="minorHAnsi"/>
                <w:sz w:val="20"/>
                <w:szCs w:val="18"/>
                <w:lang w:val="sr-Latn-CS"/>
              </w:rPr>
              <w:t>18,0%. Uvoz robe široke potrošnje smanjen je za 4,0% (19,2% ukupnog uvoza), dok je uvoz proizvoda kategorije „mašine i transportni uređaji“ ostao na približno istom nivou kao i u prvom kvartalu 2012.godine. Posmatrano prema glavnim ekonomskim grupacijama, Crna Gora je ostvarila najveći  promet sa  zemljama CEFTA-e i to 59,6% ukupnog izvoza i 40,5% ukupnog uvoza. Sa zemljama  EU-27 ostvareno je 30,7% ukupnog izvoza i 37,3% ukupnog</w:t>
            </w:r>
            <w:r w:rsidR="00157D53" w:rsidRPr="005149E4">
              <w:rPr>
                <w:rFonts w:cstheme="minorHAnsi"/>
                <w:sz w:val="20"/>
                <w:szCs w:val="18"/>
                <w:lang w:val="sr-Latn-CS"/>
              </w:rPr>
              <w:t xml:space="preserve"> uvoza.</w:t>
            </w:r>
          </w:p>
        </w:tc>
        <w:tc>
          <w:tcPr>
            <w:tcW w:w="3686" w:type="dxa"/>
            <w:gridSpan w:val="2"/>
            <w:vMerge/>
            <w:tcBorders>
              <w:bottom w:val="nil"/>
            </w:tcBorders>
            <w:vAlign w:val="center"/>
          </w:tcPr>
          <w:p w:rsidR="00A46C9C" w:rsidRPr="00AD1B16" w:rsidRDefault="00A46C9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CD1303" w:rsidRPr="00AD1B16" w:rsidRDefault="00CD1303" w:rsidP="00D51C00">
      <w:pPr>
        <w:sectPr w:rsidR="00CD1303" w:rsidRPr="00AD1B16" w:rsidSect="008D4618">
          <w:pgSz w:w="11907" w:h="16839" w:code="9"/>
          <w:pgMar w:top="720" w:right="720" w:bottom="567" w:left="720" w:header="720" w:footer="720" w:gutter="0"/>
          <w:cols w:space="720"/>
          <w:docGrid w:linePitch="360"/>
        </w:sectPr>
      </w:pPr>
    </w:p>
    <w:p w:rsidR="00D61692" w:rsidRPr="00AD1B16" w:rsidRDefault="00D61692" w:rsidP="00D6169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lastRenderedPageBreak/>
        <w:t xml:space="preserve">Tabela 1: </w:t>
      </w:r>
      <w:r w:rsidRPr="00AD1B16">
        <w:rPr>
          <w:b/>
          <w:bCs/>
          <w:sz w:val="17"/>
          <w:szCs w:val="16"/>
        </w:rPr>
        <w:t>MAKROEKONOMSKI INDIKATORI</w:t>
      </w:r>
      <w:r w:rsidRPr="00AD1B16">
        <w:rPr>
          <w:sz w:val="17"/>
          <w:szCs w:val="16"/>
        </w:rPr>
        <w:t xml:space="preserve"> –</w:t>
      </w:r>
      <w:r w:rsidR="00B56EE7">
        <w:rPr>
          <w:sz w:val="17"/>
          <w:szCs w:val="16"/>
        </w:rPr>
        <w:t>Mart</w:t>
      </w:r>
      <w:r w:rsidRPr="00AD1B16">
        <w:rPr>
          <w:sz w:val="17"/>
          <w:szCs w:val="16"/>
        </w:rPr>
        <w:t xml:space="preserve"> 201</w:t>
      </w:r>
      <w:r w:rsidR="00B56EE7">
        <w:rPr>
          <w:sz w:val="17"/>
          <w:szCs w:val="16"/>
        </w:rPr>
        <w:t>3</w:t>
      </w:r>
      <w:r w:rsidR="000F5B09" w:rsidRPr="00AD1B16">
        <w:rPr>
          <w:sz w:val="17"/>
          <w:szCs w:val="16"/>
        </w:rPr>
        <w:t>.</w:t>
      </w:r>
    </w:p>
    <w:p w:rsidR="005D751B" w:rsidRPr="00AD1B16" w:rsidRDefault="008D6E96" w:rsidP="00303D85">
      <w:pPr>
        <w:spacing w:after="0" w:line="240" w:lineRule="auto"/>
        <w:rPr>
          <w:b/>
          <w:i/>
          <w:sz w:val="16"/>
          <w:szCs w:val="16"/>
        </w:rPr>
      </w:pPr>
      <w:bookmarkStart w:id="1" w:name="_GoBack"/>
      <w:bookmarkEnd w:id="1"/>
      <w:r w:rsidRPr="00AD1B16">
        <w:rPr>
          <w:b/>
          <w:i/>
          <w:sz w:val="16"/>
          <w:szCs w:val="16"/>
        </w:rPr>
        <w:t>Izvor: Monstat, Centralna Banka, Zavod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zapošljavanje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Crne Gor</w:t>
      </w:r>
      <w:r w:rsidR="005D751B" w:rsidRPr="00AD1B16">
        <w:rPr>
          <w:b/>
          <w:i/>
          <w:sz w:val="16"/>
          <w:szCs w:val="16"/>
        </w:rPr>
        <w:t>e</w:t>
      </w:r>
    </w:p>
    <w:p w:rsidR="005D751B" w:rsidRPr="00AD1B16" w:rsidRDefault="005D751B" w:rsidP="00303D85">
      <w:pPr>
        <w:spacing w:after="0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Svi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prikazani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kao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godišnje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stope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rasta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isti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godine u %) ukoliko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drugačije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naznačeno u nazivu</w:t>
      </w:r>
    </w:p>
    <w:p w:rsidR="00B56EE7" w:rsidRDefault="005D751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M-n-M označava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mjesečnu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promjenu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 u 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92"/>
        <w:gridCol w:w="667"/>
        <w:gridCol w:w="733"/>
        <w:gridCol w:w="733"/>
        <w:gridCol w:w="733"/>
        <w:gridCol w:w="733"/>
        <w:gridCol w:w="749"/>
        <w:gridCol w:w="667"/>
        <w:gridCol w:w="667"/>
        <w:gridCol w:w="667"/>
        <w:gridCol w:w="667"/>
        <w:gridCol w:w="667"/>
        <w:gridCol w:w="749"/>
        <w:gridCol w:w="749"/>
        <w:gridCol w:w="749"/>
        <w:gridCol w:w="749"/>
        <w:gridCol w:w="662"/>
        <w:gridCol w:w="668"/>
        <w:gridCol w:w="698"/>
      </w:tblGrid>
      <w:tr w:rsidR="00215CF1" w:rsidRPr="00215CF1" w:rsidTr="00215CF1">
        <w:trPr>
          <w:trHeight w:val="315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2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2012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2013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mar 2013</w:t>
            </w:r>
          </w:p>
        </w:tc>
      </w:tr>
      <w:tr w:rsidR="00215CF1" w:rsidRPr="00215CF1" w:rsidTr="00215CF1">
        <w:trPr>
          <w:trHeight w:val="7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III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IV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VIII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XII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M-n-M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mar 2013 / mar 2012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jan - mar 2013 / jan - mar 2012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-24,5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-16,10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-24,40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24,6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-4,40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11,60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33,10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-18,50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-20,40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-40,50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-20,30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-34,40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22,8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-34,4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-34,5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-7,10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-2,1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21,3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16,30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18,60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8,8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-23,7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6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n/d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160.880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162.035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162.569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163.744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165.776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162.567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173.124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173.024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169.877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168.701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168.589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167.484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167.738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31.339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31.495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31.562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31.320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30.126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29.411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28.686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28.549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28.272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29.540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30.718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31.232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32.986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20,7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20,0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18,8</w:t>
            </w:r>
          </w:p>
        </w:tc>
        <w:tc>
          <w:tcPr>
            <w:tcW w:w="6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1.942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3.003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3.685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4.146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2.651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2.766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1.182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102,7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-39,1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-37,6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754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-1,5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-2,4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2.336,7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2.335,6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2.349,6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2.327,6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2.327,5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2.345,2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2.374,7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2.401,4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2.425,3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2.361,5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2.338,1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2.342,0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2.490,7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5C7E28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1.784,3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1.796,1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1.792,6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1.809,3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1.818,9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1.843,4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1.916,6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1.954,4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2.001,1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1.965,5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1.982,9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1.980,7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1.999,3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944,4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948,1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959,0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964,4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961,5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955,7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951,8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931,4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922,3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904,9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918,2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912,3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995,3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1.001,4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1.014,0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832,3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826,2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828,8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829,6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830,3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831,7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827,6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824,6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825,2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821,6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818,1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809,2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865,8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460,2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465,0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453,8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465,8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483,0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527,4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552,1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569,2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549,5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546,4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526,5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525,4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15,8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1.024,7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1.034,1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1.034,0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1.044,8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1.043,3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1.051,4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1.086,6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1.108,3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1.113,7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1.114,7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1.134,7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1.146,8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1.165,0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 xml:space="preserve">3,32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-0,02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27,5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23,9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33,4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34,5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26,5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99,9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106,5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191,5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151,0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177,6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147,7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158,6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136,6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139,5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113,8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138,1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-27,9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-9,0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-72,4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-158,1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-119,7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-133,2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-138,9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-146,3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-141,6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-117,6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-132,2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-104,3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-107,0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-108,2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-31,6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-12,8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25,9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25,8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34,4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58,9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92,7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77,3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122,2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122,9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119,3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101,7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104,5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114,7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108,5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108,2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-9,6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-6,4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2.151,3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2.207,9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2.184,2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2.048,5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2.002,5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1.885,5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1.876,3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1.843,3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2.064,1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1.974,3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1.948,8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2.086,8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1.911,3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-12,5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-8,3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</w:tr>
      <w:tr w:rsidR="00215CF1" w:rsidRPr="00215CF1" w:rsidTr="00215CF1">
        <w:trPr>
          <w:trHeight w:hRule="exact" w:val="22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1" w:rsidRPr="00215CF1" w:rsidRDefault="00215CF1" w:rsidP="00215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215CF1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-0,9</w:t>
            </w:r>
          </w:p>
        </w:tc>
      </w:tr>
    </w:tbl>
    <w:p w:rsidR="003A1150" w:rsidRPr="00AD1B16" w:rsidRDefault="003A1150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97377E" w:rsidRPr="00AD1B16" w:rsidRDefault="0097377E" w:rsidP="003A1150">
      <w:pPr>
        <w:spacing w:after="0" w:line="240" w:lineRule="auto"/>
        <w:jc w:val="both"/>
        <w:rPr>
          <w:i/>
          <w:iCs/>
          <w:sz w:val="12"/>
          <w:szCs w:val="12"/>
        </w:rPr>
      </w:pPr>
    </w:p>
    <w:p w:rsidR="00690A2B" w:rsidRDefault="00D61692" w:rsidP="00DA35C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t xml:space="preserve">Tabela 2: </w:t>
      </w:r>
      <w:r w:rsidRPr="00AD1B16">
        <w:rPr>
          <w:b/>
          <w:bCs/>
          <w:sz w:val="17"/>
          <w:szCs w:val="16"/>
        </w:rPr>
        <w:t>BUDŽET CRNE GORE</w:t>
      </w:r>
      <w:r w:rsidRPr="00AD1B16">
        <w:rPr>
          <w:sz w:val="17"/>
          <w:szCs w:val="16"/>
        </w:rPr>
        <w:t xml:space="preserve"> –</w:t>
      </w:r>
      <w:r w:rsidR="00AE78E8">
        <w:rPr>
          <w:sz w:val="17"/>
          <w:szCs w:val="16"/>
        </w:rPr>
        <w:t>Mart</w:t>
      </w:r>
      <w:r w:rsidRPr="00AD1B16">
        <w:rPr>
          <w:sz w:val="17"/>
          <w:szCs w:val="16"/>
        </w:rPr>
        <w:t xml:space="preserve"> 201</w:t>
      </w:r>
      <w:r w:rsidR="00AE78E8">
        <w:rPr>
          <w:sz w:val="17"/>
          <w:szCs w:val="16"/>
        </w:rPr>
        <w:t>3</w:t>
      </w:r>
      <w:r w:rsidR="000F5B09" w:rsidRPr="00AD1B16">
        <w:rPr>
          <w:sz w:val="17"/>
          <w:szCs w:val="16"/>
        </w:rPr>
        <w:t>.</w:t>
      </w:r>
    </w:p>
    <w:tbl>
      <w:tblPr>
        <w:tblW w:w="16441" w:type="dxa"/>
        <w:jc w:val="center"/>
        <w:tblInd w:w="103" w:type="dxa"/>
        <w:tblLayout w:type="fixed"/>
        <w:tblLook w:val="04A0"/>
      </w:tblPr>
      <w:tblGrid>
        <w:gridCol w:w="1892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48"/>
        <w:gridCol w:w="748"/>
        <w:gridCol w:w="677"/>
        <w:gridCol w:w="677"/>
        <w:gridCol w:w="707"/>
        <w:gridCol w:w="785"/>
        <w:gridCol w:w="851"/>
        <w:gridCol w:w="709"/>
      </w:tblGrid>
      <w:tr w:rsidR="00FC6CBD" w:rsidRPr="00FC6CBD" w:rsidTr="00FC6CBD">
        <w:trPr>
          <w:trHeight w:val="315"/>
          <w:jc w:val="center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</w:rPr>
              <w:t>BUDŽET CRNE GORE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Učešće u uk ostv Prihod/Rashod-u %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2012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2013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2013-plan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CBD">
              <w:rPr>
                <w:rFonts w:ascii="Calibri" w:eastAsia="Times New Roman" w:hAnsi="Calibri" w:cs="Calibri"/>
                <w:sz w:val="18"/>
                <w:szCs w:val="18"/>
              </w:rPr>
              <w:t>Analitika-MART</w:t>
            </w:r>
          </w:p>
        </w:tc>
      </w:tr>
      <w:tr w:rsidR="00FC6CBD" w:rsidRPr="00FC6CBD" w:rsidTr="00FC6CBD">
        <w:trPr>
          <w:trHeight w:val="1020"/>
          <w:jc w:val="center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VII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VIII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XI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XII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III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sz w:val="16"/>
                <w:szCs w:val="16"/>
              </w:rPr>
              <w:t>mar 2013/mar 2012(%)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sz w:val="16"/>
                <w:szCs w:val="16"/>
              </w:rPr>
              <w:t>jan-mar 2013/jan-mar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sz w:val="16"/>
                <w:szCs w:val="16"/>
              </w:rPr>
              <w:t>mar 2013/mar 2012 plan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IZVORNI PRIHODI, od čega: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76,28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98,76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95,94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108,52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95,84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99,23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85,31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125,85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54,54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75,64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88,29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56,41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72,07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82,94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6,44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Porezi i doprinosi na  zarade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40,32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33,23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39,30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34,83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32,63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41,77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48,37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32,88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42,82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35,50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14,21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34,57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35,60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32,15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35,13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1,34</w:t>
            </w:r>
          </w:p>
        </w:tc>
      </w:tr>
      <w:tr w:rsidR="00FC6CBD" w:rsidRPr="00FC6CBD" w:rsidTr="00FC6CBD">
        <w:trPr>
          <w:trHeight w:val="315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 na dobit pravnih 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0,79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1,06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13,73</w:t>
            </w:r>
          </w:p>
        </w:tc>
      </w:tr>
      <w:tr w:rsidR="00FC6CBD" w:rsidRPr="00FC6CBD" w:rsidTr="00FC6CBD">
        <w:trPr>
          <w:trHeight w:val="30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 na dodatu vrijednost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33,41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27,71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33,59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29,08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24,86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24,75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29,49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22,22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22,35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18,42</w:t>
            </w:r>
          </w:p>
        </w:tc>
      </w:tr>
      <w:tr w:rsidR="00FC6CBD" w:rsidRPr="00FC6CBD" w:rsidTr="00FC6CBD">
        <w:trPr>
          <w:trHeight w:val="30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Akcize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11,73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9,98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9,26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10,36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13,47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9,37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62,37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20,56</w:t>
            </w:r>
          </w:p>
        </w:tc>
      </w:tr>
      <w:tr w:rsidR="00FC6CBD" w:rsidRPr="00FC6CBD" w:rsidTr="00FC6CBD">
        <w:trPr>
          <w:trHeight w:val="315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 na medj trgovinu i transak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-42,61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-43,77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-46,55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IZDACI BUDŽETA, od čega 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84,88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150,06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102,72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97,73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117,66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100,50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137,23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80,87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91,11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106,19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106,33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3,53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2,11</w:t>
            </w:r>
          </w:p>
        </w:tc>
      </w:tr>
      <w:tr w:rsidR="00FC6CBD" w:rsidRPr="00FC6CBD" w:rsidTr="00FC6CBD">
        <w:trPr>
          <w:trHeight w:val="420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Bruto zarade i doprinosi na teret posl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29,18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-0,09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Rashodi za materijal i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21,04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12,39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3,61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7,97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-16,51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27,86</w:t>
            </w:r>
          </w:p>
        </w:tc>
      </w:tr>
      <w:tr w:rsidR="00FC6CBD" w:rsidRPr="00FC6CBD" w:rsidTr="00FC6CBD">
        <w:trPr>
          <w:trHeight w:val="30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Kamate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14,13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0,94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-29,06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-57,54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-67,94</w:t>
            </w:r>
          </w:p>
        </w:tc>
      </w:tr>
      <w:tr w:rsidR="00FC6CBD" w:rsidRPr="00FC6CBD" w:rsidTr="00FC6CBD">
        <w:trPr>
          <w:trHeight w:val="30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Transferi za socijalnu zaštitu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40,32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43,78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38,15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39,98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42,82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3,20</w:t>
            </w:r>
          </w:p>
        </w:tc>
      </w:tr>
      <w:tr w:rsidR="00FC6CBD" w:rsidRPr="00FC6CBD" w:rsidTr="00FC6CBD">
        <w:trPr>
          <w:trHeight w:val="48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Transferi instit, pojed i NVO sektoru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4,77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801,20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392,74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17,46</w:t>
            </w:r>
          </w:p>
        </w:tc>
      </w:tr>
      <w:tr w:rsidR="00FC6CBD" w:rsidRPr="00FC6CBD" w:rsidTr="00FC6CBD">
        <w:trPr>
          <w:trHeight w:val="285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Kapitalni izdaci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4,59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6,17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282,27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-20,29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Suficit / Deficit budžeta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-51,30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-21,82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-11,38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-26,33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-17,91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-49,93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-31,95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-21,06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108,17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-21,38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-14,97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Primarni deficit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-5,95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-37,17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-13,88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27,83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-3,64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-4,28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-14,39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-7,68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-25,78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-14,53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-16,02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-44,06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-26,08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169,32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-17,15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5,49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Otplata dugova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11,89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22,68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5,24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16,06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7,38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6,92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-13,87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-14,91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28,55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Državni dug (stanje duga)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1534,80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1638,60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1634,50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1629,60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1718,80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1703,20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1709,40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1699,50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1732,70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1732,70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1755,70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14,79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FC6CBD" w:rsidRPr="00FC6CBD" w:rsidTr="00FC6CBD">
        <w:trPr>
          <w:trHeight w:val="330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Domaći dug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23,94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426,50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432,60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424,10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424,10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411,20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395,40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399,60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401,30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393,10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404,50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400,10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396,70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420,30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-4,68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FC6CBD" w:rsidRPr="00FC6CBD" w:rsidTr="00FC6CBD">
        <w:trPr>
          <w:trHeight w:val="315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Inostrani dug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76,06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1108,30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1206,00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1210,40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1205,50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1307,60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1307,80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1307,60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1308,10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sz w:val="14"/>
                <w:szCs w:val="14"/>
              </w:rPr>
              <w:t>1307,10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1332,60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1336,00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1335,40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CBD" w:rsidRPr="00FC6CBD" w:rsidRDefault="00FC6CBD" w:rsidP="00FC6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22,39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CBD" w:rsidRPr="00FC6CBD" w:rsidRDefault="00FC6CBD" w:rsidP="00FC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FC6CB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</w:tbl>
    <w:p w:rsidR="00FC6CBD" w:rsidRPr="00AD1B16" w:rsidRDefault="00FC6CBD" w:rsidP="00DA35C2">
      <w:pPr>
        <w:jc w:val="center"/>
        <w:rPr>
          <w:sz w:val="17"/>
          <w:szCs w:val="16"/>
        </w:rPr>
      </w:pPr>
    </w:p>
    <w:p w:rsidR="005025EC" w:rsidRPr="00AD1B16" w:rsidRDefault="008D6E96" w:rsidP="00A43854">
      <w:pPr>
        <w:rPr>
          <w:rFonts w:cstheme="minorHAnsi"/>
          <w:bCs/>
          <w:sz w:val="14"/>
          <w:szCs w:val="14"/>
        </w:rPr>
      </w:pPr>
      <w:r w:rsidRPr="00AD1B16">
        <w:rPr>
          <w:b/>
          <w:i/>
          <w:sz w:val="14"/>
          <w:szCs w:val="14"/>
        </w:rPr>
        <w:t>Izvor: Ministarstvo</w:t>
      </w:r>
      <w:r w:rsidR="00F13EE1">
        <w:rPr>
          <w:b/>
          <w:i/>
          <w:sz w:val="14"/>
          <w:szCs w:val="14"/>
        </w:rPr>
        <w:t xml:space="preserve"> </w:t>
      </w:r>
      <w:r w:rsidRPr="00AD1B16">
        <w:rPr>
          <w:b/>
          <w:i/>
          <w:sz w:val="14"/>
          <w:szCs w:val="14"/>
        </w:rPr>
        <w:t>finansijaCrne Gore</w:t>
      </w: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A2480A" w:rsidRPr="00AD1B16" w:rsidRDefault="00A2480A" w:rsidP="005025EC">
      <w:pPr>
        <w:ind w:left="-142"/>
        <w:jc w:val="both"/>
        <w:rPr>
          <w:sz w:val="14"/>
          <w:szCs w:val="14"/>
        </w:rPr>
      </w:pPr>
      <w:r w:rsidRPr="00AD1B16">
        <w:rPr>
          <w:rFonts w:cstheme="minorHAnsi"/>
          <w:bCs/>
          <w:sz w:val="14"/>
          <w:szCs w:val="14"/>
        </w:rPr>
        <w:t>.</w:t>
      </w:r>
    </w:p>
    <w:sectPr w:rsidR="00A2480A" w:rsidRPr="00AD1B16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2E" w:rsidRDefault="00EB0E2E" w:rsidP="00965FCD">
      <w:pPr>
        <w:spacing w:after="0" w:line="240" w:lineRule="auto"/>
      </w:pPr>
      <w:r>
        <w:separator/>
      </w:r>
    </w:p>
  </w:endnote>
  <w:endnote w:type="continuationSeparator" w:id="0">
    <w:p w:rsidR="00EB0E2E" w:rsidRDefault="00EB0E2E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2E" w:rsidRDefault="00EB0E2E" w:rsidP="00965FCD">
      <w:pPr>
        <w:spacing w:after="0" w:line="240" w:lineRule="auto"/>
      </w:pPr>
      <w:r>
        <w:separator/>
      </w:r>
    </w:p>
  </w:footnote>
  <w:footnote w:type="continuationSeparator" w:id="0">
    <w:p w:rsidR="00EB0E2E" w:rsidRDefault="00EB0E2E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3673A"/>
    <w:multiLevelType w:val="hybridMultilevel"/>
    <w:tmpl w:val="3922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97970"/>
    <w:multiLevelType w:val="hybridMultilevel"/>
    <w:tmpl w:val="6E9E1666"/>
    <w:lvl w:ilvl="0" w:tplc="901E3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1692"/>
    <w:rsid w:val="000000CB"/>
    <w:rsid w:val="0000105B"/>
    <w:rsid w:val="000010A3"/>
    <w:rsid w:val="00001BAC"/>
    <w:rsid w:val="00003D78"/>
    <w:rsid w:val="00004B56"/>
    <w:rsid w:val="000147A0"/>
    <w:rsid w:val="00014AAB"/>
    <w:rsid w:val="00014D0B"/>
    <w:rsid w:val="00014E6A"/>
    <w:rsid w:val="0001616B"/>
    <w:rsid w:val="00021033"/>
    <w:rsid w:val="000224B4"/>
    <w:rsid w:val="00022789"/>
    <w:rsid w:val="0002407F"/>
    <w:rsid w:val="000263A4"/>
    <w:rsid w:val="00031EAD"/>
    <w:rsid w:val="000341DE"/>
    <w:rsid w:val="00034923"/>
    <w:rsid w:val="0003544A"/>
    <w:rsid w:val="000369E1"/>
    <w:rsid w:val="000421A3"/>
    <w:rsid w:val="000449CD"/>
    <w:rsid w:val="00044CB0"/>
    <w:rsid w:val="00045654"/>
    <w:rsid w:val="00046C9E"/>
    <w:rsid w:val="00050EAB"/>
    <w:rsid w:val="00052DC4"/>
    <w:rsid w:val="00054068"/>
    <w:rsid w:val="00055E5C"/>
    <w:rsid w:val="00055F78"/>
    <w:rsid w:val="00056E43"/>
    <w:rsid w:val="000601A4"/>
    <w:rsid w:val="00061391"/>
    <w:rsid w:val="000645F3"/>
    <w:rsid w:val="00067726"/>
    <w:rsid w:val="000734AF"/>
    <w:rsid w:val="00073786"/>
    <w:rsid w:val="00074378"/>
    <w:rsid w:val="000747AC"/>
    <w:rsid w:val="00074C3E"/>
    <w:rsid w:val="0007530C"/>
    <w:rsid w:val="00080AEE"/>
    <w:rsid w:val="000812E2"/>
    <w:rsid w:val="00085B67"/>
    <w:rsid w:val="00090FDD"/>
    <w:rsid w:val="00091154"/>
    <w:rsid w:val="000915D3"/>
    <w:rsid w:val="000917D8"/>
    <w:rsid w:val="000925F7"/>
    <w:rsid w:val="000945C9"/>
    <w:rsid w:val="0009548F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67B1"/>
    <w:rsid w:val="000B7AE2"/>
    <w:rsid w:val="000C06C5"/>
    <w:rsid w:val="000C1965"/>
    <w:rsid w:val="000C36DB"/>
    <w:rsid w:val="000C6818"/>
    <w:rsid w:val="000D0374"/>
    <w:rsid w:val="000D3CB9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C6B"/>
    <w:rsid w:val="000F756E"/>
    <w:rsid w:val="00100371"/>
    <w:rsid w:val="0010339D"/>
    <w:rsid w:val="00107128"/>
    <w:rsid w:val="00112853"/>
    <w:rsid w:val="00114109"/>
    <w:rsid w:val="00115519"/>
    <w:rsid w:val="00116365"/>
    <w:rsid w:val="001164A1"/>
    <w:rsid w:val="00117AB0"/>
    <w:rsid w:val="00120A3A"/>
    <w:rsid w:val="00131185"/>
    <w:rsid w:val="001326B7"/>
    <w:rsid w:val="00134816"/>
    <w:rsid w:val="00134C6C"/>
    <w:rsid w:val="00136E70"/>
    <w:rsid w:val="00144C86"/>
    <w:rsid w:val="0014607D"/>
    <w:rsid w:val="00147278"/>
    <w:rsid w:val="00152E4F"/>
    <w:rsid w:val="001530CE"/>
    <w:rsid w:val="0015515C"/>
    <w:rsid w:val="00156E33"/>
    <w:rsid w:val="00157601"/>
    <w:rsid w:val="00157D53"/>
    <w:rsid w:val="001610BD"/>
    <w:rsid w:val="001613FC"/>
    <w:rsid w:val="001622F6"/>
    <w:rsid w:val="001627A3"/>
    <w:rsid w:val="00163041"/>
    <w:rsid w:val="001644C7"/>
    <w:rsid w:val="00165DE6"/>
    <w:rsid w:val="001678F1"/>
    <w:rsid w:val="00170C82"/>
    <w:rsid w:val="00170CCE"/>
    <w:rsid w:val="00172D59"/>
    <w:rsid w:val="00173FDD"/>
    <w:rsid w:val="00174836"/>
    <w:rsid w:val="0017540F"/>
    <w:rsid w:val="00181309"/>
    <w:rsid w:val="0018289E"/>
    <w:rsid w:val="0018592D"/>
    <w:rsid w:val="00186BEF"/>
    <w:rsid w:val="00186F09"/>
    <w:rsid w:val="00187C66"/>
    <w:rsid w:val="00190285"/>
    <w:rsid w:val="001942BA"/>
    <w:rsid w:val="001A2829"/>
    <w:rsid w:val="001A392F"/>
    <w:rsid w:val="001A594D"/>
    <w:rsid w:val="001A65F4"/>
    <w:rsid w:val="001A7319"/>
    <w:rsid w:val="001B3267"/>
    <w:rsid w:val="001C1F7E"/>
    <w:rsid w:val="001C23DD"/>
    <w:rsid w:val="001C264C"/>
    <w:rsid w:val="001C2751"/>
    <w:rsid w:val="001C2E5A"/>
    <w:rsid w:val="001C51EC"/>
    <w:rsid w:val="001C5CE9"/>
    <w:rsid w:val="001C6698"/>
    <w:rsid w:val="001C6750"/>
    <w:rsid w:val="001D0A32"/>
    <w:rsid w:val="001D4E81"/>
    <w:rsid w:val="001E29D1"/>
    <w:rsid w:val="001E2BC7"/>
    <w:rsid w:val="001E33FE"/>
    <w:rsid w:val="001E4EAE"/>
    <w:rsid w:val="001E5BE3"/>
    <w:rsid w:val="001F1378"/>
    <w:rsid w:val="001F19CC"/>
    <w:rsid w:val="001F2B57"/>
    <w:rsid w:val="001F4C02"/>
    <w:rsid w:val="001F69DD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5CF1"/>
    <w:rsid w:val="0021614C"/>
    <w:rsid w:val="00220834"/>
    <w:rsid w:val="002210E9"/>
    <w:rsid w:val="00223E45"/>
    <w:rsid w:val="002251C3"/>
    <w:rsid w:val="00225F74"/>
    <w:rsid w:val="0022695C"/>
    <w:rsid w:val="00227682"/>
    <w:rsid w:val="00227D75"/>
    <w:rsid w:val="00230FA2"/>
    <w:rsid w:val="00231268"/>
    <w:rsid w:val="00234902"/>
    <w:rsid w:val="00236B99"/>
    <w:rsid w:val="00240136"/>
    <w:rsid w:val="002402CA"/>
    <w:rsid w:val="00240CF4"/>
    <w:rsid w:val="002417C5"/>
    <w:rsid w:val="002427AE"/>
    <w:rsid w:val="00243419"/>
    <w:rsid w:val="00243FD9"/>
    <w:rsid w:val="0024566B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035"/>
    <w:rsid w:val="0025757E"/>
    <w:rsid w:val="00257D9D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82488"/>
    <w:rsid w:val="00282DBE"/>
    <w:rsid w:val="00283704"/>
    <w:rsid w:val="00291A21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4910"/>
    <w:rsid w:val="002A68B8"/>
    <w:rsid w:val="002B10AE"/>
    <w:rsid w:val="002B318C"/>
    <w:rsid w:val="002B552A"/>
    <w:rsid w:val="002C1A52"/>
    <w:rsid w:val="002C1FBF"/>
    <w:rsid w:val="002C47B8"/>
    <w:rsid w:val="002C6888"/>
    <w:rsid w:val="002C761A"/>
    <w:rsid w:val="002C78FB"/>
    <w:rsid w:val="002D170B"/>
    <w:rsid w:val="002D175D"/>
    <w:rsid w:val="002D2E80"/>
    <w:rsid w:val="002D3B0F"/>
    <w:rsid w:val="002D5865"/>
    <w:rsid w:val="002E49C0"/>
    <w:rsid w:val="002E6CB0"/>
    <w:rsid w:val="002F184C"/>
    <w:rsid w:val="002F19E7"/>
    <w:rsid w:val="002F323A"/>
    <w:rsid w:val="002F5002"/>
    <w:rsid w:val="002F567B"/>
    <w:rsid w:val="002F6A89"/>
    <w:rsid w:val="002F6AB2"/>
    <w:rsid w:val="003004B8"/>
    <w:rsid w:val="003022A7"/>
    <w:rsid w:val="00303D85"/>
    <w:rsid w:val="00307F4D"/>
    <w:rsid w:val="0031558E"/>
    <w:rsid w:val="00315B94"/>
    <w:rsid w:val="003217C9"/>
    <w:rsid w:val="00321CA6"/>
    <w:rsid w:val="00327AC3"/>
    <w:rsid w:val="00330832"/>
    <w:rsid w:val="00330C13"/>
    <w:rsid w:val="00331520"/>
    <w:rsid w:val="00331C0E"/>
    <w:rsid w:val="00331D9F"/>
    <w:rsid w:val="003324D9"/>
    <w:rsid w:val="0033276A"/>
    <w:rsid w:val="00333C49"/>
    <w:rsid w:val="00337648"/>
    <w:rsid w:val="00340752"/>
    <w:rsid w:val="003409C9"/>
    <w:rsid w:val="00341583"/>
    <w:rsid w:val="00343799"/>
    <w:rsid w:val="00344581"/>
    <w:rsid w:val="00350CFE"/>
    <w:rsid w:val="0035139C"/>
    <w:rsid w:val="003568F4"/>
    <w:rsid w:val="00357182"/>
    <w:rsid w:val="00357E66"/>
    <w:rsid w:val="00360100"/>
    <w:rsid w:val="00360197"/>
    <w:rsid w:val="003612AF"/>
    <w:rsid w:val="003625F1"/>
    <w:rsid w:val="00364D14"/>
    <w:rsid w:val="00365311"/>
    <w:rsid w:val="00365E46"/>
    <w:rsid w:val="00366F41"/>
    <w:rsid w:val="00376AE2"/>
    <w:rsid w:val="0037726C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D7E"/>
    <w:rsid w:val="00396FDF"/>
    <w:rsid w:val="003A0776"/>
    <w:rsid w:val="003A0C23"/>
    <w:rsid w:val="003A0F73"/>
    <w:rsid w:val="003A1150"/>
    <w:rsid w:val="003A1E5E"/>
    <w:rsid w:val="003B0AB5"/>
    <w:rsid w:val="003B1992"/>
    <w:rsid w:val="003B1A29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206"/>
    <w:rsid w:val="003F5A35"/>
    <w:rsid w:val="00400C11"/>
    <w:rsid w:val="004010A8"/>
    <w:rsid w:val="00401DED"/>
    <w:rsid w:val="00404546"/>
    <w:rsid w:val="00406097"/>
    <w:rsid w:val="00406C7B"/>
    <w:rsid w:val="00407FE4"/>
    <w:rsid w:val="0041311D"/>
    <w:rsid w:val="00415784"/>
    <w:rsid w:val="00415806"/>
    <w:rsid w:val="004159BE"/>
    <w:rsid w:val="00417904"/>
    <w:rsid w:val="00417DAC"/>
    <w:rsid w:val="00420CBC"/>
    <w:rsid w:val="00421432"/>
    <w:rsid w:val="00421CD5"/>
    <w:rsid w:val="00425EC2"/>
    <w:rsid w:val="00427696"/>
    <w:rsid w:val="00435D37"/>
    <w:rsid w:val="00436469"/>
    <w:rsid w:val="0044465C"/>
    <w:rsid w:val="0044550D"/>
    <w:rsid w:val="004471B9"/>
    <w:rsid w:val="00447221"/>
    <w:rsid w:val="00455227"/>
    <w:rsid w:val="00461324"/>
    <w:rsid w:val="0046148B"/>
    <w:rsid w:val="004634E4"/>
    <w:rsid w:val="004655E7"/>
    <w:rsid w:val="004725CB"/>
    <w:rsid w:val="0047278D"/>
    <w:rsid w:val="00475763"/>
    <w:rsid w:val="00480082"/>
    <w:rsid w:val="004848E8"/>
    <w:rsid w:val="004865CE"/>
    <w:rsid w:val="004868F5"/>
    <w:rsid w:val="00487296"/>
    <w:rsid w:val="004932C1"/>
    <w:rsid w:val="00493B63"/>
    <w:rsid w:val="004940E0"/>
    <w:rsid w:val="00496861"/>
    <w:rsid w:val="004A1113"/>
    <w:rsid w:val="004A382B"/>
    <w:rsid w:val="004A3894"/>
    <w:rsid w:val="004A38D1"/>
    <w:rsid w:val="004A55B1"/>
    <w:rsid w:val="004A56BE"/>
    <w:rsid w:val="004A5717"/>
    <w:rsid w:val="004A62DA"/>
    <w:rsid w:val="004B1C2A"/>
    <w:rsid w:val="004B41B2"/>
    <w:rsid w:val="004B7800"/>
    <w:rsid w:val="004B7883"/>
    <w:rsid w:val="004C0135"/>
    <w:rsid w:val="004C16F3"/>
    <w:rsid w:val="004C373F"/>
    <w:rsid w:val="004C3C31"/>
    <w:rsid w:val="004C659C"/>
    <w:rsid w:val="004D49A0"/>
    <w:rsid w:val="004D4E0F"/>
    <w:rsid w:val="004E7676"/>
    <w:rsid w:val="004F288B"/>
    <w:rsid w:val="004F3226"/>
    <w:rsid w:val="004F3817"/>
    <w:rsid w:val="004F50B8"/>
    <w:rsid w:val="004F7808"/>
    <w:rsid w:val="004F7D2D"/>
    <w:rsid w:val="004F7F71"/>
    <w:rsid w:val="005025EC"/>
    <w:rsid w:val="005027D6"/>
    <w:rsid w:val="005070CF"/>
    <w:rsid w:val="005078B9"/>
    <w:rsid w:val="005149E4"/>
    <w:rsid w:val="00516264"/>
    <w:rsid w:val="00517175"/>
    <w:rsid w:val="00522282"/>
    <w:rsid w:val="00524587"/>
    <w:rsid w:val="0052531F"/>
    <w:rsid w:val="005253D1"/>
    <w:rsid w:val="00532B88"/>
    <w:rsid w:val="005331BD"/>
    <w:rsid w:val="0053621B"/>
    <w:rsid w:val="00536525"/>
    <w:rsid w:val="0053722D"/>
    <w:rsid w:val="00541131"/>
    <w:rsid w:val="00541D70"/>
    <w:rsid w:val="005429A2"/>
    <w:rsid w:val="00543A1F"/>
    <w:rsid w:val="00546967"/>
    <w:rsid w:val="00547212"/>
    <w:rsid w:val="005523CF"/>
    <w:rsid w:val="0055364A"/>
    <w:rsid w:val="00553E61"/>
    <w:rsid w:val="0055409D"/>
    <w:rsid w:val="0055507E"/>
    <w:rsid w:val="00555A5E"/>
    <w:rsid w:val="0055713F"/>
    <w:rsid w:val="00560529"/>
    <w:rsid w:val="00560667"/>
    <w:rsid w:val="00561992"/>
    <w:rsid w:val="00564436"/>
    <w:rsid w:val="005644BB"/>
    <w:rsid w:val="00565662"/>
    <w:rsid w:val="00570C9B"/>
    <w:rsid w:val="00570EEF"/>
    <w:rsid w:val="005715D6"/>
    <w:rsid w:val="00571A37"/>
    <w:rsid w:val="0057438A"/>
    <w:rsid w:val="00580172"/>
    <w:rsid w:val="00581749"/>
    <w:rsid w:val="005829D9"/>
    <w:rsid w:val="00583591"/>
    <w:rsid w:val="005852DA"/>
    <w:rsid w:val="005916D5"/>
    <w:rsid w:val="00593B25"/>
    <w:rsid w:val="00595DA2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3915"/>
    <w:rsid w:val="005C4CBE"/>
    <w:rsid w:val="005C5F38"/>
    <w:rsid w:val="005C7E28"/>
    <w:rsid w:val="005D0E14"/>
    <w:rsid w:val="005D454A"/>
    <w:rsid w:val="005D4BC4"/>
    <w:rsid w:val="005D751B"/>
    <w:rsid w:val="005D78CC"/>
    <w:rsid w:val="005E038B"/>
    <w:rsid w:val="005E150E"/>
    <w:rsid w:val="005E2852"/>
    <w:rsid w:val="005E35C9"/>
    <w:rsid w:val="005E4CD1"/>
    <w:rsid w:val="005E5941"/>
    <w:rsid w:val="005E6D35"/>
    <w:rsid w:val="005F50EA"/>
    <w:rsid w:val="005F568D"/>
    <w:rsid w:val="006006C6"/>
    <w:rsid w:val="006050EA"/>
    <w:rsid w:val="006071F2"/>
    <w:rsid w:val="00607217"/>
    <w:rsid w:val="00607500"/>
    <w:rsid w:val="0061084D"/>
    <w:rsid w:val="006127E9"/>
    <w:rsid w:val="00612F5E"/>
    <w:rsid w:val="00613676"/>
    <w:rsid w:val="0061438B"/>
    <w:rsid w:val="00616B6E"/>
    <w:rsid w:val="00620FA4"/>
    <w:rsid w:val="0062271A"/>
    <w:rsid w:val="00623BC4"/>
    <w:rsid w:val="00624C12"/>
    <w:rsid w:val="00625943"/>
    <w:rsid w:val="006354FD"/>
    <w:rsid w:val="0063610A"/>
    <w:rsid w:val="00645ED4"/>
    <w:rsid w:val="00647B12"/>
    <w:rsid w:val="006509EE"/>
    <w:rsid w:val="0065108A"/>
    <w:rsid w:val="006534C5"/>
    <w:rsid w:val="00653CF3"/>
    <w:rsid w:val="00654A8A"/>
    <w:rsid w:val="0065775B"/>
    <w:rsid w:val="00661339"/>
    <w:rsid w:val="00661C7E"/>
    <w:rsid w:val="00663690"/>
    <w:rsid w:val="00664DEB"/>
    <w:rsid w:val="00666EFC"/>
    <w:rsid w:val="00670373"/>
    <w:rsid w:val="00671844"/>
    <w:rsid w:val="006723F0"/>
    <w:rsid w:val="00672DCB"/>
    <w:rsid w:val="006751BF"/>
    <w:rsid w:val="006756E9"/>
    <w:rsid w:val="006759B4"/>
    <w:rsid w:val="006760A4"/>
    <w:rsid w:val="00676A4B"/>
    <w:rsid w:val="00681351"/>
    <w:rsid w:val="00681A9E"/>
    <w:rsid w:val="00684902"/>
    <w:rsid w:val="00690A2B"/>
    <w:rsid w:val="00690EA9"/>
    <w:rsid w:val="006910F4"/>
    <w:rsid w:val="00692810"/>
    <w:rsid w:val="0069434B"/>
    <w:rsid w:val="00694445"/>
    <w:rsid w:val="00695141"/>
    <w:rsid w:val="00695AC5"/>
    <w:rsid w:val="006971AF"/>
    <w:rsid w:val="00697A91"/>
    <w:rsid w:val="006A0B4A"/>
    <w:rsid w:val="006A290B"/>
    <w:rsid w:val="006A5DE6"/>
    <w:rsid w:val="006A6C58"/>
    <w:rsid w:val="006B2866"/>
    <w:rsid w:val="006B3579"/>
    <w:rsid w:val="006B45BC"/>
    <w:rsid w:val="006B4777"/>
    <w:rsid w:val="006B7725"/>
    <w:rsid w:val="006C15C6"/>
    <w:rsid w:val="006C2906"/>
    <w:rsid w:val="006C3C84"/>
    <w:rsid w:val="006C5F17"/>
    <w:rsid w:val="006C7BA4"/>
    <w:rsid w:val="006C7EA3"/>
    <w:rsid w:val="006D1A57"/>
    <w:rsid w:val="006D3720"/>
    <w:rsid w:val="006D3727"/>
    <w:rsid w:val="006D4A5C"/>
    <w:rsid w:val="006D53D7"/>
    <w:rsid w:val="006D74DB"/>
    <w:rsid w:val="006E11AC"/>
    <w:rsid w:val="006E4746"/>
    <w:rsid w:val="006E4B91"/>
    <w:rsid w:val="006E6751"/>
    <w:rsid w:val="006F2861"/>
    <w:rsid w:val="006F4309"/>
    <w:rsid w:val="006F5E1B"/>
    <w:rsid w:val="006F6B2B"/>
    <w:rsid w:val="006F6D5E"/>
    <w:rsid w:val="00701093"/>
    <w:rsid w:val="007027D1"/>
    <w:rsid w:val="007055C9"/>
    <w:rsid w:val="00710BC7"/>
    <w:rsid w:val="00712271"/>
    <w:rsid w:val="00713AA0"/>
    <w:rsid w:val="00715597"/>
    <w:rsid w:val="00716A7D"/>
    <w:rsid w:val="00716B14"/>
    <w:rsid w:val="00717FE8"/>
    <w:rsid w:val="00721DCD"/>
    <w:rsid w:val="00722A4C"/>
    <w:rsid w:val="00724339"/>
    <w:rsid w:val="00725D07"/>
    <w:rsid w:val="007307C9"/>
    <w:rsid w:val="00734688"/>
    <w:rsid w:val="00734729"/>
    <w:rsid w:val="0073490D"/>
    <w:rsid w:val="00736E76"/>
    <w:rsid w:val="00737DB4"/>
    <w:rsid w:val="007406F2"/>
    <w:rsid w:val="00742C04"/>
    <w:rsid w:val="007452A1"/>
    <w:rsid w:val="00745BCE"/>
    <w:rsid w:val="00746132"/>
    <w:rsid w:val="007469F9"/>
    <w:rsid w:val="007515DA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63F01"/>
    <w:rsid w:val="00771538"/>
    <w:rsid w:val="007719D0"/>
    <w:rsid w:val="007722BC"/>
    <w:rsid w:val="00772A01"/>
    <w:rsid w:val="00772F45"/>
    <w:rsid w:val="0077648B"/>
    <w:rsid w:val="00777134"/>
    <w:rsid w:val="00781377"/>
    <w:rsid w:val="00784166"/>
    <w:rsid w:val="0078476D"/>
    <w:rsid w:val="00784BF8"/>
    <w:rsid w:val="00785339"/>
    <w:rsid w:val="00786F50"/>
    <w:rsid w:val="00791DC2"/>
    <w:rsid w:val="007941BB"/>
    <w:rsid w:val="00794B8C"/>
    <w:rsid w:val="00796ED1"/>
    <w:rsid w:val="00797B66"/>
    <w:rsid w:val="007A1882"/>
    <w:rsid w:val="007A2838"/>
    <w:rsid w:val="007A299E"/>
    <w:rsid w:val="007A33EE"/>
    <w:rsid w:val="007B0888"/>
    <w:rsid w:val="007B5A1B"/>
    <w:rsid w:val="007B5C2E"/>
    <w:rsid w:val="007B7DBE"/>
    <w:rsid w:val="007C1EE8"/>
    <w:rsid w:val="007C2107"/>
    <w:rsid w:val="007C2827"/>
    <w:rsid w:val="007D0956"/>
    <w:rsid w:val="007D4C9D"/>
    <w:rsid w:val="007D4EE7"/>
    <w:rsid w:val="007D5AB1"/>
    <w:rsid w:val="007E0203"/>
    <w:rsid w:val="007E056C"/>
    <w:rsid w:val="007E081D"/>
    <w:rsid w:val="007E1AB8"/>
    <w:rsid w:val="007E293C"/>
    <w:rsid w:val="007E36EB"/>
    <w:rsid w:val="007E5CC1"/>
    <w:rsid w:val="007E7DDD"/>
    <w:rsid w:val="007F0177"/>
    <w:rsid w:val="007F33E9"/>
    <w:rsid w:val="007F388B"/>
    <w:rsid w:val="007F40A8"/>
    <w:rsid w:val="007F61AF"/>
    <w:rsid w:val="007F775F"/>
    <w:rsid w:val="00802B7F"/>
    <w:rsid w:val="00804F0B"/>
    <w:rsid w:val="00805844"/>
    <w:rsid w:val="00806B4B"/>
    <w:rsid w:val="00807379"/>
    <w:rsid w:val="00810837"/>
    <w:rsid w:val="00810CDD"/>
    <w:rsid w:val="0081184B"/>
    <w:rsid w:val="00811DF5"/>
    <w:rsid w:val="00812E0B"/>
    <w:rsid w:val="00813F13"/>
    <w:rsid w:val="00814356"/>
    <w:rsid w:val="00815A2F"/>
    <w:rsid w:val="00817A6A"/>
    <w:rsid w:val="0082070B"/>
    <w:rsid w:val="00822F67"/>
    <w:rsid w:val="008251C2"/>
    <w:rsid w:val="0082721B"/>
    <w:rsid w:val="008278DA"/>
    <w:rsid w:val="008343BA"/>
    <w:rsid w:val="00836A00"/>
    <w:rsid w:val="00845320"/>
    <w:rsid w:val="00845675"/>
    <w:rsid w:val="00847B5B"/>
    <w:rsid w:val="00854098"/>
    <w:rsid w:val="008573C7"/>
    <w:rsid w:val="00860BDB"/>
    <w:rsid w:val="00861096"/>
    <w:rsid w:val="00861D85"/>
    <w:rsid w:val="00861F52"/>
    <w:rsid w:val="00864891"/>
    <w:rsid w:val="00866AE8"/>
    <w:rsid w:val="00873808"/>
    <w:rsid w:val="00873FD5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C01EB"/>
    <w:rsid w:val="008C15C8"/>
    <w:rsid w:val="008C2299"/>
    <w:rsid w:val="008C3941"/>
    <w:rsid w:val="008D0998"/>
    <w:rsid w:val="008D2C8B"/>
    <w:rsid w:val="008D4618"/>
    <w:rsid w:val="008D6E96"/>
    <w:rsid w:val="008D6F6A"/>
    <w:rsid w:val="008D6F78"/>
    <w:rsid w:val="008E0E90"/>
    <w:rsid w:val="008E6D00"/>
    <w:rsid w:val="008E7183"/>
    <w:rsid w:val="008F0415"/>
    <w:rsid w:val="008F195C"/>
    <w:rsid w:val="008F34CB"/>
    <w:rsid w:val="008F3986"/>
    <w:rsid w:val="008F4F59"/>
    <w:rsid w:val="008F7755"/>
    <w:rsid w:val="00902289"/>
    <w:rsid w:val="009022BB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5576"/>
    <w:rsid w:val="00916A0F"/>
    <w:rsid w:val="00920528"/>
    <w:rsid w:val="0092368D"/>
    <w:rsid w:val="0092403C"/>
    <w:rsid w:val="0092474C"/>
    <w:rsid w:val="009271A2"/>
    <w:rsid w:val="0093249C"/>
    <w:rsid w:val="00933026"/>
    <w:rsid w:val="0093484E"/>
    <w:rsid w:val="00935A48"/>
    <w:rsid w:val="00937C0F"/>
    <w:rsid w:val="00941C71"/>
    <w:rsid w:val="00941E99"/>
    <w:rsid w:val="0094299F"/>
    <w:rsid w:val="009472A1"/>
    <w:rsid w:val="00947E4E"/>
    <w:rsid w:val="00951A56"/>
    <w:rsid w:val="009526D1"/>
    <w:rsid w:val="009543FD"/>
    <w:rsid w:val="0095708D"/>
    <w:rsid w:val="009570EC"/>
    <w:rsid w:val="00957325"/>
    <w:rsid w:val="00962341"/>
    <w:rsid w:val="009647DB"/>
    <w:rsid w:val="00965B35"/>
    <w:rsid w:val="00965FCD"/>
    <w:rsid w:val="00966CC3"/>
    <w:rsid w:val="009707F3"/>
    <w:rsid w:val="00970817"/>
    <w:rsid w:val="00972F5D"/>
    <w:rsid w:val="0097377E"/>
    <w:rsid w:val="00974320"/>
    <w:rsid w:val="00974F42"/>
    <w:rsid w:val="00982566"/>
    <w:rsid w:val="0098296F"/>
    <w:rsid w:val="009836D7"/>
    <w:rsid w:val="0098562F"/>
    <w:rsid w:val="009860B5"/>
    <w:rsid w:val="00992B90"/>
    <w:rsid w:val="00994D96"/>
    <w:rsid w:val="009A0736"/>
    <w:rsid w:val="009A24E1"/>
    <w:rsid w:val="009A4C61"/>
    <w:rsid w:val="009A792A"/>
    <w:rsid w:val="009B1C0A"/>
    <w:rsid w:val="009B320B"/>
    <w:rsid w:val="009B5779"/>
    <w:rsid w:val="009B65AF"/>
    <w:rsid w:val="009B6603"/>
    <w:rsid w:val="009C162D"/>
    <w:rsid w:val="009C42D7"/>
    <w:rsid w:val="009C756D"/>
    <w:rsid w:val="009D04AF"/>
    <w:rsid w:val="009D198A"/>
    <w:rsid w:val="009D2F97"/>
    <w:rsid w:val="009D3226"/>
    <w:rsid w:val="009D36B4"/>
    <w:rsid w:val="009D3AEA"/>
    <w:rsid w:val="009D3E8D"/>
    <w:rsid w:val="009D64D9"/>
    <w:rsid w:val="009D6D64"/>
    <w:rsid w:val="009D7885"/>
    <w:rsid w:val="009E04A3"/>
    <w:rsid w:val="009E3D44"/>
    <w:rsid w:val="009E58AC"/>
    <w:rsid w:val="009E5D48"/>
    <w:rsid w:val="009E70C1"/>
    <w:rsid w:val="009E7177"/>
    <w:rsid w:val="009F0EB0"/>
    <w:rsid w:val="009F1090"/>
    <w:rsid w:val="009F18E0"/>
    <w:rsid w:val="009F3CF9"/>
    <w:rsid w:val="009F3DA9"/>
    <w:rsid w:val="00A00218"/>
    <w:rsid w:val="00A0035B"/>
    <w:rsid w:val="00A060B3"/>
    <w:rsid w:val="00A06C70"/>
    <w:rsid w:val="00A07539"/>
    <w:rsid w:val="00A119B4"/>
    <w:rsid w:val="00A11CDE"/>
    <w:rsid w:val="00A14996"/>
    <w:rsid w:val="00A16685"/>
    <w:rsid w:val="00A17447"/>
    <w:rsid w:val="00A20787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43854"/>
    <w:rsid w:val="00A4482B"/>
    <w:rsid w:val="00A44F75"/>
    <w:rsid w:val="00A44FD9"/>
    <w:rsid w:val="00A4692E"/>
    <w:rsid w:val="00A46C9C"/>
    <w:rsid w:val="00A46DEF"/>
    <w:rsid w:val="00A513A3"/>
    <w:rsid w:val="00A52BC0"/>
    <w:rsid w:val="00A55764"/>
    <w:rsid w:val="00A559ED"/>
    <w:rsid w:val="00A55AB0"/>
    <w:rsid w:val="00A5642C"/>
    <w:rsid w:val="00A57868"/>
    <w:rsid w:val="00A6220E"/>
    <w:rsid w:val="00A62711"/>
    <w:rsid w:val="00A63167"/>
    <w:rsid w:val="00A64CDE"/>
    <w:rsid w:val="00A66994"/>
    <w:rsid w:val="00A67103"/>
    <w:rsid w:val="00A73828"/>
    <w:rsid w:val="00A74590"/>
    <w:rsid w:val="00A75004"/>
    <w:rsid w:val="00A76125"/>
    <w:rsid w:val="00A76BD3"/>
    <w:rsid w:val="00A80523"/>
    <w:rsid w:val="00A85320"/>
    <w:rsid w:val="00A85322"/>
    <w:rsid w:val="00A919D2"/>
    <w:rsid w:val="00A94105"/>
    <w:rsid w:val="00A9414F"/>
    <w:rsid w:val="00A94444"/>
    <w:rsid w:val="00A965E6"/>
    <w:rsid w:val="00AA1568"/>
    <w:rsid w:val="00AA4C9B"/>
    <w:rsid w:val="00AA53FC"/>
    <w:rsid w:val="00AA57C2"/>
    <w:rsid w:val="00AB1AAD"/>
    <w:rsid w:val="00AB3700"/>
    <w:rsid w:val="00AB47EB"/>
    <w:rsid w:val="00AB4C24"/>
    <w:rsid w:val="00AB4C79"/>
    <w:rsid w:val="00AC2AE3"/>
    <w:rsid w:val="00AC2D80"/>
    <w:rsid w:val="00AC41A8"/>
    <w:rsid w:val="00AC7CE7"/>
    <w:rsid w:val="00AD02E0"/>
    <w:rsid w:val="00AD0474"/>
    <w:rsid w:val="00AD1B16"/>
    <w:rsid w:val="00AD1CF2"/>
    <w:rsid w:val="00AD677F"/>
    <w:rsid w:val="00AD69AC"/>
    <w:rsid w:val="00AD6C85"/>
    <w:rsid w:val="00AD6E0C"/>
    <w:rsid w:val="00AD725A"/>
    <w:rsid w:val="00AE3B29"/>
    <w:rsid w:val="00AE46D2"/>
    <w:rsid w:val="00AE75DE"/>
    <w:rsid w:val="00AE78E8"/>
    <w:rsid w:val="00AF002F"/>
    <w:rsid w:val="00AF16EF"/>
    <w:rsid w:val="00AF2A35"/>
    <w:rsid w:val="00AF39C0"/>
    <w:rsid w:val="00AF6471"/>
    <w:rsid w:val="00AF71DC"/>
    <w:rsid w:val="00B02D66"/>
    <w:rsid w:val="00B0449D"/>
    <w:rsid w:val="00B063C0"/>
    <w:rsid w:val="00B07D98"/>
    <w:rsid w:val="00B10371"/>
    <w:rsid w:val="00B12E31"/>
    <w:rsid w:val="00B12FFF"/>
    <w:rsid w:val="00B144B8"/>
    <w:rsid w:val="00B215A7"/>
    <w:rsid w:val="00B2447D"/>
    <w:rsid w:val="00B2654F"/>
    <w:rsid w:val="00B27D61"/>
    <w:rsid w:val="00B30BC0"/>
    <w:rsid w:val="00B36D48"/>
    <w:rsid w:val="00B40133"/>
    <w:rsid w:val="00B41E7A"/>
    <w:rsid w:val="00B46ABF"/>
    <w:rsid w:val="00B47CAB"/>
    <w:rsid w:val="00B50021"/>
    <w:rsid w:val="00B50CF4"/>
    <w:rsid w:val="00B53433"/>
    <w:rsid w:val="00B56EE7"/>
    <w:rsid w:val="00B6394D"/>
    <w:rsid w:val="00B63FBA"/>
    <w:rsid w:val="00B6519A"/>
    <w:rsid w:val="00B663B8"/>
    <w:rsid w:val="00B67BD4"/>
    <w:rsid w:val="00B71665"/>
    <w:rsid w:val="00B71C0B"/>
    <w:rsid w:val="00B74947"/>
    <w:rsid w:val="00B7591E"/>
    <w:rsid w:val="00B81BD0"/>
    <w:rsid w:val="00B82794"/>
    <w:rsid w:val="00B84CCB"/>
    <w:rsid w:val="00B862AF"/>
    <w:rsid w:val="00B90D97"/>
    <w:rsid w:val="00B91241"/>
    <w:rsid w:val="00B92D47"/>
    <w:rsid w:val="00BA0B65"/>
    <w:rsid w:val="00BA1F78"/>
    <w:rsid w:val="00BA510B"/>
    <w:rsid w:val="00BA6FEF"/>
    <w:rsid w:val="00BB24C2"/>
    <w:rsid w:val="00BB40F6"/>
    <w:rsid w:val="00BB60B2"/>
    <w:rsid w:val="00BB785F"/>
    <w:rsid w:val="00BB7D3F"/>
    <w:rsid w:val="00BC2E39"/>
    <w:rsid w:val="00BC4BB9"/>
    <w:rsid w:val="00BC6076"/>
    <w:rsid w:val="00BC6E86"/>
    <w:rsid w:val="00BC76FE"/>
    <w:rsid w:val="00BD0C9A"/>
    <w:rsid w:val="00BD30D2"/>
    <w:rsid w:val="00BD6316"/>
    <w:rsid w:val="00BE2E1E"/>
    <w:rsid w:val="00BE47BD"/>
    <w:rsid w:val="00BE4805"/>
    <w:rsid w:val="00BE5B52"/>
    <w:rsid w:val="00BE6E6D"/>
    <w:rsid w:val="00BF0ACC"/>
    <w:rsid w:val="00BF1F70"/>
    <w:rsid w:val="00BF2B93"/>
    <w:rsid w:val="00BF301B"/>
    <w:rsid w:val="00BF43FA"/>
    <w:rsid w:val="00BF7150"/>
    <w:rsid w:val="00C00FED"/>
    <w:rsid w:val="00C0135E"/>
    <w:rsid w:val="00C01F4F"/>
    <w:rsid w:val="00C0788A"/>
    <w:rsid w:val="00C131FA"/>
    <w:rsid w:val="00C13F58"/>
    <w:rsid w:val="00C14571"/>
    <w:rsid w:val="00C1491F"/>
    <w:rsid w:val="00C157D1"/>
    <w:rsid w:val="00C20E5A"/>
    <w:rsid w:val="00C22E55"/>
    <w:rsid w:val="00C25367"/>
    <w:rsid w:val="00C26844"/>
    <w:rsid w:val="00C2734A"/>
    <w:rsid w:val="00C321B7"/>
    <w:rsid w:val="00C34AC1"/>
    <w:rsid w:val="00C35CAA"/>
    <w:rsid w:val="00C37B69"/>
    <w:rsid w:val="00C41BAB"/>
    <w:rsid w:val="00C41D78"/>
    <w:rsid w:val="00C42122"/>
    <w:rsid w:val="00C42838"/>
    <w:rsid w:val="00C4601D"/>
    <w:rsid w:val="00C46235"/>
    <w:rsid w:val="00C50494"/>
    <w:rsid w:val="00C51BC7"/>
    <w:rsid w:val="00C5263B"/>
    <w:rsid w:val="00C53A70"/>
    <w:rsid w:val="00C565D2"/>
    <w:rsid w:val="00C576EA"/>
    <w:rsid w:val="00C57CD2"/>
    <w:rsid w:val="00C6164F"/>
    <w:rsid w:val="00C62171"/>
    <w:rsid w:val="00C6348A"/>
    <w:rsid w:val="00C6406C"/>
    <w:rsid w:val="00C64636"/>
    <w:rsid w:val="00C652CE"/>
    <w:rsid w:val="00C701AF"/>
    <w:rsid w:val="00C72651"/>
    <w:rsid w:val="00C72C89"/>
    <w:rsid w:val="00C74B05"/>
    <w:rsid w:val="00C75F0D"/>
    <w:rsid w:val="00C75F73"/>
    <w:rsid w:val="00C81007"/>
    <w:rsid w:val="00C85EA2"/>
    <w:rsid w:val="00C86D66"/>
    <w:rsid w:val="00C9152B"/>
    <w:rsid w:val="00C93D87"/>
    <w:rsid w:val="00C93DA1"/>
    <w:rsid w:val="00C9626E"/>
    <w:rsid w:val="00CA44ED"/>
    <w:rsid w:val="00CA7C68"/>
    <w:rsid w:val="00CB0013"/>
    <w:rsid w:val="00CB04AC"/>
    <w:rsid w:val="00CB0D35"/>
    <w:rsid w:val="00CB2BC4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F472E"/>
    <w:rsid w:val="00CF5FA3"/>
    <w:rsid w:val="00D0131E"/>
    <w:rsid w:val="00D01C27"/>
    <w:rsid w:val="00D02935"/>
    <w:rsid w:val="00D0344E"/>
    <w:rsid w:val="00D0409E"/>
    <w:rsid w:val="00D0655B"/>
    <w:rsid w:val="00D06D66"/>
    <w:rsid w:val="00D0711F"/>
    <w:rsid w:val="00D1440B"/>
    <w:rsid w:val="00D17067"/>
    <w:rsid w:val="00D20419"/>
    <w:rsid w:val="00D20CDA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44ED9"/>
    <w:rsid w:val="00D45256"/>
    <w:rsid w:val="00D47D6A"/>
    <w:rsid w:val="00D50FD4"/>
    <w:rsid w:val="00D51C00"/>
    <w:rsid w:val="00D51E0A"/>
    <w:rsid w:val="00D55775"/>
    <w:rsid w:val="00D564C8"/>
    <w:rsid w:val="00D61692"/>
    <w:rsid w:val="00D710FD"/>
    <w:rsid w:val="00D71690"/>
    <w:rsid w:val="00D733AC"/>
    <w:rsid w:val="00D73AA8"/>
    <w:rsid w:val="00D75F50"/>
    <w:rsid w:val="00D76A94"/>
    <w:rsid w:val="00D7718A"/>
    <w:rsid w:val="00D803C1"/>
    <w:rsid w:val="00D85C94"/>
    <w:rsid w:val="00D8651E"/>
    <w:rsid w:val="00D91904"/>
    <w:rsid w:val="00D92C91"/>
    <w:rsid w:val="00D96B77"/>
    <w:rsid w:val="00DA27DF"/>
    <w:rsid w:val="00DA35C2"/>
    <w:rsid w:val="00DA372E"/>
    <w:rsid w:val="00DB0D61"/>
    <w:rsid w:val="00DB2EE2"/>
    <w:rsid w:val="00DB3E5E"/>
    <w:rsid w:val="00DB55E7"/>
    <w:rsid w:val="00DC1184"/>
    <w:rsid w:val="00DC3690"/>
    <w:rsid w:val="00DC48C0"/>
    <w:rsid w:val="00DD230D"/>
    <w:rsid w:val="00DD351E"/>
    <w:rsid w:val="00DD756A"/>
    <w:rsid w:val="00DE0595"/>
    <w:rsid w:val="00DE1A7C"/>
    <w:rsid w:val="00DE2C31"/>
    <w:rsid w:val="00DE4794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854"/>
    <w:rsid w:val="00DF6B9D"/>
    <w:rsid w:val="00DF7BAD"/>
    <w:rsid w:val="00E01F45"/>
    <w:rsid w:val="00E02E82"/>
    <w:rsid w:val="00E03367"/>
    <w:rsid w:val="00E05C49"/>
    <w:rsid w:val="00E06855"/>
    <w:rsid w:val="00E143F2"/>
    <w:rsid w:val="00E14E1A"/>
    <w:rsid w:val="00E20800"/>
    <w:rsid w:val="00E237D9"/>
    <w:rsid w:val="00E27F19"/>
    <w:rsid w:val="00E30184"/>
    <w:rsid w:val="00E30F05"/>
    <w:rsid w:val="00E318AD"/>
    <w:rsid w:val="00E32169"/>
    <w:rsid w:val="00E328B1"/>
    <w:rsid w:val="00E35767"/>
    <w:rsid w:val="00E35BCC"/>
    <w:rsid w:val="00E36E18"/>
    <w:rsid w:val="00E37149"/>
    <w:rsid w:val="00E40915"/>
    <w:rsid w:val="00E41355"/>
    <w:rsid w:val="00E45056"/>
    <w:rsid w:val="00E453FC"/>
    <w:rsid w:val="00E456CD"/>
    <w:rsid w:val="00E4745C"/>
    <w:rsid w:val="00E523EF"/>
    <w:rsid w:val="00E565C1"/>
    <w:rsid w:val="00E56648"/>
    <w:rsid w:val="00E56E69"/>
    <w:rsid w:val="00E57695"/>
    <w:rsid w:val="00E57725"/>
    <w:rsid w:val="00E610DC"/>
    <w:rsid w:val="00E64AA5"/>
    <w:rsid w:val="00E72541"/>
    <w:rsid w:val="00E72808"/>
    <w:rsid w:val="00E72F93"/>
    <w:rsid w:val="00E734B7"/>
    <w:rsid w:val="00E73E27"/>
    <w:rsid w:val="00E75796"/>
    <w:rsid w:val="00E75B57"/>
    <w:rsid w:val="00E8093F"/>
    <w:rsid w:val="00E82901"/>
    <w:rsid w:val="00E82C42"/>
    <w:rsid w:val="00E83DA8"/>
    <w:rsid w:val="00E83E92"/>
    <w:rsid w:val="00E842DE"/>
    <w:rsid w:val="00E84A41"/>
    <w:rsid w:val="00E8523D"/>
    <w:rsid w:val="00E85E99"/>
    <w:rsid w:val="00E87BA7"/>
    <w:rsid w:val="00E91311"/>
    <w:rsid w:val="00E92380"/>
    <w:rsid w:val="00E95A95"/>
    <w:rsid w:val="00EA2FB5"/>
    <w:rsid w:val="00EA43D5"/>
    <w:rsid w:val="00EA60A7"/>
    <w:rsid w:val="00EA69D0"/>
    <w:rsid w:val="00EB0E2E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860"/>
    <w:rsid w:val="00EE096D"/>
    <w:rsid w:val="00EE2019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F00B04"/>
    <w:rsid w:val="00F01200"/>
    <w:rsid w:val="00F03B06"/>
    <w:rsid w:val="00F04386"/>
    <w:rsid w:val="00F04AF5"/>
    <w:rsid w:val="00F064DC"/>
    <w:rsid w:val="00F10750"/>
    <w:rsid w:val="00F1270D"/>
    <w:rsid w:val="00F13EE1"/>
    <w:rsid w:val="00F21847"/>
    <w:rsid w:val="00F21D60"/>
    <w:rsid w:val="00F231BA"/>
    <w:rsid w:val="00F24232"/>
    <w:rsid w:val="00F24992"/>
    <w:rsid w:val="00F27924"/>
    <w:rsid w:val="00F3219F"/>
    <w:rsid w:val="00F32E78"/>
    <w:rsid w:val="00F36375"/>
    <w:rsid w:val="00F4195C"/>
    <w:rsid w:val="00F52271"/>
    <w:rsid w:val="00F54342"/>
    <w:rsid w:val="00F550CB"/>
    <w:rsid w:val="00F5720E"/>
    <w:rsid w:val="00F5737B"/>
    <w:rsid w:val="00F619FF"/>
    <w:rsid w:val="00F6365F"/>
    <w:rsid w:val="00F653CD"/>
    <w:rsid w:val="00F65D2D"/>
    <w:rsid w:val="00F67252"/>
    <w:rsid w:val="00F67E09"/>
    <w:rsid w:val="00F70CC9"/>
    <w:rsid w:val="00F737D1"/>
    <w:rsid w:val="00F74097"/>
    <w:rsid w:val="00F743B0"/>
    <w:rsid w:val="00F81AF7"/>
    <w:rsid w:val="00F81F17"/>
    <w:rsid w:val="00F830FB"/>
    <w:rsid w:val="00F911BE"/>
    <w:rsid w:val="00F93E6F"/>
    <w:rsid w:val="00F943E3"/>
    <w:rsid w:val="00F94653"/>
    <w:rsid w:val="00F967FC"/>
    <w:rsid w:val="00FA053C"/>
    <w:rsid w:val="00FA1BE2"/>
    <w:rsid w:val="00FA2AA4"/>
    <w:rsid w:val="00FB03D2"/>
    <w:rsid w:val="00FB0828"/>
    <w:rsid w:val="00FB6B92"/>
    <w:rsid w:val="00FC1555"/>
    <w:rsid w:val="00FC39C8"/>
    <w:rsid w:val="00FC3AFD"/>
    <w:rsid w:val="00FC4259"/>
    <w:rsid w:val="00FC48D0"/>
    <w:rsid w:val="00FC6CBD"/>
    <w:rsid w:val="00FD004E"/>
    <w:rsid w:val="00FD0116"/>
    <w:rsid w:val="00FD0297"/>
    <w:rsid w:val="00FD0AB9"/>
    <w:rsid w:val="00FD52AC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pPr>
      <w:spacing w:after="0" w:line="240" w:lineRule="auto"/>
    </w:pPr>
    <w:rPr>
      <w:rFonts w:ascii="Calibri" w:eastAsia="PMingLiU" w:hAnsi="Calibri" w:cs="Calibri"/>
      <w:lang w:eastAsia="zh-TW"/>
    </w:rPr>
  </w:style>
  <w:style w:type="character" w:customStyle="1" w:styleId="NoSpacingChar">
    <w:name w:val="No Spacing Char"/>
    <w:basedOn w:val="DefaultParagraphFont"/>
    <w:link w:val="NoSpacing"/>
    <w:locked/>
    <w:rsid w:val="00D61692"/>
    <w:rPr>
      <w:rFonts w:ascii="Calibri" w:eastAsia="PMingLiU" w:hAnsi="Calibri" w:cs="Calibri"/>
      <w:lang w:eastAsia="zh-TW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ascii="Calibri" w:eastAsia="PMingLiU" w:hAnsi="Calibri" w:cs="Calibri"/>
      <w:lang w:eastAsia="zh-TW"/>
    </w:rPr>
  </w:style>
  <w:style w:type="paragraph" w:styleId="Caption">
    <w:name w:val="caption"/>
    <w:basedOn w:val="Normal"/>
    <w:next w:val="Normal"/>
    <w:link w:val="CaptionChar"/>
    <w:qFormat/>
    <w:rsid w:val="00D61692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21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1A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69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D"/>
  </w:style>
  <w:style w:type="paragraph" w:styleId="Footer">
    <w:name w:val="footer"/>
    <w:basedOn w:val="Normal"/>
    <w:link w:val="Foot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FCD"/>
  </w:style>
  <w:style w:type="paragraph" w:customStyle="1" w:styleId="msonospacing0">
    <w:name w:val="msonospacing"/>
    <w:rsid w:val="0055364A"/>
    <w:pPr>
      <w:spacing w:after="0" w:line="240" w:lineRule="auto"/>
    </w:pPr>
    <w:rPr>
      <w:rFonts w:ascii="PMingLiU" w:eastAsia="PMingLiU" w:hAnsi="Times New Roman" w:cs="Times New Roman" w:hint="eastAsia"/>
      <w:lang w:eastAsia="zh-TW"/>
    </w:rPr>
  </w:style>
  <w:style w:type="table" w:styleId="TableGrid">
    <w:name w:val="Table Grid"/>
    <w:basedOn w:val="TableNormal"/>
    <w:uiPriority w:val="59"/>
    <w:rsid w:val="00CD1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84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61A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1A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61A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C2A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AE3"/>
    <w:rPr>
      <w:color w:val="800080"/>
      <w:u w:val="single"/>
    </w:rPr>
  </w:style>
  <w:style w:type="paragraph" w:customStyle="1" w:styleId="xl149">
    <w:name w:val="xl149"/>
    <w:basedOn w:val="Normal"/>
    <w:rsid w:val="00AC2A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sr-Latn-CS" w:eastAsia="sr-Latn-CS"/>
    </w:rPr>
  </w:style>
  <w:style w:type="paragraph" w:customStyle="1" w:styleId="xl150">
    <w:name w:val="xl150"/>
    <w:basedOn w:val="Normal"/>
    <w:rsid w:val="00AC2A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val="sr-Latn-CS" w:eastAsia="sr-Latn-CS"/>
    </w:rPr>
  </w:style>
  <w:style w:type="paragraph" w:customStyle="1" w:styleId="xl151">
    <w:name w:val="xl151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sr-Latn-CS" w:eastAsia="sr-Latn-CS"/>
    </w:rPr>
  </w:style>
  <w:style w:type="paragraph" w:customStyle="1" w:styleId="xl152">
    <w:name w:val="xl152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3">
    <w:name w:val="xl153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4">
    <w:name w:val="xl154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5">
    <w:name w:val="xl155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6">
    <w:name w:val="xl156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7">
    <w:name w:val="xl157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8">
    <w:name w:val="xl158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59">
    <w:name w:val="xl159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0">
    <w:name w:val="xl160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1">
    <w:name w:val="xl161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2">
    <w:name w:val="xl162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3">
    <w:name w:val="xl163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4">
    <w:name w:val="xl164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5">
    <w:name w:val="xl165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6">
    <w:name w:val="xl166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7">
    <w:name w:val="xl167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C00000"/>
      <w:sz w:val="16"/>
      <w:szCs w:val="16"/>
      <w:lang w:val="sr-Latn-CS" w:eastAsia="sr-Latn-CS"/>
    </w:rPr>
  </w:style>
  <w:style w:type="paragraph" w:customStyle="1" w:styleId="xl168">
    <w:name w:val="xl168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69">
    <w:name w:val="xl169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0">
    <w:name w:val="xl170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1">
    <w:name w:val="xl171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2">
    <w:name w:val="xl172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3">
    <w:name w:val="xl173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sr-Latn-CS" w:eastAsia="sr-Latn-CS"/>
    </w:rPr>
  </w:style>
  <w:style w:type="paragraph" w:customStyle="1" w:styleId="xl179">
    <w:name w:val="xl179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sr-Latn-CS" w:eastAsia="sr-Latn-CS"/>
    </w:rPr>
  </w:style>
  <w:style w:type="paragraph" w:customStyle="1" w:styleId="xl180">
    <w:name w:val="xl180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AC2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2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2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AppData\Local\Temp\Rar$DI00.981\esi_nace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Dropbox\MINISTARSTVO%20FINANSIJA%20(1)\SEP\MMI\MMI%202013\MMI_2013_04\mmi_sirovi%20podaci_2013%2004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ivana.rasovic\Desktop\mmi%204\mmi_sirovi%20podaci_2013%2004.xlsx" TargetMode="External"/><Relationship Id="rId1" Type="http://schemas.openxmlformats.org/officeDocument/2006/relationships/image" Target="../media/image3.jpeg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ropbox\MINISTARSTVO%20FINANSIJA%20(1)\SEP\MMI\MMI%202013\MMI_2013_04\mmi_sirovi%20podaci_2013%200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3%20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lnSpc>
                <a:spcPts val="800"/>
              </a:lnSpc>
              <a:defRPr/>
            </a:pPr>
            <a:r>
              <a:rPr lang="sr-Latn-CS" sz="900" b="0"/>
              <a:t>Ekonomski sentiment -sezonski prilagođeni podaci</a:t>
            </a:r>
          </a:p>
        </c:rich>
      </c:tx>
      <c:layout>
        <c:manualLayout>
          <c:xMode val="edge"/>
          <c:yMode val="edge"/>
          <c:x val="0.26200092635479388"/>
          <c:y val="9.5417420648505802E-4"/>
        </c:manualLayout>
      </c:layout>
      <c:overlay val="1"/>
    </c:title>
    <c:plotArea>
      <c:layout/>
      <c:lineChart>
        <c:grouping val="standard"/>
        <c:ser>
          <c:idx val="0"/>
          <c:order val="0"/>
          <c:marker>
            <c:symbol val="none"/>
          </c:marker>
          <c:dLbls>
            <c:dLbl>
              <c:idx val="13"/>
              <c:layout>
                <c:manualLayout>
                  <c:x val="-0.11751103951666705"/>
                  <c:y val="-7.1822164823899734E-2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EU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numRef>
              <c:f>'ESI MONTHLY'!$A$326:$A$340</c:f>
              <c:numCache>
                <c:formatCode>mmm/yy</c:formatCode>
                <c:ptCount val="15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  <c:pt idx="12">
                  <c:v>41305</c:v>
                </c:pt>
                <c:pt idx="13">
                  <c:v>41333</c:v>
                </c:pt>
                <c:pt idx="14">
                  <c:v>41364</c:v>
                </c:pt>
              </c:numCache>
            </c:numRef>
          </c:cat>
          <c:val>
            <c:numRef>
              <c:f>'ESI MONTHLY'!$H$326:$H$340</c:f>
              <c:numCache>
                <c:formatCode>0.0</c:formatCode>
                <c:ptCount val="15"/>
                <c:pt idx="0">
                  <c:v>93.5</c:v>
                </c:pt>
                <c:pt idx="1">
                  <c:v>94.8</c:v>
                </c:pt>
                <c:pt idx="2">
                  <c:v>93.9</c:v>
                </c:pt>
                <c:pt idx="3">
                  <c:v>94.2</c:v>
                </c:pt>
                <c:pt idx="4">
                  <c:v>91.5</c:v>
                </c:pt>
                <c:pt idx="5">
                  <c:v>91.5</c:v>
                </c:pt>
                <c:pt idx="6">
                  <c:v>89.9</c:v>
                </c:pt>
                <c:pt idx="7">
                  <c:v>88</c:v>
                </c:pt>
                <c:pt idx="8">
                  <c:v>87</c:v>
                </c:pt>
                <c:pt idx="9">
                  <c:v>87.1</c:v>
                </c:pt>
                <c:pt idx="10">
                  <c:v>89.1</c:v>
                </c:pt>
                <c:pt idx="11">
                  <c:v>89.3</c:v>
                </c:pt>
                <c:pt idx="12">
                  <c:v>90.9</c:v>
                </c:pt>
                <c:pt idx="13">
                  <c:v>91.5</c:v>
                </c:pt>
                <c:pt idx="14">
                  <c:v>91.5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dLbls>
            <c:dLbl>
              <c:idx val="8"/>
              <c:layout>
                <c:manualLayout>
                  <c:x val="-0.16787291359523901"/>
                  <c:y val="3.9175726267581541E-2"/>
                </c:manualLayout>
              </c:layout>
              <c:tx>
                <c:rich>
                  <a:bodyPr/>
                  <a:lstStyle/>
                  <a:p>
                    <a:r>
                      <a:rPr lang="x-none" sz="700"/>
                      <a:t>Eurozona</a:t>
                    </a:r>
                    <a:endParaRPr lang="en-US" sz="700"/>
                  </a:p>
                </c:rich>
              </c:tx>
              <c:showVal val="1"/>
            </c:dLbl>
            <c:delete val="1"/>
          </c:dLbls>
          <c:cat>
            <c:numRef>
              <c:f>'ESI MONTHLY'!$A$326:$A$340</c:f>
              <c:numCache>
                <c:formatCode>mmm/yy</c:formatCode>
                <c:ptCount val="15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  <c:pt idx="12">
                  <c:v>41305</c:v>
                </c:pt>
                <c:pt idx="13">
                  <c:v>41333</c:v>
                </c:pt>
                <c:pt idx="14">
                  <c:v>41364</c:v>
                </c:pt>
              </c:numCache>
            </c:numRef>
          </c:cat>
          <c:val>
            <c:numRef>
              <c:f>'ESI MONTHLY'!$O$326:$O$340</c:f>
              <c:numCache>
                <c:formatCode>0.0</c:formatCode>
                <c:ptCount val="15"/>
                <c:pt idx="0">
                  <c:v>94.1</c:v>
                </c:pt>
                <c:pt idx="1">
                  <c:v>95.4</c:v>
                </c:pt>
                <c:pt idx="2">
                  <c:v>95.4</c:v>
                </c:pt>
                <c:pt idx="3">
                  <c:v>93.9</c:v>
                </c:pt>
                <c:pt idx="4">
                  <c:v>91.8</c:v>
                </c:pt>
                <c:pt idx="5">
                  <c:v>91.2</c:v>
                </c:pt>
                <c:pt idx="6">
                  <c:v>88.9</c:v>
                </c:pt>
                <c:pt idx="7">
                  <c:v>87.3</c:v>
                </c:pt>
                <c:pt idx="8">
                  <c:v>86</c:v>
                </c:pt>
                <c:pt idx="9">
                  <c:v>85.4</c:v>
                </c:pt>
                <c:pt idx="10">
                  <c:v>86.9</c:v>
                </c:pt>
                <c:pt idx="11">
                  <c:v>88</c:v>
                </c:pt>
                <c:pt idx="12">
                  <c:v>89.7</c:v>
                </c:pt>
                <c:pt idx="13">
                  <c:v>90.4</c:v>
                </c:pt>
                <c:pt idx="14">
                  <c:v>90.1</c:v>
                </c:pt>
              </c:numCache>
            </c:numRef>
          </c:val>
        </c:ser>
        <c:marker val="1"/>
        <c:axId val="81258368"/>
        <c:axId val="84428288"/>
      </c:lineChart>
      <c:dateAx>
        <c:axId val="8125836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600"/>
            </a:pPr>
            <a:endParaRPr lang="sr-Latn-CS"/>
          </a:p>
        </c:txPr>
        <c:crossAx val="84428288"/>
        <c:crosses val="autoZero"/>
        <c:auto val="1"/>
        <c:lblOffset val="100"/>
      </c:dateAx>
      <c:valAx>
        <c:axId val="84428288"/>
        <c:scaling>
          <c:orientation val="minMax"/>
          <c:min val="84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812583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50"/>
            </a:pPr>
            <a:r>
              <a:rPr lang="x-none" sz="850"/>
              <a:t>Stope</a:t>
            </a:r>
            <a:r>
              <a:rPr lang="x-none" sz="850" baseline="0"/>
              <a:t> rasta u prerađivačkoj industriji i promet u maloprodaji</a:t>
            </a:r>
            <a:endParaRPr lang="en-US" sz="850"/>
          </a:p>
        </c:rich>
      </c:tx>
      <c:layout>
        <c:manualLayout>
          <c:xMode val="edge"/>
          <c:yMode val="edge"/>
          <c:x val="0.23506895728943039"/>
          <c:y val="4.6315899254315328E-3"/>
        </c:manualLayout>
      </c:layout>
    </c:title>
    <c:plotArea>
      <c:layout>
        <c:manualLayout>
          <c:layoutTarget val="inner"/>
          <c:xMode val="edge"/>
          <c:yMode val="edge"/>
          <c:x val="0.17460159643447989"/>
          <c:y val="0.29804980827869632"/>
          <c:w val="0.85094714429304674"/>
          <c:h val="0.55059555280935368"/>
        </c:manualLayout>
      </c:layout>
      <c:lineChart>
        <c:grouping val="standard"/>
        <c:ser>
          <c:idx val="0"/>
          <c:order val="0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strRef>
              <c:f>'Makroekonomski indikatori'!$R$10:$AD$10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indikatori'!$R$13:$AD$13</c:f>
              <c:numCache>
                <c:formatCode>0.00</c:formatCode>
                <c:ptCount val="13"/>
                <c:pt idx="0">
                  <c:v>11.6</c:v>
                </c:pt>
                <c:pt idx="1">
                  <c:v>33.1</c:v>
                </c:pt>
                <c:pt idx="2">
                  <c:v>3.6</c:v>
                </c:pt>
                <c:pt idx="3">
                  <c:v>-18.5</c:v>
                </c:pt>
                <c:pt idx="4">
                  <c:v>-20.399999999999999</c:v>
                </c:pt>
                <c:pt idx="5">
                  <c:v>-13</c:v>
                </c:pt>
                <c:pt idx="6">
                  <c:v>-20.399999999999999</c:v>
                </c:pt>
                <c:pt idx="7">
                  <c:v>-40.5</c:v>
                </c:pt>
                <c:pt idx="8">
                  <c:v>-28.1</c:v>
                </c:pt>
                <c:pt idx="9">
                  <c:v>-20.3</c:v>
                </c:pt>
                <c:pt idx="10">
                  <c:v>-36.4</c:v>
                </c:pt>
                <c:pt idx="11">
                  <c:v>-32.800000000000004</c:v>
                </c:pt>
                <c:pt idx="12">
                  <c:v>-34.4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indikatori'!$C$15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 cmpd="sng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'Makroekonomski indikatori'!$R$10:$AD$10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indikatori'!$R$15:$AD$15</c:f>
              <c:numCache>
                <c:formatCode>0.00</c:formatCode>
                <c:ptCount val="13"/>
                <c:pt idx="0">
                  <c:v>8</c:v>
                </c:pt>
                <c:pt idx="1">
                  <c:v>18.600000000000001</c:v>
                </c:pt>
                <c:pt idx="2">
                  <c:v>9.8000000000000007</c:v>
                </c:pt>
                <c:pt idx="3">
                  <c:v>3.3</c:v>
                </c:pt>
                <c:pt idx="4">
                  <c:v>4.4000000000000004</c:v>
                </c:pt>
                <c:pt idx="5">
                  <c:v>1.1000000000000001</c:v>
                </c:pt>
                <c:pt idx="6">
                  <c:v>4.4000000000000004</c:v>
                </c:pt>
                <c:pt idx="7">
                  <c:v>3.5</c:v>
                </c:pt>
                <c:pt idx="8">
                  <c:v>2.1</c:v>
                </c:pt>
                <c:pt idx="9">
                  <c:v>2.1</c:v>
                </c:pt>
                <c:pt idx="10">
                  <c:v>12.1</c:v>
                </c:pt>
                <c:pt idx="11">
                  <c:v>8.2000000000000011</c:v>
                </c:pt>
                <c:pt idx="12">
                  <c:v>6.6</c:v>
                </c:pt>
              </c:numCache>
            </c:numRef>
          </c:val>
          <c:smooth val="1"/>
        </c:ser>
        <c:marker val="1"/>
        <c:axId val="88421120"/>
        <c:axId val="88423040"/>
      </c:lineChart>
      <c:catAx>
        <c:axId val="8842112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700"/>
            </a:pPr>
            <a:endParaRPr lang="sr-Latn-CS"/>
          </a:p>
        </c:txPr>
        <c:crossAx val="88423040"/>
        <c:crosses val="autoZero"/>
        <c:auto val="1"/>
        <c:lblAlgn val="ctr"/>
        <c:lblOffset val="100"/>
        <c:tickLblSkip val="1"/>
      </c:catAx>
      <c:valAx>
        <c:axId val="88423040"/>
        <c:scaling>
          <c:orientation val="minMax"/>
        </c:scaling>
        <c:axPos val="l"/>
        <c:numFmt formatCode="0.0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884211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455618614776225"/>
          <c:y val="0.17372488974389191"/>
          <c:w val="0.81747486109690837"/>
          <c:h val="0.1098907636545432"/>
        </c:manualLayout>
      </c:layout>
      <c:txPr>
        <a:bodyPr/>
        <a:lstStyle/>
        <a:p>
          <a:pPr>
            <a:defRPr lang="en-U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sz="800"/>
            </a:pPr>
            <a:r>
              <a:rPr lang="x-none" sz="800"/>
              <a:t>I</a:t>
            </a:r>
            <a:r>
              <a:rPr lang="en-US" sz="800"/>
              <a:t>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3438479778843221"/>
          <c:y val="0.25189932183332575"/>
          <c:w val="0.80979053562110248"/>
          <c:h val="0.54594268202023877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'Makroekonomski indikatori'!$R$10:$AD$10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indikatori'!$R$19:$AD$19</c:f>
              <c:numCache>
                <c:formatCode>#,##0.0</c:formatCode>
                <c:ptCount val="13"/>
                <c:pt idx="0">
                  <c:v>2.1</c:v>
                </c:pt>
                <c:pt idx="1">
                  <c:v>2.9</c:v>
                </c:pt>
                <c:pt idx="2">
                  <c:v>3.6</c:v>
                </c:pt>
                <c:pt idx="3">
                  <c:v>4.4000000000000004</c:v>
                </c:pt>
                <c:pt idx="4">
                  <c:v>4.5999999999999996</c:v>
                </c:pt>
                <c:pt idx="5">
                  <c:v>5</c:v>
                </c:pt>
                <c:pt idx="6">
                  <c:v>4.5999999999999996</c:v>
                </c:pt>
                <c:pt idx="7">
                  <c:v>4.9000000000000004</c:v>
                </c:pt>
                <c:pt idx="8">
                  <c:v>4.8</c:v>
                </c:pt>
                <c:pt idx="9">
                  <c:v>4.4000000000000004</c:v>
                </c:pt>
                <c:pt idx="10">
                  <c:v>3.8</c:v>
                </c:pt>
                <c:pt idx="11">
                  <c:v>3.1</c:v>
                </c:pt>
                <c:pt idx="12">
                  <c:v>3</c:v>
                </c:pt>
              </c:numCache>
            </c:numRef>
          </c:val>
          <c:smooth val="1"/>
        </c:ser>
        <c:marker val="1"/>
        <c:axId val="95177728"/>
        <c:axId val="95200000"/>
      </c:lineChart>
      <c:catAx>
        <c:axId val="951777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5200000"/>
        <c:crossesAt val="1.5"/>
        <c:auto val="1"/>
        <c:lblAlgn val="ctr"/>
        <c:lblOffset val="100"/>
        <c:tickLblSkip val="3"/>
      </c:catAx>
      <c:valAx>
        <c:axId val="95200000"/>
        <c:scaling>
          <c:orientation val="minMax"/>
          <c:max val="5.5"/>
          <c:min val="1.5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517772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8.0449858100650765E-2"/>
          <c:y val="0.10608893541486485"/>
          <c:w val="0.9"/>
          <c:h val="0.17653444929646037"/>
        </c:manualLayout>
      </c:layout>
      <c:txPr>
        <a:bodyPr/>
        <a:lstStyle/>
        <a:p>
          <a:pPr>
            <a:defRPr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/>
            </a:pPr>
            <a:r>
              <a:rPr lang="sr-Latn-CS" sz="800"/>
              <a:t>Bruto i neto zarade</a:t>
            </a:r>
          </a:p>
        </c:rich>
      </c:tx>
      <c:layout>
        <c:manualLayout>
          <c:xMode val="edge"/>
          <c:yMode val="edge"/>
          <c:x val="0.32739312617702448"/>
          <c:y val="2.47563352826510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7861111111111141"/>
          <c:y val="4.3323586744639403E-2"/>
          <c:w val="0.642777777777781"/>
          <c:h val="0.7600696881091626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4"/>
              <c:layout>
                <c:manualLayout>
                  <c:x val="-0.16144114877589588"/>
                  <c:y val="2.475633528265108E-2"/>
                </c:manualLayout>
              </c:layout>
              <c:tx>
                <c:rich>
                  <a:bodyPr/>
                  <a:lstStyle/>
                  <a:p>
                    <a:r>
                      <a:rPr lang="x-none" sz="700"/>
                      <a:t>bruto </a:t>
                    </a:r>
                    <a:endParaRPr lang="en-US" sz="700"/>
                  </a:p>
                </c:rich>
              </c:tx>
              <c:showVal val="1"/>
            </c:dLbl>
            <c:delete val="1"/>
          </c:dLbls>
          <c:cat>
            <c:strRef>
              <c:f>'Makroekonomski indikatori'!$R$60:$AD$60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2013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indikatori'!$R$27:$AD$27</c:f>
              <c:numCache>
                <c:formatCode>#,##0</c:formatCode>
                <c:ptCount val="13"/>
                <c:pt idx="0">
                  <c:v>730</c:v>
                </c:pt>
                <c:pt idx="1">
                  <c:v>733</c:v>
                </c:pt>
                <c:pt idx="2">
                  <c:v>727</c:v>
                </c:pt>
                <c:pt idx="3">
                  <c:v>722</c:v>
                </c:pt>
                <c:pt idx="4">
                  <c:v>716</c:v>
                </c:pt>
                <c:pt idx="5">
                  <c:v>716</c:v>
                </c:pt>
                <c:pt idx="6">
                  <c:v>721</c:v>
                </c:pt>
                <c:pt idx="7">
                  <c:v>717</c:v>
                </c:pt>
                <c:pt idx="8">
                  <c:v>713</c:v>
                </c:pt>
                <c:pt idx="9">
                  <c:v>741</c:v>
                </c:pt>
                <c:pt idx="10">
                  <c:v>731</c:v>
                </c:pt>
                <c:pt idx="11">
                  <c:v>734</c:v>
                </c:pt>
                <c:pt idx="12">
                  <c:v>723</c:v>
                </c:pt>
              </c:numCache>
            </c:numRef>
          </c:val>
          <c:smooth val="1"/>
        </c:ser>
        <c:marker val="1"/>
        <c:axId val="98942336"/>
        <c:axId val="99736192"/>
      </c:lineChart>
      <c:lineChart>
        <c:grouping val="standard"/>
        <c:ser>
          <c:idx val="1"/>
          <c:order val="1"/>
          <c:marker>
            <c:symbol val="none"/>
          </c:marker>
          <c:dLbls>
            <c:dLbl>
              <c:idx val="5"/>
              <c:layout>
                <c:manualLayout>
                  <c:x val="-6.5772128060263654E-2"/>
                  <c:y val="-0.11140350877193032"/>
                </c:manualLayout>
              </c:layout>
              <c:tx>
                <c:rich>
                  <a:bodyPr/>
                  <a:lstStyle/>
                  <a:p>
                    <a:r>
                      <a:rPr lang="x-none" sz="700"/>
                      <a:t>neto</a:t>
                    </a:r>
                    <a:endParaRPr lang="en-US" sz="700"/>
                  </a:p>
                </c:rich>
              </c:tx>
              <c:showVal val="1"/>
            </c:dLbl>
            <c:delete val="1"/>
          </c:dLbls>
          <c:val>
            <c:numRef>
              <c:f>'Makroekonomski indikatori'!$R$28:$AD$28</c:f>
              <c:numCache>
                <c:formatCode>#,##0</c:formatCode>
                <c:ptCount val="13"/>
                <c:pt idx="0">
                  <c:v>489</c:v>
                </c:pt>
                <c:pt idx="1">
                  <c:v>491</c:v>
                </c:pt>
                <c:pt idx="2">
                  <c:v>487</c:v>
                </c:pt>
                <c:pt idx="3">
                  <c:v>484</c:v>
                </c:pt>
                <c:pt idx="4">
                  <c:v>480</c:v>
                </c:pt>
                <c:pt idx="5">
                  <c:v>480</c:v>
                </c:pt>
                <c:pt idx="6">
                  <c:v>483</c:v>
                </c:pt>
                <c:pt idx="7">
                  <c:v>480</c:v>
                </c:pt>
                <c:pt idx="8">
                  <c:v>478</c:v>
                </c:pt>
                <c:pt idx="9">
                  <c:v>497</c:v>
                </c:pt>
                <c:pt idx="10">
                  <c:v>490</c:v>
                </c:pt>
                <c:pt idx="11">
                  <c:v>485</c:v>
                </c:pt>
                <c:pt idx="12">
                  <c:v>476</c:v>
                </c:pt>
              </c:numCache>
            </c:numRef>
          </c:val>
          <c:smooth val="1"/>
        </c:ser>
        <c:marker val="1"/>
        <c:axId val="111880832"/>
        <c:axId val="99926400"/>
      </c:lineChart>
      <c:catAx>
        <c:axId val="9894233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9736192"/>
        <c:crosses val="autoZero"/>
        <c:auto val="1"/>
        <c:lblAlgn val="ctr"/>
        <c:lblOffset val="100"/>
      </c:catAx>
      <c:valAx>
        <c:axId val="99736192"/>
        <c:scaling>
          <c:orientation val="minMax"/>
          <c:min val="70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numFmt formatCode="#,##0" sourceLinked="1"/>
        <c:tickLblPos val="nextTo"/>
        <c:txPr>
          <a:bodyPr/>
          <a:lstStyle/>
          <a:p>
            <a:pPr>
              <a:defRPr sz="700">
                <a:solidFill>
                  <a:schemeClr val="tx2">
                    <a:lumMod val="75000"/>
                  </a:schemeClr>
                </a:solidFill>
              </a:defRPr>
            </a:pPr>
            <a:endParaRPr lang="sr-Latn-CS"/>
          </a:p>
        </c:txPr>
        <c:crossAx val="98942336"/>
        <c:crosses val="autoZero"/>
        <c:crossBetween val="between"/>
      </c:valAx>
      <c:valAx>
        <c:axId val="99926400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sz="700">
                <a:solidFill>
                  <a:schemeClr val="accent6">
                    <a:lumMod val="75000"/>
                  </a:schemeClr>
                </a:solidFill>
              </a:defRPr>
            </a:pPr>
            <a:endParaRPr lang="sr-Latn-CS"/>
          </a:p>
        </c:txPr>
        <c:crossAx val="111880832"/>
        <c:crosses val="max"/>
        <c:crossBetween val="between"/>
      </c:valAx>
      <c:catAx>
        <c:axId val="111880832"/>
        <c:scaling>
          <c:orientation val="minMax"/>
        </c:scaling>
        <c:delete val="1"/>
        <c:axPos val="b"/>
        <c:tickLblPos val="none"/>
        <c:crossAx val="999264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D</a:t>
            </a:r>
            <a:r>
              <a:rPr lang="en-US" sz="800"/>
              <a:t>RŽAVNI</a:t>
            </a:r>
            <a:r>
              <a:rPr lang="x-none" sz="800"/>
              <a:t> BUDŽET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5749991899225707"/>
          <c:y val="0.1416752454531548"/>
          <c:w val="0.70754916726257866"/>
          <c:h val="0.61043103134696042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indikatori'!$AV$20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pictureOptions>
            <c:pictureFormat val="stretch"/>
          </c:pictureOptions>
          <c:cat>
            <c:strRef>
              <c:f>'Fiskalni indikatori'!$BK$6:$BW$6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indikatori'!$BK$20:$BW$20</c:f>
              <c:numCache>
                <c:formatCode>0.00,,</c:formatCode>
                <c:ptCount val="13"/>
                <c:pt idx="0">
                  <c:v>-8601774.5941666514</c:v>
                </c:pt>
                <c:pt idx="1">
                  <c:v>-51300834.05416666</c:v>
                </c:pt>
                <c:pt idx="2">
                  <c:v>-15902559.364166632</c:v>
                </c:pt>
                <c:pt idx="3">
                  <c:v>-3745745.7141666557</c:v>
                </c:pt>
                <c:pt idx="4">
                  <c:v>26603941.475833312</c:v>
                </c:pt>
                <c:pt idx="5">
                  <c:v>10787125.645833343</c:v>
                </c:pt>
                <c:pt idx="6">
                  <c:v>-21819425.644166689</c:v>
                </c:pt>
                <c:pt idx="7">
                  <c:v>-4802538.3741666526</c:v>
                </c:pt>
                <c:pt idx="8">
                  <c:v>-15187791.394166647</c:v>
                </c:pt>
                <c:pt idx="9">
                  <c:v>-11379726.964166641</c:v>
                </c:pt>
                <c:pt idx="10">
                  <c:v>-26331443.129999995</c:v>
                </c:pt>
                <c:pt idx="11">
                  <c:v>-15470015.379999995</c:v>
                </c:pt>
                <c:pt idx="12">
                  <c:v>-17905975.349999979</c:v>
                </c:pt>
              </c:numCache>
            </c:numRef>
          </c:val>
        </c:ser>
        <c:gapWidth val="17"/>
        <c:overlap val="-21"/>
        <c:axId val="120463360"/>
        <c:axId val="118096256"/>
      </c:barChart>
      <c:lineChart>
        <c:grouping val="standard"/>
        <c:ser>
          <c:idx val="0"/>
          <c:order val="0"/>
          <c:tx>
            <c:strRef>
              <c:f>'Fiskalni indikatori'!$AV$28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  <a:prstDash val="sysDash"/>
            </a:ln>
          </c:spPr>
          <c:marker>
            <c:symbol val="none"/>
          </c:marker>
          <c:cat>
            <c:strRef>
              <c:f>'Fiskalni indikatori'!$BK$6:$BW$6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indikatori'!$BK$7:$BW$7</c:f>
              <c:numCache>
                <c:formatCode>0.00,,</c:formatCode>
                <c:ptCount val="13"/>
                <c:pt idx="0">
                  <c:v>76276638</c:v>
                </c:pt>
                <c:pt idx="1">
                  <c:v>98761847.500000015</c:v>
                </c:pt>
                <c:pt idx="2">
                  <c:v>86817319.960000023</c:v>
                </c:pt>
                <c:pt idx="3">
                  <c:v>95935673.590000004</c:v>
                </c:pt>
                <c:pt idx="4">
                  <c:v>130902818.23</c:v>
                </c:pt>
                <c:pt idx="5">
                  <c:v>108520677.06999999</c:v>
                </c:pt>
                <c:pt idx="6">
                  <c:v>95844316.429999992</c:v>
                </c:pt>
                <c:pt idx="7">
                  <c:v>99225993.690000013</c:v>
                </c:pt>
                <c:pt idx="8">
                  <c:v>85312820.549999997</c:v>
                </c:pt>
                <c:pt idx="9">
                  <c:v>125850417.43000002</c:v>
                </c:pt>
                <c:pt idx="10">
                  <c:v>54542432.850000001</c:v>
                </c:pt>
                <c:pt idx="11">
                  <c:v>75644319.790000007</c:v>
                </c:pt>
                <c:pt idx="12">
                  <c:v>88285086.690000013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indikatori'!$AV$29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'Fiskalni indikatori'!$BK$6:$BW$6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indikatori'!$BK$13:$BW$13</c:f>
              <c:numCache>
                <c:formatCode>0.00,,</c:formatCode>
                <c:ptCount val="13"/>
                <c:pt idx="0">
                  <c:v>84878412.594166651</c:v>
                </c:pt>
                <c:pt idx="1">
                  <c:v>150062681.55416662</c:v>
                </c:pt>
                <c:pt idx="2">
                  <c:v>102719879.32416666</c:v>
                </c:pt>
                <c:pt idx="3">
                  <c:v>99681419.30416666</c:v>
                </c:pt>
                <c:pt idx="4">
                  <c:v>104298876.75416666</c:v>
                </c:pt>
                <c:pt idx="5">
                  <c:v>97733551.42416665</c:v>
                </c:pt>
                <c:pt idx="6">
                  <c:v>117663742.07416666</c:v>
                </c:pt>
                <c:pt idx="7">
                  <c:v>104028532.06416668</c:v>
                </c:pt>
                <c:pt idx="8">
                  <c:v>100500611.9441673</c:v>
                </c:pt>
                <c:pt idx="9">
                  <c:v>137230144.39416665</c:v>
                </c:pt>
                <c:pt idx="10">
                  <c:v>80873875.979999989</c:v>
                </c:pt>
                <c:pt idx="11">
                  <c:v>91114335.169999972</c:v>
                </c:pt>
                <c:pt idx="12">
                  <c:v>106191062.03999999</c:v>
                </c:pt>
              </c:numCache>
            </c:numRef>
          </c:val>
          <c:smooth val="1"/>
        </c:ser>
        <c:marker val="1"/>
        <c:axId val="114432640"/>
        <c:axId val="114485888"/>
      </c:lineChart>
      <c:catAx>
        <c:axId val="114432640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4485888"/>
        <c:crosses val="autoZero"/>
        <c:auto val="1"/>
        <c:lblAlgn val="ctr"/>
        <c:lblOffset val="100"/>
      </c:catAx>
      <c:valAx>
        <c:axId val="114485888"/>
        <c:scaling>
          <c:orientation val="minMax"/>
          <c:min val="0"/>
        </c:scaling>
        <c:axPos val="l"/>
        <c:majorGridlines/>
        <c:numFmt formatCode="0.0,,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sr-Latn-CS"/>
          </a:p>
        </c:txPr>
        <c:crossAx val="114432640"/>
        <c:crosses val="autoZero"/>
        <c:crossBetween val="between"/>
      </c:valAx>
      <c:valAx>
        <c:axId val="118096256"/>
        <c:scaling>
          <c:orientation val="minMax"/>
          <c:max val="100000000"/>
          <c:min val="-70000000"/>
        </c:scaling>
        <c:axPos val="r"/>
        <c:numFmt formatCode="0.0,," sourceLinked="0"/>
        <c:tickLblPos val="nextTo"/>
        <c:spPr>
          <a:noFill/>
        </c:spPr>
        <c:txPr>
          <a:bodyPr rot="0" vert="horz" anchor="ctr" anchorCtr="0"/>
          <a:lstStyle/>
          <a:p>
            <a:pPr>
              <a:defRPr lang="en-US" sz="700"/>
            </a:pPr>
            <a:endParaRPr lang="sr-Latn-CS"/>
          </a:p>
        </c:txPr>
        <c:crossAx val="120463360"/>
        <c:crosses val="max"/>
        <c:crossBetween val="between"/>
      </c:valAx>
      <c:catAx>
        <c:axId val="120463360"/>
        <c:scaling>
          <c:orientation val="minMax"/>
        </c:scaling>
        <c:delete val="1"/>
        <c:axPos val="b"/>
        <c:numFmt formatCode="General" sourceLinked="1"/>
        <c:tickLblPos val="none"/>
        <c:crossAx val="118096256"/>
        <c:crosses val="autoZero"/>
        <c:auto val="1"/>
        <c:lblAlgn val="ctr"/>
        <c:lblOffset val="100"/>
      </c:catAx>
    </c:plotArea>
    <c:legend>
      <c:legendPos val="b"/>
      <c:legendEntry>
        <c:idx val="1"/>
        <c:txPr>
          <a:bodyPr/>
          <a:lstStyle/>
          <a:p>
            <a:pPr>
              <a:defRPr sz="800"/>
            </a:pPr>
            <a:endParaRPr lang="sr-Latn-CS"/>
          </a:p>
        </c:txPr>
      </c:legendEntry>
      <c:layout>
        <c:manualLayout>
          <c:xMode val="edge"/>
          <c:yMode val="edge"/>
          <c:x val="0.14817847981531121"/>
          <c:y val="0.82442835718374785"/>
          <c:w val="0.7626945517160677"/>
          <c:h val="0.13977082010932021"/>
        </c:manualLayout>
      </c:layout>
      <c:txPr>
        <a:bodyPr/>
        <a:lstStyle/>
        <a:p>
          <a:pPr>
            <a:defRPr lang="en-US"/>
          </a:pPr>
          <a:endParaRPr lang="sr-Latn-CS"/>
        </a:p>
      </c:txPr>
    </c:legend>
    <c:plotVisOnly val="1"/>
    <c:dispBlanksAs val="gap"/>
  </c:chart>
  <c:txPr>
    <a:bodyPr/>
    <a:lstStyle/>
    <a:p>
      <a:pPr>
        <a:defRPr sz="800" baseline="0"/>
      </a:pPr>
      <a:endParaRPr lang="sr-Latn-CS"/>
    </a:p>
  </c:tx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/>
            </a:pPr>
            <a:r>
              <a:rPr lang="sr-Latn-RS" sz="1000"/>
              <a:t>Kamatne stope</a:t>
            </a:r>
            <a:endParaRPr lang="en-US" sz="1000"/>
          </a:p>
        </c:rich>
      </c:tx>
      <c:layout>
        <c:manualLayout>
          <c:xMode val="edge"/>
          <c:yMode val="edge"/>
          <c:x val="0.31120008051529791"/>
          <c:y val="5.369772241321793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6676006441223881"/>
          <c:y val="8.2009952259765054E-2"/>
          <c:w val="0.67670531400966394"/>
          <c:h val="0.7741207420771556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10"/>
              <c:layout>
                <c:manualLayout>
                  <c:x val="-0.27097423510467156"/>
                  <c:y val="-1.6109316723965379E-2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Kamatna stopa</a:t>
                    </a:r>
                    <a:r>
                      <a:rPr lang="sr-Latn-RS" baseline="0"/>
                      <a:t> na kredite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'Makroekonomski indikatori'!$R$60:$AE$60</c:f>
              <c:strCache>
                <c:ptCount val="14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2013</c:v>
                </c:pt>
                <c:pt idx="11">
                  <c:v>II</c:v>
                </c:pt>
                <c:pt idx="12">
                  <c:v>III</c:v>
                </c:pt>
                <c:pt idx="13">
                  <c:v>IV</c:v>
                </c:pt>
              </c:strCache>
            </c:strRef>
          </c:cat>
          <c:val>
            <c:numRef>
              <c:f>'Makroekonomski indikatori'!$R$42:$AD$42</c:f>
              <c:numCache>
                <c:formatCode>0.00</c:formatCode>
                <c:ptCount val="13"/>
                <c:pt idx="0">
                  <c:v>9.6399999999999988</c:v>
                </c:pt>
                <c:pt idx="1">
                  <c:v>9.61</c:v>
                </c:pt>
                <c:pt idx="2">
                  <c:v>9.57</c:v>
                </c:pt>
                <c:pt idx="3">
                  <c:v>9.5300000000000011</c:v>
                </c:pt>
                <c:pt idx="4">
                  <c:v>9.5400000000000009</c:v>
                </c:pt>
                <c:pt idx="5">
                  <c:v>9.5400000000000009</c:v>
                </c:pt>
                <c:pt idx="6">
                  <c:v>9.5300000000000011</c:v>
                </c:pt>
                <c:pt idx="7">
                  <c:v>9.5</c:v>
                </c:pt>
                <c:pt idx="8">
                  <c:v>9.49</c:v>
                </c:pt>
                <c:pt idx="9">
                  <c:v>9.4700000000000006</c:v>
                </c:pt>
                <c:pt idx="10">
                  <c:v>9.44</c:v>
                </c:pt>
                <c:pt idx="11">
                  <c:v>9.4500000000000028</c:v>
                </c:pt>
                <c:pt idx="12">
                  <c:v>9.44</c:v>
                </c:pt>
              </c:numCache>
            </c:numRef>
          </c:val>
        </c:ser>
        <c:marker val="1"/>
        <c:axId val="99398016"/>
        <c:axId val="99399552"/>
      </c:lineChart>
      <c:lineChart>
        <c:grouping val="standard"/>
        <c:ser>
          <c:idx val="1"/>
          <c:order val="1"/>
          <c:marker>
            <c:symbol val="none"/>
          </c:marker>
          <c:dLbls>
            <c:dLbl>
              <c:idx val="8"/>
              <c:layout>
                <c:manualLayout>
                  <c:x val="-7.15780998389694E-2"/>
                  <c:y val="-0.11276521706775759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Kamatne stope na depozite</a:t>
                    </a:r>
                    <a:endParaRPr lang="en-US"/>
                  </a:p>
                </c:rich>
              </c:tx>
              <c:showVal val="1"/>
            </c:dLbl>
            <c:delete val="1"/>
          </c:dLbls>
          <c:val>
            <c:numRef>
              <c:f>'Makroekonomski indikatori'!$R$43:$AD$43</c:f>
              <c:numCache>
                <c:formatCode>0.00</c:formatCode>
                <c:ptCount val="13"/>
                <c:pt idx="0">
                  <c:v>3.3699999999999997</c:v>
                </c:pt>
                <c:pt idx="1">
                  <c:v>3.3499999999999988</c:v>
                </c:pt>
                <c:pt idx="2">
                  <c:v>3.32</c:v>
                </c:pt>
                <c:pt idx="3">
                  <c:v>3.27</c:v>
                </c:pt>
                <c:pt idx="4">
                  <c:v>3.16</c:v>
                </c:pt>
                <c:pt idx="5">
                  <c:v>3.19</c:v>
                </c:pt>
                <c:pt idx="6">
                  <c:v>3.16</c:v>
                </c:pt>
                <c:pt idx="7">
                  <c:v>3.24</c:v>
                </c:pt>
                <c:pt idx="8">
                  <c:v>3.24</c:v>
                </c:pt>
                <c:pt idx="9">
                  <c:v>3.23</c:v>
                </c:pt>
                <c:pt idx="10">
                  <c:v>3.15</c:v>
                </c:pt>
                <c:pt idx="11">
                  <c:v>3.16</c:v>
                </c:pt>
                <c:pt idx="12">
                  <c:v>3.14</c:v>
                </c:pt>
              </c:numCache>
            </c:numRef>
          </c:val>
        </c:ser>
        <c:marker val="1"/>
        <c:axId val="99644544"/>
        <c:axId val="99401088"/>
      </c:lineChart>
      <c:catAx>
        <c:axId val="99398016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sr-Latn-CS"/>
          </a:p>
        </c:txPr>
        <c:crossAx val="99399552"/>
        <c:crosses val="autoZero"/>
        <c:auto val="1"/>
        <c:lblAlgn val="ctr"/>
        <c:lblOffset val="100"/>
      </c:catAx>
      <c:valAx>
        <c:axId val="99399552"/>
        <c:scaling>
          <c:orientation val="minMax"/>
          <c:min val="9.4"/>
        </c:scaling>
        <c:axPos val="l"/>
        <c:majorGridlines>
          <c:spPr>
            <a:ln>
              <a:prstDash val="sysDot"/>
            </a:ln>
          </c:spPr>
        </c:majorGridlines>
        <c:numFmt formatCode="0.0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9398016"/>
        <c:crosses val="autoZero"/>
        <c:crossBetween val="between"/>
      </c:valAx>
      <c:valAx>
        <c:axId val="99401088"/>
        <c:scaling>
          <c:orientation val="minMax"/>
        </c:scaling>
        <c:axPos val="r"/>
        <c:numFmt formatCode="0.0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9644544"/>
        <c:crosses val="max"/>
        <c:crossBetween val="between"/>
      </c:valAx>
      <c:catAx>
        <c:axId val="99644544"/>
        <c:scaling>
          <c:orientation val="minMax"/>
        </c:scaling>
        <c:delete val="1"/>
        <c:axPos val="b"/>
        <c:tickLblPos val="none"/>
        <c:crossAx val="99401088"/>
        <c:crosses val="autoZero"/>
        <c:auto val="1"/>
        <c:lblAlgn val="ctr"/>
        <c:lblOffset val="100"/>
      </c:catAx>
    </c:plotArea>
    <c:plotVisOnly val="1"/>
  </c:chart>
  <c:spPr>
    <a:ln>
      <a:noFill/>
    </a:ln>
  </c:spPr>
  <c:txPr>
    <a:bodyPr/>
    <a:lstStyle/>
    <a:p>
      <a:pPr>
        <a:defRPr sz="900"/>
      </a:pPr>
      <a:endParaRPr lang="sr-Latn-C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900"/>
            </a:pPr>
            <a:r>
              <a:rPr lang="en-US" sz="900"/>
              <a:t>Spoljnotrgovinski bilans</a:t>
            </a:r>
            <a:r>
              <a:rPr lang="en-US" sz="900" baseline="0"/>
              <a:t> (mil. </a:t>
            </a:r>
            <a:r>
              <a:rPr lang="en-US" sz="900" baseline="0">
                <a:latin typeface="Calibri"/>
              </a:rPr>
              <a:t>€)</a:t>
            </a:r>
            <a:endParaRPr lang="en-US" sz="900"/>
          </a:p>
        </c:rich>
      </c:tx>
      <c:layout>
        <c:manualLayout>
          <c:xMode val="edge"/>
          <c:yMode val="edge"/>
          <c:x val="0.29153132321842118"/>
          <c:y val="5.4508521266086124E-3"/>
        </c:manualLayout>
      </c:layout>
    </c:title>
    <c:plotArea>
      <c:layout>
        <c:manualLayout>
          <c:layoutTarget val="inner"/>
          <c:xMode val="edge"/>
          <c:yMode val="edge"/>
          <c:x val="0.13120404329980634"/>
          <c:y val="0.13965727424567767"/>
          <c:w val="0.76230462877089089"/>
          <c:h val="0.7703548133714484"/>
        </c:manualLayout>
      </c:layout>
      <c:barChart>
        <c:barDir val="col"/>
        <c:grouping val="clustered"/>
        <c:ser>
          <c:idx val="2"/>
          <c:order val="2"/>
          <c:tx>
            <c:v>Spoljnotrgovinski bilans</c:v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700"/>
                      <a:t>trgovinski bilans</a:t>
                    </a:r>
                  </a:p>
                </c:rich>
              </c:tx>
              <c:dLblPos val="outEnd"/>
              <c:showVal val="1"/>
              <c:showSer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trgovinski bilans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dLblPos val="outEnd"/>
            <c:showVal val="1"/>
            <c:showSerName val="1"/>
          </c:dLbls>
          <c:cat>
            <c:strRef>
              <c:f>'Makroekonomski indikatori'!$P$60:$AC$60</c:f>
              <c:strCache>
                <c:ptCount val="14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indikatori'!$AX$79:$AY$79</c:f>
              <c:numCache>
                <c:formatCode>0.000</c:formatCode>
                <c:ptCount val="2"/>
                <c:pt idx="0">
                  <c:v>-313.14400000000114</c:v>
                </c:pt>
                <c:pt idx="1">
                  <c:v>-272.96599999999899</c:v>
                </c:pt>
              </c:numCache>
            </c:numRef>
          </c:val>
        </c:ser>
        <c:ser>
          <c:idx val="0"/>
          <c:order val="0"/>
          <c:tx>
            <c:v>Izvoz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700"/>
                      <a:t>Izvoz</a:t>
                    </a:r>
                  </a:p>
                </c:rich>
              </c:tx>
              <c:showVal val="1"/>
              <c:showSer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Izvoz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showVal val="1"/>
            <c:showSerName val="1"/>
          </c:dLbls>
          <c:cat>
            <c:strRef>
              <c:f>'Makroekonomski indikatori'!$AX$75:$AY$75</c:f>
              <c:strCache>
                <c:ptCount val="2"/>
                <c:pt idx="0">
                  <c:v>          I - III   2012</c:v>
                </c:pt>
                <c:pt idx="1">
                  <c:v>         I - III    2013</c:v>
                </c:pt>
              </c:strCache>
            </c:strRef>
          </c:cat>
          <c:val>
            <c:numRef>
              <c:f>'Makroekonomski indikatori'!$AX$76:$AY$76</c:f>
              <c:numCache>
                <c:formatCode>0.0</c:formatCode>
                <c:ptCount val="2"/>
                <c:pt idx="0">
                  <c:v>84.763999999999996</c:v>
                </c:pt>
                <c:pt idx="1">
                  <c:v>89.191000000000003</c:v>
                </c:pt>
              </c:numCache>
            </c:numRef>
          </c:val>
        </c:ser>
        <c:ser>
          <c:idx val="1"/>
          <c:order val="1"/>
          <c:tx>
            <c:v>Uvoz</c:v>
          </c:tx>
          <c:spPr>
            <a:ln>
              <a:solidFill>
                <a:srgbClr val="C00000"/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700"/>
                      <a:t>Uvoz</a:t>
                    </a:r>
                  </a:p>
                </c:rich>
              </c:tx>
              <c:showVal val="1"/>
              <c:showSer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Uvoz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showVal val="1"/>
            <c:showSerName val="1"/>
          </c:dLbls>
          <c:cat>
            <c:multiLvlStrRef>
              <c:f>[3]data!$P$2:$AB$3</c:f>
              <c:multiLvlStrCache>
                <c:ptCount val="13"/>
                <c:lvl>
                  <c:pt idx="0">
                    <c:v>#REF!</c:v>
                  </c:pt>
                  <c:pt idx="1">
                    <c:v>#REF!</c:v>
                  </c:pt>
                  <c:pt idx="2">
                    <c:v>#REF!</c:v>
                  </c:pt>
                  <c:pt idx="3">
                    <c:v>#REF!</c:v>
                  </c:pt>
                  <c:pt idx="4">
                    <c:v>#REF!</c:v>
                  </c:pt>
                  <c:pt idx="5">
                    <c:v>#REF!</c:v>
                  </c:pt>
                  <c:pt idx="6">
                    <c:v>#REF!</c:v>
                  </c:pt>
                  <c:pt idx="7">
                    <c:v>#REF!</c:v>
                  </c:pt>
                  <c:pt idx="8">
                    <c:v>#REF!</c:v>
                  </c:pt>
                  <c:pt idx="9">
                    <c:v>#REF!</c:v>
                  </c:pt>
                  <c:pt idx="10">
                    <c:v>#REF!</c:v>
                  </c:pt>
                  <c:pt idx="11">
                    <c:v>#REF!</c:v>
                  </c:pt>
                  <c:pt idx="12">
                    <c:v>#REF!</c:v>
                  </c:pt>
                </c:lvl>
                <c:lvl>
                  <c:pt idx="0">
                    <c:v>#REF!</c:v>
                  </c:pt>
                  <c:pt idx="1">
                    <c:v>#REF!</c:v>
                  </c:pt>
                  <c:pt idx="2">
                    <c:v>#REF!</c:v>
                  </c:pt>
                  <c:pt idx="3">
                    <c:v>#REF!</c:v>
                  </c:pt>
                  <c:pt idx="4">
                    <c:v>#REF!</c:v>
                  </c:pt>
                  <c:pt idx="5">
                    <c:v>#REF!</c:v>
                  </c:pt>
                  <c:pt idx="6">
                    <c:v>#REF!</c:v>
                  </c:pt>
                  <c:pt idx="7">
                    <c:v>#REF!</c:v>
                  </c:pt>
                  <c:pt idx="8">
                    <c:v>#REF!</c:v>
                  </c:pt>
                  <c:pt idx="9">
                    <c:v>#REF!</c:v>
                  </c:pt>
                  <c:pt idx="10">
                    <c:v>#REF!</c:v>
                  </c:pt>
                  <c:pt idx="11">
                    <c:v>#REF!</c:v>
                  </c:pt>
                  <c:pt idx="12">
                    <c:v>#REF!</c:v>
                  </c:pt>
                </c:lvl>
              </c:multiLvlStrCache>
            </c:multiLvlStrRef>
          </c:cat>
          <c:val>
            <c:numRef>
              <c:f>'Makroekonomski indikatori'!$AX$77:$AY$77</c:f>
              <c:numCache>
                <c:formatCode>General</c:formatCode>
                <c:ptCount val="2"/>
                <c:pt idx="0">
                  <c:v>397.90799999999905</c:v>
                </c:pt>
                <c:pt idx="1">
                  <c:v>362.15699999999993</c:v>
                </c:pt>
              </c:numCache>
            </c:numRef>
          </c:val>
        </c:ser>
        <c:gapWidth val="66"/>
        <c:axId val="99671040"/>
        <c:axId val="111809280"/>
      </c:barChart>
      <c:catAx>
        <c:axId val="99671040"/>
        <c:scaling>
          <c:orientation val="minMax"/>
        </c:scaling>
        <c:axPos val="b"/>
        <c:numFmt formatCode="@" sourceLinked="1"/>
        <c:majorTickMark val="cross"/>
        <c:tickLblPos val="nextTo"/>
        <c:txPr>
          <a:bodyPr/>
          <a:lstStyle/>
          <a:p>
            <a:pPr>
              <a:defRPr lang="en-US" sz="700" b="1"/>
            </a:pPr>
            <a:endParaRPr lang="sr-Latn-CS"/>
          </a:p>
        </c:txPr>
        <c:crossAx val="111809280"/>
        <c:crosses val="autoZero"/>
        <c:lblAlgn val="ctr"/>
        <c:lblOffset val="100"/>
        <c:tickLblSkip val="1"/>
        <c:tickMarkSkip val="1"/>
      </c:catAx>
      <c:valAx>
        <c:axId val="111809280"/>
        <c:scaling>
          <c:orientation val="minMax"/>
        </c:scaling>
        <c:axPos val="l"/>
        <c:numFmt formatCode="0.0" sourceLinked="0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99671040"/>
        <c:crosses val="autoZero"/>
        <c:crossBetween val="between"/>
      </c:valAx>
    </c:plotArea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0.14405</cdr:x>
      <cdr:y>0.51763</cdr:y>
    </cdr:from>
    <cdr:to>
      <cdr:x>0.32071</cdr:x>
      <cdr:y>0.53451</cdr:y>
    </cdr:to>
    <cdr:sp macro="" textlink="">
      <cdr:nvSpPr>
        <cdr:cNvPr id="5" name="Straight Arrow Connector 4"/>
        <cdr:cNvSpPr/>
      </cdr:nvSpPr>
      <cdr:spPr>
        <a:xfrm xmlns:a="http://schemas.openxmlformats.org/drawingml/2006/main" rot="10800000">
          <a:off x="305954" y="1062182"/>
          <a:ext cx="375228" cy="3463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sr-Latn-C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4.25393E-7</cdr:x>
      <cdr:y>0</cdr:y>
    </cdr:from>
    <cdr:to>
      <cdr:x>0.28093</cdr:x>
      <cdr:y>0.13782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0"/>
          <a:ext cx="660400" cy="3504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>
            <a:lnSpc>
              <a:spcPts val="700"/>
            </a:lnSpc>
          </a:pPr>
          <a:r>
            <a:rPr lang="x-none" sz="800"/>
            <a:t>Prihodi</a:t>
          </a:r>
          <a:r>
            <a:rPr lang="hr-BA" sz="800"/>
            <a:t>/</a:t>
          </a:r>
        </a:p>
        <a:p xmlns:a="http://schemas.openxmlformats.org/drawingml/2006/main">
          <a:r>
            <a:rPr lang="x-none" sz="800"/>
            <a:t>Rashodi</a:t>
          </a:r>
          <a:endParaRPr lang="en-US" sz="800"/>
        </a:p>
      </cdr:txBody>
    </cdr:sp>
  </cdr:relSizeAnchor>
  <cdr:relSizeAnchor xmlns:cdr="http://schemas.openxmlformats.org/drawingml/2006/chartDrawing">
    <cdr:from>
      <cdr:x>0.75635</cdr:x>
      <cdr:y>0.01383</cdr:y>
    </cdr:from>
    <cdr:to>
      <cdr:x>0.99676</cdr:x>
      <cdr:y>0.14712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78000" y="35163"/>
          <a:ext cx="565150" cy="338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>
            <a:lnSpc>
              <a:spcPts val="700"/>
            </a:lnSpc>
          </a:pPr>
          <a:r>
            <a:rPr lang="x-none" sz="800"/>
            <a:t>Suficit/</a:t>
          </a:r>
        </a:p>
        <a:p xmlns:a="http://schemas.openxmlformats.org/drawingml/2006/main">
          <a:pPr>
            <a:lnSpc>
              <a:spcPts val="700"/>
            </a:lnSpc>
          </a:pPr>
          <a:r>
            <a:rPr lang="x-none" sz="800"/>
            <a:t>Deficit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0.11824</cdr:x>
      <cdr:y>0.0271</cdr:y>
    </cdr:from>
    <cdr:to>
      <cdr:x>0.45946</cdr:x>
      <cdr:y>0.18041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33375" y="91339"/>
          <a:ext cx="962026" cy="516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0.06419</cdr:x>
      <cdr:y>0.03344</cdr:y>
    </cdr:from>
    <cdr:to>
      <cdr:x>0.08041</cdr:x>
      <cdr:y>0.04757</cdr:y>
    </cdr:to>
    <cdr:sp macro="" textlink="">
      <cdr:nvSpPr>
        <cdr:cNvPr id="6" name="TextBox 5"/>
        <cdr:cNvSpPr txBox="1"/>
      </cdr:nvSpPr>
      <cdr:spPr>
        <a:xfrm xmlns:a="http://schemas.openxmlformats.org/drawingml/2006/main" flipH="1">
          <a:off x="180975" y="112713"/>
          <a:ext cx="45719" cy="4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6C92-0C5E-478C-9964-2BE9104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5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milos.popovic;Iva Radovan</dc:creator>
  <cp:lastModifiedBy>radovan.zivkovic</cp:lastModifiedBy>
  <cp:revision>216</cp:revision>
  <cp:lastPrinted>2012-11-12T09:08:00Z</cp:lastPrinted>
  <dcterms:created xsi:type="dcterms:W3CDTF">2012-10-12T10:42:00Z</dcterms:created>
  <dcterms:modified xsi:type="dcterms:W3CDTF">2013-06-12T13:36:00Z</dcterms:modified>
</cp:coreProperties>
</file>