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EEC" w:rsidRPr="00F71EEC" w:rsidRDefault="00F71EEC" w:rsidP="00F71EEC">
      <w:pPr>
        <w:spacing w:before="100" w:beforeAutospacing="1" w:after="100" w:afterAutospacing="1" w:line="240" w:lineRule="auto"/>
        <w:jc w:val="center"/>
        <w:rPr>
          <w:rFonts w:ascii="Tahoma" w:eastAsia="Times New Roman" w:hAnsi="Tahoma" w:cs="Tahoma"/>
          <w:color w:val="0033CC"/>
          <w:sz w:val="42"/>
          <w:szCs w:val="42"/>
          <w:lang w:eastAsia="sr-Latn-ME"/>
        </w:rPr>
      </w:pPr>
      <w:r w:rsidRPr="00F71EEC">
        <w:rPr>
          <w:rFonts w:ascii="Tahoma" w:eastAsia="Times New Roman" w:hAnsi="Tahoma" w:cs="Tahoma"/>
          <w:color w:val="0033CC"/>
          <w:sz w:val="42"/>
          <w:szCs w:val="42"/>
          <w:lang w:eastAsia="sr-Latn-ME"/>
        </w:rPr>
        <w:t>Zakon o sudskim vještacima</w:t>
      </w:r>
    </w:p>
    <w:p w:rsidR="00F71EEC" w:rsidRPr="00F71EEC" w:rsidRDefault="00F71EEC" w:rsidP="00F71EEC">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F71EEC">
        <w:rPr>
          <w:rFonts w:ascii="Tahoma" w:eastAsia="Times New Roman" w:hAnsi="Tahoma" w:cs="Tahoma"/>
          <w:color w:val="000000"/>
          <w:sz w:val="27"/>
          <w:szCs w:val="27"/>
          <w:lang w:eastAsia="sr-Latn-ME"/>
        </w:rPr>
        <w:t>Zakon je objavljen u " Službenom listu CG", br. 54/2016 od 15.8.2016. godine, a stupio je na snagu 23.8.2016.</w:t>
      </w:r>
    </w:p>
    <w:p w:rsidR="00F71EEC" w:rsidRPr="00F71EEC" w:rsidRDefault="00F71EEC" w:rsidP="00F71EEC">
      <w:pPr>
        <w:spacing w:before="60" w:after="30" w:line="240" w:lineRule="auto"/>
        <w:jc w:val="center"/>
        <w:rPr>
          <w:rFonts w:ascii="Tahoma" w:eastAsia="Times New Roman" w:hAnsi="Tahoma" w:cs="Tahoma"/>
          <w:color w:val="000000"/>
          <w:sz w:val="32"/>
          <w:szCs w:val="32"/>
          <w:lang w:eastAsia="sr-Latn-ME"/>
        </w:rPr>
      </w:pPr>
      <w:bookmarkStart w:id="0" w:name="sadrzaj3"/>
      <w:bookmarkEnd w:id="0"/>
      <w:r w:rsidRPr="00F71EEC">
        <w:rPr>
          <w:rFonts w:ascii="Tahoma" w:eastAsia="Times New Roman" w:hAnsi="Tahoma" w:cs="Tahoma"/>
          <w:color w:val="000000"/>
          <w:sz w:val="32"/>
          <w:szCs w:val="32"/>
          <w:lang w:eastAsia="sr-Latn-ME"/>
        </w:rPr>
        <w:t>I. OSNOVNE ODREDBE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 w:name="clan_1"/>
      <w:bookmarkEnd w:id="1"/>
      <w:r w:rsidRPr="00F71EEC">
        <w:rPr>
          <w:rFonts w:ascii="Tahoma" w:eastAsia="Times New Roman" w:hAnsi="Tahoma" w:cs="Tahoma"/>
          <w:b/>
          <w:bCs/>
          <w:color w:val="000000"/>
          <w:sz w:val="27"/>
          <w:szCs w:val="27"/>
          <w:lang w:eastAsia="sr-Latn-ME"/>
        </w:rPr>
        <w:t>Član 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Ovim zakonom uređuju se uslovi za vršenje vještačenja, postupak postavljenja i razrješenja sudskih vještaka (u daljem tekstu: vještak), odnosno upis pravnih lica u registar pravnih lica za vršenje vještačenja, prava i dužnosti vještaka, kao i druga pitanja od značaja za njihov rad.</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 w:name="clan_2"/>
      <w:bookmarkEnd w:id="2"/>
      <w:r w:rsidRPr="00F71EEC">
        <w:rPr>
          <w:rFonts w:ascii="Tahoma" w:eastAsia="Times New Roman" w:hAnsi="Tahoma" w:cs="Tahoma"/>
          <w:b/>
          <w:bCs/>
          <w:color w:val="000000"/>
          <w:sz w:val="27"/>
          <w:szCs w:val="27"/>
          <w:lang w:eastAsia="sr-Latn-ME"/>
        </w:rPr>
        <w:t>Član 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Vještačenjem, u smislu ovog zakona, smatraju se stručne aktivnosti čijim se vršenjem, uz korišćenje naučnih, tehničkih i drugih dostignuća, sudu, državnom tužilaštvu, odnosno drugom organu koji vodi postupak, pružaju potrebna stručna znanja koja se koriste prilikom utvrđivanja, ocjene ili razjašnjenja pravno relevantnih činjenica.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 w:name="clan_3"/>
      <w:bookmarkEnd w:id="3"/>
      <w:r w:rsidRPr="00F71EEC">
        <w:rPr>
          <w:rFonts w:ascii="Tahoma" w:eastAsia="Times New Roman" w:hAnsi="Tahoma" w:cs="Tahoma"/>
          <w:b/>
          <w:bCs/>
          <w:color w:val="000000"/>
          <w:sz w:val="27"/>
          <w:szCs w:val="27"/>
          <w:lang w:eastAsia="sr-Latn-ME"/>
        </w:rPr>
        <w:t>Član 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Vještačenje vrše fizička i pravna lica koja ispunjavaju uslove propisane ovim zakonom, naučne i stručne ustanove i drugi organi u okviru kojih se može vršiti vještačenje.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Izuzetno, ukoliko nema vještaka odgovarajuće struke ili postoje drugi opravdani razlozi zbog kojih vještaci postavljeni u skladu sa ovim zakonom ne mogu vršiti vještačenje u konkretnom predmetu, vještačenje može vršiti i vještak ili pravno lice iz druge države, koji u skladu sa zakonom te države ispunjavaju uslove za vršenje vještačenja.</w:t>
      </w:r>
    </w:p>
    <w:p w:rsidR="00F71EEC" w:rsidRPr="00F71EEC" w:rsidRDefault="00F71EEC" w:rsidP="00F71EEC">
      <w:pPr>
        <w:spacing w:after="0" w:line="240" w:lineRule="auto"/>
        <w:rPr>
          <w:rFonts w:ascii="Tahoma" w:eastAsia="Times New Roman" w:hAnsi="Tahoma" w:cs="Tahoma"/>
          <w:color w:val="000080"/>
          <w:sz w:val="20"/>
          <w:szCs w:val="20"/>
          <w:lang w:eastAsia="sr-Latn-ME"/>
        </w:rPr>
      </w:pPr>
      <w:hyperlink r:id="rId4" w:history="1">
        <w:r w:rsidRPr="00F71EEC">
          <w:rPr>
            <w:rFonts w:ascii="Tahoma" w:eastAsia="Times New Roman" w:hAnsi="Tahoma" w:cs="Tahoma"/>
            <w:b/>
            <w:bCs/>
            <w:color w:val="000080"/>
            <w:sz w:val="17"/>
            <w:szCs w:val="17"/>
            <w:u w:val="single"/>
            <w:lang w:eastAsia="sr-Latn-ME"/>
          </w:rPr>
          <w:t>+ </w:t>
        </w:r>
        <w:r w:rsidRPr="00F71EEC">
          <w:rPr>
            <w:rFonts w:ascii="Tahoma" w:eastAsia="Times New Roman" w:hAnsi="Tahoma" w:cs="Tahoma"/>
            <w:b/>
            <w:bCs/>
            <w:color w:val="800000"/>
            <w:sz w:val="20"/>
            <w:szCs w:val="20"/>
            <w:u w:val="single"/>
            <w:shd w:val="clear" w:color="auto" w:fill="FFFFFF"/>
            <w:lang w:eastAsia="sr-Latn-ME"/>
          </w:rPr>
          <w:t>Sudska praksa</w:t>
        </w:r>
      </w:hyperlink>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 w:name="clan_4"/>
      <w:bookmarkEnd w:id="4"/>
      <w:r w:rsidRPr="00F71EEC">
        <w:rPr>
          <w:rFonts w:ascii="Tahoma" w:eastAsia="Times New Roman" w:hAnsi="Tahoma" w:cs="Tahoma"/>
          <w:b/>
          <w:bCs/>
          <w:color w:val="000000"/>
          <w:sz w:val="27"/>
          <w:szCs w:val="27"/>
          <w:lang w:eastAsia="sr-Latn-ME"/>
        </w:rPr>
        <w:t>Član 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je dužan da se odazove pozivu suda, državnog tužilaštva ili drugog organa koji vodi postupak i da u određenom roku da svoj nalaz i mišljenje.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je dužan da vrši vještačenje savjesno, nepristrasno i u skladu sa pravilima nauke ili vještine.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 w:name="clan_5"/>
      <w:bookmarkEnd w:id="5"/>
      <w:r w:rsidRPr="00F71EEC">
        <w:rPr>
          <w:rFonts w:ascii="Tahoma" w:eastAsia="Times New Roman" w:hAnsi="Tahoma" w:cs="Tahoma"/>
          <w:b/>
          <w:bCs/>
          <w:color w:val="000000"/>
          <w:sz w:val="27"/>
          <w:szCs w:val="27"/>
          <w:lang w:eastAsia="sr-Latn-ME"/>
        </w:rPr>
        <w:t>Član 5</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Izrazi koji se u ovom zakonu koriste za fizička lica u muškom rodu podrazumijevaju iste izraze u ženskom rodu.</w:t>
      </w:r>
    </w:p>
    <w:p w:rsidR="00F71EEC" w:rsidRPr="00F71EEC" w:rsidRDefault="00F71EEC" w:rsidP="00F71EEC">
      <w:pPr>
        <w:spacing w:before="60" w:after="30" w:line="240" w:lineRule="auto"/>
        <w:jc w:val="center"/>
        <w:rPr>
          <w:rFonts w:ascii="Tahoma" w:eastAsia="Times New Roman" w:hAnsi="Tahoma" w:cs="Tahoma"/>
          <w:color w:val="000000"/>
          <w:sz w:val="32"/>
          <w:szCs w:val="32"/>
          <w:lang w:eastAsia="sr-Latn-ME"/>
        </w:rPr>
      </w:pPr>
      <w:bookmarkStart w:id="6" w:name="sadrzaj4"/>
      <w:bookmarkEnd w:id="6"/>
      <w:r w:rsidRPr="00F71EEC">
        <w:rPr>
          <w:rFonts w:ascii="Tahoma" w:eastAsia="Times New Roman" w:hAnsi="Tahoma" w:cs="Tahoma"/>
          <w:color w:val="000000"/>
          <w:sz w:val="32"/>
          <w:szCs w:val="32"/>
          <w:lang w:eastAsia="sr-Latn-ME"/>
        </w:rPr>
        <w:t>II. USLOVI ZA VRŠENjE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7" w:name="clan_6"/>
      <w:bookmarkEnd w:id="7"/>
      <w:r w:rsidRPr="00F71EEC">
        <w:rPr>
          <w:rFonts w:ascii="Tahoma" w:eastAsia="Times New Roman" w:hAnsi="Tahoma" w:cs="Tahoma"/>
          <w:b/>
          <w:bCs/>
          <w:color w:val="000000"/>
          <w:sz w:val="27"/>
          <w:szCs w:val="27"/>
          <w:lang w:eastAsia="sr-Latn-ME"/>
        </w:rPr>
        <w:t>Član 6</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Fizičko lice može biti postavljeno za vještaka ako pored opštih uslova za rad u državnim organima, ispunjava i sljedeće posebne uslove, i to da: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ima visoko obrazovanje, VII1 - nivo kvalifikacije obrazovanja;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ima najmanje pet godina radnog iskustva u struci; 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posjeduje stručno znanje i praktična iskustva za određenu oblast vještačenja.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Izuzetno od stava 1 alineja 1 ovog člana, za vještaka se može postaviti i lice koje ima najmanje srednje obrazovanje i 10 godina radnog iskustva u struci, ukoliko nema dovoljan broj vještaka za određenu oblast.</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Stručno znanje i praktična iskustva za određenu oblast vještačenja dokazuju se ostvarenim rezultatima u struci, kao i mišljenjima ili preporukama sudova, državnih tužilaštava ili drugih organa.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8" w:name="clan_7"/>
      <w:bookmarkEnd w:id="8"/>
      <w:r w:rsidRPr="00F71EEC">
        <w:rPr>
          <w:rFonts w:ascii="Tahoma" w:eastAsia="Times New Roman" w:hAnsi="Tahoma" w:cs="Tahoma"/>
          <w:b/>
          <w:bCs/>
          <w:color w:val="000000"/>
          <w:sz w:val="27"/>
          <w:szCs w:val="27"/>
          <w:lang w:eastAsia="sr-Latn-ME"/>
        </w:rPr>
        <w:t>Član 7</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Pravno lice može vršiti vještačenje ako ispunjava sljedeće uslove, i to da: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 upisano u Centralni registar privrednih subjekata za vještačenje za odgovarajuću oblast; 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ima zaposlenog vještaka koji je postavljen u skladu sa ovim zakonom.</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9" w:name="clan_8"/>
      <w:bookmarkEnd w:id="9"/>
      <w:r w:rsidRPr="00F71EEC">
        <w:rPr>
          <w:rFonts w:ascii="Tahoma" w:eastAsia="Times New Roman" w:hAnsi="Tahoma" w:cs="Tahoma"/>
          <w:b/>
          <w:bCs/>
          <w:color w:val="000000"/>
          <w:sz w:val="27"/>
          <w:szCs w:val="27"/>
          <w:lang w:eastAsia="sr-Latn-ME"/>
        </w:rPr>
        <w:t>Član 8</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Naučne i stručne ustanove (fakulteti, instituti i sl.) i drugi organi u okviru kojih se može vršiti vještačenje, vještačenje vrše na način što određuju jednog ili više stručnjaka odgovarajuće specijalnosti ili obrazuju komisije ili odbore sastavljene od naučnih i stručnih radnika koji su zaposleni kod njih koji će izvršiti vještačenje.</w:t>
      </w:r>
    </w:p>
    <w:p w:rsidR="00F71EEC" w:rsidRPr="00F71EEC" w:rsidRDefault="00F71EEC" w:rsidP="00F71EEC">
      <w:pPr>
        <w:spacing w:after="0" w:line="240" w:lineRule="auto"/>
        <w:rPr>
          <w:rFonts w:ascii="Tahoma" w:eastAsia="Times New Roman" w:hAnsi="Tahoma" w:cs="Tahoma"/>
          <w:color w:val="000080"/>
          <w:sz w:val="20"/>
          <w:szCs w:val="20"/>
          <w:lang w:eastAsia="sr-Latn-ME"/>
        </w:rPr>
      </w:pPr>
      <w:hyperlink r:id="rId5" w:history="1">
        <w:r w:rsidRPr="00F71EEC">
          <w:rPr>
            <w:rFonts w:ascii="Tahoma" w:eastAsia="Times New Roman" w:hAnsi="Tahoma" w:cs="Tahoma"/>
            <w:b/>
            <w:bCs/>
            <w:color w:val="000080"/>
            <w:sz w:val="17"/>
            <w:szCs w:val="17"/>
            <w:u w:val="single"/>
            <w:lang w:eastAsia="sr-Latn-ME"/>
          </w:rPr>
          <w:t>+ </w:t>
        </w:r>
        <w:r w:rsidRPr="00F71EEC">
          <w:rPr>
            <w:rFonts w:ascii="Tahoma" w:eastAsia="Times New Roman" w:hAnsi="Tahoma" w:cs="Tahoma"/>
            <w:b/>
            <w:bCs/>
            <w:color w:val="800000"/>
            <w:sz w:val="20"/>
            <w:szCs w:val="20"/>
            <w:u w:val="single"/>
            <w:shd w:val="clear" w:color="auto" w:fill="FFFFFF"/>
            <w:lang w:eastAsia="sr-Latn-ME"/>
          </w:rPr>
          <w:t>Sudska praksa</w:t>
        </w:r>
      </w:hyperlink>
    </w:p>
    <w:p w:rsidR="00F71EEC" w:rsidRPr="00F71EEC" w:rsidRDefault="00F71EEC" w:rsidP="00F71EEC">
      <w:pPr>
        <w:spacing w:before="60" w:after="30" w:line="240" w:lineRule="auto"/>
        <w:jc w:val="center"/>
        <w:rPr>
          <w:rFonts w:ascii="Tahoma" w:eastAsia="Times New Roman" w:hAnsi="Tahoma" w:cs="Tahoma"/>
          <w:color w:val="000000"/>
          <w:sz w:val="32"/>
          <w:szCs w:val="32"/>
          <w:lang w:eastAsia="sr-Latn-ME"/>
        </w:rPr>
      </w:pPr>
      <w:bookmarkStart w:id="10" w:name="sadrzaj5"/>
      <w:bookmarkEnd w:id="10"/>
      <w:r w:rsidRPr="00F71EEC">
        <w:rPr>
          <w:rFonts w:ascii="Tahoma" w:eastAsia="Times New Roman" w:hAnsi="Tahoma" w:cs="Tahoma"/>
          <w:color w:val="000000"/>
          <w:sz w:val="32"/>
          <w:szCs w:val="32"/>
          <w:lang w:eastAsia="sr-Latn-ME"/>
        </w:rPr>
        <w:t>III. POSTAVLjENjE I RAZRJEŠENjE VJEŠTAKA I UPIS PRAVNIH LICA ZA VRŠENjE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1" w:name="clan_9"/>
      <w:bookmarkEnd w:id="11"/>
      <w:r w:rsidRPr="00F71EEC">
        <w:rPr>
          <w:rFonts w:ascii="Tahoma" w:eastAsia="Times New Roman" w:hAnsi="Tahoma" w:cs="Tahoma"/>
          <w:b/>
          <w:bCs/>
          <w:color w:val="000000"/>
          <w:sz w:val="27"/>
          <w:szCs w:val="27"/>
          <w:lang w:eastAsia="sr-Latn-ME"/>
        </w:rPr>
        <w:t>Član 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Vještaka postavlja i razrješava Komisija za vještake (u daljem tekstu: Komisija), koju obrazuje ministar nadležan za poslove pravosuđa (u daljem tekstu: ministar pravde).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Komisiju čini pet članova, i to: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jedan član iz reda sudija;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jedan član iz reda državnih tužilaca;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dva člana iz reda sudskih vještaka; 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jedan član iz organa državne uprave nadležnog za poslove pravosuđa (u daljem tekstu: Ministarstvo).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Predsjednik Komisije imenuje se iz reda sudija ili državnih tužilaca.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Član Komisije iz reda sudija imenuje se na predlog Opšte sjednice Vrhovnog suda Crne Gore (u daljem tekstu: Vrhovni sud), član iz reda državnih tužilaca na predlog sjednice Vrhovnog državnog tužilaštva, članovi iz reda sudskih vještaka na predlog Udruženja sudskih vještaka, a član iz Ministarstva na predlog ministra pravde.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Komisija se imenuje na vrijeme od četiri godine.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Stručne i administrativne poslove za potrebe Komisije vrši Ministarstvo.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Komisija donosi Poslovnik o radu.</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2" w:name="clan_10"/>
      <w:bookmarkEnd w:id="12"/>
      <w:r w:rsidRPr="00F71EEC">
        <w:rPr>
          <w:rFonts w:ascii="Tahoma" w:eastAsia="Times New Roman" w:hAnsi="Tahoma" w:cs="Tahoma"/>
          <w:b/>
          <w:bCs/>
          <w:color w:val="000000"/>
          <w:sz w:val="27"/>
          <w:szCs w:val="27"/>
          <w:lang w:eastAsia="sr-Latn-ME"/>
        </w:rPr>
        <w:t>Član 10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Članu Komisije prestaje članstvo u Komisiji prije isteka vremena na koje je imenovan, ako to sam zatraži ili mu prestane funkcija, odnosno radni odnos ili članstvo na osnovu kojih je imenovan u Komisiju.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slučaju prestanka mandata članu Komisije prije isteka vremena na koje je Komisija imenovana, novog člana Komisije imenuje ministar pravde, iz reda onih iz kojih je biran član kojem je prestao mandat, na period do kraja trajanja mandata Komisije.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Prestanak članstva u Komisiji konstatuje ministar pravde.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3" w:name="clan_11"/>
      <w:bookmarkEnd w:id="13"/>
      <w:r w:rsidRPr="00F71EEC">
        <w:rPr>
          <w:rFonts w:ascii="Tahoma" w:eastAsia="Times New Roman" w:hAnsi="Tahoma" w:cs="Tahoma"/>
          <w:b/>
          <w:bCs/>
          <w:color w:val="000000"/>
          <w:sz w:val="27"/>
          <w:szCs w:val="27"/>
          <w:lang w:eastAsia="sr-Latn-ME"/>
        </w:rPr>
        <w:t>Član 11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Potrebu za vještacima za određenu oblast vještačenja predsjednici sudova, rukovodioci državnih tužilaštava i starješine organa koji vode postupak dostavljaju Ministarstvu.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 iskazanim potrebama iz stava 1 ovog člana, Ministarstvo obavještava Komisiju, koja utvrđuje opravdanost potrebe za vještacima za određenu oblast.</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4" w:name="clan_12"/>
      <w:bookmarkEnd w:id="14"/>
      <w:r w:rsidRPr="00F71EEC">
        <w:rPr>
          <w:rFonts w:ascii="Tahoma" w:eastAsia="Times New Roman" w:hAnsi="Tahoma" w:cs="Tahoma"/>
          <w:b/>
          <w:bCs/>
          <w:color w:val="000000"/>
          <w:sz w:val="27"/>
          <w:szCs w:val="27"/>
          <w:lang w:eastAsia="sr-Latn-ME"/>
        </w:rPr>
        <w:t>Član 12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Ministarstvo objavljuje poziv za postavljenje vještaka za određenu oblast vještačenja u jednom od štampanih medija u Crnoj Gori i na svojoj internet stranici.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Prijavu na poziv iz stava 1 ovog člana, sa dokazima o ispunjavanju uslova iz člana 6 ovog zakona, kandidati za vještaka podnose Ministarstvu.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prijavi iz stava 1 ovog člana navode se: ime, prezime, datum i mjesto rođenja i zvanje kandidata za vještaka, kao i podaci o radnom iskustvu i oblast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5" w:name="clan_13"/>
      <w:bookmarkEnd w:id="15"/>
      <w:r w:rsidRPr="00F71EEC">
        <w:rPr>
          <w:rFonts w:ascii="Tahoma" w:eastAsia="Times New Roman" w:hAnsi="Tahoma" w:cs="Tahoma"/>
          <w:b/>
          <w:bCs/>
          <w:color w:val="000000"/>
          <w:sz w:val="27"/>
          <w:szCs w:val="27"/>
          <w:lang w:eastAsia="sr-Latn-ME"/>
        </w:rPr>
        <w:t>Član 13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Stručno znanje i praktična iskustva za određenu oblast vještačenja za lica koja se prvi put postavljaju za vještaka utvrđuju se provjerom koju vrši stručni tim sastavljen od najmanje dva vještaka odgovarajuće struke, najmanje jednog sudije i jednog državnog tužioca.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Stručni tim iz stava 1 ovog člana obrazuje Komisija.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Član stručnog tima iz reda sudija imenuje se na predlog Opšte sjednice Vrhovnog suda, član iz reda državnih tužilaca na predlog sjednice Vrhovnog državnog tužilaštva, a članovi iz reda sudskih vještaka na predlog Udruženja sudskih vještaka.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Način i program provjere iz stava 1 ovog člana propisuje Ministarstvo, uz prethodno pribavljeno mišljenje Udruženja sudskih vještaka.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6" w:name="clan_14"/>
      <w:bookmarkEnd w:id="16"/>
      <w:r w:rsidRPr="00F71EEC">
        <w:rPr>
          <w:rFonts w:ascii="Tahoma" w:eastAsia="Times New Roman" w:hAnsi="Tahoma" w:cs="Tahoma"/>
          <w:b/>
          <w:bCs/>
          <w:color w:val="000000"/>
          <w:sz w:val="27"/>
          <w:szCs w:val="27"/>
          <w:lang w:eastAsia="sr-Latn-ME"/>
        </w:rPr>
        <w:t>Član 14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Stručno znanje i praktična iskustva za određenu oblast vještačenja za kandidate koji se ponovo postavljaju za vještake utvrđuje Komisija pribavljanjem mišljenja o njihovom stručnom radu od suda, državnog tužilaštva, odnosno drugog organa koji vodi postupak, čije je sjedište u mjestu prebivališta vještaka, kao i mišljenja od Udruženja sudskih vještaka.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7" w:name="clan_15"/>
      <w:bookmarkEnd w:id="17"/>
      <w:r w:rsidRPr="00F71EEC">
        <w:rPr>
          <w:rFonts w:ascii="Tahoma" w:eastAsia="Times New Roman" w:hAnsi="Tahoma" w:cs="Tahoma"/>
          <w:b/>
          <w:bCs/>
          <w:color w:val="000000"/>
          <w:sz w:val="27"/>
          <w:szCs w:val="27"/>
          <w:lang w:eastAsia="sr-Latn-ME"/>
        </w:rPr>
        <w:t>Član 15</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Troškove provjere stručnog znanja i praktičnih iskustava u skladu sa članom 13 ovog zakona snosi kandidat za vještaka.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Troškovi iz stava 1 ovog člana iznose 90% prosječne neto zarade u Crnoj Gori u prvom mjesecu kalendarske godine u kojoj se vrši provjera stručnog znanja i praktičnih iskustava.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8" w:name="clan_16"/>
      <w:bookmarkEnd w:id="18"/>
      <w:r w:rsidRPr="00F71EEC">
        <w:rPr>
          <w:rFonts w:ascii="Tahoma" w:eastAsia="Times New Roman" w:hAnsi="Tahoma" w:cs="Tahoma"/>
          <w:b/>
          <w:bCs/>
          <w:color w:val="000000"/>
          <w:sz w:val="27"/>
          <w:szCs w:val="27"/>
          <w:lang w:eastAsia="sr-Latn-ME"/>
        </w:rPr>
        <w:t>Član 16</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Komisija i stručni tim iz člana 13 ovog zakona imaju pravo na naknadu za rad u visini od 50% prosječne bruto zarade u Crnoj Gori koja se isplaćuje u neto iznosu za mjesec u kojem je izvršena provjera stručnog znanja i praktičnih iskustava.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19" w:name="clan_17"/>
      <w:bookmarkEnd w:id="19"/>
      <w:r w:rsidRPr="00F71EEC">
        <w:rPr>
          <w:rFonts w:ascii="Tahoma" w:eastAsia="Times New Roman" w:hAnsi="Tahoma" w:cs="Tahoma"/>
          <w:b/>
          <w:bCs/>
          <w:color w:val="000000"/>
          <w:sz w:val="27"/>
          <w:szCs w:val="27"/>
          <w:lang w:eastAsia="sr-Latn-ME"/>
        </w:rPr>
        <w:t>Član 17</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se postavlja na vrijeme od šest godina i može biti ponovo postavljen.</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0" w:name="clan_18"/>
      <w:bookmarkEnd w:id="20"/>
      <w:r w:rsidRPr="00F71EEC">
        <w:rPr>
          <w:rFonts w:ascii="Tahoma" w:eastAsia="Times New Roman" w:hAnsi="Tahoma" w:cs="Tahoma"/>
          <w:b/>
          <w:bCs/>
          <w:color w:val="000000"/>
          <w:sz w:val="27"/>
          <w:szCs w:val="27"/>
          <w:lang w:eastAsia="sr-Latn-ME"/>
        </w:rPr>
        <w:t>Član 18</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o postavljenju vještaka donosi Komisija.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iz stava 1 ovog člana sadrži: ime, prezime, datum i mjesto rođenja i zvanje vještaka i oblast vještačenja za koju se postavlja.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Protiv rješenja Komisije kojim se odbija postavljenje vještaka, može se pokrenuti upravni spor.</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1" w:name="clan_19"/>
      <w:bookmarkEnd w:id="21"/>
      <w:r w:rsidRPr="00F71EEC">
        <w:rPr>
          <w:rFonts w:ascii="Tahoma" w:eastAsia="Times New Roman" w:hAnsi="Tahoma" w:cs="Tahoma"/>
          <w:b/>
          <w:bCs/>
          <w:color w:val="000000"/>
          <w:sz w:val="27"/>
          <w:szCs w:val="27"/>
          <w:lang w:eastAsia="sr-Latn-ME"/>
        </w:rPr>
        <w:t>Član 19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o postavljenju vještaka dostavlja se vještaku i Ministarstvu i objavljuje se u "Službenom listu Crne Gore".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2" w:name="clan_20"/>
      <w:bookmarkEnd w:id="22"/>
      <w:r w:rsidRPr="00F71EEC">
        <w:rPr>
          <w:rFonts w:ascii="Tahoma" w:eastAsia="Times New Roman" w:hAnsi="Tahoma" w:cs="Tahoma"/>
          <w:b/>
          <w:bCs/>
          <w:color w:val="000000"/>
          <w:sz w:val="27"/>
          <w:szCs w:val="27"/>
          <w:lang w:eastAsia="sr-Latn-ME"/>
        </w:rPr>
        <w:t>Član 20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Postavljeni vještak upisuje se u registar sudskih vještaka.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3" w:name="clan_21"/>
      <w:bookmarkEnd w:id="23"/>
      <w:r w:rsidRPr="00F71EEC">
        <w:rPr>
          <w:rFonts w:ascii="Tahoma" w:eastAsia="Times New Roman" w:hAnsi="Tahoma" w:cs="Tahoma"/>
          <w:b/>
          <w:bCs/>
          <w:color w:val="000000"/>
          <w:sz w:val="27"/>
          <w:szCs w:val="27"/>
          <w:lang w:eastAsia="sr-Latn-ME"/>
        </w:rPr>
        <w:t>Član 21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polaže zakletvu pred ministrom pravde, najkasnije u roku od 15 dana od dana postavljenja.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Tekst zakletve glasi: "Zaklinjem se da ću vještačiti savjesno i nepristrasno, po svom najboljem znanju i da ću tačno i potpuno iznositi svoje nalaze i mišljenja".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4" w:name="clan_22"/>
      <w:bookmarkEnd w:id="24"/>
      <w:r w:rsidRPr="00F71EEC">
        <w:rPr>
          <w:rFonts w:ascii="Tahoma" w:eastAsia="Times New Roman" w:hAnsi="Tahoma" w:cs="Tahoma"/>
          <w:b/>
          <w:bCs/>
          <w:color w:val="000000"/>
          <w:sz w:val="27"/>
          <w:szCs w:val="27"/>
          <w:lang w:eastAsia="sr-Latn-ME"/>
        </w:rPr>
        <w:t>Član 22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ima pečat okruglog oblika, prečnika 32 mm, koji sadrži: ime i prezime vještaka, prebivalište i oblast vještačenja.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Otisak pečata i svojeručni potpis vještak deponuje u Ministarstvu.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je dužan da pečat čuva sa posebnom pažnjom, a u slučaju njegovog gubitka dužan je da odmah obavijesti Ministarstvo i da ga oglasi nevažećim u "Službenom listu Crne Gore".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5" w:name="clan_23"/>
      <w:bookmarkEnd w:id="25"/>
      <w:r w:rsidRPr="00F71EEC">
        <w:rPr>
          <w:rFonts w:ascii="Tahoma" w:eastAsia="Times New Roman" w:hAnsi="Tahoma" w:cs="Tahoma"/>
          <w:b/>
          <w:bCs/>
          <w:color w:val="000000"/>
          <w:sz w:val="27"/>
          <w:szCs w:val="27"/>
          <w:lang w:eastAsia="sr-Latn-ME"/>
        </w:rPr>
        <w:t>Član 23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ima legitimaciju koju izdaje Ministarstvo.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Troškove za izradu legitimacije snosi vještak.</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Sadržaj i obrazac legitimacije iz stava 1 ovog člana propisuje Ministarstvo.</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6" w:name="clan_24"/>
      <w:bookmarkEnd w:id="26"/>
      <w:r w:rsidRPr="00F71EEC">
        <w:rPr>
          <w:rFonts w:ascii="Tahoma" w:eastAsia="Times New Roman" w:hAnsi="Tahoma" w:cs="Tahoma"/>
          <w:b/>
          <w:bCs/>
          <w:color w:val="000000"/>
          <w:sz w:val="27"/>
          <w:szCs w:val="27"/>
          <w:lang w:eastAsia="sr-Latn-ME"/>
        </w:rPr>
        <w:t>Član 24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Upis pravnog lica koje ispunjava uslove iz člana 7 ovog zakona u registar pravnih lica za vršenje vještačenja vrši se po prijavi tog pravnog lica.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Prijava iz stava 1 ovog člana, sa dokazima o ispunjavanju uslova iz člana 7 ovog zakona, podnosi se Ministarstvu.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Ispunjenost uslova iz člana 7 ovog zakona, utvrđuje Komisija i o upisu pravnog lica u registar pravnih lica za vršenje vještačenja donosi rješenje.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iz stava 3 ovog člana dostavlja se podnosiocu prijave iz stava 1 ovog člana i Ministarstvu i objavljuje se u "Službenom listu Crne Gore".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Protiv rješenja kojim se odbija prijava za upis u registar pravnih lica za vršenje vještačenja može se pokrenuti upravni spor.</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7" w:name="clan_25"/>
      <w:bookmarkEnd w:id="27"/>
      <w:r w:rsidRPr="00F71EEC">
        <w:rPr>
          <w:rFonts w:ascii="Tahoma" w:eastAsia="Times New Roman" w:hAnsi="Tahoma" w:cs="Tahoma"/>
          <w:b/>
          <w:bCs/>
          <w:color w:val="000000"/>
          <w:sz w:val="27"/>
          <w:szCs w:val="27"/>
          <w:lang w:eastAsia="sr-Latn-ME"/>
        </w:rPr>
        <w:t>Član 25</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Registar sudskih vještaka i registar pravnih lica za vršenje vještačenja vodi Ministarstvo.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registar sudskih vještaka unose se lični podaci o vještacima (ime i prezime, datum i mjesto rođenja), zvanje i oblast vještačenja, a u registar pravnih lica za vršenje vještačenja unose se podaci iz Centralnog registra privrednih subjekata, kao i lični i drugi podaci o vještaku koji je zaposlen u tom pravnom licu.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Lični podaci koji se unose u registre iz stava 2 ovog člana vode se u skladu sa zakonom kojim se uređuje zaštita podataka o ličnosti.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Bliži sadržaj, obrazac i način vođenja registara iz stava 2 ovog člana, propisuje Ministarstvo.</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8" w:name="clan_26"/>
      <w:bookmarkEnd w:id="28"/>
      <w:r w:rsidRPr="00F71EEC">
        <w:rPr>
          <w:rFonts w:ascii="Tahoma" w:eastAsia="Times New Roman" w:hAnsi="Tahoma" w:cs="Tahoma"/>
          <w:b/>
          <w:bCs/>
          <w:color w:val="000000"/>
          <w:sz w:val="27"/>
          <w:szCs w:val="27"/>
          <w:lang w:eastAsia="sr-Latn-ME"/>
        </w:rPr>
        <w:lastRenderedPageBreak/>
        <w:t>Član 26</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Spisak vještaka i pravnih lica za vršenje vještačenja, na osnovu registra vještaka i registra pravnih lica za vršenje vještačenja, Ministarstvo dostavlja sudu, državnom tužilaštvu, odnosno drugom organu koji vodi postupak.</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Spisak iz stava 1 ovog člana sadrži ime, prezime i adresu vještaka, odnosno naziv i sjedište pravnog lica, kontakt telefon i oblast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29" w:name="clan_27"/>
      <w:bookmarkEnd w:id="29"/>
      <w:r w:rsidRPr="00F71EEC">
        <w:rPr>
          <w:rFonts w:ascii="Tahoma" w:eastAsia="Times New Roman" w:hAnsi="Tahoma" w:cs="Tahoma"/>
          <w:b/>
          <w:bCs/>
          <w:color w:val="000000"/>
          <w:sz w:val="27"/>
          <w:szCs w:val="27"/>
          <w:lang w:eastAsia="sr-Latn-ME"/>
        </w:rPr>
        <w:t>Član 27</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 promjeni podataka iz člana 26 stav 2 ovog zakona vještak, odnosno pravno lice za vršenje vještačenja, dužni su da obavijeste Ministarstvo, sud, državno tužilaštvo i drugi organ koji vodi postupak na čijem području imaju prebivalište, odnosno sjedište.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0" w:name="clan_28"/>
      <w:bookmarkEnd w:id="30"/>
      <w:r w:rsidRPr="00F71EEC">
        <w:rPr>
          <w:rFonts w:ascii="Tahoma" w:eastAsia="Times New Roman" w:hAnsi="Tahoma" w:cs="Tahoma"/>
          <w:b/>
          <w:bCs/>
          <w:color w:val="000000"/>
          <w:sz w:val="27"/>
          <w:szCs w:val="27"/>
          <w:lang w:eastAsia="sr-Latn-ME"/>
        </w:rPr>
        <w:t>Član 28</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Za vještačenje u pojedinom predmetu sud, državno tužilaštvo, odnosno drugi organ koji vodi postupak, po pravilu, određuje vještaka, koji ima prebivalište na području tog suda, državnog tužilaštva, odnosno drugog organa koji vodi postupak, vodeći računa da vještaci iz iste oblasti budu ravnomjerno angažovani.</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1" w:name="clan_29"/>
      <w:bookmarkEnd w:id="31"/>
      <w:r w:rsidRPr="00F71EEC">
        <w:rPr>
          <w:rFonts w:ascii="Tahoma" w:eastAsia="Times New Roman" w:hAnsi="Tahoma" w:cs="Tahoma"/>
          <w:b/>
          <w:bCs/>
          <w:color w:val="000000"/>
          <w:sz w:val="27"/>
          <w:szCs w:val="27"/>
          <w:lang w:eastAsia="sr-Latn-ME"/>
        </w:rPr>
        <w:t>Član 29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Sud, državno tužilaštvo, odnosno drugi organ koji vodi postupak dužni su da prate rad vještaka i vode evidenciju o obavljenim vještačenjima i isplaćenim nagradama za rad.</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2" w:name="clan_30"/>
      <w:bookmarkEnd w:id="32"/>
      <w:r w:rsidRPr="00F71EEC">
        <w:rPr>
          <w:rFonts w:ascii="Tahoma" w:eastAsia="Times New Roman" w:hAnsi="Tahoma" w:cs="Tahoma"/>
          <w:b/>
          <w:bCs/>
          <w:color w:val="000000"/>
          <w:sz w:val="27"/>
          <w:szCs w:val="27"/>
          <w:lang w:eastAsia="sr-Latn-ME"/>
        </w:rPr>
        <w:t>Član 30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ne može vršiti vještačenje ako je protiv njega donesena naredba o sprovođenju istrage, podignuta optužnica ili optužni predlog za krivično djelo koje ga čini nedostojnim za vršenje vještačenja, dok traje krivični postupak.</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 razlozima iz stava 1 ovog člana sud, odnosno državno tužilaštvo pred kojim se vodi krivični postupak, bez odlaganja, obavještava Ministarstvo.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 ishodu pravosnažno okončanog postupka iz stava 1 ovog člana, sud obavještava Ministarstvo.</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3" w:name="clan_31"/>
      <w:bookmarkEnd w:id="33"/>
      <w:r w:rsidRPr="00F71EEC">
        <w:rPr>
          <w:rFonts w:ascii="Tahoma" w:eastAsia="Times New Roman" w:hAnsi="Tahoma" w:cs="Tahoma"/>
          <w:b/>
          <w:bCs/>
          <w:color w:val="000000"/>
          <w:sz w:val="27"/>
          <w:szCs w:val="27"/>
          <w:lang w:eastAsia="sr-Latn-ME"/>
        </w:rPr>
        <w:t>Član 31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će se razriješiti, ako: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to sam zatraži;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prestane da ispunjava uslove za vršenje vještačenja;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 osuđen na kaznu zatvora ili je oglašen krivim za djelo koje ga čini nedostojnim za vršenje vještačenja;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mu je izrečena mjera bezbjednosti zabrane obavljanja djelatnosti u oblasti u kojoj je stekao zvanje vještaka;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mu je na osnovu sudske odluke oduzeta ili ograničena poslovna sposobnost;</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je utvrđeno da je kod vještaka došlo do gubitka radne sposobnosti, u skladu sa zakonom; 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 neuredno ili nestručno vrši povjereno vještačenje.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Smatra se da vještak neuredno vrši vještačenje ako neopravdano odbija da vještači, ne odaziva se na pozive suda, državnog tužilaštva, odnosno drugog organa koji vodi postupak, ne obavi vještačenje u roku koji je određen, kao i u drugim slučajevima propisanim ovim zakonom.</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Smatra se da vještak nestručno vrši vještačenje ako daje nepotpune, nejasne, protivrječne ili netačne nalaze, kao i ako daje mišljenje koje ne odgovara profesionalnim standardima u oblasti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4" w:name="clan_32"/>
      <w:bookmarkEnd w:id="34"/>
      <w:r w:rsidRPr="00F71EEC">
        <w:rPr>
          <w:rFonts w:ascii="Tahoma" w:eastAsia="Times New Roman" w:hAnsi="Tahoma" w:cs="Tahoma"/>
          <w:b/>
          <w:bCs/>
          <w:color w:val="000000"/>
          <w:sz w:val="27"/>
          <w:szCs w:val="27"/>
          <w:lang w:eastAsia="sr-Latn-ME"/>
        </w:rPr>
        <w:t>Član 32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Predlog za razrješenje vještaka mogu podnijeti predsjednik suda, rukovodilac državnog tužilaštva, starješina drugog organa koji vodi postupak, sudija i državni tužilac u čijem predmetu je postupao vještak.</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Predlog iz stava 1 ovog člana podnosi se Komisiji i mora biti obrazložen.</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postupku iz stava 1 ovog člana Komisija može, radi ocjene stručnosti vještaka protiv koga je pokrenut postupak za razrješenje, obrazovati stručnu komisiju od tri člana iz reda postavljenih vještaka u oblasti u kojoj vještak vještači.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postupku iz stava 1 ovog člana, vještak ima pravo da se izjasni o činjenicama i okolnostima na kojima se zasniva predlog za razrješenje, kao i pravo na branioca.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5" w:name="clan_33"/>
      <w:bookmarkEnd w:id="35"/>
      <w:r w:rsidRPr="00F71EEC">
        <w:rPr>
          <w:rFonts w:ascii="Tahoma" w:eastAsia="Times New Roman" w:hAnsi="Tahoma" w:cs="Tahoma"/>
          <w:b/>
          <w:bCs/>
          <w:color w:val="000000"/>
          <w:sz w:val="27"/>
          <w:szCs w:val="27"/>
          <w:lang w:eastAsia="sr-Latn-ME"/>
        </w:rPr>
        <w:t>Član 33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o razrješenju vještaka donosi Komisija.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Protiv rješenja iz stava 1 ovog člana može se pokrenuti upravni spor.</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Pravosnažno rješenje o razrješenju vještaka dostavlja se vještaku i Ministarstvu i objavljuje se u "Službenom listu Crne Gore".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6" w:name="clan_34"/>
      <w:bookmarkEnd w:id="36"/>
      <w:r w:rsidRPr="00F71EEC">
        <w:rPr>
          <w:rFonts w:ascii="Tahoma" w:eastAsia="Times New Roman" w:hAnsi="Tahoma" w:cs="Tahoma"/>
          <w:b/>
          <w:bCs/>
          <w:color w:val="000000"/>
          <w:sz w:val="27"/>
          <w:szCs w:val="27"/>
          <w:lang w:eastAsia="sr-Latn-ME"/>
        </w:rPr>
        <w:t>Član 34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Ako se utvrdi da prilikom postavljenja vještak nije ispunjavao uslove za vršenje vještačenja, rješenje o postavljenju vještaka će se poništiti.</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7" w:name="clan_35"/>
      <w:bookmarkEnd w:id="37"/>
      <w:r w:rsidRPr="00F71EEC">
        <w:rPr>
          <w:rFonts w:ascii="Tahoma" w:eastAsia="Times New Roman" w:hAnsi="Tahoma" w:cs="Tahoma"/>
          <w:b/>
          <w:bCs/>
          <w:color w:val="000000"/>
          <w:sz w:val="27"/>
          <w:szCs w:val="27"/>
          <w:lang w:eastAsia="sr-Latn-ME"/>
        </w:rPr>
        <w:t>Član 35</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se briše iz registra sudskih vještaka na osnovu rješenja o razrješenju i rješenja o poništenju rješenja o postavljenju vještaka i ako nakon isteka vremena na koje je postavljen za vještaka ne bude ponovo postavljen.</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8" w:name="clan_36"/>
      <w:bookmarkEnd w:id="38"/>
      <w:r w:rsidRPr="00F71EEC">
        <w:rPr>
          <w:rFonts w:ascii="Tahoma" w:eastAsia="Times New Roman" w:hAnsi="Tahoma" w:cs="Tahoma"/>
          <w:b/>
          <w:bCs/>
          <w:color w:val="000000"/>
          <w:sz w:val="27"/>
          <w:szCs w:val="27"/>
          <w:lang w:eastAsia="sr-Latn-ME"/>
        </w:rPr>
        <w:t>Član 36</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Pravno lice briše se iz registra pravnih lica za vršenje vještačenja na osnovu rješenja o brisanju iz Centralnog registra privrednih subjekata ili ako prestane da ispunjava uslove za vršenje vještačenja propisane ovim zakonom.</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 razlozima iz stava 1 ovog člana odgovorno lice u tom pravnom licu dužno je da obavijesti Komisiju.</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slučaju prestanka radnog odnosa vještaka u pravnom licu za vršenje vještačenja, Komisiju je dužan da o tome obavijesti i vještak.</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Izuzetno, u slučaju saznanja Komisije o razlozima iz stava 1 ovog člana, brisanje pravnih lica iz registra pravnih lica za vršenje vještačenja može se izvršiti i po službenoj dužnosti.</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39" w:name="clan_37"/>
      <w:bookmarkEnd w:id="39"/>
      <w:r w:rsidRPr="00F71EEC">
        <w:rPr>
          <w:rFonts w:ascii="Tahoma" w:eastAsia="Times New Roman" w:hAnsi="Tahoma" w:cs="Tahoma"/>
          <w:b/>
          <w:bCs/>
          <w:color w:val="000000"/>
          <w:sz w:val="27"/>
          <w:szCs w:val="27"/>
          <w:lang w:eastAsia="sr-Latn-ME"/>
        </w:rPr>
        <w:t>Član 37</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Rješenje o brisanju pravnog lica iz registra pravnih lica za vršenje vještačenja donosi Komisija.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Protiv rješenja iz stava 1 ovog člana može se pokrenuti upravni spor.</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Pravosnažno rješenje iz stava 1 ovog člana, dostavlja se pravnom licu i Ministarstvu i objavljuje se u "Službenom listu Crne Gore".</w:t>
      </w:r>
    </w:p>
    <w:p w:rsidR="00F71EEC" w:rsidRPr="00F71EEC" w:rsidRDefault="00F71EEC" w:rsidP="00F71EEC">
      <w:pPr>
        <w:spacing w:before="60" w:after="30" w:line="240" w:lineRule="auto"/>
        <w:jc w:val="center"/>
        <w:rPr>
          <w:rFonts w:ascii="Tahoma" w:eastAsia="Times New Roman" w:hAnsi="Tahoma" w:cs="Tahoma"/>
          <w:color w:val="000000"/>
          <w:sz w:val="32"/>
          <w:szCs w:val="32"/>
          <w:lang w:eastAsia="sr-Latn-ME"/>
        </w:rPr>
      </w:pPr>
      <w:bookmarkStart w:id="40" w:name="sadrzaj6"/>
      <w:bookmarkEnd w:id="40"/>
      <w:r w:rsidRPr="00F71EEC">
        <w:rPr>
          <w:rFonts w:ascii="Tahoma" w:eastAsia="Times New Roman" w:hAnsi="Tahoma" w:cs="Tahoma"/>
          <w:color w:val="000000"/>
          <w:sz w:val="32"/>
          <w:szCs w:val="32"/>
          <w:lang w:eastAsia="sr-Latn-ME"/>
        </w:rPr>
        <w:t>IV. PRAVA I DUŽNOSTI VJEŠTAKA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1" w:name="clan_38"/>
      <w:bookmarkEnd w:id="41"/>
      <w:r w:rsidRPr="00F71EEC">
        <w:rPr>
          <w:rFonts w:ascii="Tahoma" w:eastAsia="Times New Roman" w:hAnsi="Tahoma" w:cs="Tahoma"/>
          <w:b/>
          <w:bCs/>
          <w:color w:val="000000"/>
          <w:sz w:val="27"/>
          <w:szCs w:val="27"/>
          <w:lang w:eastAsia="sr-Latn-ME"/>
        </w:rPr>
        <w:t>Član 38</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Vještak je dužan da se pridržava rokova određenih aktom suda, državnog tužilaštva, odnosno drugog organa koji vodi postupak, kojim mu je vještačenje povjereno.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Ako vještak iz objektivnih razloga ne može da završi vještačenje u određenom roku, dužan je da, najkasnije osam dana prije isteka roka, podnese sudu, državnom tužilaštvu, odnosno drugom organu koji vodi postupak obavještenje o razlozima zbog kojih nije u mogućnosti da završi vještačenje i kratak prikaz rezultata do tada obavljenih radnji.</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Nakon prijema obavještenja iz stava 2 ovog člana, sud, državno tužilaštvo, odnosno drugi organ koji vodi postupak će odrediti novi rok u kojem vještačenje mora biti završeno ili vještačenje povjeriti drugom vještaku.</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2" w:name="clan_39"/>
      <w:bookmarkEnd w:id="42"/>
      <w:r w:rsidRPr="00F71EEC">
        <w:rPr>
          <w:rFonts w:ascii="Tahoma" w:eastAsia="Times New Roman" w:hAnsi="Tahoma" w:cs="Tahoma"/>
          <w:b/>
          <w:bCs/>
          <w:color w:val="000000"/>
          <w:sz w:val="27"/>
          <w:szCs w:val="27"/>
          <w:lang w:eastAsia="sr-Latn-ME"/>
        </w:rPr>
        <w:t>Član 39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slučaju složenijih vještačenja, u kojima je određen duži rok za vještačenje, vještak je dužan da podnosi sudu, državnom tužilaštvu, odnosno drugom organu koji vodi postupak kratak izvještaj o rezultatima izvršenih radnji, jednom mjesečno.</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Ukoliko vještak ne postupi na način iz stava 1 ovog člana smatraće se da neuredno vrši vještačenje.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3" w:name="clan_40"/>
      <w:bookmarkEnd w:id="43"/>
      <w:r w:rsidRPr="00F71EEC">
        <w:rPr>
          <w:rFonts w:ascii="Tahoma" w:eastAsia="Times New Roman" w:hAnsi="Tahoma" w:cs="Tahoma"/>
          <w:b/>
          <w:bCs/>
          <w:color w:val="000000"/>
          <w:sz w:val="27"/>
          <w:szCs w:val="27"/>
          <w:lang w:eastAsia="sr-Latn-ME"/>
        </w:rPr>
        <w:t>Član 40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je dužan da sa podacima o ličnosti do kojih je došao prilikom vršenja vještačenja postupa u skladu sa zakonom kojim se uređuje zaštita podataka o ličnosti, a sa podacima koji predstavljaju tajne podatke, u skladu sa zakonom kojim se uređuje tajnost podataka.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4" w:name="clan_41"/>
      <w:bookmarkEnd w:id="44"/>
      <w:r w:rsidRPr="00F71EEC">
        <w:rPr>
          <w:rFonts w:ascii="Tahoma" w:eastAsia="Times New Roman" w:hAnsi="Tahoma" w:cs="Tahoma"/>
          <w:b/>
          <w:bCs/>
          <w:color w:val="000000"/>
          <w:sz w:val="27"/>
          <w:szCs w:val="27"/>
          <w:lang w:eastAsia="sr-Latn-ME"/>
        </w:rPr>
        <w:t>Član 41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Vještak ima pravo i obavezu na stručno usavršavanje.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Stručno usavršavanje vještaka mogu organizovati Udruženje sudskih vještaka i druga stručna udruženja i institucije.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Opšti program stručnog usavršavanja vještaka utvrđuje Komisija, po prethodno pribavljenom mišljenju Ministarstva.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Na osnovu programa iz stava 3 ovog člana, organizator iz stava 2 ovog člana donosi posebne programe stručnog usavršavanja.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Troškove stručnog usavršavanja snosi vještak.</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5" w:name="clan_42"/>
      <w:bookmarkEnd w:id="45"/>
      <w:r w:rsidRPr="00F71EEC">
        <w:rPr>
          <w:rFonts w:ascii="Tahoma" w:eastAsia="Times New Roman" w:hAnsi="Tahoma" w:cs="Tahoma"/>
          <w:b/>
          <w:bCs/>
          <w:color w:val="000000"/>
          <w:sz w:val="27"/>
          <w:szCs w:val="27"/>
          <w:lang w:eastAsia="sr-Latn-ME"/>
        </w:rPr>
        <w:t>Član 42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Za izvršeno vještačenje vještak ima pravo na nagradu za rad i naknadu troškova u vezi sa vještačenjem.</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Visina i način isplate troškova iz stava 1 ovog člana, uređuju se propisom Vlade Crne Gore.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6" w:name="clan_43"/>
      <w:bookmarkEnd w:id="46"/>
      <w:r w:rsidRPr="00F71EEC">
        <w:rPr>
          <w:rFonts w:ascii="Tahoma" w:eastAsia="Times New Roman" w:hAnsi="Tahoma" w:cs="Tahoma"/>
          <w:b/>
          <w:bCs/>
          <w:color w:val="000000"/>
          <w:sz w:val="27"/>
          <w:szCs w:val="27"/>
          <w:lang w:eastAsia="sr-Latn-ME"/>
        </w:rPr>
        <w:t>Član 43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Visina nagrade za rad vještaka određuje se prema obimu i složenosti predmeta, a utvrđuje se prema broju bodova u skladu sa ovim zakonom.</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Vrijednost jednog boda iznosi 5,50 eura.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7" w:name="clan_44"/>
      <w:bookmarkEnd w:id="47"/>
      <w:r w:rsidRPr="00F71EEC">
        <w:rPr>
          <w:rFonts w:ascii="Tahoma" w:eastAsia="Times New Roman" w:hAnsi="Tahoma" w:cs="Tahoma"/>
          <w:b/>
          <w:bCs/>
          <w:color w:val="000000"/>
          <w:sz w:val="27"/>
          <w:szCs w:val="27"/>
          <w:lang w:eastAsia="sr-Latn-ME"/>
        </w:rPr>
        <w:t>Član 44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Za pojedine radnje vještačenja vještaku se određuje visina nagrade za rad, i to za:</w:t>
      </w:r>
    </w:p>
    <w:tbl>
      <w:tblPr>
        <w:tblW w:w="4500" w:type="pct"/>
        <w:jc w:val="center"/>
        <w:tblCellMar>
          <w:top w:w="75" w:type="dxa"/>
          <w:left w:w="75" w:type="dxa"/>
          <w:bottom w:w="75" w:type="dxa"/>
          <w:right w:w="75" w:type="dxa"/>
        </w:tblCellMar>
        <w:tblLook w:val="04A0" w:firstRow="1" w:lastRow="0" w:firstColumn="1" w:lastColumn="0" w:noHBand="0" w:noVBand="1"/>
      </w:tblPr>
      <w:tblGrid>
        <w:gridCol w:w="6954"/>
        <w:gridCol w:w="1169"/>
      </w:tblGrid>
      <w:tr w:rsidR="00F71EEC" w:rsidRPr="00F71EEC" w:rsidTr="00F71EEC">
        <w:trPr>
          <w:jc w:val="center"/>
        </w:trPr>
        <w:tc>
          <w:tcPr>
            <w:tcW w:w="0" w:type="auto"/>
            <w:tcBorders>
              <w:top w:val="nil"/>
              <w:left w:val="nil"/>
              <w:bottom w:val="nil"/>
              <w:right w:val="nil"/>
            </w:tcBorders>
            <w:vAlign w:val="center"/>
            <w:hideMark/>
          </w:tcPr>
          <w:p w:rsidR="00F71EEC" w:rsidRPr="00F71EEC" w:rsidRDefault="00F71EEC" w:rsidP="00F71EEC">
            <w:pPr>
              <w:spacing w:after="0" w:line="240" w:lineRule="auto"/>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 razmatranje predmeta</w:t>
            </w:r>
          </w:p>
        </w:tc>
        <w:tc>
          <w:tcPr>
            <w:tcW w:w="0" w:type="auto"/>
            <w:tcBorders>
              <w:top w:val="nil"/>
              <w:left w:val="nil"/>
              <w:bottom w:val="nil"/>
              <w:right w:val="nil"/>
            </w:tcBorders>
            <w:vAlign w:val="center"/>
            <w:hideMark/>
          </w:tcPr>
          <w:p w:rsidR="00F71EEC" w:rsidRPr="00F71EEC" w:rsidRDefault="00F71EEC" w:rsidP="00F71EEC">
            <w:pPr>
              <w:spacing w:after="0" w:line="240" w:lineRule="auto"/>
              <w:jc w:val="right"/>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3 boda;</w:t>
            </w:r>
          </w:p>
        </w:tc>
      </w:tr>
      <w:tr w:rsidR="00F71EEC" w:rsidRPr="00F71EEC" w:rsidTr="00F71EEC">
        <w:trPr>
          <w:jc w:val="center"/>
        </w:trPr>
        <w:tc>
          <w:tcPr>
            <w:tcW w:w="0" w:type="auto"/>
            <w:tcBorders>
              <w:top w:val="nil"/>
              <w:left w:val="nil"/>
              <w:bottom w:val="nil"/>
              <w:right w:val="nil"/>
            </w:tcBorders>
            <w:vAlign w:val="center"/>
            <w:hideMark/>
          </w:tcPr>
          <w:p w:rsidR="00F71EEC" w:rsidRPr="00F71EEC" w:rsidRDefault="00F71EEC" w:rsidP="00F71EEC">
            <w:pPr>
              <w:spacing w:after="0" w:line="240" w:lineRule="auto"/>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lastRenderedPageBreak/>
              <w:t>- pripremu i pristup vještaka raspravi, davanje ili odbranu nalaza pred sudom, državnim tužilaštvom, odnosno drugim organom koji vodi postupak</w:t>
            </w:r>
          </w:p>
        </w:tc>
        <w:tc>
          <w:tcPr>
            <w:tcW w:w="0" w:type="auto"/>
            <w:tcBorders>
              <w:top w:val="nil"/>
              <w:left w:val="nil"/>
              <w:bottom w:val="nil"/>
              <w:right w:val="nil"/>
            </w:tcBorders>
            <w:vAlign w:val="center"/>
            <w:hideMark/>
          </w:tcPr>
          <w:p w:rsidR="00F71EEC" w:rsidRPr="00F71EEC" w:rsidRDefault="00F71EEC" w:rsidP="00F71EEC">
            <w:pPr>
              <w:spacing w:after="0" w:line="240" w:lineRule="auto"/>
              <w:jc w:val="right"/>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5 bodova;</w:t>
            </w:r>
          </w:p>
        </w:tc>
      </w:tr>
      <w:tr w:rsidR="00F71EEC" w:rsidRPr="00F71EEC" w:rsidTr="00F71EEC">
        <w:trPr>
          <w:jc w:val="center"/>
        </w:trPr>
        <w:tc>
          <w:tcPr>
            <w:tcW w:w="0" w:type="auto"/>
            <w:tcBorders>
              <w:top w:val="nil"/>
              <w:left w:val="nil"/>
              <w:bottom w:val="nil"/>
              <w:right w:val="nil"/>
            </w:tcBorders>
            <w:vAlign w:val="center"/>
            <w:hideMark/>
          </w:tcPr>
          <w:p w:rsidR="00F71EEC" w:rsidRPr="00F71EEC" w:rsidRDefault="00F71EEC" w:rsidP="00F71EEC">
            <w:pPr>
              <w:spacing w:after="0" w:line="240" w:lineRule="auto"/>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 pristup vještaka raspravi koja se ne održi</w:t>
            </w:r>
          </w:p>
        </w:tc>
        <w:tc>
          <w:tcPr>
            <w:tcW w:w="0" w:type="auto"/>
            <w:tcBorders>
              <w:top w:val="nil"/>
              <w:left w:val="nil"/>
              <w:bottom w:val="nil"/>
              <w:right w:val="nil"/>
            </w:tcBorders>
            <w:vAlign w:val="center"/>
            <w:hideMark/>
          </w:tcPr>
          <w:p w:rsidR="00F71EEC" w:rsidRPr="00F71EEC" w:rsidRDefault="00F71EEC" w:rsidP="00F71EEC">
            <w:pPr>
              <w:spacing w:after="0" w:line="240" w:lineRule="auto"/>
              <w:jc w:val="right"/>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2 boda;</w:t>
            </w:r>
          </w:p>
        </w:tc>
      </w:tr>
      <w:tr w:rsidR="00F71EEC" w:rsidRPr="00F71EEC" w:rsidTr="00F71EEC">
        <w:trPr>
          <w:jc w:val="center"/>
        </w:trPr>
        <w:tc>
          <w:tcPr>
            <w:tcW w:w="0" w:type="auto"/>
            <w:tcBorders>
              <w:top w:val="nil"/>
              <w:left w:val="nil"/>
              <w:bottom w:val="nil"/>
              <w:right w:val="nil"/>
            </w:tcBorders>
            <w:vAlign w:val="center"/>
            <w:hideMark/>
          </w:tcPr>
          <w:p w:rsidR="00F71EEC" w:rsidRPr="00F71EEC" w:rsidRDefault="00F71EEC" w:rsidP="00F71EEC">
            <w:pPr>
              <w:spacing w:after="0" w:line="240" w:lineRule="auto"/>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 rad na terenu</w:t>
            </w:r>
          </w:p>
        </w:tc>
        <w:tc>
          <w:tcPr>
            <w:tcW w:w="0" w:type="auto"/>
            <w:tcBorders>
              <w:top w:val="nil"/>
              <w:left w:val="nil"/>
              <w:bottom w:val="nil"/>
              <w:right w:val="nil"/>
            </w:tcBorders>
            <w:vAlign w:val="center"/>
            <w:hideMark/>
          </w:tcPr>
          <w:p w:rsidR="00F71EEC" w:rsidRPr="00F71EEC" w:rsidRDefault="00F71EEC" w:rsidP="00F71EEC">
            <w:pPr>
              <w:spacing w:after="0" w:line="240" w:lineRule="auto"/>
              <w:jc w:val="right"/>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2 boda/na sat;</w:t>
            </w:r>
          </w:p>
        </w:tc>
      </w:tr>
      <w:tr w:rsidR="00F71EEC" w:rsidRPr="00F71EEC" w:rsidTr="00F71EEC">
        <w:trPr>
          <w:jc w:val="center"/>
        </w:trPr>
        <w:tc>
          <w:tcPr>
            <w:tcW w:w="0" w:type="auto"/>
            <w:tcBorders>
              <w:top w:val="nil"/>
              <w:left w:val="nil"/>
              <w:bottom w:val="nil"/>
              <w:right w:val="nil"/>
            </w:tcBorders>
            <w:vAlign w:val="center"/>
            <w:hideMark/>
          </w:tcPr>
          <w:p w:rsidR="00F71EEC" w:rsidRPr="00F71EEC" w:rsidRDefault="00F71EEC" w:rsidP="00F71EEC">
            <w:pPr>
              <w:spacing w:after="0" w:line="240" w:lineRule="auto"/>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 izradu nalaza i mišljenja</w:t>
            </w:r>
          </w:p>
        </w:tc>
        <w:tc>
          <w:tcPr>
            <w:tcW w:w="0" w:type="auto"/>
            <w:tcBorders>
              <w:top w:val="nil"/>
              <w:left w:val="nil"/>
              <w:bottom w:val="nil"/>
              <w:right w:val="nil"/>
            </w:tcBorders>
            <w:vAlign w:val="center"/>
            <w:hideMark/>
          </w:tcPr>
          <w:p w:rsidR="00F71EEC" w:rsidRPr="00F71EEC" w:rsidRDefault="00F71EEC" w:rsidP="00F71EEC">
            <w:pPr>
              <w:spacing w:after="0" w:line="240" w:lineRule="auto"/>
              <w:jc w:val="right"/>
              <w:rPr>
                <w:rFonts w:ascii="Times New Roman" w:eastAsia="Times New Roman" w:hAnsi="Times New Roman" w:cs="Times New Roman"/>
                <w:sz w:val="24"/>
                <w:szCs w:val="24"/>
                <w:lang w:eastAsia="sr-Latn-ME"/>
              </w:rPr>
            </w:pPr>
            <w:r w:rsidRPr="00F71EEC">
              <w:rPr>
                <w:rFonts w:ascii="Times New Roman" w:eastAsia="Times New Roman" w:hAnsi="Times New Roman" w:cs="Times New Roman"/>
                <w:sz w:val="24"/>
                <w:szCs w:val="24"/>
                <w:lang w:eastAsia="sr-Latn-ME"/>
              </w:rPr>
              <w:t>2 boda/na sat.</w:t>
            </w:r>
          </w:p>
        </w:tc>
      </w:tr>
    </w:tbl>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U posebno složenim predmetima visina nagrade iz stava 1 ovog člana može se povećati do 100%.</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8" w:name="clan_45"/>
      <w:bookmarkEnd w:id="48"/>
      <w:r w:rsidRPr="00F71EEC">
        <w:rPr>
          <w:rFonts w:ascii="Tahoma" w:eastAsia="Times New Roman" w:hAnsi="Tahoma" w:cs="Tahoma"/>
          <w:b/>
          <w:bCs/>
          <w:color w:val="000000"/>
          <w:sz w:val="27"/>
          <w:szCs w:val="27"/>
          <w:lang w:eastAsia="sr-Latn-ME"/>
        </w:rPr>
        <w:t>Član 45</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Za rad noću, nedjeljom i praznikom visina nagrade za rad na terenu uvećava se za 50%.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Za rad po izuzetno nepovoljnim vremenskim prilikama na otvorenom prostoru i slično, iznos nagrade za rad na terenu uvećava se za 100%.</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49" w:name="clan_46"/>
      <w:bookmarkEnd w:id="49"/>
      <w:r w:rsidRPr="00F71EEC">
        <w:rPr>
          <w:rFonts w:ascii="Tahoma" w:eastAsia="Times New Roman" w:hAnsi="Tahoma" w:cs="Tahoma"/>
          <w:b/>
          <w:bCs/>
          <w:color w:val="000000"/>
          <w:sz w:val="27"/>
          <w:szCs w:val="27"/>
          <w:lang w:eastAsia="sr-Latn-ME"/>
        </w:rPr>
        <w:t>Član 46</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Na određivanje nagrade za rad stručnom licu koje u sudskom, odnosno drugom postupku daje stručno objašnjenje shodno se primjenjuju odredbe čl. 43 i 44 ovog zakona.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0" w:name="clan_47"/>
      <w:bookmarkEnd w:id="50"/>
      <w:r w:rsidRPr="00F71EEC">
        <w:rPr>
          <w:rFonts w:ascii="Tahoma" w:eastAsia="Times New Roman" w:hAnsi="Tahoma" w:cs="Tahoma"/>
          <w:b/>
          <w:bCs/>
          <w:color w:val="000000"/>
          <w:sz w:val="27"/>
          <w:szCs w:val="27"/>
          <w:lang w:eastAsia="sr-Latn-ME"/>
        </w:rPr>
        <w:t>Član 47</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Sud, državno tužilaštvo, odnosno drugi organ koji vodi postupak određuje visinu nagrade za rad za vještačenje pravnom licu za vršenje vještačenja, naučnim i stručnim ustanovama i drugim organima u okviru kojih se može vršiti vještačenje, u skladu sa odredbama ovog zakona, ukoliko sa njima ne zaključi poseban ugovor.</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1" w:name="clan_48"/>
      <w:bookmarkEnd w:id="51"/>
      <w:r w:rsidRPr="00F71EEC">
        <w:rPr>
          <w:rFonts w:ascii="Tahoma" w:eastAsia="Times New Roman" w:hAnsi="Tahoma" w:cs="Tahoma"/>
          <w:b/>
          <w:bCs/>
          <w:color w:val="000000"/>
          <w:sz w:val="27"/>
          <w:szCs w:val="27"/>
          <w:lang w:eastAsia="sr-Latn-ME"/>
        </w:rPr>
        <w:t>Član 48</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Visina nagrade za rad i naknade troškova iz čl. 42 i 47 određuje se rješenjem suda, državnog tužilaštva, odnosno drugog organa koji vodi postupak.</w:t>
      </w:r>
    </w:p>
    <w:p w:rsidR="00F71EEC" w:rsidRPr="00F71EEC" w:rsidRDefault="00F71EEC" w:rsidP="00F71EEC">
      <w:pPr>
        <w:spacing w:before="60" w:after="30" w:line="240" w:lineRule="auto"/>
        <w:jc w:val="center"/>
        <w:rPr>
          <w:rFonts w:ascii="Tahoma" w:eastAsia="Times New Roman" w:hAnsi="Tahoma" w:cs="Tahoma"/>
          <w:color w:val="000000"/>
          <w:sz w:val="32"/>
          <w:szCs w:val="32"/>
          <w:lang w:eastAsia="sr-Latn-ME"/>
        </w:rPr>
      </w:pPr>
      <w:bookmarkStart w:id="52" w:name="sadrzaj7"/>
      <w:bookmarkEnd w:id="52"/>
      <w:r w:rsidRPr="00F71EEC">
        <w:rPr>
          <w:rFonts w:ascii="Tahoma" w:eastAsia="Times New Roman" w:hAnsi="Tahoma" w:cs="Tahoma"/>
          <w:color w:val="000000"/>
          <w:sz w:val="32"/>
          <w:szCs w:val="32"/>
          <w:lang w:eastAsia="sr-Latn-ME"/>
        </w:rPr>
        <w:t>V. PRELAZNE I ZAVRŠNE ODREDBE</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3" w:name="clan_49"/>
      <w:bookmarkEnd w:id="53"/>
      <w:r w:rsidRPr="00F71EEC">
        <w:rPr>
          <w:rFonts w:ascii="Tahoma" w:eastAsia="Times New Roman" w:hAnsi="Tahoma" w:cs="Tahoma"/>
          <w:b/>
          <w:bCs/>
          <w:color w:val="000000"/>
          <w:sz w:val="27"/>
          <w:szCs w:val="27"/>
          <w:lang w:eastAsia="sr-Latn-ME"/>
        </w:rPr>
        <w:t>Član 49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Podzakonski akti za sprovođenje ovog zakona donijeće se u roku od 90 dana od dana stupanja na snagu ovog zakona.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Do donošenja propisa iz stava 1 ovog člana, primjenjivaće se podzakonski akti donešeni na osnovu Zakona o sudskim vještacima ("Službeni list RCG", broj 79/04), ukoliko nijesu u suprotnosti sa ovim zakonom.</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4" w:name="clan_50"/>
      <w:bookmarkEnd w:id="54"/>
      <w:r w:rsidRPr="00F71EEC">
        <w:rPr>
          <w:rFonts w:ascii="Tahoma" w:eastAsia="Times New Roman" w:hAnsi="Tahoma" w:cs="Tahoma"/>
          <w:b/>
          <w:bCs/>
          <w:color w:val="000000"/>
          <w:sz w:val="27"/>
          <w:szCs w:val="27"/>
          <w:lang w:eastAsia="sr-Latn-ME"/>
        </w:rPr>
        <w:t>Član 50</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Vještaci koji su postavljeni u skladu sa Zakonom o sudskim vještacima ("Službeni list RCG", broj 79/04) nastavljaju sa radom do isteka vremena na koje su postavljeni.</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5" w:name="clan_51"/>
      <w:bookmarkEnd w:id="55"/>
      <w:r w:rsidRPr="00F71EEC">
        <w:rPr>
          <w:rFonts w:ascii="Tahoma" w:eastAsia="Times New Roman" w:hAnsi="Tahoma" w:cs="Tahoma"/>
          <w:b/>
          <w:bCs/>
          <w:color w:val="000000"/>
          <w:sz w:val="27"/>
          <w:szCs w:val="27"/>
          <w:lang w:eastAsia="sr-Latn-ME"/>
        </w:rPr>
        <w:t>Član 51</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Postupci postavljenja i razrješenja vještaka koji su započeti prije stupanja na snagu ovog zakona, okončaće se po zakonu po kojem su započeti.</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6" w:name="clan_52"/>
      <w:bookmarkEnd w:id="56"/>
      <w:r w:rsidRPr="00F71EEC">
        <w:rPr>
          <w:rFonts w:ascii="Tahoma" w:eastAsia="Times New Roman" w:hAnsi="Tahoma" w:cs="Tahoma"/>
          <w:b/>
          <w:bCs/>
          <w:color w:val="000000"/>
          <w:sz w:val="27"/>
          <w:szCs w:val="27"/>
          <w:lang w:eastAsia="sr-Latn-ME"/>
        </w:rPr>
        <w:t>Član 52</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lastRenderedPageBreak/>
        <w:t>Pravna lica upisana u registar pravnih lica za vršenje vještačenja u skladu sa Zakonom o sudskim vještacima ("Službeni list RCG", broj 79/04), dužna su da prijavu za upis u registar pravnih lica za vršenje vještačenja, u skladu sa ovim zakonom, podnesu u roku od 30 dana od dana donošenja podzakonskog akta iz člana 25 ovog zakona.</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Ako pravna lica iz stava 1 ovog člana ne podnesu prijavu u propisanom roku, brišu se iz registra pravnih lica za vršenje vještačenja.</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7" w:name="clan_53"/>
      <w:bookmarkEnd w:id="57"/>
      <w:r w:rsidRPr="00F71EEC">
        <w:rPr>
          <w:rFonts w:ascii="Tahoma" w:eastAsia="Times New Roman" w:hAnsi="Tahoma" w:cs="Tahoma"/>
          <w:b/>
          <w:bCs/>
          <w:color w:val="000000"/>
          <w:sz w:val="27"/>
          <w:szCs w:val="27"/>
          <w:lang w:eastAsia="sr-Latn-ME"/>
        </w:rPr>
        <w:t>Član 53</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Danom stupanja na snagu ovog zakona prestaje da važi Zakon o sudskim vještacima ("Službeni list RCG", broj 79/04).</w:t>
      </w:r>
    </w:p>
    <w:p w:rsidR="00F71EEC" w:rsidRPr="00F71EEC" w:rsidRDefault="00F71EEC" w:rsidP="00F71EEC">
      <w:pPr>
        <w:spacing w:line="240" w:lineRule="auto"/>
        <w:jc w:val="center"/>
        <w:textAlignment w:val="center"/>
        <w:rPr>
          <w:rFonts w:ascii="Tahoma" w:eastAsia="Times New Roman" w:hAnsi="Tahoma" w:cs="Tahoma"/>
          <w:b/>
          <w:bCs/>
          <w:color w:val="000000"/>
          <w:sz w:val="27"/>
          <w:szCs w:val="27"/>
          <w:lang w:eastAsia="sr-Latn-ME"/>
        </w:rPr>
      </w:pPr>
      <w:bookmarkStart w:id="58" w:name="clan_54"/>
      <w:bookmarkEnd w:id="58"/>
      <w:r w:rsidRPr="00F71EEC">
        <w:rPr>
          <w:rFonts w:ascii="Tahoma" w:eastAsia="Times New Roman" w:hAnsi="Tahoma" w:cs="Tahoma"/>
          <w:b/>
          <w:bCs/>
          <w:color w:val="000000"/>
          <w:sz w:val="27"/>
          <w:szCs w:val="27"/>
          <w:lang w:eastAsia="sr-Latn-ME"/>
        </w:rPr>
        <w:t>Član 54</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Ovaj zakon stupa na snagu osmog dana od dana objavljivanja u "Službenom listu Crne Gore".</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Broj: 23-1/15-18/19</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EPA 952 XXV</w:t>
      </w:r>
    </w:p>
    <w:p w:rsidR="00F71EEC" w:rsidRPr="00F71EEC" w:rsidRDefault="00F71EEC" w:rsidP="00F71EEC">
      <w:pPr>
        <w:spacing w:after="0" w:line="240" w:lineRule="auto"/>
        <w:ind w:left="150" w:right="150" w:firstLine="240"/>
        <w:jc w:val="both"/>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Podgorica, 22. jul 2016. godine</w:t>
      </w:r>
    </w:p>
    <w:p w:rsidR="00F71EEC" w:rsidRPr="00F71EEC" w:rsidRDefault="00F71EEC" w:rsidP="00F71EEC">
      <w:pPr>
        <w:spacing w:after="0" w:line="240" w:lineRule="auto"/>
        <w:ind w:left="150" w:right="150" w:firstLine="240"/>
        <w:jc w:val="center"/>
        <w:rPr>
          <w:rFonts w:ascii="Tahoma" w:eastAsia="Times New Roman" w:hAnsi="Tahoma" w:cs="Tahoma"/>
          <w:color w:val="000000"/>
          <w:sz w:val="23"/>
          <w:szCs w:val="23"/>
          <w:lang w:eastAsia="sr-Latn-ME"/>
        </w:rPr>
      </w:pPr>
      <w:r w:rsidRPr="00F71EEC">
        <w:rPr>
          <w:rFonts w:ascii="Tahoma" w:eastAsia="Times New Roman" w:hAnsi="Tahoma" w:cs="Tahoma"/>
          <w:b/>
          <w:bCs/>
          <w:color w:val="000000"/>
          <w:sz w:val="23"/>
          <w:szCs w:val="23"/>
          <w:lang w:eastAsia="sr-Latn-ME"/>
        </w:rPr>
        <w:t>Skupština Crne Gore 25. saziva</w:t>
      </w:r>
    </w:p>
    <w:p w:rsidR="00F71EEC" w:rsidRPr="00F71EEC" w:rsidRDefault="00F71EEC" w:rsidP="00F71EEC">
      <w:pPr>
        <w:spacing w:after="0" w:line="240" w:lineRule="auto"/>
        <w:ind w:left="150" w:right="150" w:firstLine="240"/>
        <w:jc w:val="right"/>
        <w:rPr>
          <w:rFonts w:ascii="Tahoma" w:eastAsia="Times New Roman" w:hAnsi="Tahoma" w:cs="Tahoma"/>
          <w:color w:val="000000"/>
          <w:sz w:val="23"/>
          <w:szCs w:val="23"/>
          <w:lang w:eastAsia="sr-Latn-ME"/>
        </w:rPr>
      </w:pPr>
      <w:r w:rsidRPr="00F71EEC">
        <w:rPr>
          <w:rFonts w:ascii="Tahoma" w:eastAsia="Times New Roman" w:hAnsi="Tahoma" w:cs="Tahoma"/>
          <w:color w:val="000000"/>
          <w:sz w:val="23"/>
          <w:szCs w:val="23"/>
          <w:lang w:eastAsia="sr-Latn-ME"/>
        </w:rPr>
        <w:t>Predsjednik,</w:t>
      </w:r>
    </w:p>
    <w:p w:rsidR="00F71EEC" w:rsidRPr="00F71EEC" w:rsidRDefault="00F71EEC" w:rsidP="00F71EEC">
      <w:pPr>
        <w:spacing w:after="0" w:line="240" w:lineRule="auto"/>
        <w:ind w:left="150" w:right="150" w:firstLine="240"/>
        <w:jc w:val="right"/>
        <w:rPr>
          <w:rFonts w:ascii="Tahoma" w:eastAsia="Times New Roman" w:hAnsi="Tahoma" w:cs="Tahoma"/>
          <w:color w:val="000000"/>
          <w:sz w:val="23"/>
          <w:szCs w:val="23"/>
          <w:lang w:eastAsia="sr-Latn-ME"/>
        </w:rPr>
      </w:pPr>
      <w:r w:rsidRPr="00F71EEC">
        <w:rPr>
          <w:rFonts w:ascii="Tahoma" w:eastAsia="Times New Roman" w:hAnsi="Tahoma" w:cs="Tahoma"/>
          <w:b/>
          <w:bCs/>
          <w:color w:val="000000"/>
          <w:sz w:val="23"/>
          <w:szCs w:val="23"/>
          <w:lang w:eastAsia="sr-Latn-ME"/>
        </w:rPr>
        <w:t>Darko Pajović</w:t>
      </w:r>
      <w:r w:rsidRPr="00F71EEC">
        <w:rPr>
          <w:rFonts w:ascii="Tahoma" w:eastAsia="Times New Roman" w:hAnsi="Tahoma" w:cs="Tahoma"/>
          <w:color w:val="000000"/>
          <w:sz w:val="23"/>
          <w:szCs w:val="23"/>
          <w:lang w:eastAsia="sr-Latn-ME"/>
        </w:rPr>
        <w:t>, s.r.</w:t>
      </w:r>
    </w:p>
    <w:p w:rsidR="00D1416A" w:rsidRDefault="00D1416A">
      <w:bookmarkStart w:id="59" w:name="_GoBack"/>
      <w:bookmarkEnd w:id="59"/>
    </w:p>
    <w:sectPr w:rsidR="00D14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EC"/>
    <w:rsid w:val="00D1416A"/>
    <w:rsid w:val="00F71EE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FA150-20F0-4287-89FC-DCE64185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235223">
      <w:bodyDiv w:val="1"/>
      <w:marLeft w:val="0"/>
      <w:marRight w:val="0"/>
      <w:marTop w:val="0"/>
      <w:marBottom w:val="0"/>
      <w:divBdr>
        <w:top w:val="none" w:sz="0" w:space="0" w:color="auto"/>
        <w:left w:val="none" w:sz="0" w:space="0" w:color="auto"/>
        <w:bottom w:val="none" w:sz="0" w:space="0" w:color="auto"/>
        <w:right w:val="none" w:sz="0" w:space="0" w:color="auto"/>
      </w:divBdr>
      <w:divsChild>
        <w:div w:id="1060402718">
          <w:marLeft w:val="0"/>
          <w:marRight w:val="0"/>
          <w:marTop w:val="240"/>
          <w:marBottom w:val="240"/>
          <w:divBdr>
            <w:top w:val="none" w:sz="0" w:space="0" w:color="auto"/>
            <w:left w:val="none" w:sz="0" w:space="0" w:color="auto"/>
            <w:bottom w:val="none" w:sz="0" w:space="0" w:color="auto"/>
            <w:right w:val="none" w:sz="0" w:space="0" w:color="auto"/>
          </w:divBdr>
          <w:divsChild>
            <w:div w:id="1345741519">
              <w:marLeft w:val="0"/>
              <w:marRight w:val="0"/>
              <w:marTop w:val="0"/>
              <w:marBottom w:val="0"/>
              <w:divBdr>
                <w:top w:val="none" w:sz="0" w:space="0" w:color="auto"/>
                <w:left w:val="none" w:sz="0" w:space="0" w:color="auto"/>
                <w:bottom w:val="none" w:sz="0" w:space="0" w:color="auto"/>
                <w:right w:val="none" w:sz="0" w:space="0" w:color="auto"/>
              </w:divBdr>
              <w:divsChild>
                <w:div w:id="529072861">
                  <w:marLeft w:val="0"/>
                  <w:marRight w:val="0"/>
                  <w:marTop w:val="0"/>
                  <w:marBottom w:val="0"/>
                  <w:divBdr>
                    <w:top w:val="none" w:sz="0" w:space="0" w:color="auto"/>
                    <w:left w:val="none" w:sz="0" w:space="0" w:color="auto"/>
                    <w:bottom w:val="none" w:sz="0" w:space="0" w:color="auto"/>
                    <w:right w:val="none" w:sz="0" w:space="0" w:color="auto"/>
                  </w:divBdr>
                  <w:divsChild>
                    <w:div w:id="156355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152008">
          <w:marLeft w:val="0"/>
          <w:marRight w:val="0"/>
          <w:marTop w:val="240"/>
          <w:marBottom w:val="240"/>
          <w:divBdr>
            <w:top w:val="none" w:sz="0" w:space="0" w:color="auto"/>
            <w:left w:val="none" w:sz="0" w:space="0" w:color="auto"/>
            <w:bottom w:val="none" w:sz="0" w:space="0" w:color="auto"/>
            <w:right w:val="none" w:sz="0" w:space="0" w:color="auto"/>
          </w:divBdr>
          <w:divsChild>
            <w:div w:id="624582223">
              <w:marLeft w:val="0"/>
              <w:marRight w:val="0"/>
              <w:marTop w:val="0"/>
              <w:marBottom w:val="0"/>
              <w:divBdr>
                <w:top w:val="none" w:sz="0" w:space="0" w:color="auto"/>
                <w:left w:val="none" w:sz="0" w:space="0" w:color="auto"/>
                <w:bottom w:val="none" w:sz="0" w:space="0" w:color="auto"/>
                <w:right w:val="none" w:sz="0" w:space="0" w:color="auto"/>
              </w:divBdr>
              <w:divsChild>
                <w:div w:id="101924839">
                  <w:marLeft w:val="0"/>
                  <w:marRight w:val="0"/>
                  <w:marTop w:val="0"/>
                  <w:marBottom w:val="0"/>
                  <w:divBdr>
                    <w:top w:val="none" w:sz="0" w:space="0" w:color="auto"/>
                    <w:left w:val="none" w:sz="0" w:space="0" w:color="auto"/>
                    <w:bottom w:val="none" w:sz="0" w:space="0" w:color="auto"/>
                    <w:right w:val="none" w:sz="0" w:space="0" w:color="auto"/>
                  </w:divBdr>
                  <w:divsChild>
                    <w:div w:id="375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03530">
          <w:marLeft w:val="0"/>
          <w:marRight w:val="0"/>
          <w:marTop w:val="240"/>
          <w:marBottom w:val="240"/>
          <w:divBdr>
            <w:top w:val="none" w:sz="0" w:space="0" w:color="auto"/>
            <w:left w:val="none" w:sz="0" w:space="0" w:color="auto"/>
            <w:bottom w:val="none" w:sz="0" w:space="0" w:color="auto"/>
            <w:right w:val="none" w:sz="0" w:space="0" w:color="auto"/>
          </w:divBdr>
          <w:divsChild>
            <w:div w:id="496728472">
              <w:marLeft w:val="0"/>
              <w:marRight w:val="0"/>
              <w:marTop w:val="0"/>
              <w:marBottom w:val="0"/>
              <w:divBdr>
                <w:top w:val="none" w:sz="0" w:space="0" w:color="auto"/>
                <w:left w:val="none" w:sz="0" w:space="0" w:color="auto"/>
                <w:bottom w:val="none" w:sz="0" w:space="0" w:color="auto"/>
                <w:right w:val="none" w:sz="0" w:space="0" w:color="auto"/>
              </w:divBdr>
              <w:divsChild>
                <w:div w:id="1414013378">
                  <w:marLeft w:val="0"/>
                  <w:marRight w:val="0"/>
                  <w:marTop w:val="0"/>
                  <w:marBottom w:val="0"/>
                  <w:divBdr>
                    <w:top w:val="none" w:sz="0" w:space="0" w:color="auto"/>
                    <w:left w:val="none" w:sz="0" w:space="0" w:color="auto"/>
                    <w:bottom w:val="none" w:sz="0" w:space="0" w:color="auto"/>
                    <w:right w:val="none" w:sz="0" w:space="0" w:color="auto"/>
                  </w:divBdr>
                  <w:divsChild>
                    <w:div w:id="1197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29469">
          <w:marLeft w:val="375"/>
          <w:marRight w:val="375"/>
          <w:marTop w:val="0"/>
          <w:marBottom w:val="0"/>
          <w:divBdr>
            <w:top w:val="none" w:sz="0" w:space="0" w:color="auto"/>
            <w:left w:val="none" w:sz="0" w:space="0" w:color="auto"/>
            <w:bottom w:val="none" w:sz="0" w:space="0" w:color="auto"/>
            <w:right w:val="none" w:sz="0" w:space="0" w:color="auto"/>
          </w:divBdr>
          <w:divsChild>
            <w:div w:id="2003771333">
              <w:marLeft w:val="0"/>
              <w:marRight w:val="0"/>
              <w:marTop w:val="0"/>
              <w:marBottom w:val="0"/>
              <w:divBdr>
                <w:top w:val="none" w:sz="0" w:space="0" w:color="auto"/>
                <w:left w:val="none" w:sz="0" w:space="0" w:color="auto"/>
                <w:bottom w:val="none" w:sz="0" w:space="0" w:color="auto"/>
                <w:right w:val="none" w:sz="0" w:space="0" w:color="auto"/>
              </w:divBdr>
            </w:div>
          </w:divsChild>
        </w:div>
        <w:div w:id="1159153303">
          <w:marLeft w:val="0"/>
          <w:marRight w:val="0"/>
          <w:marTop w:val="240"/>
          <w:marBottom w:val="240"/>
          <w:divBdr>
            <w:top w:val="none" w:sz="0" w:space="0" w:color="auto"/>
            <w:left w:val="none" w:sz="0" w:space="0" w:color="auto"/>
            <w:bottom w:val="none" w:sz="0" w:space="0" w:color="auto"/>
            <w:right w:val="none" w:sz="0" w:space="0" w:color="auto"/>
          </w:divBdr>
          <w:divsChild>
            <w:div w:id="1604678973">
              <w:marLeft w:val="0"/>
              <w:marRight w:val="0"/>
              <w:marTop w:val="0"/>
              <w:marBottom w:val="0"/>
              <w:divBdr>
                <w:top w:val="none" w:sz="0" w:space="0" w:color="auto"/>
                <w:left w:val="none" w:sz="0" w:space="0" w:color="auto"/>
                <w:bottom w:val="none" w:sz="0" w:space="0" w:color="auto"/>
                <w:right w:val="none" w:sz="0" w:space="0" w:color="auto"/>
              </w:divBdr>
              <w:divsChild>
                <w:div w:id="890962012">
                  <w:marLeft w:val="0"/>
                  <w:marRight w:val="0"/>
                  <w:marTop w:val="0"/>
                  <w:marBottom w:val="0"/>
                  <w:divBdr>
                    <w:top w:val="none" w:sz="0" w:space="0" w:color="auto"/>
                    <w:left w:val="none" w:sz="0" w:space="0" w:color="auto"/>
                    <w:bottom w:val="none" w:sz="0" w:space="0" w:color="auto"/>
                    <w:right w:val="none" w:sz="0" w:space="0" w:color="auto"/>
                  </w:divBdr>
                  <w:divsChild>
                    <w:div w:id="1705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30447">
          <w:marLeft w:val="0"/>
          <w:marRight w:val="0"/>
          <w:marTop w:val="240"/>
          <w:marBottom w:val="240"/>
          <w:divBdr>
            <w:top w:val="none" w:sz="0" w:space="0" w:color="auto"/>
            <w:left w:val="none" w:sz="0" w:space="0" w:color="auto"/>
            <w:bottom w:val="none" w:sz="0" w:space="0" w:color="auto"/>
            <w:right w:val="none" w:sz="0" w:space="0" w:color="auto"/>
          </w:divBdr>
          <w:divsChild>
            <w:div w:id="973367643">
              <w:marLeft w:val="0"/>
              <w:marRight w:val="0"/>
              <w:marTop w:val="0"/>
              <w:marBottom w:val="0"/>
              <w:divBdr>
                <w:top w:val="none" w:sz="0" w:space="0" w:color="auto"/>
                <w:left w:val="none" w:sz="0" w:space="0" w:color="auto"/>
                <w:bottom w:val="none" w:sz="0" w:space="0" w:color="auto"/>
                <w:right w:val="none" w:sz="0" w:space="0" w:color="auto"/>
              </w:divBdr>
              <w:divsChild>
                <w:div w:id="409471078">
                  <w:marLeft w:val="0"/>
                  <w:marRight w:val="0"/>
                  <w:marTop w:val="0"/>
                  <w:marBottom w:val="0"/>
                  <w:divBdr>
                    <w:top w:val="none" w:sz="0" w:space="0" w:color="auto"/>
                    <w:left w:val="none" w:sz="0" w:space="0" w:color="auto"/>
                    <w:bottom w:val="none" w:sz="0" w:space="0" w:color="auto"/>
                    <w:right w:val="none" w:sz="0" w:space="0" w:color="auto"/>
                  </w:divBdr>
                  <w:divsChild>
                    <w:div w:id="8878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19259">
          <w:marLeft w:val="0"/>
          <w:marRight w:val="0"/>
          <w:marTop w:val="240"/>
          <w:marBottom w:val="240"/>
          <w:divBdr>
            <w:top w:val="none" w:sz="0" w:space="0" w:color="auto"/>
            <w:left w:val="none" w:sz="0" w:space="0" w:color="auto"/>
            <w:bottom w:val="none" w:sz="0" w:space="0" w:color="auto"/>
            <w:right w:val="none" w:sz="0" w:space="0" w:color="auto"/>
          </w:divBdr>
          <w:divsChild>
            <w:div w:id="72511800">
              <w:marLeft w:val="0"/>
              <w:marRight w:val="0"/>
              <w:marTop w:val="0"/>
              <w:marBottom w:val="0"/>
              <w:divBdr>
                <w:top w:val="none" w:sz="0" w:space="0" w:color="auto"/>
                <w:left w:val="none" w:sz="0" w:space="0" w:color="auto"/>
                <w:bottom w:val="none" w:sz="0" w:space="0" w:color="auto"/>
                <w:right w:val="none" w:sz="0" w:space="0" w:color="auto"/>
              </w:divBdr>
              <w:divsChild>
                <w:div w:id="152185088">
                  <w:marLeft w:val="0"/>
                  <w:marRight w:val="0"/>
                  <w:marTop w:val="0"/>
                  <w:marBottom w:val="0"/>
                  <w:divBdr>
                    <w:top w:val="none" w:sz="0" w:space="0" w:color="auto"/>
                    <w:left w:val="none" w:sz="0" w:space="0" w:color="auto"/>
                    <w:bottom w:val="none" w:sz="0" w:space="0" w:color="auto"/>
                    <w:right w:val="none" w:sz="0" w:space="0" w:color="auto"/>
                  </w:divBdr>
                  <w:divsChild>
                    <w:div w:id="4613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69301">
          <w:marLeft w:val="0"/>
          <w:marRight w:val="0"/>
          <w:marTop w:val="240"/>
          <w:marBottom w:val="240"/>
          <w:divBdr>
            <w:top w:val="none" w:sz="0" w:space="0" w:color="auto"/>
            <w:left w:val="none" w:sz="0" w:space="0" w:color="auto"/>
            <w:bottom w:val="none" w:sz="0" w:space="0" w:color="auto"/>
            <w:right w:val="none" w:sz="0" w:space="0" w:color="auto"/>
          </w:divBdr>
          <w:divsChild>
            <w:div w:id="2088190768">
              <w:marLeft w:val="0"/>
              <w:marRight w:val="0"/>
              <w:marTop w:val="0"/>
              <w:marBottom w:val="0"/>
              <w:divBdr>
                <w:top w:val="none" w:sz="0" w:space="0" w:color="auto"/>
                <w:left w:val="none" w:sz="0" w:space="0" w:color="auto"/>
                <w:bottom w:val="none" w:sz="0" w:space="0" w:color="auto"/>
                <w:right w:val="none" w:sz="0" w:space="0" w:color="auto"/>
              </w:divBdr>
              <w:divsChild>
                <w:div w:id="546381769">
                  <w:marLeft w:val="0"/>
                  <w:marRight w:val="0"/>
                  <w:marTop w:val="0"/>
                  <w:marBottom w:val="0"/>
                  <w:divBdr>
                    <w:top w:val="none" w:sz="0" w:space="0" w:color="auto"/>
                    <w:left w:val="none" w:sz="0" w:space="0" w:color="auto"/>
                    <w:bottom w:val="none" w:sz="0" w:space="0" w:color="auto"/>
                    <w:right w:val="none" w:sz="0" w:space="0" w:color="auto"/>
                  </w:divBdr>
                  <w:divsChild>
                    <w:div w:id="101268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12173">
          <w:marLeft w:val="0"/>
          <w:marRight w:val="0"/>
          <w:marTop w:val="240"/>
          <w:marBottom w:val="240"/>
          <w:divBdr>
            <w:top w:val="none" w:sz="0" w:space="0" w:color="auto"/>
            <w:left w:val="none" w:sz="0" w:space="0" w:color="auto"/>
            <w:bottom w:val="none" w:sz="0" w:space="0" w:color="auto"/>
            <w:right w:val="none" w:sz="0" w:space="0" w:color="auto"/>
          </w:divBdr>
          <w:divsChild>
            <w:div w:id="771583818">
              <w:marLeft w:val="0"/>
              <w:marRight w:val="0"/>
              <w:marTop w:val="0"/>
              <w:marBottom w:val="0"/>
              <w:divBdr>
                <w:top w:val="none" w:sz="0" w:space="0" w:color="auto"/>
                <w:left w:val="none" w:sz="0" w:space="0" w:color="auto"/>
                <w:bottom w:val="none" w:sz="0" w:space="0" w:color="auto"/>
                <w:right w:val="none" w:sz="0" w:space="0" w:color="auto"/>
              </w:divBdr>
              <w:divsChild>
                <w:div w:id="1466308961">
                  <w:marLeft w:val="0"/>
                  <w:marRight w:val="0"/>
                  <w:marTop w:val="0"/>
                  <w:marBottom w:val="0"/>
                  <w:divBdr>
                    <w:top w:val="none" w:sz="0" w:space="0" w:color="auto"/>
                    <w:left w:val="none" w:sz="0" w:space="0" w:color="auto"/>
                    <w:bottom w:val="none" w:sz="0" w:space="0" w:color="auto"/>
                    <w:right w:val="none" w:sz="0" w:space="0" w:color="auto"/>
                  </w:divBdr>
                  <w:divsChild>
                    <w:div w:id="11605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32131">
          <w:marLeft w:val="375"/>
          <w:marRight w:val="375"/>
          <w:marTop w:val="0"/>
          <w:marBottom w:val="0"/>
          <w:divBdr>
            <w:top w:val="none" w:sz="0" w:space="0" w:color="auto"/>
            <w:left w:val="none" w:sz="0" w:space="0" w:color="auto"/>
            <w:bottom w:val="none" w:sz="0" w:space="0" w:color="auto"/>
            <w:right w:val="none" w:sz="0" w:space="0" w:color="auto"/>
          </w:divBdr>
          <w:divsChild>
            <w:div w:id="1101683555">
              <w:marLeft w:val="0"/>
              <w:marRight w:val="0"/>
              <w:marTop w:val="0"/>
              <w:marBottom w:val="0"/>
              <w:divBdr>
                <w:top w:val="none" w:sz="0" w:space="0" w:color="auto"/>
                <w:left w:val="none" w:sz="0" w:space="0" w:color="auto"/>
                <w:bottom w:val="none" w:sz="0" w:space="0" w:color="auto"/>
                <w:right w:val="none" w:sz="0" w:space="0" w:color="auto"/>
              </w:divBdr>
            </w:div>
          </w:divsChild>
        </w:div>
        <w:div w:id="61217600">
          <w:marLeft w:val="0"/>
          <w:marRight w:val="0"/>
          <w:marTop w:val="240"/>
          <w:marBottom w:val="240"/>
          <w:divBdr>
            <w:top w:val="none" w:sz="0" w:space="0" w:color="auto"/>
            <w:left w:val="none" w:sz="0" w:space="0" w:color="auto"/>
            <w:bottom w:val="none" w:sz="0" w:space="0" w:color="auto"/>
            <w:right w:val="none" w:sz="0" w:space="0" w:color="auto"/>
          </w:divBdr>
          <w:divsChild>
            <w:div w:id="974261239">
              <w:marLeft w:val="0"/>
              <w:marRight w:val="0"/>
              <w:marTop w:val="0"/>
              <w:marBottom w:val="0"/>
              <w:divBdr>
                <w:top w:val="none" w:sz="0" w:space="0" w:color="auto"/>
                <w:left w:val="none" w:sz="0" w:space="0" w:color="auto"/>
                <w:bottom w:val="none" w:sz="0" w:space="0" w:color="auto"/>
                <w:right w:val="none" w:sz="0" w:space="0" w:color="auto"/>
              </w:divBdr>
              <w:divsChild>
                <w:div w:id="1552224756">
                  <w:marLeft w:val="0"/>
                  <w:marRight w:val="0"/>
                  <w:marTop w:val="0"/>
                  <w:marBottom w:val="0"/>
                  <w:divBdr>
                    <w:top w:val="none" w:sz="0" w:space="0" w:color="auto"/>
                    <w:left w:val="none" w:sz="0" w:space="0" w:color="auto"/>
                    <w:bottom w:val="none" w:sz="0" w:space="0" w:color="auto"/>
                    <w:right w:val="none" w:sz="0" w:space="0" w:color="auto"/>
                  </w:divBdr>
                  <w:divsChild>
                    <w:div w:id="6989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7053">
          <w:marLeft w:val="0"/>
          <w:marRight w:val="0"/>
          <w:marTop w:val="240"/>
          <w:marBottom w:val="240"/>
          <w:divBdr>
            <w:top w:val="none" w:sz="0" w:space="0" w:color="auto"/>
            <w:left w:val="none" w:sz="0" w:space="0" w:color="auto"/>
            <w:bottom w:val="none" w:sz="0" w:space="0" w:color="auto"/>
            <w:right w:val="none" w:sz="0" w:space="0" w:color="auto"/>
          </w:divBdr>
          <w:divsChild>
            <w:div w:id="257913626">
              <w:marLeft w:val="0"/>
              <w:marRight w:val="0"/>
              <w:marTop w:val="0"/>
              <w:marBottom w:val="0"/>
              <w:divBdr>
                <w:top w:val="none" w:sz="0" w:space="0" w:color="auto"/>
                <w:left w:val="none" w:sz="0" w:space="0" w:color="auto"/>
                <w:bottom w:val="none" w:sz="0" w:space="0" w:color="auto"/>
                <w:right w:val="none" w:sz="0" w:space="0" w:color="auto"/>
              </w:divBdr>
              <w:divsChild>
                <w:div w:id="1349680874">
                  <w:marLeft w:val="0"/>
                  <w:marRight w:val="0"/>
                  <w:marTop w:val="0"/>
                  <w:marBottom w:val="0"/>
                  <w:divBdr>
                    <w:top w:val="none" w:sz="0" w:space="0" w:color="auto"/>
                    <w:left w:val="none" w:sz="0" w:space="0" w:color="auto"/>
                    <w:bottom w:val="none" w:sz="0" w:space="0" w:color="auto"/>
                    <w:right w:val="none" w:sz="0" w:space="0" w:color="auto"/>
                  </w:divBdr>
                  <w:divsChild>
                    <w:div w:id="184519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9233">
          <w:marLeft w:val="0"/>
          <w:marRight w:val="0"/>
          <w:marTop w:val="240"/>
          <w:marBottom w:val="240"/>
          <w:divBdr>
            <w:top w:val="none" w:sz="0" w:space="0" w:color="auto"/>
            <w:left w:val="none" w:sz="0" w:space="0" w:color="auto"/>
            <w:bottom w:val="none" w:sz="0" w:space="0" w:color="auto"/>
            <w:right w:val="none" w:sz="0" w:space="0" w:color="auto"/>
          </w:divBdr>
          <w:divsChild>
            <w:div w:id="1006900797">
              <w:marLeft w:val="0"/>
              <w:marRight w:val="0"/>
              <w:marTop w:val="0"/>
              <w:marBottom w:val="0"/>
              <w:divBdr>
                <w:top w:val="none" w:sz="0" w:space="0" w:color="auto"/>
                <w:left w:val="none" w:sz="0" w:space="0" w:color="auto"/>
                <w:bottom w:val="none" w:sz="0" w:space="0" w:color="auto"/>
                <w:right w:val="none" w:sz="0" w:space="0" w:color="auto"/>
              </w:divBdr>
              <w:divsChild>
                <w:div w:id="180241211">
                  <w:marLeft w:val="0"/>
                  <w:marRight w:val="0"/>
                  <w:marTop w:val="0"/>
                  <w:marBottom w:val="0"/>
                  <w:divBdr>
                    <w:top w:val="none" w:sz="0" w:space="0" w:color="auto"/>
                    <w:left w:val="none" w:sz="0" w:space="0" w:color="auto"/>
                    <w:bottom w:val="none" w:sz="0" w:space="0" w:color="auto"/>
                    <w:right w:val="none" w:sz="0" w:space="0" w:color="auto"/>
                  </w:divBdr>
                  <w:divsChild>
                    <w:div w:id="37928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62618">
          <w:marLeft w:val="0"/>
          <w:marRight w:val="0"/>
          <w:marTop w:val="240"/>
          <w:marBottom w:val="240"/>
          <w:divBdr>
            <w:top w:val="none" w:sz="0" w:space="0" w:color="auto"/>
            <w:left w:val="none" w:sz="0" w:space="0" w:color="auto"/>
            <w:bottom w:val="none" w:sz="0" w:space="0" w:color="auto"/>
            <w:right w:val="none" w:sz="0" w:space="0" w:color="auto"/>
          </w:divBdr>
          <w:divsChild>
            <w:div w:id="659818019">
              <w:marLeft w:val="0"/>
              <w:marRight w:val="0"/>
              <w:marTop w:val="0"/>
              <w:marBottom w:val="0"/>
              <w:divBdr>
                <w:top w:val="none" w:sz="0" w:space="0" w:color="auto"/>
                <w:left w:val="none" w:sz="0" w:space="0" w:color="auto"/>
                <w:bottom w:val="none" w:sz="0" w:space="0" w:color="auto"/>
                <w:right w:val="none" w:sz="0" w:space="0" w:color="auto"/>
              </w:divBdr>
              <w:divsChild>
                <w:div w:id="643121978">
                  <w:marLeft w:val="0"/>
                  <w:marRight w:val="0"/>
                  <w:marTop w:val="0"/>
                  <w:marBottom w:val="0"/>
                  <w:divBdr>
                    <w:top w:val="none" w:sz="0" w:space="0" w:color="auto"/>
                    <w:left w:val="none" w:sz="0" w:space="0" w:color="auto"/>
                    <w:bottom w:val="none" w:sz="0" w:space="0" w:color="auto"/>
                    <w:right w:val="none" w:sz="0" w:space="0" w:color="auto"/>
                  </w:divBdr>
                  <w:divsChild>
                    <w:div w:id="20832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262">
          <w:marLeft w:val="0"/>
          <w:marRight w:val="0"/>
          <w:marTop w:val="240"/>
          <w:marBottom w:val="240"/>
          <w:divBdr>
            <w:top w:val="none" w:sz="0" w:space="0" w:color="auto"/>
            <w:left w:val="none" w:sz="0" w:space="0" w:color="auto"/>
            <w:bottom w:val="none" w:sz="0" w:space="0" w:color="auto"/>
            <w:right w:val="none" w:sz="0" w:space="0" w:color="auto"/>
          </w:divBdr>
          <w:divsChild>
            <w:div w:id="2106223487">
              <w:marLeft w:val="0"/>
              <w:marRight w:val="0"/>
              <w:marTop w:val="0"/>
              <w:marBottom w:val="0"/>
              <w:divBdr>
                <w:top w:val="none" w:sz="0" w:space="0" w:color="auto"/>
                <w:left w:val="none" w:sz="0" w:space="0" w:color="auto"/>
                <w:bottom w:val="none" w:sz="0" w:space="0" w:color="auto"/>
                <w:right w:val="none" w:sz="0" w:space="0" w:color="auto"/>
              </w:divBdr>
              <w:divsChild>
                <w:div w:id="2068868357">
                  <w:marLeft w:val="0"/>
                  <w:marRight w:val="0"/>
                  <w:marTop w:val="0"/>
                  <w:marBottom w:val="0"/>
                  <w:divBdr>
                    <w:top w:val="none" w:sz="0" w:space="0" w:color="auto"/>
                    <w:left w:val="none" w:sz="0" w:space="0" w:color="auto"/>
                    <w:bottom w:val="none" w:sz="0" w:space="0" w:color="auto"/>
                    <w:right w:val="none" w:sz="0" w:space="0" w:color="auto"/>
                  </w:divBdr>
                  <w:divsChild>
                    <w:div w:id="15106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08663">
          <w:marLeft w:val="0"/>
          <w:marRight w:val="0"/>
          <w:marTop w:val="240"/>
          <w:marBottom w:val="240"/>
          <w:divBdr>
            <w:top w:val="none" w:sz="0" w:space="0" w:color="auto"/>
            <w:left w:val="none" w:sz="0" w:space="0" w:color="auto"/>
            <w:bottom w:val="none" w:sz="0" w:space="0" w:color="auto"/>
            <w:right w:val="none" w:sz="0" w:space="0" w:color="auto"/>
          </w:divBdr>
          <w:divsChild>
            <w:div w:id="1102534060">
              <w:marLeft w:val="0"/>
              <w:marRight w:val="0"/>
              <w:marTop w:val="0"/>
              <w:marBottom w:val="0"/>
              <w:divBdr>
                <w:top w:val="none" w:sz="0" w:space="0" w:color="auto"/>
                <w:left w:val="none" w:sz="0" w:space="0" w:color="auto"/>
                <w:bottom w:val="none" w:sz="0" w:space="0" w:color="auto"/>
                <w:right w:val="none" w:sz="0" w:space="0" w:color="auto"/>
              </w:divBdr>
              <w:divsChild>
                <w:div w:id="327292154">
                  <w:marLeft w:val="0"/>
                  <w:marRight w:val="0"/>
                  <w:marTop w:val="0"/>
                  <w:marBottom w:val="0"/>
                  <w:divBdr>
                    <w:top w:val="none" w:sz="0" w:space="0" w:color="auto"/>
                    <w:left w:val="none" w:sz="0" w:space="0" w:color="auto"/>
                    <w:bottom w:val="none" w:sz="0" w:space="0" w:color="auto"/>
                    <w:right w:val="none" w:sz="0" w:space="0" w:color="auto"/>
                  </w:divBdr>
                  <w:divsChild>
                    <w:div w:id="14631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89630">
          <w:marLeft w:val="0"/>
          <w:marRight w:val="0"/>
          <w:marTop w:val="240"/>
          <w:marBottom w:val="240"/>
          <w:divBdr>
            <w:top w:val="none" w:sz="0" w:space="0" w:color="auto"/>
            <w:left w:val="none" w:sz="0" w:space="0" w:color="auto"/>
            <w:bottom w:val="none" w:sz="0" w:space="0" w:color="auto"/>
            <w:right w:val="none" w:sz="0" w:space="0" w:color="auto"/>
          </w:divBdr>
          <w:divsChild>
            <w:div w:id="623390201">
              <w:marLeft w:val="0"/>
              <w:marRight w:val="0"/>
              <w:marTop w:val="0"/>
              <w:marBottom w:val="0"/>
              <w:divBdr>
                <w:top w:val="none" w:sz="0" w:space="0" w:color="auto"/>
                <w:left w:val="none" w:sz="0" w:space="0" w:color="auto"/>
                <w:bottom w:val="none" w:sz="0" w:space="0" w:color="auto"/>
                <w:right w:val="none" w:sz="0" w:space="0" w:color="auto"/>
              </w:divBdr>
              <w:divsChild>
                <w:div w:id="1884975817">
                  <w:marLeft w:val="0"/>
                  <w:marRight w:val="0"/>
                  <w:marTop w:val="0"/>
                  <w:marBottom w:val="0"/>
                  <w:divBdr>
                    <w:top w:val="none" w:sz="0" w:space="0" w:color="auto"/>
                    <w:left w:val="none" w:sz="0" w:space="0" w:color="auto"/>
                    <w:bottom w:val="none" w:sz="0" w:space="0" w:color="auto"/>
                    <w:right w:val="none" w:sz="0" w:space="0" w:color="auto"/>
                  </w:divBdr>
                  <w:divsChild>
                    <w:div w:id="5540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039032">
          <w:marLeft w:val="0"/>
          <w:marRight w:val="0"/>
          <w:marTop w:val="240"/>
          <w:marBottom w:val="240"/>
          <w:divBdr>
            <w:top w:val="none" w:sz="0" w:space="0" w:color="auto"/>
            <w:left w:val="none" w:sz="0" w:space="0" w:color="auto"/>
            <w:bottom w:val="none" w:sz="0" w:space="0" w:color="auto"/>
            <w:right w:val="none" w:sz="0" w:space="0" w:color="auto"/>
          </w:divBdr>
          <w:divsChild>
            <w:div w:id="732124516">
              <w:marLeft w:val="0"/>
              <w:marRight w:val="0"/>
              <w:marTop w:val="0"/>
              <w:marBottom w:val="0"/>
              <w:divBdr>
                <w:top w:val="none" w:sz="0" w:space="0" w:color="auto"/>
                <w:left w:val="none" w:sz="0" w:space="0" w:color="auto"/>
                <w:bottom w:val="none" w:sz="0" w:space="0" w:color="auto"/>
                <w:right w:val="none" w:sz="0" w:space="0" w:color="auto"/>
              </w:divBdr>
              <w:divsChild>
                <w:div w:id="1301963464">
                  <w:marLeft w:val="0"/>
                  <w:marRight w:val="0"/>
                  <w:marTop w:val="0"/>
                  <w:marBottom w:val="0"/>
                  <w:divBdr>
                    <w:top w:val="none" w:sz="0" w:space="0" w:color="auto"/>
                    <w:left w:val="none" w:sz="0" w:space="0" w:color="auto"/>
                    <w:bottom w:val="none" w:sz="0" w:space="0" w:color="auto"/>
                    <w:right w:val="none" w:sz="0" w:space="0" w:color="auto"/>
                  </w:divBdr>
                  <w:divsChild>
                    <w:div w:id="9915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6514">
          <w:marLeft w:val="0"/>
          <w:marRight w:val="0"/>
          <w:marTop w:val="240"/>
          <w:marBottom w:val="240"/>
          <w:divBdr>
            <w:top w:val="none" w:sz="0" w:space="0" w:color="auto"/>
            <w:left w:val="none" w:sz="0" w:space="0" w:color="auto"/>
            <w:bottom w:val="none" w:sz="0" w:space="0" w:color="auto"/>
            <w:right w:val="none" w:sz="0" w:space="0" w:color="auto"/>
          </w:divBdr>
          <w:divsChild>
            <w:div w:id="1382434786">
              <w:marLeft w:val="0"/>
              <w:marRight w:val="0"/>
              <w:marTop w:val="0"/>
              <w:marBottom w:val="0"/>
              <w:divBdr>
                <w:top w:val="none" w:sz="0" w:space="0" w:color="auto"/>
                <w:left w:val="none" w:sz="0" w:space="0" w:color="auto"/>
                <w:bottom w:val="none" w:sz="0" w:space="0" w:color="auto"/>
                <w:right w:val="none" w:sz="0" w:space="0" w:color="auto"/>
              </w:divBdr>
              <w:divsChild>
                <w:div w:id="398600984">
                  <w:marLeft w:val="0"/>
                  <w:marRight w:val="0"/>
                  <w:marTop w:val="0"/>
                  <w:marBottom w:val="0"/>
                  <w:divBdr>
                    <w:top w:val="none" w:sz="0" w:space="0" w:color="auto"/>
                    <w:left w:val="none" w:sz="0" w:space="0" w:color="auto"/>
                    <w:bottom w:val="none" w:sz="0" w:space="0" w:color="auto"/>
                    <w:right w:val="none" w:sz="0" w:space="0" w:color="auto"/>
                  </w:divBdr>
                  <w:divsChild>
                    <w:div w:id="14473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588">
          <w:marLeft w:val="0"/>
          <w:marRight w:val="0"/>
          <w:marTop w:val="240"/>
          <w:marBottom w:val="240"/>
          <w:divBdr>
            <w:top w:val="none" w:sz="0" w:space="0" w:color="auto"/>
            <w:left w:val="none" w:sz="0" w:space="0" w:color="auto"/>
            <w:bottom w:val="none" w:sz="0" w:space="0" w:color="auto"/>
            <w:right w:val="none" w:sz="0" w:space="0" w:color="auto"/>
          </w:divBdr>
          <w:divsChild>
            <w:div w:id="2010786522">
              <w:marLeft w:val="0"/>
              <w:marRight w:val="0"/>
              <w:marTop w:val="0"/>
              <w:marBottom w:val="0"/>
              <w:divBdr>
                <w:top w:val="none" w:sz="0" w:space="0" w:color="auto"/>
                <w:left w:val="none" w:sz="0" w:space="0" w:color="auto"/>
                <w:bottom w:val="none" w:sz="0" w:space="0" w:color="auto"/>
                <w:right w:val="none" w:sz="0" w:space="0" w:color="auto"/>
              </w:divBdr>
              <w:divsChild>
                <w:div w:id="1826235131">
                  <w:marLeft w:val="0"/>
                  <w:marRight w:val="0"/>
                  <w:marTop w:val="0"/>
                  <w:marBottom w:val="0"/>
                  <w:divBdr>
                    <w:top w:val="none" w:sz="0" w:space="0" w:color="auto"/>
                    <w:left w:val="none" w:sz="0" w:space="0" w:color="auto"/>
                    <w:bottom w:val="none" w:sz="0" w:space="0" w:color="auto"/>
                    <w:right w:val="none" w:sz="0" w:space="0" w:color="auto"/>
                  </w:divBdr>
                  <w:divsChild>
                    <w:div w:id="20153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52224">
          <w:marLeft w:val="0"/>
          <w:marRight w:val="0"/>
          <w:marTop w:val="240"/>
          <w:marBottom w:val="240"/>
          <w:divBdr>
            <w:top w:val="none" w:sz="0" w:space="0" w:color="auto"/>
            <w:left w:val="none" w:sz="0" w:space="0" w:color="auto"/>
            <w:bottom w:val="none" w:sz="0" w:space="0" w:color="auto"/>
            <w:right w:val="none" w:sz="0" w:space="0" w:color="auto"/>
          </w:divBdr>
          <w:divsChild>
            <w:div w:id="602106036">
              <w:marLeft w:val="0"/>
              <w:marRight w:val="0"/>
              <w:marTop w:val="0"/>
              <w:marBottom w:val="0"/>
              <w:divBdr>
                <w:top w:val="none" w:sz="0" w:space="0" w:color="auto"/>
                <w:left w:val="none" w:sz="0" w:space="0" w:color="auto"/>
                <w:bottom w:val="none" w:sz="0" w:space="0" w:color="auto"/>
                <w:right w:val="none" w:sz="0" w:space="0" w:color="auto"/>
              </w:divBdr>
              <w:divsChild>
                <w:div w:id="1454447112">
                  <w:marLeft w:val="0"/>
                  <w:marRight w:val="0"/>
                  <w:marTop w:val="0"/>
                  <w:marBottom w:val="0"/>
                  <w:divBdr>
                    <w:top w:val="none" w:sz="0" w:space="0" w:color="auto"/>
                    <w:left w:val="none" w:sz="0" w:space="0" w:color="auto"/>
                    <w:bottom w:val="none" w:sz="0" w:space="0" w:color="auto"/>
                    <w:right w:val="none" w:sz="0" w:space="0" w:color="auto"/>
                  </w:divBdr>
                  <w:divsChild>
                    <w:div w:id="13013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7707">
          <w:marLeft w:val="0"/>
          <w:marRight w:val="0"/>
          <w:marTop w:val="240"/>
          <w:marBottom w:val="240"/>
          <w:divBdr>
            <w:top w:val="none" w:sz="0" w:space="0" w:color="auto"/>
            <w:left w:val="none" w:sz="0" w:space="0" w:color="auto"/>
            <w:bottom w:val="none" w:sz="0" w:space="0" w:color="auto"/>
            <w:right w:val="none" w:sz="0" w:space="0" w:color="auto"/>
          </w:divBdr>
          <w:divsChild>
            <w:div w:id="127746421">
              <w:marLeft w:val="0"/>
              <w:marRight w:val="0"/>
              <w:marTop w:val="0"/>
              <w:marBottom w:val="0"/>
              <w:divBdr>
                <w:top w:val="none" w:sz="0" w:space="0" w:color="auto"/>
                <w:left w:val="none" w:sz="0" w:space="0" w:color="auto"/>
                <w:bottom w:val="none" w:sz="0" w:space="0" w:color="auto"/>
                <w:right w:val="none" w:sz="0" w:space="0" w:color="auto"/>
              </w:divBdr>
              <w:divsChild>
                <w:div w:id="1586648193">
                  <w:marLeft w:val="0"/>
                  <w:marRight w:val="0"/>
                  <w:marTop w:val="0"/>
                  <w:marBottom w:val="0"/>
                  <w:divBdr>
                    <w:top w:val="none" w:sz="0" w:space="0" w:color="auto"/>
                    <w:left w:val="none" w:sz="0" w:space="0" w:color="auto"/>
                    <w:bottom w:val="none" w:sz="0" w:space="0" w:color="auto"/>
                    <w:right w:val="none" w:sz="0" w:space="0" w:color="auto"/>
                  </w:divBdr>
                  <w:divsChild>
                    <w:div w:id="99210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09650">
          <w:marLeft w:val="0"/>
          <w:marRight w:val="0"/>
          <w:marTop w:val="240"/>
          <w:marBottom w:val="240"/>
          <w:divBdr>
            <w:top w:val="none" w:sz="0" w:space="0" w:color="auto"/>
            <w:left w:val="none" w:sz="0" w:space="0" w:color="auto"/>
            <w:bottom w:val="none" w:sz="0" w:space="0" w:color="auto"/>
            <w:right w:val="none" w:sz="0" w:space="0" w:color="auto"/>
          </w:divBdr>
          <w:divsChild>
            <w:div w:id="474839421">
              <w:marLeft w:val="0"/>
              <w:marRight w:val="0"/>
              <w:marTop w:val="0"/>
              <w:marBottom w:val="0"/>
              <w:divBdr>
                <w:top w:val="none" w:sz="0" w:space="0" w:color="auto"/>
                <w:left w:val="none" w:sz="0" w:space="0" w:color="auto"/>
                <w:bottom w:val="none" w:sz="0" w:space="0" w:color="auto"/>
                <w:right w:val="none" w:sz="0" w:space="0" w:color="auto"/>
              </w:divBdr>
              <w:divsChild>
                <w:div w:id="246884425">
                  <w:marLeft w:val="0"/>
                  <w:marRight w:val="0"/>
                  <w:marTop w:val="0"/>
                  <w:marBottom w:val="0"/>
                  <w:divBdr>
                    <w:top w:val="none" w:sz="0" w:space="0" w:color="auto"/>
                    <w:left w:val="none" w:sz="0" w:space="0" w:color="auto"/>
                    <w:bottom w:val="none" w:sz="0" w:space="0" w:color="auto"/>
                    <w:right w:val="none" w:sz="0" w:space="0" w:color="auto"/>
                  </w:divBdr>
                  <w:divsChild>
                    <w:div w:id="15507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918">
          <w:marLeft w:val="0"/>
          <w:marRight w:val="0"/>
          <w:marTop w:val="240"/>
          <w:marBottom w:val="240"/>
          <w:divBdr>
            <w:top w:val="none" w:sz="0" w:space="0" w:color="auto"/>
            <w:left w:val="none" w:sz="0" w:space="0" w:color="auto"/>
            <w:bottom w:val="none" w:sz="0" w:space="0" w:color="auto"/>
            <w:right w:val="none" w:sz="0" w:space="0" w:color="auto"/>
          </w:divBdr>
          <w:divsChild>
            <w:div w:id="1166168620">
              <w:marLeft w:val="0"/>
              <w:marRight w:val="0"/>
              <w:marTop w:val="0"/>
              <w:marBottom w:val="0"/>
              <w:divBdr>
                <w:top w:val="none" w:sz="0" w:space="0" w:color="auto"/>
                <w:left w:val="none" w:sz="0" w:space="0" w:color="auto"/>
                <w:bottom w:val="none" w:sz="0" w:space="0" w:color="auto"/>
                <w:right w:val="none" w:sz="0" w:space="0" w:color="auto"/>
              </w:divBdr>
              <w:divsChild>
                <w:div w:id="1090585325">
                  <w:marLeft w:val="0"/>
                  <w:marRight w:val="0"/>
                  <w:marTop w:val="0"/>
                  <w:marBottom w:val="0"/>
                  <w:divBdr>
                    <w:top w:val="none" w:sz="0" w:space="0" w:color="auto"/>
                    <w:left w:val="none" w:sz="0" w:space="0" w:color="auto"/>
                    <w:bottom w:val="none" w:sz="0" w:space="0" w:color="auto"/>
                    <w:right w:val="none" w:sz="0" w:space="0" w:color="auto"/>
                  </w:divBdr>
                  <w:divsChild>
                    <w:div w:id="32895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97484">
          <w:marLeft w:val="0"/>
          <w:marRight w:val="0"/>
          <w:marTop w:val="240"/>
          <w:marBottom w:val="240"/>
          <w:divBdr>
            <w:top w:val="none" w:sz="0" w:space="0" w:color="auto"/>
            <w:left w:val="none" w:sz="0" w:space="0" w:color="auto"/>
            <w:bottom w:val="none" w:sz="0" w:space="0" w:color="auto"/>
            <w:right w:val="none" w:sz="0" w:space="0" w:color="auto"/>
          </w:divBdr>
          <w:divsChild>
            <w:div w:id="1976370438">
              <w:marLeft w:val="0"/>
              <w:marRight w:val="0"/>
              <w:marTop w:val="0"/>
              <w:marBottom w:val="0"/>
              <w:divBdr>
                <w:top w:val="none" w:sz="0" w:space="0" w:color="auto"/>
                <w:left w:val="none" w:sz="0" w:space="0" w:color="auto"/>
                <w:bottom w:val="none" w:sz="0" w:space="0" w:color="auto"/>
                <w:right w:val="none" w:sz="0" w:space="0" w:color="auto"/>
              </w:divBdr>
              <w:divsChild>
                <w:div w:id="1993439620">
                  <w:marLeft w:val="0"/>
                  <w:marRight w:val="0"/>
                  <w:marTop w:val="0"/>
                  <w:marBottom w:val="0"/>
                  <w:divBdr>
                    <w:top w:val="none" w:sz="0" w:space="0" w:color="auto"/>
                    <w:left w:val="none" w:sz="0" w:space="0" w:color="auto"/>
                    <w:bottom w:val="none" w:sz="0" w:space="0" w:color="auto"/>
                    <w:right w:val="none" w:sz="0" w:space="0" w:color="auto"/>
                  </w:divBdr>
                  <w:divsChild>
                    <w:div w:id="6972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7450">
          <w:marLeft w:val="0"/>
          <w:marRight w:val="0"/>
          <w:marTop w:val="240"/>
          <w:marBottom w:val="240"/>
          <w:divBdr>
            <w:top w:val="none" w:sz="0" w:space="0" w:color="auto"/>
            <w:left w:val="none" w:sz="0" w:space="0" w:color="auto"/>
            <w:bottom w:val="none" w:sz="0" w:space="0" w:color="auto"/>
            <w:right w:val="none" w:sz="0" w:space="0" w:color="auto"/>
          </w:divBdr>
          <w:divsChild>
            <w:div w:id="718750364">
              <w:marLeft w:val="0"/>
              <w:marRight w:val="0"/>
              <w:marTop w:val="0"/>
              <w:marBottom w:val="0"/>
              <w:divBdr>
                <w:top w:val="none" w:sz="0" w:space="0" w:color="auto"/>
                <w:left w:val="none" w:sz="0" w:space="0" w:color="auto"/>
                <w:bottom w:val="none" w:sz="0" w:space="0" w:color="auto"/>
                <w:right w:val="none" w:sz="0" w:space="0" w:color="auto"/>
              </w:divBdr>
              <w:divsChild>
                <w:div w:id="1521970622">
                  <w:marLeft w:val="0"/>
                  <w:marRight w:val="0"/>
                  <w:marTop w:val="0"/>
                  <w:marBottom w:val="0"/>
                  <w:divBdr>
                    <w:top w:val="none" w:sz="0" w:space="0" w:color="auto"/>
                    <w:left w:val="none" w:sz="0" w:space="0" w:color="auto"/>
                    <w:bottom w:val="none" w:sz="0" w:space="0" w:color="auto"/>
                    <w:right w:val="none" w:sz="0" w:space="0" w:color="auto"/>
                  </w:divBdr>
                  <w:divsChild>
                    <w:div w:id="9846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0793">
          <w:marLeft w:val="0"/>
          <w:marRight w:val="0"/>
          <w:marTop w:val="240"/>
          <w:marBottom w:val="240"/>
          <w:divBdr>
            <w:top w:val="none" w:sz="0" w:space="0" w:color="auto"/>
            <w:left w:val="none" w:sz="0" w:space="0" w:color="auto"/>
            <w:bottom w:val="none" w:sz="0" w:space="0" w:color="auto"/>
            <w:right w:val="none" w:sz="0" w:space="0" w:color="auto"/>
          </w:divBdr>
          <w:divsChild>
            <w:div w:id="292251644">
              <w:marLeft w:val="0"/>
              <w:marRight w:val="0"/>
              <w:marTop w:val="0"/>
              <w:marBottom w:val="0"/>
              <w:divBdr>
                <w:top w:val="none" w:sz="0" w:space="0" w:color="auto"/>
                <w:left w:val="none" w:sz="0" w:space="0" w:color="auto"/>
                <w:bottom w:val="none" w:sz="0" w:space="0" w:color="auto"/>
                <w:right w:val="none" w:sz="0" w:space="0" w:color="auto"/>
              </w:divBdr>
              <w:divsChild>
                <w:div w:id="352849294">
                  <w:marLeft w:val="0"/>
                  <w:marRight w:val="0"/>
                  <w:marTop w:val="0"/>
                  <w:marBottom w:val="0"/>
                  <w:divBdr>
                    <w:top w:val="none" w:sz="0" w:space="0" w:color="auto"/>
                    <w:left w:val="none" w:sz="0" w:space="0" w:color="auto"/>
                    <w:bottom w:val="none" w:sz="0" w:space="0" w:color="auto"/>
                    <w:right w:val="none" w:sz="0" w:space="0" w:color="auto"/>
                  </w:divBdr>
                  <w:divsChild>
                    <w:div w:id="9130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68020">
          <w:marLeft w:val="0"/>
          <w:marRight w:val="0"/>
          <w:marTop w:val="240"/>
          <w:marBottom w:val="240"/>
          <w:divBdr>
            <w:top w:val="none" w:sz="0" w:space="0" w:color="auto"/>
            <w:left w:val="none" w:sz="0" w:space="0" w:color="auto"/>
            <w:bottom w:val="none" w:sz="0" w:space="0" w:color="auto"/>
            <w:right w:val="none" w:sz="0" w:space="0" w:color="auto"/>
          </w:divBdr>
          <w:divsChild>
            <w:div w:id="959798285">
              <w:marLeft w:val="0"/>
              <w:marRight w:val="0"/>
              <w:marTop w:val="0"/>
              <w:marBottom w:val="0"/>
              <w:divBdr>
                <w:top w:val="none" w:sz="0" w:space="0" w:color="auto"/>
                <w:left w:val="none" w:sz="0" w:space="0" w:color="auto"/>
                <w:bottom w:val="none" w:sz="0" w:space="0" w:color="auto"/>
                <w:right w:val="none" w:sz="0" w:space="0" w:color="auto"/>
              </w:divBdr>
              <w:divsChild>
                <w:div w:id="1634217448">
                  <w:marLeft w:val="0"/>
                  <w:marRight w:val="0"/>
                  <w:marTop w:val="0"/>
                  <w:marBottom w:val="0"/>
                  <w:divBdr>
                    <w:top w:val="none" w:sz="0" w:space="0" w:color="auto"/>
                    <w:left w:val="none" w:sz="0" w:space="0" w:color="auto"/>
                    <w:bottom w:val="none" w:sz="0" w:space="0" w:color="auto"/>
                    <w:right w:val="none" w:sz="0" w:space="0" w:color="auto"/>
                  </w:divBdr>
                  <w:divsChild>
                    <w:div w:id="20675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6842">
          <w:marLeft w:val="0"/>
          <w:marRight w:val="0"/>
          <w:marTop w:val="240"/>
          <w:marBottom w:val="240"/>
          <w:divBdr>
            <w:top w:val="none" w:sz="0" w:space="0" w:color="auto"/>
            <w:left w:val="none" w:sz="0" w:space="0" w:color="auto"/>
            <w:bottom w:val="none" w:sz="0" w:space="0" w:color="auto"/>
            <w:right w:val="none" w:sz="0" w:space="0" w:color="auto"/>
          </w:divBdr>
          <w:divsChild>
            <w:div w:id="1494834145">
              <w:marLeft w:val="0"/>
              <w:marRight w:val="0"/>
              <w:marTop w:val="0"/>
              <w:marBottom w:val="0"/>
              <w:divBdr>
                <w:top w:val="none" w:sz="0" w:space="0" w:color="auto"/>
                <w:left w:val="none" w:sz="0" w:space="0" w:color="auto"/>
                <w:bottom w:val="none" w:sz="0" w:space="0" w:color="auto"/>
                <w:right w:val="none" w:sz="0" w:space="0" w:color="auto"/>
              </w:divBdr>
              <w:divsChild>
                <w:div w:id="1084377068">
                  <w:marLeft w:val="0"/>
                  <w:marRight w:val="0"/>
                  <w:marTop w:val="0"/>
                  <w:marBottom w:val="0"/>
                  <w:divBdr>
                    <w:top w:val="none" w:sz="0" w:space="0" w:color="auto"/>
                    <w:left w:val="none" w:sz="0" w:space="0" w:color="auto"/>
                    <w:bottom w:val="none" w:sz="0" w:space="0" w:color="auto"/>
                    <w:right w:val="none" w:sz="0" w:space="0" w:color="auto"/>
                  </w:divBdr>
                  <w:divsChild>
                    <w:div w:id="15336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5412">
          <w:marLeft w:val="0"/>
          <w:marRight w:val="0"/>
          <w:marTop w:val="240"/>
          <w:marBottom w:val="240"/>
          <w:divBdr>
            <w:top w:val="none" w:sz="0" w:space="0" w:color="auto"/>
            <w:left w:val="none" w:sz="0" w:space="0" w:color="auto"/>
            <w:bottom w:val="none" w:sz="0" w:space="0" w:color="auto"/>
            <w:right w:val="none" w:sz="0" w:space="0" w:color="auto"/>
          </w:divBdr>
          <w:divsChild>
            <w:div w:id="1509056172">
              <w:marLeft w:val="0"/>
              <w:marRight w:val="0"/>
              <w:marTop w:val="0"/>
              <w:marBottom w:val="0"/>
              <w:divBdr>
                <w:top w:val="none" w:sz="0" w:space="0" w:color="auto"/>
                <w:left w:val="none" w:sz="0" w:space="0" w:color="auto"/>
                <w:bottom w:val="none" w:sz="0" w:space="0" w:color="auto"/>
                <w:right w:val="none" w:sz="0" w:space="0" w:color="auto"/>
              </w:divBdr>
              <w:divsChild>
                <w:div w:id="1225677736">
                  <w:marLeft w:val="0"/>
                  <w:marRight w:val="0"/>
                  <w:marTop w:val="0"/>
                  <w:marBottom w:val="0"/>
                  <w:divBdr>
                    <w:top w:val="none" w:sz="0" w:space="0" w:color="auto"/>
                    <w:left w:val="none" w:sz="0" w:space="0" w:color="auto"/>
                    <w:bottom w:val="none" w:sz="0" w:space="0" w:color="auto"/>
                    <w:right w:val="none" w:sz="0" w:space="0" w:color="auto"/>
                  </w:divBdr>
                  <w:divsChild>
                    <w:div w:id="8658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92202">
          <w:marLeft w:val="0"/>
          <w:marRight w:val="0"/>
          <w:marTop w:val="240"/>
          <w:marBottom w:val="240"/>
          <w:divBdr>
            <w:top w:val="none" w:sz="0" w:space="0" w:color="auto"/>
            <w:left w:val="none" w:sz="0" w:space="0" w:color="auto"/>
            <w:bottom w:val="none" w:sz="0" w:space="0" w:color="auto"/>
            <w:right w:val="none" w:sz="0" w:space="0" w:color="auto"/>
          </w:divBdr>
          <w:divsChild>
            <w:div w:id="2021395990">
              <w:marLeft w:val="0"/>
              <w:marRight w:val="0"/>
              <w:marTop w:val="0"/>
              <w:marBottom w:val="0"/>
              <w:divBdr>
                <w:top w:val="none" w:sz="0" w:space="0" w:color="auto"/>
                <w:left w:val="none" w:sz="0" w:space="0" w:color="auto"/>
                <w:bottom w:val="none" w:sz="0" w:space="0" w:color="auto"/>
                <w:right w:val="none" w:sz="0" w:space="0" w:color="auto"/>
              </w:divBdr>
              <w:divsChild>
                <w:div w:id="1137801164">
                  <w:marLeft w:val="0"/>
                  <w:marRight w:val="0"/>
                  <w:marTop w:val="0"/>
                  <w:marBottom w:val="0"/>
                  <w:divBdr>
                    <w:top w:val="none" w:sz="0" w:space="0" w:color="auto"/>
                    <w:left w:val="none" w:sz="0" w:space="0" w:color="auto"/>
                    <w:bottom w:val="none" w:sz="0" w:space="0" w:color="auto"/>
                    <w:right w:val="none" w:sz="0" w:space="0" w:color="auto"/>
                  </w:divBdr>
                  <w:divsChild>
                    <w:div w:id="17114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05096">
          <w:marLeft w:val="0"/>
          <w:marRight w:val="0"/>
          <w:marTop w:val="240"/>
          <w:marBottom w:val="240"/>
          <w:divBdr>
            <w:top w:val="none" w:sz="0" w:space="0" w:color="auto"/>
            <w:left w:val="none" w:sz="0" w:space="0" w:color="auto"/>
            <w:bottom w:val="none" w:sz="0" w:space="0" w:color="auto"/>
            <w:right w:val="none" w:sz="0" w:space="0" w:color="auto"/>
          </w:divBdr>
          <w:divsChild>
            <w:div w:id="1868643572">
              <w:marLeft w:val="0"/>
              <w:marRight w:val="0"/>
              <w:marTop w:val="0"/>
              <w:marBottom w:val="0"/>
              <w:divBdr>
                <w:top w:val="none" w:sz="0" w:space="0" w:color="auto"/>
                <w:left w:val="none" w:sz="0" w:space="0" w:color="auto"/>
                <w:bottom w:val="none" w:sz="0" w:space="0" w:color="auto"/>
                <w:right w:val="none" w:sz="0" w:space="0" w:color="auto"/>
              </w:divBdr>
              <w:divsChild>
                <w:div w:id="1052078388">
                  <w:marLeft w:val="0"/>
                  <w:marRight w:val="0"/>
                  <w:marTop w:val="0"/>
                  <w:marBottom w:val="0"/>
                  <w:divBdr>
                    <w:top w:val="none" w:sz="0" w:space="0" w:color="auto"/>
                    <w:left w:val="none" w:sz="0" w:space="0" w:color="auto"/>
                    <w:bottom w:val="none" w:sz="0" w:space="0" w:color="auto"/>
                    <w:right w:val="none" w:sz="0" w:space="0" w:color="auto"/>
                  </w:divBdr>
                  <w:divsChild>
                    <w:div w:id="14897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4300">
          <w:marLeft w:val="0"/>
          <w:marRight w:val="0"/>
          <w:marTop w:val="240"/>
          <w:marBottom w:val="240"/>
          <w:divBdr>
            <w:top w:val="none" w:sz="0" w:space="0" w:color="auto"/>
            <w:left w:val="none" w:sz="0" w:space="0" w:color="auto"/>
            <w:bottom w:val="none" w:sz="0" w:space="0" w:color="auto"/>
            <w:right w:val="none" w:sz="0" w:space="0" w:color="auto"/>
          </w:divBdr>
          <w:divsChild>
            <w:div w:id="835802279">
              <w:marLeft w:val="0"/>
              <w:marRight w:val="0"/>
              <w:marTop w:val="0"/>
              <w:marBottom w:val="0"/>
              <w:divBdr>
                <w:top w:val="none" w:sz="0" w:space="0" w:color="auto"/>
                <w:left w:val="none" w:sz="0" w:space="0" w:color="auto"/>
                <w:bottom w:val="none" w:sz="0" w:space="0" w:color="auto"/>
                <w:right w:val="none" w:sz="0" w:space="0" w:color="auto"/>
              </w:divBdr>
              <w:divsChild>
                <w:div w:id="2137291185">
                  <w:marLeft w:val="0"/>
                  <w:marRight w:val="0"/>
                  <w:marTop w:val="0"/>
                  <w:marBottom w:val="0"/>
                  <w:divBdr>
                    <w:top w:val="none" w:sz="0" w:space="0" w:color="auto"/>
                    <w:left w:val="none" w:sz="0" w:space="0" w:color="auto"/>
                    <w:bottom w:val="none" w:sz="0" w:space="0" w:color="auto"/>
                    <w:right w:val="none" w:sz="0" w:space="0" w:color="auto"/>
                  </w:divBdr>
                  <w:divsChild>
                    <w:div w:id="14520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55950">
          <w:marLeft w:val="0"/>
          <w:marRight w:val="0"/>
          <w:marTop w:val="240"/>
          <w:marBottom w:val="240"/>
          <w:divBdr>
            <w:top w:val="none" w:sz="0" w:space="0" w:color="auto"/>
            <w:left w:val="none" w:sz="0" w:space="0" w:color="auto"/>
            <w:bottom w:val="none" w:sz="0" w:space="0" w:color="auto"/>
            <w:right w:val="none" w:sz="0" w:space="0" w:color="auto"/>
          </w:divBdr>
          <w:divsChild>
            <w:div w:id="1600483776">
              <w:marLeft w:val="0"/>
              <w:marRight w:val="0"/>
              <w:marTop w:val="0"/>
              <w:marBottom w:val="0"/>
              <w:divBdr>
                <w:top w:val="none" w:sz="0" w:space="0" w:color="auto"/>
                <w:left w:val="none" w:sz="0" w:space="0" w:color="auto"/>
                <w:bottom w:val="none" w:sz="0" w:space="0" w:color="auto"/>
                <w:right w:val="none" w:sz="0" w:space="0" w:color="auto"/>
              </w:divBdr>
              <w:divsChild>
                <w:div w:id="1448546401">
                  <w:marLeft w:val="0"/>
                  <w:marRight w:val="0"/>
                  <w:marTop w:val="0"/>
                  <w:marBottom w:val="0"/>
                  <w:divBdr>
                    <w:top w:val="none" w:sz="0" w:space="0" w:color="auto"/>
                    <w:left w:val="none" w:sz="0" w:space="0" w:color="auto"/>
                    <w:bottom w:val="none" w:sz="0" w:space="0" w:color="auto"/>
                    <w:right w:val="none" w:sz="0" w:space="0" w:color="auto"/>
                  </w:divBdr>
                  <w:divsChild>
                    <w:div w:id="11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5208">
          <w:marLeft w:val="0"/>
          <w:marRight w:val="0"/>
          <w:marTop w:val="240"/>
          <w:marBottom w:val="240"/>
          <w:divBdr>
            <w:top w:val="none" w:sz="0" w:space="0" w:color="auto"/>
            <w:left w:val="none" w:sz="0" w:space="0" w:color="auto"/>
            <w:bottom w:val="none" w:sz="0" w:space="0" w:color="auto"/>
            <w:right w:val="none" w:sz="0" w:space="0" w:color="auto"/>
          </w:divBdr>
          <w:divsChild>
            <w:div w:id="711349160">
              <w:marLeft w:val="0"/>
              <w:marRight w:val="0"/>
              <w:marTop w:val="0"/>
              <w:marBottom w:val="0"/>
              <w:divBdr>
                <w:top w:val="none" w:sz="0" w:space="0" w:color="auto"/>
                <w:left w:val="none" w:sz="0" w:space="0" w:color="auto"/>
                <w:bottom w:val="none" w:sz="0" w:space="0" w:color="auto"/>
                <w:right w:val="none" w:sz="0" w:space="0" w:color="auto"/>
              </w:divBdr>
              <w:divsChild>
                <w:div w:id="726416089">
                  <w:marLeft w:val="0"/>
                  <w:marRight w:val="0"/>
                  <w:marTop w:val="0"/>
                  <w:marBottom w:val="0"/>
                  <w:divBdr>
                    <w:top w:val="none" w:sz="0" w:space="0" w:color="auto"/>
                    <w:left w:val="none" w:sz="0" w:space="0" w:color="auto"/>
                    <w:bottom w:val="none" w:sz="0" w:space="0" w:color="auto"/>
                    <w:right w:val="none" w:sz="0" w:space="0" w:color="auto"/>
                  </w:divBdr>
                  <w:divsChild>
                    <w:div w:id="19150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57294">
          <w:marLeft w:val="0"/>
          <w:marRight w:val="0"/>
          <w:marTop w:val="240"/>
          <w:marBottom w:val="240"/>
          <w:divBdr>
            <w:top w:val="none" w:sz="0" w:space="0" w:color="auto"/>
            <w:left w:val="none" w:sz="0" w:space="0" w:color="auto"/>
            <w:bottom w:val="none" w:sz="0" w:space="0" w:color="auto"/>
            <w:right w:val="none" w:sz="0" w:space="0" w:color="auto"/>
          </w:divBdr>
          <w:divsChild>
            <w:div w:id="300426345">
              <w:marLeft w:val="0"/>
              <w:marRight w:val="0"/>
              <w:marTop w:val="0"/>
              <w:marBottom w:val="0"/>
              <w:divBdr>
                <w:top w:val="none" w:sz="0" w:space="0" w:color="auto"/>
                <w:left w:val="none" w:sz="0" w:space="0" w:color="auto"/>
                <w:bottom w:val="none" w:sz="0" w:space="0" w:color="auto"/>
                <w:right w:val="none" w:sz="0" w:space="0" w:color="auto"/>
              </w:divBdr>
              <w:divsChild>
                <w:div w:id="781268536">
                  <w:marLeft w:val="0"/>
                  <w:marRight w:val="0"/>
                  <w:marTop w:val="0"/>
                  <w:marBottom w:val="0"/>
                  <w:divBdr>
                    <w:top w:val="none" w:sz="0" w:space="0" w:color="auto"/>
                    <w:left w:val="none" w:sz="0" w:space="0" w:color="auto"/>
                    <w:bottom w:val="none" w:sz="0" w:space="0" w:color="auto"/>
                    <w:right w:val="none" w:sz="0" w:space="0" w:color="auto"/>
                  </w:divBdr>
                  <w:divsChild>
                    <w:div w:id="27081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20398">
          <w:marLeft w:val="0"/>
          <w:marRight w:val="0"/>
          <w:marTop w:val="240"/>
          <w:marBottom w:val="240"/>
          <w:divBdr>
            <w:top w:val="none" w:sz="0" w:space="0" w:color="auto"/>
            <w:left w:val="none" w:sz="0" w:space="0" w:color="auto"/>
            <w:bottom w:val="none" w:sz="0" w:space="0" w:color="auto"/>
            <w:right w:val="none" w:sz="0" w:space="0" w:color="auto"/>
          </w:divBdr>
          <w:divsChild>
            <w:div w:id="551424524">
              <w:marLeft w:val="0"/>
              <w:marRight w:val="0"/>
              <w:marTop w:val="0"/>
              <w:marBottom w:val="0"/>
              <w:divBdr>
                <w:top w:val="none" w:sz="0" w:space="0" w:color="auto"/>
                <w:left w:val="none" w:sz="0" w:space="0" w:color="auto"/>
                <w:bottom w:val="none" w:sz="0" w:space="0" w:color="auto"/>
                <w:right w:val="none" w:sz="0" w:space="0" w:color="auto"/>
              </w:divBdr>
              <w:divsChild>
                <w:div w:id="1146123066">
                  <w:marLeft w:val="0"/>
                  <w:marRight w:val="0"/>
                  <w:marTop w:val="0"/>
                  <w:marBottom w:val="0"/>
                  <w:divBdr>
                    <w:top w:val="none" w:sz="0" w:space="0" w:color="auto"/>
                    <w:left w:val="none" w:sz="0" w:space="0" w:color="auto"/>
                    <w:bottom w:val="none" w:sz="0" w:space="0" w:color="auto"/>
                    <w:right w:val="none" w:sz="0" w:space="0" w:color="auto"/>
                  </w:divBdr>
                  <w:divsChild>
                    <w:div w:id="10273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03148">
          <w:marLeft w:val="0"/>
          <w:marRight w:val="0"/>
          <w:marTop w:val="240"/>
          <w:marBottom w:val="240"/>
          <w:divBdr>
            <w:top w:val="none" w:sz="0" w:space="0" w:color="auto"/>
            <w:left w:val="none" w:sz="0" w:space="0" w:color="auto"/>
            <w:bottom w:val="none" w:sz="0" w:space="0" w:color="auto"/>
            <w:right w:val="none" w:sz="0" w:space="0" w:color="auto"/>
          </w:divBdr>
          <w:divsChild>
            <w:div w:id="235169397">
              <w:marLeft w:val="0"/>
              <w:marRight w:val="0"/>
              <w:marTop w:val="0"/>
              <w:marBottom w:val="0"/>
              <w:divBdr>
                <w:top w:val="none" w:sz="0" w:space="0" w:color="auto"/>
                <w:left w:val="none" w:sz="0" w:space="0" w:color="auto"/>
                <w:bottom w:val="none" w:sz="0" w:space="0" w:color="auto"/>
                <w:right w:val="none" w:sz="0" w:space="0" w:color="auto"/>
              </w:divBdr>
              <w:divsChild>
                <w:div w:id="1847667288">
                  <w:marLeft w:val="0"/>
                  <w:marRight w:val="0"/>
                  <w:marTop w:val="0"/>
                  <w:marBottom w:val="0"/>
                  <w:divBdr>
                    <w:top w:val="none" w:sz="0" w:space="0" w:color="auto"/>
                    <w:left w:val="none" w:sz="0" w:space="0" w:color="auto"/>
                    <w:bottom w:val="none" w:sz="0" w:space="0" w:color="auto"/>
                    <w:right w:val="none" w:sz="0" w:space="0" w:color="auto"/>
                  </w:divBdr>
                  <w:divsChild>
                    <w:div w:id="13883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51221">
          <w:marLeft w:val="0"/>
          <w:marRight w:val="0"/>
          <w:marTop w:val="240"/>
          <w:marBottom w:val="240"/>
          <w:divBdr>
            <w:top w:val="none" w:sz="0" w:space="0" w:color="auto"/>
            <w:left w:val="none" w:sz="0" w:space="0" w:color="auto"/>
            <w:bottom w:val="none" w:sz="0" w:space="0" w:color="auto"/>
            <w:right w:val="none" w:sz="0" w:space="0" w:color="auto"/>
          </w:divBdr>
          <w:divsChild>
            <w:div w:id="1966308638">
              <w:marLeft w:val="0"/>
              <w:marRight w:val="0"/>
              <w:marTop w:val="0"/>
              <w:marBottom w:val="0"/>
              <w:divBdr>
                <w:top w:val="none" w:sz="0" w:space="0" w:color="auto"/>
                <w:left w:val="none" w:sz="0" w:space="0" w:color="auto"/>
                <w:bottom w:val="none" w:sz="0" w:space="0" w:color="auto"/>
                <w:right w:val="none" w:sz="0" w:space="0" w:color="auto"/>
              </w:divBdr>
              <w:divsChild>
                <w:div w:id="1504053335">
                  <w:marLeft w:val="0"/>
                  <w:marRight w:val="0"/>
                  <w:marTop w:val="0"/>
                  <w:marBottom w:val="0"/>
                  <w:divBdr>
                    <w:top w:val="none" w:sz="0" w:space="0" w:color="auto"/>
                    <w:left w:val="none" w:sz="0" w:space="0" w:color="auto"/>
                    <w:bottom w:val="none" w:sz="0" w:space="0" w:color="auto"/>
                    <w:right w:val="none" w:sz="0" w:space="0" w:color="auto"/>
                  </w:divBdr>
                  <w:divsChild>
                    <w:div w:id="17325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77442">
          <w:marLeft w:val="0"/>
          <w:marRight w:val="0"/>
          <w:marTop w:val="240"/>
          <w:marBottom w:val="240"/>
          <w:divBdr>
            <w:top w:val="none" w:sz="0" w:space="0" w:color="auto"/>
            <w:left w:val="none" w:sz="0" w:space="0" w:color="auto"/>
            <w:bottom w:val="none" w:sz="0" w:space="0" w:color="auto"/>
            <w:right w:val="none" w:sz="0" w:space="0" w:color="auto"/>
          </w:divBdr>
          <w:divsChild>
            <w:div w:id="1609701824">
              <w:marLeft w:val="0"/>
              <w:marRight w:val="0"/>
              <w:marTop w:val="0"/>
              <w:marBottom w:val="0"/>
              <w:divBdr>
                <w:top w:val="none" w:sz="0" w:space="0" w:color="auto"/>
                <w:left w:val="none" w:sz="0" w:space="0" w:color="auto"/>
                <w:bottom w:val="none" w:sz="0" w:space="0" w:color="auto"/>
                <w:right w:val="none" w:sz="0" w:space="0" w:color="auto"/>
              </w:divBdr>
              <w:divsChild>
                <w:div w:id="1257205353">
                  <w:marLeft w:val="0"/>
                  <w:marRight w:val="0"/>
                  <w:marTop w:val="0"/>
                  <w:marBottom w:val="0"/>
                  <w:divBdr>
                    <w:top w:val="none" w:sz="0" w:space="0" w:color="auto"/>
                    <w:left w:val="none" w:sz="0" w:space="0" w:color="auto"/>
                    <w:bottom w:val="none" w:sz="0" w:space="0" w:color="auto"/>
                    <w:right w:val="none" w:sz="0" w:space="0" w:color="auto"/>
                  </w:divBdr>
                  <w:divsChild>
                    <w:div w:id="888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332109">
          <w:marLeft w:val="0"/>
          <w:marRight w:val="0"/>
          <w:marTop w:val="240"/>
          <w:marBottom w:val="240"/>
          <w:divBdr>
            <w:top w:val="none" w:sz="0" w:space="0" w:color="auto"/>
            <w:left w:val="none" w:sz="0" w:space="0" w:color="auto"/>
            <w:bottom w:val="none" w:sz="0" w:space="0" w:color="auto"/>
            <w:right w:val="none" w:sz="0" w:space="0" w:color="auto"/>
          </w:divBdr>
          <w:divsChild>
            <w:div w:id="1958681933">
              <w:marLeft w:val="0"/>
              <w:marRight w:val="0"/>
              <w:marTop w:val="0"/>
              <w:marBottom w:val="0"/>
              <w:divBdr>
                <w:top w:val="none" w:sz="0" w:space="0" w:color="auto"/>
                <w:left w:val="none" w:sz="0" w:space="0" w:color="auto"/>
                <w:bottom w:val="none" w:sz="0" w:space="0" w:color="auto"/>
                <w:right w:val="none" w:sz="0" w:space="0" w:color="auto"/>
              </w:divBdr>
              <w:divsChild>
                <w:div w:id="1591885134">
                  <w:marLeft w:val="0"/>
                  <w:marRight w:val="0"/>
                  <w:marTop w:val="0"/>
                  <w:marBottom w:val="0"/>
                  <w:divBdr>
                    <w:top w:val="none" w:sz="0" w:space="0" w:color="auto"/>
                    <w:left w:val="none" w:sz="0" w:space="0" w:color="auto"/>
                    <w:bottom w:val="none" w:sz="0" w:space="0" w:color="auto"/>
                    <w:right w:val="none" w:sz="0" w:space="0" w:color="auto"/>
                  </w:divBdr>
                  <w:divsChild>
                    <w:div w:id="8691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800056">
          <w:marLeft w:val="0"/>
          <w:marRight w:val="0"/>
          <w:marTop w:val="240"/>
          <w:marBottom w:val="240"/>
          <w:divBdr>
            <w:top w:val="none" w:sz="0" w:space="0" w:color="auto"/>
            <w:left w:val="none" w:sz="0" w:space="0" w:color="auto"/>
            <w:bottom w:val="none" w:sz="0" w:space="0" w:color="auto"/>
            <w:right w:val="none" w:sz="0" w:space="0" w:color="auto"/>
          </w:divBdr>
          <w:divsChild>
            <w:div w:id="1203783214">
              <w:marLeft w:val="0"/>
              <w:marRight w:val="0"/>
              <w:marTop w:val="0"/>
              <w:marBottom w:val="0"/>
              <w:divBdr>
                <w:top w:val="none" w:sz="0" w:space="0" w:color="auto"/>
                <w:left w:val="none" w:sz="0" w:space="0" w:color="auto"/>
                <w:bottom w:val="none" w:sz="0" w:space="0" w:color="auto"/>
                <w:right w:val="none" w:sz="0" w:space="0" w:color="auto"/>
              </w:divBdr>
              <w:divsChild>
                <w:div w:id="1481580585">
                  <w:marLeft w:val="0"/>
                  <w:marRight w:val="0"/>
                  <w:marTop w:val="0"/>
                  <w:marBottom w:val="0"/>
                  <w:divBdr>
                    <w:top w:val="none" w:sz="0" w:space="0" w:color="auto"/>
                    <w:left w:val="none" w:sz="0" w:space="0" w:color="auto"/>
                    <w:bottom w:val="none" w:sz="0" w:space="0" w:color="auto"/>
                    <w:right w:val="none" w:sz="0" w:space="0" w:color="auto"/>
                  </w:divBdr>
                  <w:divsChild>
                    <w:div w:id="117835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836535">
          <w:marLeft w:val="0"/>
          <w:marRight w:val="0"/>
          <w:marTop w:val="240"/>
          <w:marBottom w:val="240"/>
          <w:divBdr>
            <w:top w:val="none" w:sz="0" w:space="0" w:color="auto"/>
            <w:left w:val="none" w:sz="0" w:space="0" w:color="auto"/>
            <w:bottom w:val="none" w:sz="0" w:space="0" w:color="auto"/>
            <w:right w:val="none" w:sz="0" w:space="0" w:color="auto"/>
          </w:divBdr>
          <w:divsChild>
            <w:div w:id="805395217">
              <w:marLeft w:val="0"/>
              <w:marRight w:val="0"/>
              <w:marTop w:val="0"/>
              <w:marBottom w:val="0"/>
              <w:divBdr>
                <w:top w:val="none" w:sz="0" w:space="0" w:color="auto"/>
                <w:left w:val="none" w:sz="0" w:space="0" w:color="auto"/>
                <w:bottom w:val="none" w:sz="0" w:space="0" w:color="auto"/>
                <w:right w:val="none" w:sz="0" w:space="0" w:color="auto"/>
              </w:divBdr>
              <w:divsChild>
                <w:div w:id="208567810">
                  <w:marLeft w:val="0"/>
                  <w:marRight w:val="0"/>
                  <w:marTop w:val="0"/>
                  <w:marBottom w:val="0"/>
                  <w:divBdr>
                    <w:top w:val="none" w:sz="0" w:space="0" w:color="auto"/>
                    <w:left w:val="none" w:sz="0" w:space="0" w:color="auto"/>
                    <w:bottom w:val="none" w:sz="0" w:space="0" w:color="auto"/>
                    <w:right w:val="none" w:sz="0" w:space="0" w:color="auto"/>
                  </w:divBdr>
                  <w:divsChild>
                    <w:div w:id="30625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8168">
          <w:marLeft w:val="0"/>
          <w:marRight w:val="0"/>
          <w:marTop w:val="240"/>
          <w:marBottom w:val="240"/>
          <w:divBdr>
            <w:top w:val="none" w:sz="0" w:space="0" w:color="auto"/>
            <w:left w:val="none" w:sz="0" w:space="0" w:color="auto"/>
            <w:bottom w:val="none" w:sz="0" w:space="0" w:color="auto"/>
            <w:right w:val="none" w:sz="0" w:space="0" w:color="auto"/>
          </w:divBdr>
          <w:divsChild>
            <w:div w:id="1634944125">
              <w:marLeft w:val="0"/>
              <w:marRight w:val="0"/>
              <w:marTop w:val="0"/>
              <w:marBottom w:val="0"/>
              <w:divBdr>
                <w:top w:val="none" w:sz="0" w:space="0" w:color="auto"/>
                <w:left w:val="none" w:sz="0" w:space="0" w:color="auto"/>
                <w:bottom w:val="none" w:sz="0" w:space="0" w:color="auto"/>
                <w:right w:val="none" w:sz="0" w:space="0" w:color="auto"/>
              </w:divBdr>
              <w:divsChild>
                <w:div w:id="1718431740">
                  <w:marLeft w:val="0"/>
                  <w:marRight w:val="0"/>
                  <w:marTop w:val="0"/>
                  <w:marBottom w:val="0"/>
                  <w:divBdr>
                    <w:top w:val="none" w:sz="0" w:space="0" w:color="auto"/>
                    <w:left w:val="none" w:sz="0" w:space="0" w:color="auto"/>
                    <w:bottom w:val="none" w:sz="0" w:space="0" w:color="auto"/>
                    <w:right w:val="none" w:sz="0" w:space="0" w:color="auto"/>
                  </w:divBdr>
                  <w:divsChild>
                    <w:div w:id="100775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40854">
          <w:marLeft w:val="0"/>
          <w:marRight w:val="0"/>
          <w:marTop w:val="240"/>
          <w:marBottom w:val="240"/>
          <w:divBdr>
            <w:top w:val="none" w:sz="0" w:space="0" w:color="auto"/>
            <w:left w:val="none" w:sz="0" w:space="0" w:color="auto"/>
            <w:bottom w:val="none" w:sz="0" w:space="0" w:color="auto"/>
            <w:right w:val="none" w:sz="0" w:space="0" w:color="auto"/>
          </w:divBdr>
          <w:divsChild>
            <w:div w:id="744255216">
              <w:marLeft w:val="0"/>
              <w:marRight w:val="0"/>
              <w:marTop w:val="0"/>
              <w:marBottom w:val="0"/>
              <w:divBdr>
                <w:top w:val="none" w:sz="0" w:space="0" w:color="auto"/>
                <w:left w:val="none" w:sz="0" w:space="0" w:color="auto"/>
                <w:bottom w:val="none" w:sz="0" w:space="0" w:color="auto"/>
                <w:right w:val="none" w:sz="0" w:space="0" w:color="auto"/>
              </w:divBdr>
              <w:divsChild>
                <w:div w:id="2067989642">
                  <w:marLeft w:val="0"/>
                  <w:marRight w:val="0"/>
                  <w:marTop w:val="0"/>
                  <w:marBottom w:val="0"/>
                  <w:divBdr>
                    <w:top w:val="none" w:sz="0" w:space="0" w:color="auto"/>
                    <w:left w:val="none" w:sz="0" w:space="0" w:color="auto"/>
                    <w:bottom w:val="none" w:sz="0" w:space="0" w:color="auto"/>
                    <w:right w:val="none" w:sz="0" w:space="0" w:color="auto"/>
                  </w:divBdr>
                  <w:divsChild>
                    <w:div w:id="100088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2103">
          <w:marLeft w:val="0"/>
          <w:marRight w:val="0"/>
          <w:marTop w:val="240"/>
          <w:marBottom w:val="240"/>
          <w:divBdr>
            <w:top w:val="none" w:sz="0" w:space="0" w:color="auto"/>
            <w:left w:val="none" w:sz="0" w:space="0" w:color="auto"/>
            <w:bottom w:val="none" w:sz="0" w:space="0" w:color="auto"/>
            <w:right w:val="none" w:sz="0" w:space="0" w:color="auto"/>
          </w:divBdr>
          <w:divsChild>
            <w:div w:id="1701778596">
              <w:marLeft w:val="0"/>
              <w:marRight w:val="0"/>
              <w:marTop w:val="0"/>
              <w:marBottom w:val="0"/>
              <w:divBdr>
                <w:top w:val="none" w:sz="0" w:space="0" w:color="auto"/>
                <w:left w:val="none" w:sz="0" w:space="0" w:color="auto"/>
                <w:bottom w:val="none" w:sz="0" w:space="0" w:color="auto"/>
                <w:right w:val="none" w:sz="0" w:space="0" w:color="auto"/>
              </w:divBdr>
              <w:divsChild>
                <w:div w:id="227619583">
                  <w:marLeft w:val="0"/>
                  <w:marRight w:val="0"/>
                  <w:marTop w:val="0"/>
                  <w:marBottom w:val="0"/>
                  <w:divBdr>
                    <w:top w:val="none" w:sz="0" w:space="0" w:color="auto"/>
                    <w:left w:val="none" w:sz="0" w:space="0" w:color="auto"/>
                    <w:bottom w:val="none" w:sz="0" w:space="0" w:color="auto"/>
                    <w:right w:val="none" w:sz="0" w:space="0" w:color="auto"/>
                  </w:divBdr>
                  <w:divsChild>
                    <w:div w:id="2948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144">
          <w:marLeft w:val="0"/>
          <w:marRight w:val="0"/>
          <w:marTop w:val="240"/>
          <w:marBottom w:val="240"/>
          <w:divBdr>
            <w:top w:val="none" w:sz="0" w:space="0" w:color="auto"/>
            <w:left w:val="none" w:sz="0" w:space="0" w:color="auto"/>
            <w:bottom w:val="none" w:sz="0" w:space="0" w:color="auto"/>
            <w:right w:val="none" w:sz="0" w:space="0" w:color="auto"/>
          </w:divBdr>
          <w:divsChild>
            <w:div w:id="276109897">
              <w:marLeft w:val="0"/>
              <w:marRight w:val="0"/>
              <w:marTop w:val="0"/>
              <w:marBottom w:val="0"/>
              <w:divBdr>
                <w:top w:val="none" w:sz="0" w:space="0" w:color="auto"/>
                <w:left w:val="none" w:sz="0" w:space="0" w:color="auto"/>
                <w:bottom w:val="none" w:sz="0" w:space="0" w:color="auto"/>
                <w:right w:val="none" w:sz="0" w:space="0" w:color="auto"/>
              </w:divBdr>
              <w:divsChild>
                <w:div w:id="403990599">
                  <w:marLeft w:val="0"/>
                  <w:marRight w:val="0"/>
                  <w:marTop w:val="0"/>
                  <w:marBottom w:val="0"/>
                  <w:divBdr>
                    <w:top w:val="none" w:sz="0" w:space="0" w:color="auto"/>
                    <w:left w:val="none" w:sz="0" w:space="0" w:color="auto"/>
                    <w:bottom w:val="none" w:sz="0" w:space="0" w:color="auto"/>
                    <w:right w:val="none" w:sz="0" w:space="0" w:color="auto"/>
                  </w:divBdr>
                  <w:divsChild>
                    <w:div w:id="13951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7156">
          <w:marLeft w:val="0"/>
          <w:marRight w:val="0"/>
          <w:marTop w:val="240"/>
          <w:marBottom w:val="240"/>
          <w:divBdr>
            <w:top w:val="none" w:sz="0" w:space="0" w:color="auto"/>
            <w:left w:val="none" w:sz="0" w:space="0" w:color="auto"/>
            <w:bottom w:val="none" w:sz="0" w:space="0" w:color="auto"/>
            <w:right w:val="none" w:sz="0" w:space="0" w:color="auto"/>
          </w:divBdr>
          <w:divsChild>
            <w:div w:id="1597396213">
              <w:marLeft w:val="0"/>
              <w:marRight w:val="0"/>
              <w:marTop w:val="0"/>
              <w:marBottom w:val="0"/>
              <w:divBdr>
                <w:top w:val="none" w:sz="0" w:space="0" w:color="auto"/>
                <w:left w:val="none" w:sz="0" w:space="0" w:color="auto"/>
                <w:bottom w:val="none" w:sz="0" w:space="0" w:color="auto"/>
                <w:right w:val="none" w:sz="0" w:space="0" w:color="auto"/>
              </w:divBdr>
              <w:divsChild>
                <w:div w:id="1101342241">
                  <w:marLeft w:val="0"/>
                  <w:marRight w:val="0"/>
                  <w:marTop w:val="0"/>
                  <w:marBottom w:val="0"/>
                  <w:divBdr>
                    <w:top w:val="none" w:sz="0" w:space="0" w:color="auto"/>
                    <w:left w:val="none" w:sz="0" w:space="0" w:color="auto"/>
                    <w:bottom w:val="none" w:sz="0" w:space="0" w:color="auto"/>
                    <w:right w:val="none" w:sz="0" w:space="0" w:color="auto"/>
                  </w:divBdr>
                  <w:divsChild>
                    <w:div w:id="8534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1581">
          <w:marLeft w:val="0"/>
          <w:marRight w:val="0"/>
          <w:marTop w:val="240"/>
          <w:marBottom w:val="240"/>
          <w:divBdr>
            <w:top w:val="none" w:sz="0" w:space="0" w:color="auto"/>
            <w:left w:val="none" w:sz="0" w:space="0" w:color="auto"/>
            <w:bottom w:val="none" w:sz="0" w:space="0" w:color="auto"/>
            <w:right w:val="none" w:sz="0" w:space="0" w:color="auto"/>
          </w:divBdr>
          <w:divsChild>
            <w:div w:id="1752123965">
              <w:marLeft w:val="0"/>
              <w:marRight w:val="0"/>
              <w:marTop w:val="0"/>
              <w:marBottom w:val="0"/>
              <w:divBdr>
                <w:top w:val="none" w:sz="0" w:space="0" w:color="auto"/>
                <w:left w:val="none" w:sz="0" w:space="0" w:color="auto"/>
                <w:bottom w:val="none" w:sz="0" w:space="0" w:color="auto"/>
                <w:right w:val="none" w:sz="0" w:space="0" w:color="auto"/>
              </w:divBdr>
              <w:divsChild>
                <w:div w:id="1930040264">
                  <w:marLeft w:val="0"/>
                  <w:marRight w:val="0"/>
                  <w:marTop w:val="0"/>
                  <w:marBottom w:val="0"/>
                  <w:divBdr>
                    <w:top w:val="none" w:sz="0" w:space="0" w:color="auto"/>
                    <w:left w:val="none" w:sz="0" w:space="0" w:color="auto"/>
                    <w:bottom w:val="none" w:sz="0" w:space="0" w:color="auto"/>
                    <w:right w:val="none" w:sz="0" w:space="0" w:color="auto"/>
                  </w:divBdr>
                  <w:divsChild>
                    <w:div w:id="8256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1849">
          <w:marLeft w:val="0"/>
          <w:marRight w:val="0"/>
          <w:marTop w:val="240"/>
          <w:marBottom w:val="240"/>
          <w:divBdr>
            <w:top w:val="none" w:sz="0" w:space="0" w:color="auto"/>
            <w:left w:val="none" w:sz="0" w:space="0" w:color="auto"/>
            <w:bottom w:val="none" w:sz="0" w:space="0" w:color="auto"/>
            <w:right w:val="none" w:sz="0" w:space="0" w:color="auto"/>
          </w:divBdr>
          <w:divsChild>
            <w:div w:id="114757099">
              <w:marLeft w:val="0"/>
              <w:marRight w:val="0"/>
              <w:marTop w:val="0"/>
              <w:marBottom w:val="0"/>
              <w:divBdr>
                <w:top w:val="none" w:sz="0" w:space="0" w:color="auto"/>
                <w:left w:val="none" w:sz="0" w:space="0" w:color="auto"/>
                <w:bottom w:val="none" w:sz="0" w:space="0" w:color="auto"/>
                <w:right w:val="none" w:sz="0" w:space="0" w:color="auto"/>
              </w:divBdr>
              <w:divsChild>
                <w:div w:id="2122141034">
                  <w:marLeft w:val="0"/>
                  <w:marRight w:val="0"/>
                  <w:marTop w:val="0"/>
                  <w:marBottom w:val="0"/>
                  <w:divBdr>
                    <w:top w:val="none" w:sz="0" w:space="0" w:color="auto"/>
                    <w:left w:val="none" w:sz="0" w:space="0" w:color="auto"/>
                    <w:bottom w:val="none" w:sz="0" w:space="0" w:color="auto"/>
                    <w:right w:val="none" w:sz="0" w:space="0" w:color="auto"/>
                  </w:divBdr>
                  <w:divsChild>
                    <w:div w:id="14779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4732">
          <w:marLeft w:val="0"/>
          <w:marRight w:val="0"/>
          <w:marTop w:val="240"/>
          <w:marBottom w:val="240"/>
          <w:divBdr>
            <w:top w:val="none" w:sz="0" w:space="0" w:color="auto"/>
            <w:left w:val="none" w:sz="0" w:space="0" w:color="auto"/>
            <w:bottom w:val="none" w:sz="0" w:space="0" w:color="auto"/>
            <w:right w:val="none" w:sz="0" w:space="0" w:color="auto"/>
          </w:divBdr>
          <w:divsChild>
            <w:div w:id="1424568386">
              <w:marLeft w:val="0"/>
              <w:marRight w:val="0"/>
              <w:marTop w:val="0"/>
              <w:marBottom w:val="0"/>
              <w:divBdr>
                <w:top w:val="none" w:sz="0" w:space="0" w:color="auto"/>
                <w:left w:val="none" w:sz="0" w:space="0" w:color="auto"/>
                <w:bottom w:val="none" w:sz="0" w:space="0" w:color="auto"/>
                <w:right w:val="none" w:sz="0" w:space="0" w:color="auto"/>
              </w:divBdr>
              <w:divsChild>
                <w:div w:id="2127431853">
                  <w:marLeft w:val="0"/>
                  <w:marRight w:val="0"/>
                  <w:marTop w:val="0"/>
                  <w:marBottom w:val="0"/>
                  <w:divBdr>
                    <w:top w:val="none" w:sz="0" w:space="0" w:color="auto"/>
                    <w:left w:val="none" w:sz="0" w:space="0" w:color="auto"/>
                    <w:bottom w:val="none" w:sz="0" w:space="0" w:color="auto"/>
                    <w:right w:val="none" w:sz="0" w:space="0" w:color="auto"/>
                  </w:divBdr>
                  <w:divsChild>
                    <w:div w:id="14537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8106">
          <w:marLeft w:val="0"/>
          <w:marRight w:val="0"/>
          <w:marTop w:val="240"/>
          <w:marBottom w:val="240"/>
          <w:divBdr>
            <w:top w:val="none" w:sz="0" w:space="0" w:color="auto"/>
            <w:left w:val="none" w:sz="0" w:space="0" w:color="auto"/>
            <w:bottom w:val="none" w:sz="0" w:space="0" w:color="auto"/>
            <w:right w:val="none" w:sz="0" w:space="0" w:color="auto"/>
          </w:divBdr>
          <w:divsChild>
            <w:div w:id="387149360">
              <w:marLeft w:val="0"/>
              <w:marRight w:val="0"/>
              <w:marTop w:val="0"/>
              <w:marBottom w:val="0"/>
              <w:divBdr>
                <w:top w:val="none" w:sz="0" w:space="0" w:color="auto"/>
                <w:left w:val="none" w:sz="0" w:space="0" w:color="auto"/>
                <w:bottom w:val="none" w:sz="0" w:space="0" w:color="auto"/>
                <w:right w:val="none" w:sz="0" w:space="0" w:color="auto"/>
              </w:divBdr>
              <w:divsChild>
                <w:div w:id="1332950677">
                  <w:marLeft w:val="0"/>
                  <w:marRight w:val="0"/>
                  <w:marTop w:val="0"/>
                  <w:marBottom w:val="0"/>
                  <w:divBdr>
                    <w:top w:val="none" w:sz="0" w:space="0" w:color="auto"/>
                    <w:left w:val="none" w:sz="0" w:space="0" w:color="auto"/>
                    <w:bottom w:val="none" w:sz="0" w:space="0" w:color="auto"/>
                    <w:right w:val="none" w:sz="0" w:space="0" w:color="auto"/>
                  </w:divBdr>
                  <w:divsChild>
                    <w:div w:id="9578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7587">
          <w:marLeft w:val="0"/>
          <w:marRight w:val="0"/>
          <w:marTop w:val="240"/>
          <w:marBottom w:val="240"/>
          <w:divBdr>
            <w:top w:val="none" w:sz="0" w:space="0" w:color="auto"/>
            <w:left w:val="none" w:sz="0" w:space="0" w:color="auto"/>
            <w:bottom w:val="none" w:sz="0" w:space="0" w:color="auto"/>
            <w:right w:val="none" w:sz="0" w:space="0" w:color="auto"/>
          </w:divBdr>
          <w:divsChild>
            <w:div w:id="1604726930">
              <w:marLeft w:val="0"/>
              <w:marRight w:val="0"/>
              <w:marTop w:val="0"/>
              <w:marBottom w:val="0"/>
              <w:divBdr>
                <w:top w:val="none" w:sz="0" w:space="0" w:color="auto"/>
                <w:left w:val="none" w:sz="0" w:space="0" w:color="auto"/>
                <w:bottom w:val="none" w:sz="0" w:space="0" w:color="auto"/>
                <w:right w:val="none" w:sz="0" w:space="0" w:color="auto"/>
              </w:divBdr>
              <w:divsChild>
                <w:div w:id="1625648014">
                  <w:marLeft w:val="0"/>
                  <w:marRight w:val="0"/>
                  <w:marTop w:val="0"/>
                  <w:marBottom w:val="0"/>
                  <w:divBdr>
                    <w:top w:val="none" w:sz="0" w:space="0" w:color="auto"/>
                    <w:left w:val="none" w:sz="0" w:space="0" w:color="auto"/>
                    <w:bottom w:val="none" w:sz="0" w:space="0" w:color="auto"/>
                    <w:right w:val="none" w:sz="0" w:space="0" w:color="auto"/>
                  </w:divBdr>
                  <w:divsChild>
                    <w:div w:id="19009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287">
          <w:marLeft w:val="0"/>
          <w:marRight w:val="0"/>
          <w:marTop w:val="240"/>
          <w:marBottom w:val="240"/>
          <w:divBdr>
            <w:top w:val="none" w:sz="0" w:space="0" w:color="auto"/>
            <w:left w:val="none" w:sz="0" w:space="0" w:color="auto"/>
            <w:bottom w:val="none" w:sz="0" w:space="0" w:color="auto"/>
            <w:right w:val="none" w:sz="0" w:space="0" w:color="auto"/>
          </w:divBdr>
          <w:divsChild>
            <w:div w:id="452024239">
              <w:marLeft w:val="0"/>
              <w:marRight w:val="0"/>
              <w:marTop w:val="0"/>
              <w:marBottom w:val="0"/>
              <w:divBdr>
                <w:top w:val="none" w:sz="0" w:space="0" w:color="auto"/>
                <w:left w:val="none" w:sz="0" w:space="0" w:color="auto"/>
                <w:bottom w:val="none" w:sz="0" w:space="0" w:color="auto"/>
                <w:right w:val="none" w:sz="0" w:space="0" w:color="auto"/>
              </w:divBdr>
              <w:divsChild>
                <w:div w:id="356663975">
                  <w:marLeft w:val="0"/>
                  <w:marRight w:val="0"/>
                  <w:marTop w:val="0"/>
                  <w:marBottom w:val="0"/>
                  <w:divBdr>
                    <w:top w:val="none" w:sz="0" w:space="0" w:color="auto"/>
                    <w:left w:val="none" w:sz="0" w:space="0" w:color="auto"/>
                    <w:bottom w:val="none" w:sz="0" w:space="0" w:color="auto"/>
                    <w:right w:val="none" w:sz="0" w:space="0" w:color="auto"/>
                  </w:divBdr>
                  <w:divsChild>
                    <w:div w:id="3180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1108">
          <w:marLeft w:val="0"/>
          <w:marRight w:val="0"/>
          <w:marTop w:val="240"/>
          <w:marBottom w:val="240"/>
          <w:divBdr>
            <w:top w:val="none" w:sz="0" w:space="0" w:color="auto"/>
            <w:left w:val="none" w:sz="0" w:space="0" w:color="auto"/>
            <w:bottom w:val="none" w:sz="0" w:space="0" w:color="auto"/>
            <w:right w:val="none" w:sz="0" w:space="0" w:color="auto"/>
          </w:divBdr>
          <w:divsChild>
            <w:div w:id="313796854">
              <w:marLeft w:val="0"/>
              <w:marRight w:val="0"/>
              <w:marTop w:val="0"/>
              <w:marBottom w:val="0"/>
              <w:divBdr>
                <w:top w:val="none" w:sz="0" w:space="0" w:color="auto"/>
                <w:left w:val="none" w:sz="0" w:space="0" w:color="auto"/>
                <w:bottom w:val="none" w:sz="0" w:space="0" w:color="auto"/>
                <w:right w:val="none" w:sz="0" w:space="0" w:color="auto"/>
              </w:divBdr>
              <w:divsChild>
                <w:div w:id="1801802738">
                  <w:marLeft w:val="0"/>
                  <w:marRight w:val="0"/>
                  <w:marTop w:val="0"/>
                  <w:marBottom w:val="0"/>
                  <w:divBdr>
                    <w:top w:val="none" w:sz="0" w:space="0" w:color="auto"/>
                    <w:left w:val="none" w:sz="0" w:space="0" w:color="auto"/>
                    <w:bottom w:val="none" w:sz="0" w:space="0" w:color="auto"/>
                    <w:right w:val="none" w:sz="0" w:space="0" w:color="auto"/>
                  </w:divBdr>
                  <w:divsChild>
                    <w:div w:id="12598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5975">
          <w:marLeft w:val="0"/>
          <w:marRight w:val="0"/>
          <w:marTop w:val="240"/>
          <w:marBottom w:val="240"/>
          <w:divBdr>
            <w:top w:val="none" w:sz="0" w:space="0" w:color="auto"/>
            <w:left w:val="none" w:sz="0" w:space="0" w:color="auto"/>
            <w:bottom w:val="none" w:sz="0" w:space="0" w:color="auto"/>
            <w:right w:val="none" w:sz="0" w:space="0" w:color="auto"/>
          </w:divBdr>
          <w:divsChild>
            <w:div w:id="1466701639">
              <w:marLeft w:val="0"/>
              <w:marRight w:val="0"/>
              <w:marTop w:val="0"/>
              <w:marBottom w:val="0"/>
              <w:divBdr>
                <w:top w:val="none" w:sz="0" w:space="0" w:color="auto"/>
                <w:left w:val="none" w:sz="0" w:space="0" w:color="auto"/>
                <w:bottom w:val="none" w:sz="0" w:space="0" w:color="auto"/>
                <w:right w:val="none" w:sz="0" w:space="0" w:color="auto"/>
              </w:divBdr>
              <w:divsChild>
                <w:div w:id="799347132">
                  <w:marLeft w:val="0"/>
                  <w:marRight w:val="0"/>
                  <w:marTop w:val="0"/>
                  <w:marBottom w:val="0"/>
                  <w:divBdr>
                    <w:top w:val="none" w:sz="0" w:space="0" w:color="auto"/>
                    <w:left w:val="none" w:sz="0" w:space="0" w:color="auto"/>
                    <w:bottom w:val="none" w:sz="0" w:space="0" w:color="auto"/>
                    <w:right w:val="none" w:sz="0" w:space="0" w:color="auto"/>
                  </w:divBdr>
                  <w:divsChild>
                    <w:div w:id="12787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2977</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2024-09-20T06:11:00Z</dcterms:created>
  <dcterms:modified xsi:type="dcterms:W3CDTF">2024-09-20T06:12:00Z</dcterms:modified>
</cp:coreProperties>
</file>