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16117" w:type="dxa"/>
        <w:tblLayout w:type="fixed"/>
        <w:tblLook w:val="01E0" w:firstRow="1" w:lastRow="1" w:firstColumn="1" w:lastColumn="1" w:noHBand="0" w:noVBand="0"/>
      </w:tblPr>
      <w:tblGrid>
        <w:gridCol w:w="2160"/>
        <w:gridCol w:w="1440"/>
        <w:gridCol w:w="1265"/>
        <w:gridCol w:w="1265"/>
        <w:gridCol w:w="1265"/>
        <w:gridCol w:w="720"/>
        <w:gridCol w:w="720"/>
        <w:gridCol w:w="720"/>
        <w:gridCol w:w="2160"/>
        <w:gridCol w:w="1440"/>
        <w:gridCol w:w="1265"/>
        <w:gridCol w:w="432"/>
        <w:gridCol w:w="1265"/>
      </w:tblGrid>
      <w:tr w:rsidR="007E46BB">
        <w:trPr>
          <w:trHeight w:val="230"/>
          <w:tblHeader/>
        </w:trPr>
        <w:tc>
          <w:tcPr>
            <w:tcW w:w="16117" w:type="dxa"/>
            <w:gridSpan w:val="1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Overlap w:val="never"/>
              <w:tblW w:w="16117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117"/>
            </w:tblGrid>
            <w:tr w:rsidR="007E46BB">
              <w:tc>
                <w:tcPr>
                  <w:tcW w:w="16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B46B0E">
                  <w:bookmarkStart w:id="0" w:name="__bookmark_1"/>
                  <w:bookmarkStart w:id="1" w:name="__bookmark_2"/>
                  <w:bookmarkStart w:id="2" w:name="_GoBack"/>
                  <w:bookmarkEnd w:id="0"/>
                  <w:bookmarkEnd w:id="1"/>
                  <w:bookmarkEnd w:id="2"/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</w:rPr>
                    <w:t>Plan integriteta</w:t>
                  </w:r>
                </w:p>
              </w:tc>
            </w:tr>
          </w:tbl>
          <w:p w:rsidR="007E46BB" w:rsidRDefault="007E46BB">
            <w:pPr>
              <w:spacing w:line="1" w:lineRule="auto"/>
            </w:pPr>
          </w:p>
        </w:tc>
      </w:tr>
      <w:bookmarkStart w:id="3" w:name="_TocFond_za_obeštećenje"/>
      <w:bookmarkEnd w:id="3"/>
      <w:tr w:rsidR="007E46BB">
        <w:trPr>
          <w:trHeight w:val="243"/>
        </w:trPr>
        <w:tc>
          <w:tcPr>
            <w:tcW w:w="16117" w:type="dxa"/>
            <w:gridSpan w:val="1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7E46BB">
            <w:pPr>
              <w:rPr>
                <w:vanish/>
              </w:rPr>
            </w:pPr>
            <w:r>
              <w:fldChar w:fldCharType="begin"/>
            </w:r>
            <w:r w:rsidR="00B46B0E">
              <w:instrText xml:space="preserve"> TC "Fond za obeštećenje" \f C \l "1"</w:instrText>
            </w:r>
            <w:r>
              <w:fldChar w:fldCharType="end"/>
            </w:r>
          </w:p>
          <w:p w:rsidR="007E46BB" w:rsidRDefault="00B46B0E">
            <w:pPr>
              <w:rPr>
                <w:rFonts w:ascii="DejaVu Sans" w:eastAsia="DejaVu Sans" w:hAnsi="DejaVu Sans" w:cs="DejaVu Sans"/>
                <w:color w:val="000000"/>
              </w:rPr>
            </w:pPr>
            <w:r>
              <w:rPr>
                <w:rFonts w:ascii="DejaVu Sans" w:eastAsia="DejaVu Sans" w:hAnsi="DejaVu Sans" w:cs="DejaVu Sans"/>
                <w:color w:val="000000"/>
              </w:rPr>
              <w:t>Fond za obeštećenje</w:t>
            </w:r>
          </w:p>
        </w:tc>
      </w:tr>
      <w:tr w:rsidR="007E46BB">
        <w:trPr>
          <w:trHeight w:val="194"/>
        </w:trPr>
        <w:tc>
          <w:tcPr>
            <w:tcW w:w="486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REGISTAR RIZIKA</w:t>
            </w:r>
          </w:p>
        </w:tc>
        <w:tc>
          <w:tcPr>
            <w:tcW w:w="4690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PROCJENA I MJERENJE RIZIKA</w:t>
            </w:r>
          </w:p>
        </w:tc>
        <w:tc>
          <w:tcPr>
            <w:tcW w:w="486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REAGOVANJE NA RIZIK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46BB" w:rsidRDefault="00B46B0E">
            <w:pP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PREGLED I IZVJEŠTAVANJE O RIZICIMA</w:t>
            </w:r>
          </w:p>
        </w:tc>
      </w:tr>
      <w:tr w:rsidR="007E46BB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Oblasti rizika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Radna mjesta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Osnovni rizici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Postojeće mjere kontrole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Preostali rizici (rezidualni)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Vjer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  <w:t>ova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Pos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  <w:t>ljed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Proc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  <w:t>jen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Predložene mjere za smanjenje/otklanjanje rizika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Odgovorna osoba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Rok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St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  <w:t>at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Kratak opis i ocjena realizacije mjere</w:t>
            </w:r>
          </w:p>
        </w:tc>
      </w:tr>
      <w:tr w:rsidR="007E46BB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1.1 Rukovođenje i upravljanje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direktor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načelnik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čl upravnog odbora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Zloupotreba službenih podataka i informacija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Naru integriteta institucije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Sukob interesa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Neadek strateško planiranje rada institucije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Nepo jasne strategije upravljanja, misije i vizije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Odstupanj u sprovođenju strategije razvoja institucije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Široka dis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kreciona ovlašćenja u donošenju akata i odluka koje se odnose na rukovođenje i upravljanje institucijom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 lobiranje ili drugi nejavni uticaj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Narušavan principa transparentnosti povjerenja građana u rad službenika i institucije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Dono nezakonitih odluka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Nedoku procedura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Zakoni i podzakonska akta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Interna akta institucije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Etički kodeks državnih službenika i namještenika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P izvještaja Vladi Crne Gore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Statut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Donošenje odluka pod eksternim uticajem, suprotno javnom interesu zbog nepostojanja jasnih prop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isa za korišćenje diskreconih ovlašćenja.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Prim sponzorstava i donacija suprotno odredbama Zakona o sprečavanju korupcije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Nepoš zakonske obaveze evidentiranja primljenih sponzorstava i donacija i njihove vrijednosti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nead kreiranje politike razvoja i upravlj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anja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Kršen pravila prilikom donošenja odluka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Negativn ocjena javnog mnjenja i gubitak povjerenja u rad institucije zbog nedovoljne transparentnost i informisanosti javnosti o radu institucije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Nedov jasna podjela  i razgraničenja sistema kontrole i vršenja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ovlašćenja zbog velike koncentracije zadataka na samo jednoj osobi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7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14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4" w:name="__bookmark_3"/>
                  <w:bookmarkEnd w:id="4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Puna transparentnost u procedurama odlučivanja u oblastima iz nadležnosti institucije.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načelnik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čl upravnog odbora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B46B0E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Upoznavanje sa novim antikorupcijskim propisima.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članovi upravnog odbora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Osigurati učešće svih relevantnih subjekata prilikom kreiranja politike razvoja i upravljanja.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članovi upravnog odbora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Vođenje zapisnika na sjednicama Upravnog odbora i čuvanje kompledne dokumentacije sa usvojenim odlukama.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članovi upravnog odbora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Omogućiti dostupnost i preglednost bitnih dokumennata na internet stranici institucije 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Nakon što su isti usvojeni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Upoznavanje sa odredbama zakona o lobiranju.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</w:tbl>
          <w:p w:rsidR="007E46BB" w:rsidRDefault="007E46BB">
            <w:pPr>
              <w:spacing w:line="1" w:lineRule="auto"/>
            </w:pPr>
          </w:p>
        </w:tc>
      </w:tr>
      <w:tr w:rsidR="007E46BB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lastRenderedPageBreak/>
              <w:t>2.1 Kadrovska politika, etično i profesionalno ponašanje zaposlenih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direktor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ostali zaposleni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članovi upravnog odbora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Primanje nedozvoljenih poklona ili druge nedozvoljene koristi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Zakoni i podzakonska akta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Zakon o sprječavanju korupcije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Etički kodeks državnih službenika i namještenika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Zaposleni nijesu upoznati sa propisima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priman poklona suproptno odredbama zakona o sprečavanju korupcije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Nepoš zakonske obaveze evidentiranja primljenih poklona i njihove vrijednosti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7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21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5" w:name="__bookmark_4"/>
                  <w:bookmarkEnd w:id="5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Vršiti redovnu kontrolu evidencije o primljenim poklonima.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načelnik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B46B0E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Voditi evidenciju poklona na propisanom obrascu 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načelnik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Dostaviti Agenciji za sprečavanje korupcije izvod iz evidencije poklona na propisanom obrascu 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načelnik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u zakonskom roku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Službenike edukovati i upoznavati u kontinuitetu sa obavezom prijavljivanja svih poklona a neposrednog rukovodioca obavezati da ažurno vodi evidenciju o primljenim poklonima i izvještavaju direktora.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načelnik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</w:tbl>
          <w:p w:rsidR="007E46BB" w:rsidRDefault="007E46BB">
            <w:pPr>
              <w:spacing w:line="1" w:lineRule="auto"/>
            </w:pPr>
          </w:p>
        </w:tc>
      </w:tr>
      <w:tr w:rsidR="007E46BB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2.2 Kadrovska politika, etično i profesionalno ponašanje zaposlenih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direktor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Narušavanje principa transparentnost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Zakon o sprječavanju korupcije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Neblagovremen i nepotpuno dostavljanje izvještaja o imovini i prihodima javnih funkcionera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7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21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6" w:name="__bookmark_5"/>
                  <w:bookmarkEnd w:id="6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Redovno dostavljati izvještaje o imovini i prihodima javnih funkcionera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 u zakonskim rokovima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B46B0E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</w:tbl>
          <w:p w:rsidR="007E46BB" w:rsidRDefault="007E46BB">
            <w:pPr>
              <w:spacing w:line="1" w:lineRule="auto"/>
            </w:pPr>
          </w:p>
        </w:tc>
      </w:tr>
      <w:tr w:rsidR="007E46BB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2.3 Kadrovska politika, etično i profesionalno ponašanje zaposlenih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direktor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Nedozvoljeno lobiranje ili drugi nejavni uticaj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Narušavan principa transparentnost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Zakoni i podzakonska akta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Veliki i/ili nekontrolisan prostor donošenja diskrecionih odluka prilikom donošenja prerasporednih rješenja, odluka o varijabilnom dijelu zarade i drugih odluka od značaja za rad edukaciju, usavr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šavanje i  materijalni status zaposlenih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7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21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7" w:name="__bookmark_6"/>
                  <w:bookmarkEnd w:id="7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Objavljivanje svih odluka od značaja za rad, edukaciju, usavršavanje i materijalni status zaposlenih na oglasnoj tabli institucije zbog povećanja transparentnosti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načelnik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nakon usvajanja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B46B0E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</w:tbl>
          <w:p w:rsidR="007E46BB" w:rsidRDefault="007E46BB">
            <w:pPr>
              <w:spacing w:line="1" w:lineRule="auto"/>
            </w:pPr>
          </w:p>
        </w:tc>
      </w:tr>
      <w:tr w:rsidR="007E46BB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2.4 Kadrovska politika, etično i profesionalno ponašanje zaposlenih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direktor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načelnik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svi zaposleni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odgovor lice za prijem i postupanje po prijavi zviždača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Neprijavljivanje korupcije i drugih nezakonitih radnji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Zakoni i podzakonska akta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Zakon o sprječ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avanju korupcije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Neadekvatno postupanje po prijavi zviždača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Naruša zaštite identiteta i prava zviždača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7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28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8" w:name="__bookmark_7"/>
                  <w:bookmarkEnd w:id="8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Obezbjediti zaštitu zviždača od svih oblika diskriminacije i ograničavanja i uskraćivanja prava zviždača.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odgovorno lice za prijem i postupanje po prijavi zviždača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B46B0E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Obavještavati zviždače o mjerama koje su preduzete po njihovoj prijavi.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odgovorno lice za prijem i postupanje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lastRenderedPageBreak/>
                    <w:t>po prijavi zviždača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lastRenderedPageBreak/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Postupati po preporukama Agencije za sprečavanje korupcije( u slučajevima kad agencija sprovodi postupak po prijavi) i izvještavati Agenciju o preduzetim radnjama.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hitno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Sprovoditi kontinuirano edukaciju zaposlenih o mehanizmima prijavljivanja korupcije i drugih nezakonitih radnji kroz zvanične programe i unutar institucije prema ciljnim grupama, posebno prema službenicima koji pokrivaju rizične grupe poslova i nastaviti 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dukaciju na kolegijumima  o temi integriteta i prevencije korupcije kao jednoj od obaveznih tačaka dnevnog reda.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načelnik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</w:tbl>
          <w:p w:rsidR="007E46BB" w:rsidRDefault="007E46BB">
            <w:pPr>
              <w:spacing w:line="1" w:lineRule="auto"/>
            </w:pPr>
          </w:p>
        </w:tc>
      </w:tr>
      <w:tr w:rsidR="007E46BB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lastRenderedPageBreak/>
              <w:t>2.5 Kadrovska politika, etično i profesionalno ponašanje zaposlenih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direktor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načelnik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svi zaposleni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Neblagovremen i neažurno obavljanje povjerenih poslova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Nestruč i neprofesionalan rad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Zakoni i podzakonska akta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Eksterna revizija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Etički kodeks državnih službenika i namještenika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O i seminari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Nedovoljni kadrovski kapaciteti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8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24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9" w:name="__bookmark_8"/>
                  <w:bookmarkEnd w:id="9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Puno sprovođenje obaveze o opštem i posebnom programu obuka za sve zaposlene.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načelnik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B46B0E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Edukativi seminari za zaposlene u  oblastima u kojima su usvojeni novi propisi ili izmijenjene dosadašnje procedure.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načelnik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Sprovoditi u kontinuitetu obuke zaposlenih o etici i integritetu.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načelnik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</w:tbl>
          <w:p w:rsidR="007E46BB" w:rsidRDefault="007E46BB">
            <w:pPr>
              <w:spacing w:line="1" w:lineRule="auto"/>
            </w:pPr>
          </w:p>
        </w:tc>
      </w:tr>
      <w:tr w:rsidR="007E46BB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3.1 Planiranje i upravljanje finansijama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direktor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službenik za finansijsko poslovanje izdavanje i realizaciju obveznica i bužet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Zloupotreba finansijskih ovlašćenja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Nea planiranje i izvršavanje budžeta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Zakoni i pravilnici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Ekster revizija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Edukacija o sistemu unutrašnjih finansijskih kontrola u javnom sektoru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Zakon o budžetu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Obavez sastavljanja izvještaja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Neadekvatno planiran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 xml:space="preserve">je bužeta.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Neblagovremen  naplata prihoda Fonda za obeštećenje utvrđenih shodno članu 44 Zakona o povraćaju oduzetih imovinskih prava i obeštećenju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7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21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10" w:name="__bookmark_9"/>
                  <w:bookmarkEnd w:id="10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Osigurati učešće svih relevantnih subjekata i jedinica prilikom planiranja budžeta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službenik za finansijsko poslovanje izdavanje i realizaciju obveznica i bužet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B46B0E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Pohađati relevantne obuke i seminare na temu planiranja budžeta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službenik za finansijsko poslovanje izdavanje i realizaciju obveznica i bužet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lastRenderedPageBreak/>
                    <w:t>Voditi evidenciju prihoda Fonda za obeštećenje i blagovremeno naplaćivati sve dospjele obaveze shodno članu 44 zakona o povraćaju oduzetih imovinskih prava i obeštećenju.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Redovno sprovođenje unutrašnjih finansijskih kontrola i postupatnje po preporukama iz izvještaja o izvršenoj reviziji.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službenik za finansijsko poslovanje izdavanje i realizaciju obveznica i bužet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</w:tbl>
          <w:p w:rsidR="007E46BB" w:rsidRDefault="007E46BB">
            <w:pPr>
              <w:spacing w:line="1" w:lineRule="auto"/>
            </w:pPr>
          </w:p>
        </w:tc>
      </w:tr>
      <w:tr w:rsidR="007E46BB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lastRenderedPageBreak/>
              <w:t>3.2 Planiranje i upravljanje finansijama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direktor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službenik za javne nabavke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Prekoračenje i zloupotreba službenih nadležnosti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 sprovođenje postupaka javnih nabavki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Zakoni i podzakonska akta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Obaveza sastavljanja izvještaja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Plan javnih nabavki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Ugov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or o javnoj nabavci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Odstupanje od realizacije aktivnosti predviđenih ugovorima o javnoj nabavci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6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18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11" w:name="__bookmark_10"/>
                  <w:bookmarkEnd w:id="11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Izvještavanje o realizaciji ugovora  javnim nabavkama.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službenik za javne nabavke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polugodišnje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B46B0E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Dostavljanje godišnjih izvještaja Upravi za javne nabavke o sprovedenim javnim nabavkama i zaključenim ugovorima kao i dostavljenje polugodišnjih izvještaja o sprovedenim postupcima jednostavnih nabavki.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službenik za javne nabavke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Svake godine za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 postupke sprovedene u prethodnoj godini 31.01.2027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</w:tbl>
          <w:p w:rsidR="007E46BB" w:rsidRDefault="007E46BB">
            <w:pPr>
              <w:spacing w:line="1" w:lineRule="auto"/>
            </w:pPr>
          </w:p>
        </w:tc>
      </w:tr>
      <w:tr w:rsidR="007E46BB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3.3 Planiranje i upravljanje finansijama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direktor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službenik za javne nabavke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Nedozvoljeno lobiranje ili drugi nejavni uticaj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Narušavan principa transparentnost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Zakoni i podzakonska akta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Pravilnici i uputstva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Portal javnih nabavki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Nedovoljna transpsrentnost javnih nabavki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12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12" w:name="__bookmark_11"/>
                  <w:bookmarkEnd w:id="12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Objavljivati ugovore i sve anekse ugovora na internet stranici i portalu javnih nabavki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Objavljivati pozive za učešće u postupcima javnih nabavki i druge dokumente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službenik za javne nabavke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B46B0E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Objavljivati pozive za učešće u postupcima javnih nabavki i druge dokumente.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službenik za javne nabavke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</w:tbl>
          <w:p w:rsidR="007E46BB" w:rsidRDefault="007E46BB">
            <w:pPr>
              <w:spacing w:line="1" w:lineRule="auto"/>
            </w:pPr>
          </w:p>
        </w:tc>
      </w:tr>
      <w:tr w:rsidR="007E46BB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3.4 Planiranje i upravljanje finansijama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direktor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službenik za javne nabavke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članovi komisije za otvaranje i vrednovanje ponuda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Iskorišćavanje javne funkcije ili službenog položaja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Nepravi i narušavanje integriteta u postupcima javnih nabavki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Sukob interesa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Donoše nezakonitih odluka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Zakoni i podzakonska akta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Zakoni i pravilnici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Interna akta institucije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Inspe kontrola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Verifikac od strane kolega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lastRenderedPageBreak/>
              <w:t>Mogućno ulaganja žalbi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Obaveza sastavljanja izvještaja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lastRenderedPageBreak/>
              <w:t xml:space="preserve">Postoji mogućnost davanja prednosti određenoj firmi kroz neobjektivno bodovanje pristiglih ponuda zbog prijateljskih i rođačkih veza (klijentelizam, nepotizam, kronizam) ili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lastRenderedPageBreak/>
              <w:t>sukoba interesa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lastRenderedPageBreak/>
              <w:t>1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8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8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13" w:name="__bookmark_12"/>
                  <w:bookmarkEnd w:id="13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Unijeti antikorupcijsku klauzulu u sve ugovore o javnim nabavkama.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službenik za javne nabavke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sastavni dio ugovora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B46B0E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Provjera izjava o nepostojanju sukoba interesa članova tenderskih komisija i službenika za javne nabavke 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službenik za javne nabavke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danom potpisivanja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</w:tbl>
          <w:p w:rsidR="007E46BB" w:rsidRDefault="007E46BB">
            <w:pPr>
              <w:spacing w:line="1" w:lineRule="auto"/>
            </w:pPr>
          </w:p>
        </w:tc>
      </w:tr>
      <w:tr w:rsidR="007E46BB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3.5 Planiranje i upravljanje finansijama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direktor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službenici koji pripremaju tehničke specifikacije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Iskorišćavanje javne funkcije ili službenog položaja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Zakoni i podzakonska akta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Inspekcijsk kontrola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Etički kodeks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Mogućn ulaganja žalbi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Davanje prednosti određenom ponuđaču u procesu javne nabavke, na način da se tehnička specifikacija prilagođava za određenu firmu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7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28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14" w:name="__bookmark_13"/>
                  <w:bookmarkEnd w:id="14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Obavezno uključivanje po jednog eksperta iz oblasti na koju se odnosi konkretna javna nabavka u sastav komisije  za otvaranje i vrednovanje ponuda.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danom imenovanja komisije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B46B0E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</w:tbl>
          <w:p w:rsidR="007E46BB" w:rsidRDefault="007E46BB">
            <w:pPr>
              <w:spacing w:line="1" w:lineRule="auto"/>
            </w:pPr>
          </w:p>
        </w:tc>
      </w:tr>
      <w:tr w:rsidR="007E46BB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4.1 Čuvanje i bezbjednost podataka i dokumenata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svi zaposleni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Curenje informacija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Nead mehanizmi formalne i faktičke zaštite podataka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Ugrož zaštite podataka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Interna kontrola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Pojačan stručni nadzor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Mjere tehničkog i fizičkog obezbjeđenja prostorija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Knjiga procedura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Nedovoljna IT bezbjednost podataka kao i njih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ovo korišćenje za privatne svrhe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Neadekva postupanje sa službenom dokumentacijo i informacijama zbog nedovoljnih mjera fizičke bezbjednosti i tehničke sigurnosti.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8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24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15" w:name="__bookmark_14"/>
                  <w:bookmarkEnd w:id="15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Svake godine obnavljati licencu za podršku za posebni IT sistem po principu Data Menagament za elektronsku bazu podataka – dokumenata u posjedu institucije 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načelnik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 za finansijsko poslovanje izdavanje i realizaciju obveznica i bužet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B46B0E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Obezbijediti kontinuirani stručni nadzor nad podacima.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 vršiti obuku zaposleneih o bezbjednom rukovanju podacima u elektronskoj formi.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službenik za finansijsko poslovanje izdavanje i realizaciju obveznica i bužet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 vršiti analizu da li su mjere fizičke i tehničke bezbjednosti efikasne i primjenjive.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</w:tbl>
          <w:p w:rsidR="007E46BB" w:rsidRDefault="007E46BB">
            <w:pPr>
              <w:spacing w:line="1" w:lineRule="auto"/>
            </w:pPr>
          </w:p>
        </w:tc>
      </w:tr>
      <w:tr w:rsidR="007E46BB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4.2 Čuvanje i bezbjednost podataka i dokumenata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arhivar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Neblagovremeni prijem, dostavljanje i otpremanje pismena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Neure vođenje arhive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Nedokum procedura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Interna akta institucije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Edukac procedura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 xml:space="preserve">Neadekvatan ili neefikasan sistem kontrole nad prijemom i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razvrstavanjem dokumentacije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15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16" w:name="__bookmark_15"/>
                  <w:bookmarkEnd w:id="16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Vršiti redovne kontrole  kroz upisnik e i internu dostavnu knjigu nad prijemom i razvrstavanjem dokumentacije u cilju sprečavanja gubljenja, oštećenja ili neevidentiranja dokumentacije.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načelnik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arhivar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B46B0E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</w:tbl>
          <w:p w:rsidR="007E46BB" w:rsidRDefault="007E46BB">
            <w:pPr>
              <w:spacing w:line="1" w:lineRule="auto"/>
            </w:pPr>
          </w:p>
        </w:tc>
      </w:tr>
      <w:tr w:rsidR="007E46BB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4.3 Čuvanje i bezbjednost podataka i dokumenata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direktor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službenik za finansijsko poslovanje izdavanje i realizaciju obveznica i bužet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Neadekvatno postupanje sa povjerljivim i ličnim podacima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Zloup finansijskih ovlašćenja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 xml:space="preserve">Neb i netačan unos podataka u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lastRenderedPageBreak/>
              <w:t>informacioni sistem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lastRenderedPageBreak/>
              <w:t>Interna akta institucije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Ekste revizija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Zakon o sistemu unutrašnjih finansijskih kontrola u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lastRenderedPageBreak/>
              <w:t>javnom sektoru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Zakon o budžetu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Obavez sastavljanja izvještaja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Knjiga procedura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lastRenderedPageBreak/>
              <w:t xml:space="preserve">Mogućnost da zbog velike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 xml:space="preserve">koncentracije posla na jednoj osobi dođe do greške prilikom unosa podataka ili postupanja po zahtjevima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lastRenderedPageBreak/>
              <w:t>zainetesovanih lica.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lastRenderedPageBreak/>
              <w:t>4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7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28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17" w:name="__bookmark_16"/>
                  <w:bookmarkEnd w:id="17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Obezbijediti kontinuiran stručni nadzor i verifikaciju od strane starješine organa.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Samostalni svjetnik I -  službenik za finansijsko poslovanje, izdavanje i realizaciju obveznica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lastRenderedPageBreak/>
                    <w:t>i bužet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lastRenderedPageBreak/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B46B0E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Uz softversko unapređenje IT sistema evidencije i obrade podataka omogućiti jednostavni unos i obradu podataka kao i brže postupanje po zahtjevima zainteresovanih lica.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službenik za finansijsko poslovanje izdavanje i realizaciju obveznica i bužet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 u skladu sa tehnološkim mogućnostima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</w:tbl>
          <w:p w:rsidR="007E46BB" w:rsidRDefault="007E46BB">
            <w:pPr>
              <w:spacing w:line="1" w:lineRule="auto"/>
            </w:pPr>
          </w:p>
        </w:tc>
      </w:tr>
      <w:tr w:rsidR="007E46BB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lastRenderedPageBreak/>
              <w:t>5.1 Slobodan pristup informacijama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načelnik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službenik za slobodan pristup informacijama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Povrede profesionalnih, etičkih pravila i pristrasno ponašanje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Neb postupanje po zahtjevima za slobodan pristup informacijama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Etički kodeks državnih službenika i namještenika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Ed o slobodnom pristupu informacijama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Neosnovano uskraćivanje podnosiocu zahtjeva pristup informaciji, neobavještavan podnosioca zahtjeva o rj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ešavanju zahtjeva.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6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18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18" w:name="__bookmark_17"/>
                  <w:bookmarkEnd w:id="18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Voditi evidenciju o broju podnijetih i riješenih  zahtjeva za pristup informacijama i isti unijeti u godišnji izvještaj o radu koji se podnosi Vladi Crne Gore.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službenik za slobodan pristup informacijama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Do kraja marta dostaviti izvještaj o radu Vladi Crne Gore 31.03.2027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B46B0E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Redovno ažurirati objavljeni vodič za slobodan pristup informacijama na internet stranici Fonda za obeštećenje.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službenik za slobodan pristup informacijama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Prvog januara svake godine i u kontinuitetu ako postoji potreba. 01.01.2027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</w:tbl>
          <w:p w:rsidR="007E46BB" w:rsidRDefault="007E46BB">
            <w:pPr>
              <w:spacing w:line="1" w:lineRule="auto"/>
            </w:pPr>
          </w:p>
        </w:tc>
      </w:tr>
      <w:tr w:rsidR="007E46BB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5.2 Slobodan pristup informacijama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direktor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službenik za slobodan pristup informacijama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Narušavanje principa transparentnosti povjerenja građana u rad službenika i institucije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Etički kodeks državnih službenika i namještenika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Z o slobodnom pristupu informacijama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Z o zaštiti podataka o ličnosti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Neobjavljivanje dokumenata shodno zakonu o slo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bodnom pristupu informacijama, kao i ostalih informacija od zančaja za građane.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6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24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19" w:name="__bookmark_18"/>
                  <w:bookmarkEnd w:id="19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Redovno objavljivati i ažurirati propise koji regulišu rad Fonda za obeštećenje, odluke o isplati godišnje rate obeštećenja kao i sve informacije od značaja za korisnike prava na obeštećenje.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službenik za slobodan pristup informacijama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Obavezno p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etnaestog jula svake godine i zavisno od potreba i tokom god 15.07.2027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B46B0E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Redovno ažurirati objavljeni vodič za slobodan pristup informacijama na internet stranici.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službenik za slobodan pristup informacijama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U kontinuitetu zavisno od potreba i izmjena koje je neophodno unijeti. 01.01.2027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</w:tbl>
          <w:p w:rsidR="007E46BB" w:rsidRDefault="007E46BB">
            <w:pPr>
              <w:spacing w:line="1" w:lineRule="auto"/>
            </w:pPr>
          </w:p>
        </w:tc>
      </w:tr>
      <w:tr w:rsidR="007E46BB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6.1 Ispunjavanje obaveza iz nadležnosti Fonda za obeštećenje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načelnik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samostaln savjetnik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službenik za finansijsko poslovanje izdavanje i realizaciju obveznica i bužet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Nedovoljna stručnost kadrova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Nedosta kadra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Neadekva zastupanje interesa institucije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Obuke i seminari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Podjela radnih zadataka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Izvješta o radu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Podnošenj izvještaja Vladi Cr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 Gore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Nedovoljni kadrovski kapaciteti 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6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24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20" w:name="__bookmark_19"/>
                  <w:bookmarkEnd w:id="20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Praćenje sprovođenja svih aktivnosti od strane neposrednog rukovodioca i starješne organa.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načelnik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B46B0E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Angažovanje stručnih lica - konsultanata u postupcima koji se vode pred komisijama za povraćaj i obeštećenje u cilju proaktvnog pristupa u zaštiti interesa Fonda za obeštećenje u postpcima koji su u toku.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lastRenderedPageBreak/>
                    <w:t>Upotreba informatičkog sistema prilikom provjere nalaza i procjene vrijednosti imovine čiji se povraćaj traži.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načelnik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</w:tbl>
          <w:p w:rsidR="007E46BB" w:rsidRDefault="007E46BB">
            <w:pPr>
              <w:spacing w:line="1" w:lineRule="auto"/>
            </w:pPr>
          </w:p>
        </w:tc>
      </w:tr>
      <w:tr w:rsidR="007E46BB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lastRenderedPageBreak/>
              <w:t>7.1 Isplata obeštećenja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direktor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službenik za finansijsko poslovanje izdavanje i realizaciju obveznica i bužet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Odsustvo informacione bezbjednosti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 i neažurno obavljanje povjerenih poslova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Nedosta kadra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Zloupotre finansijskih ovlašćenja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Neef sistem računovodstven evidencije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Ned procedura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Eksterna revizija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Zakon o budžetu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Podno izvještaja Vladi Crne Gore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Godišnji plan rada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Plan unapređenja rada u odnosu na preporuke DRI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Uredba o isplati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Zakon o povraćaju oduzetih imovinskih prava i obeštećenju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 xml:space="preserve">Ne izvršavanje zakonske obaveze  od strane obveznika - lokalnih samouprava i drugih subjekata u dijelu koji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se odnosi na obezbjeđenje sredstava za obeštećenje bivših vlasnika  shodno članu 44 Zakona o povraćaju oduzetih imovinskih prava i obeštećenju.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10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6BB" w:rsidRDefault="00B46B0E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40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21" w:name="__bookmark_20"/>
                  <w:bookmarkEnd w:id="21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Vršiti ažurnu i pravovremenu naplatu potraživanja od prihoda ostvarenih prodajom državne imovine koje Fond za obeštećenje ima prema lokalnim samoupravama shodno članu 44 Zakona o povraćaju oduzetih imovinskih prava i obeštećenju.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B46B0E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  <w:tr w:rsidR="007E46BB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Shodno preporukama Državne revizorske institucije (DRI), potrebno je nastaviti sa mjerama preduzetim, kojima se poboljšala naplata navedenih prihoda i kojima Ministarstvo finansija u saglasnosti za prodaju opštinske imovine, koje daje lokalnim samoupravama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, obavezuje iste da postupaju u skladu sa čl. 44 Zakona o povraćaju oduzetih imovinskih prava i obeštećenju tako što će od prihoda od prodaje imovine pravovremeno uplaćivati propisani iznos Fondu za obeštećenje.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7E46BB" w:rsidRDefault="00B46B0E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 u toku cijele godine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7E46BB" w:rsidRDefault="007E46B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7E46BB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E46BB" w:rsidRDefault="007E46BB"/>
                      <w:p w:rsidR="007E46BB" w:rsidRDefault="007E46BB"/>
                    </w:tc>
                  </w:tr>
                </w:tbl>
                <w:p w:rsidR="007E46BB" w:rsidRDefault="007E46BB">
                  <w:pPr>
                    <w:spacing w:line="1" w:lineRule="auto"/>
                  </w:pPr>
                </w:p>
              </w:tc>
            </w:tr>
          </w:tbl>
          <w:p w:rsidR="007E46BB" w:rsidRDefault="007E46BB">
            <w:pPr>
              <w:spacing w:line="1" w:lineRule="auto"/>
            </w:pPr>
          </w:p>
        </w:tc>
      </w:tr>
    </w:tbl>
    <w:p w:rsidR="00B46B0E" w:rsidRDefault="00B46B0E"/>
    <w:sectPr w:rsidR="00B46B0E" w:rsidSect="007E46BB">
      <w:headerReference w:type="default" r:id="rId6"/>
      <w:footerReference w:type="default" r:id="rId7"/>
      <w:pgSz w:w="16837" w:h="11905" w:orient="landscape"/>
      <w:pgMar w:top="360" w:right="360" w:bottom="360" w:left="360" w:header="36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6B0E" w:rsidRDefault="00B46B0E" w:rsidP="007E46BB">
      <w:r>
        <w:separator/>
      </w:r>
    </w:p>
  </w:endnote>
  <w:endnote w:type="continuationSeparator" w:id="0">
    <w:p w:rsidR="00B46B0E" w:rsidRDefault="00B46B0E" w:rsidP="007E4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6332" w:type="dxa"/>
      <w:tblLayout w:type="fixed"/>
      <w:tblLook w:val="01E0" w:firstRow="1" w:lastRow="1" w:firstColumn="1" w:lastColumn="1" w:noHBand="0" w:noVBand="0"/>
    </w:tblPr>
    <w:tblGrid>
      <w:gridCol w:w="16332"/>
    </w:tblGrid>
    <w:tr w:rsidR="007E46BB">
      <w:trPr>
        <w:trHeight w:val="216"/>
        <w:hidden/>
      </w:trPr>
      <w:tc>
        <w:tcPr>
          <w:tcW w:w="16332" w:type="dxa"/>
        </w:tcPr>
        <w:p w:rsidR="007E46BB" w:rsidRDefault="007E46BB">
          <w:pPr>
            <w:rPr>
              <w:vanish/>
            </w:rPr>
          </w:pPr>
        </w:p>
        <w:tbl>
          <w:tblPr>
            <w:tblOverlap w:val="never"/>
            <w:tblW w:w="16117" w:type="dxa"/>
            <w:tblLayout w:type="fixed"/>
            <w:tblLook w:val="01E0" w:firstRow="1" w:lastRow="1" w:firstColumn="1" w:lastColumn="1" w:noHBand="0" w:noVBand="0"/>
          </w:tblPr>
          <w:tblGrid>
            <w:gridCol w:w="7842"/>
            <w:gridCol w:w="288"/>
            <w:gridCol w:w="144"/>
            <w:gridCol w:w="7843"/>
          </w:tblGrid>
          <w:tr w:rsidR="007E46BB">
            <w:tc>
              <w:tcPr>
                <w:tcW w:w="7842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7E46BB" w:rsidRDefault="00B46B0E">
                <w:pPr>
                  <w:jc w:val="right"/>
                  <w:rPr>
                    <w:rFonts w:ascii="DejaVu Sans" w:eastAsia="DejaVu Sans" w:hAnsi="DejaVu Sans" w:cs="DejaVu Sans"/>
                    <w:color w:val="000000"/>
                    <w:sz w:val="14"/>
                    <w:szCs w:val="14"/>
                  </w:rPr>
                </w:pPr>
                <w:r>
                  <w:rPr>
                    <w:rFonts w:ascii="DejaVu Sans" w:eastAsia="DejaVu Sans" w:hAnsi="DejaVu Sans" w:cs="DejaVu Sans"/>
                    <w:color w:val="000000"/>
                    <w:sz w:val="14"/>
                    <w:szCs w:val="14"/>
                  </w:rPr>
                  <w:t>Strana</w:t>
                </w:r>
              </w:p>
            </w:tc>
            <w:tc>
              <w:tcPr>
                <w:tcW w:w="28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7E46BB" w:rsidRDefault="007E46BB">
                <w:pPr>
                  <w:jc w:val="right"/>
                  <w:rPr>
                    <w:rFonts w:ascii="DejaVu Sans" w:eastAsia="DejaVu Sans" w:hAnsi="DejaVu Sans" w:cs="DejaVu Sans"/>
                    <w:color w:val="000000"/>
                    <w:sz w:val="14"/>
                    <w:szCs w:val="14"/>
                  </w:rPr>
                </w:pPr>
                <w:r>
                  <w:rPr>
                    <w:rFonts w:ascii="DejaVu Sans" w:eastAsia="DejaVu Sans" w:hAnsi="DejaVu Sans" w:cs="DejaVu Sans"/>
                  </w:rPr>
                  <w:fldChar w:fldCharType="begin"/>
                </w:r>
                <w:r w:rsidR="00B46B0E">
                  <w:rPr>
                    <w:rFonts w:ascii="DejaVu Sans" w:eastAsia="DejaVu Sans" w:hAnsi="DejaVu Sans" w:cs="DejaVu Sans"/>
                    <w:color w:val="000000"/>
                    <w:sz w:val="14"/>
                    <w:szCs w:val="14"/>
                  </w:rPr>
                  <w:instrText>PAGE</w:instrText>
                </w:r>
                <w:r w:rsidR="00B97552">
                  <w:rPr>
                    <w:rFonts w:ascii="DejaVu Sans" w:eastAsia="DejaVu Sans" w:hAnsi="DejaVu Sans" w:cs="DejaVu Sans"/>
                  </w:rPr>
                  <w:fldChar w:fldCharType="separate"/>
                </w:r>
                <w:r w:rsidR="00B97552">
                  <w:rPr>
                    <w:rFonts w:ascii="DejaVu Sans" w:eastAsia="DejaVu Sans" w:hAnsi="DejaVu Sans" w:cs="DejaVu Sans"/>
                    <w:noProof/>
                    <w:color w:val="000000"/>
                    <w:sz w:val="14"/>
                    <w:szCs w:val="14"/>
                  </w:rPr>
                  <w:t>1</w:t>
                </w:r>
                <w:r>
                  <w:rPr>
                    <w:rFonts w:ascii="DejaVu Sans" w:eastAsia="DejaVu Sans" w:hAnsi="DejaVu Sans" w:cs="DejaVu Sans"/>
                  </w:rPr>
                  <w:fldChar w:fldCharType="end"/>
                </w:r>
              </w:p>
            </w:tc>
            <w:tc>
              <w:tcPr>
                <w:tcW w:w="144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7E46BB" w:rsidRDefault="00B46B0E">
                <w:pPr>
                  <w:jc w:val="center"/>
                  <w:rPr>
                    <w:rFonts w:ascii="DejaVu Sans" w:eastAsia="DejaVu Sans" w:hAnsi="DejaVu Sans" w:cs="DejaVu Sans"/>
                    <w:color w:val="000000"/>
                    <w:sz w:val="14"/>
                    <w:szCs w:val="14"/>
                  </w:rPr>
                </w:pPr>
                <w:r>
                  <w:rPr>
                    <w:rFonts w:ascii="DejaVu Sans" w:eastAsia="DejaVu Sans" w:hAnsi="DejaVu Sans" w:cs="DejaVu Sans"/>
                    <w:color w:val="000000"/>
                    <w:sz w:val="14"/>
                    <w:szCs w:val="14"/>
                  </w:rPr>
                  <w:t>/</w:t>
                </w:r>
              </w:p>
            </w:tc>
            <w:tc>
              <w:tcPr>
                <w:tcW w:w="7843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7E46BB" w:rsidRDefault="007E46BB">
                <w:pPr>
                  <w:rPr>
                    <w:rFonts w:ascii="DejaVu Sans" w:eastAsia="DejaVu Sans" w:hAnsi="DejaVu Sans" w:cs="DejaVu Sans"/>
                    <w:color w:val="000000"/>
                    <w:sz w:val="14"/>
                    <w:szCs w:val="14"/>
                  </w:rPr>
                </w:pPr>
                <w:r>
                  <w:rPr>
                    <w:rFonts w:ascii="DejaVu Sans" w:eastAsia="DejaVu Sans" w:hAnsi="DejaVu Sans" w:cs="DejaVu Sans"/>
                  </w:rPr>
                  <w:fldChar w:fldCharType="begin"/>
                </w:r>
                <w:r w:rsidR="00B46B0E">
                  <w:rPr>
                    <w:rFonts w:ascii="DejaVu Sans" w:eastAsia="DejaVu Sans" w:hAnsi="DejaVu Sans" w:cs="DejaVu Sans"/>
                    <w:color w:val="000000"/>
                    <w:sz w:val="14"/>
                    <w:szCs w:val="14"/>
                  </w:rPr>
                  <w:instrText>NUMPAGES</w:instrText>
                </w:r>
                <w:r w:rsidR="00B97552">
                  <w:rPr>
                    <w:rFonts w:ascii="DejaVu Sans" w:eastAsia="DejaVu Sans" w:hAnsi="DejaVu Sans" w:cs="DejaVu Sans"/>
                  </w:rPr>
                  <w:fldChar w:fldCharType="separate"/>
                </w:r>
                <w:r w:rsidR="00B97552">
                  <w:rPr>
                    <w:rFonts w:ascii="DejaVu Sans" w:eastAsia="DejaVu Sans" w:hAnsi="DejaVu Sans" w:cs="DejaVu Sans"/>
                    <w:noProof/>
                    <w:color w:val="000000"/>
                    <w:sz w:val="14"/>
                    <w:szCs w:val="14"/>
                  </w:rPr>
                  <w:t>1</w:t>
                </w:r>
                <w:r>
                  <w:rPr>
                    <w:rFonts w:ascii="DejaVu Sans" w:eastAsia="DejaVu Sans" w:hAnsi="DejaVu Sans" w:cs="DejaVu Sans"/>
                  </w:rPr>
                  <w:fldChar w:fldCharType="end"/>
                </w:r>
              </w:p>
            </w:tc>
          </w:tr>
        </w:tbl>
        <w:p w:rsidR="007E46BB" w:rsidRDefault="007E46BB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6B0E" w:rsidRDefault="00B46B0E" w:rsidP="007E46BB">
      <w:r>
        <w:separator/>
      </w:r>
    </w:p>
  </w:footnote>
  <w:footnote w:type="continuationSeparator" w:id="0">
    <w:p w:rsidR="00B46B0E" w:rsidRDefault="00B46B0E" w:rsidP="007E46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6332" w:type="dxa"/>
      <w:tblLayout w:type="fixed"/>
      <w:tblLook w:val="01E0" w:firstRow="1" w:lastRow="1" w:firstColumn="1" w:lastColumn="1" w:noHBand="0" w:noVBand="0"/>
    </w:tblPr>
    <w:tblGrid>
      <w:gridCol w:w="16332"/>
    </w:tblGrid>
    <w:tr w:rsidR="007E46BB">
      <w:tc>
        <w:tcPr>
          <w:tcW w:w="16332" w:type="dxa"/>
        </w:tcPr>
        <w:p w:rsidR="007E46BB" w:rsidRDefault="007E46BB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6BB"/>
    <w:rsid w:val="007E46BB"/>
    <w:rsid w:val="00B46B0E"/>
    <w:rsid w:val="00B9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836127-0263-4D29-8D19-EA1F83727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4">
    <w:name w:val="toc 4"/>
    <w:autoRedefine/>
    <w:semiHidden/>
    <w:rsid w:val="009B3C8F"/>
  </w:style>
  <w:style w:type="character" w:styleId="Hyperlink">
    <w:name w:val="Hyperlink"/>
    <w:rsid w:val="007E46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2722</Words>
  <Characters>15522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Aldin Kurtagic</dc:creator>
  <cp:keywords/>
  <dc:description/>
  <cp:lastModifiedBy>Aldin Kurtagic</cp:lastModifiedBy>
  <cp:revision>2</cp:revision>
  <dcterms:created xsi:type="dcterms:W3CDTF">2026-09-25T09:55:00Z</dcterms:created>
  <dcterms:modified xsi:type="dcterms:W3CDTF">2026-09-25T09:55:00Z</dcterms:modified>
</cp:coreProperties>
</file>