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50C50E" w14:textId="77777777" w:rsidR="00C830DA" w:rsidRDefault="00C830DA" w:rsidP="00C830DA">
      <w:pPr>
        <w:pStyle w:val="Heading5"/>
        <w:ind w:hanging="720"/>
        <w:jc w:val="center"/>
        <w:rPr>
          <w:b/>
          <w:bCs w:val="0"/>
        </w:rPr>
      </w:pPr>
    </w:p>
    <w:p w14:paraId="1EA49E27" w14:textId="77777777" w:rsidR="00C830DA" w:rsidRPr="009F77B0" w:rsidRDefault="00C830DA" w:rsidP="00C830DA">
      <w:pPr>
        <w:pStyle w:val="Heading41"/>
      </w:pPr>
      <w:bookmarkStart w:id="0" w:name="_Toc399784259"/>
      <w:r w:rsidRPr="009F77B0">
        <w:t>Sample Contract For Small Assignments</w:t>
      </w:r>
      <w:bookmarkEnd w:id="0"/>
    </w:p>
    <w:p w14:paraId="2D80C08F" w14:textId="77777777" w:rsidR="00C830DA" w:rsidRPr="0018257F" w:rsidRDefault="00C830DA" w:rsidP="00C830DA">
      <w:pPr>
        <w:jc w:val="center"/>
      </w:pPr>
    </w:p>
    <w:p w14:paraId="3F680817" w14:textId="77777777" w:rsidR="00C830DA" w:rsidRPr="0018257F" w:rsidRDefault="00C830DA" w:rsidP="00C830DA">
      <w:pPr>
        <w:jc w:val="both"/>
      </w:pPr>
    </w:p>
    <w:p w14:paraId="150B218A" w14:textId="77777777" w:rsidR="00C830DA" w:rsidRDefault="00C830DA" w:rsidP="00C830DA">
      <w:pPr>
        <w:jc w:val="center"/>
        <w:rPr>
          <w:bCs/>
        </w:rPr>
      </w:pPr>
      <w:r>
        <w:rPr>
          <w:b/>
        </w:rPr>
        <w:t>CONTRACT</w:t>
      </w:r>
    </w:p>
    <w:p w14:paraId="67127409" w14:textId="77777777" w:rsidR="00C830DA" w:rsidRDefault="00C830DA" w:rsidP="00C830DA">
      <w:pPr>
        <w:jc w:val="both"/>
      </w:pPr>
    </w:p>
    <w:p w14:paraId="49FA735B" w14:textId="77777777" w:rsidR="00C830DA" w:rsidRPr="00760DA6" w:rsidRDefault="00C830DA" w:rsidP="00C830DA">
      <w:pPr>
        <w:jc w:val="both"/>
      </w:pPr>
      <w:r>
        <w:t xml:space="preserve">THIS CONTRACT (“Contract”) is entered into this </w:t>
      </w:r>
      <w:r>
        <w:rPr>
          <w:i/>
          <w:sz w:val="20"/>
        </w:rPr>
        <w:t>[insert starting date of assignment]</w:t>
      </w:r>
      <w:r>
        <w:t>, by and between [</w:t>
      </w:r>
      <w:r>
        <w:rPr>
          <w:i/>
          <w:sz w:val="20"/>
        </w:rPr>
        <w:t xml:space="preserve">insert Client’s name] </w:t>
      </w:r>
      <w:r>
        <w:t>(“the Client”) having its principal place of business at</w:t>
      </w:r>
      <w:r>
        <w:rPr>
          <w:i/>
          <w:sz w:val="20"/>
        </w:rPr>
        <w:t xml:space="preserve"> [insert Client’s address]</w:t>
      </w:r>
      <w:r>
        <w:t xml:space="preserve">, and </w:t>
      </w:r>
      <w:r>
        <w:rPr>
          <w:i/>
          <w:sz w:val="20"/>
        </w:rPr>
        <w:t>[insert Consultant’s name]</w:t>
      </w:r>
      <w:r>
        <w:t xml:space="preserve"> (“the Consultant”) having its principal office located at </w:t>
      </w:r>
      <w:r>
        <w:rPr>
          <w:i/>
          <w:sz w:val="20"/>
        </w:rPr>
        <w:t>[insert Consultant’s address]. (</w:t>
      </w:r>
      <w:r w:rsidRPr="002A66D6">
        <w:rPr>
          <w:i/>
          <w:color w:val="1F497D"/>
          <w:sz w:val="16"/>
          <w:szCs w:val="16"/>
        </w:rPr>
        <w:t xml:space="preserve">If the </w:t>
      </w:r>
      <w:r w:rsidRPr="002A66D6">
        <w:rPr>
          <w:i/>
          <w:iCs/>
          <w:color w:val="1F497D"/>
          <w:sz w:val="16"/>
          <w:szCs w:val="16"/>
        </w:rPr>
        <w:t>Consultant</w:t>
      </w:r>
      <w:r w:rsidRPr="002A66D6">
        <w:rPr>
          <w:i/>
          <w:color w:val="1F497D"/>
          <w:sz w:val="16"/>
          <w:szCs w:val="16"/>
        </w:rPr>
        <w:t xml:space="preserve"> consist of more than one entity, the above should be partially amended to read as follows:</w:t>
      </w:r>
      <w:r w:rsidRPr="00606055">
        <w:rPr>
          <w:sz w:val="16"/>
          <w:szCs w:val="16"/>
        </w:rPr>
        <w:t xml:space="preserve"> “…(hereinafter called the “Client”) and, on the other hand, a Joint Venture</w:t>
      </w:r>
      <w:r w:rsidRPr="00606055">
        <w:rPr>
          <w:bCs/>
          <w:spacing w:val="-2"/>
          <w:sz w:val="16"/>
          <w:szCs w:val="16"/>
          <w:lang w:val="en-GB"/>
        </w:rPr>
        <w:t xml:space="preserve"> (name of the JV)</w:t>
      </w:r>
      <w:r w:rsidRPr="00606055">
        <w:rPr>
          <w:sz w:val="16"/>
          <w:szCs w:val="16"/>
        </w:rPr>
        <w:t xml:space="preserve"> consisting of the following entities, each member of which will be jointly and severally liable to the Client for all the Consultant’s obligations under this Contract, namely, </w:t>
      </w:r>
      <w:r w:rsidRPr="00606055">
        <w:rPr>
          <w:i/>
          <w:sz w:val="16"/>
          <w:szCs w:val="16"/>
        </w:rPr>
        <w:t xml:space="preserve">[name of </w:t>
      </w:r>
      <w:r w:rsidRPr="00606055">
        <w:rPr>
          <w:i/>
          <w:iCs/>
          <w:sz w:val="16"/>
          <w:szCs w:val="16"/>
        </w:rPr>
        <w:t>member</w:t>
      </w:r>
      <w:r w:rsidRPr="00606055">
        <w:rPr>
          <w:i/>
          <w:sz w:val="16"/>
          <w:szCs w:val="16"/>
        </w:rPr>
        <w:t>]</w:t>
      </w:r>
      <w:r w:rsidRPr="00606055">
        <w:rPr>
          <w:sz w:val="16"/>
          <w:szCs w:val="16"/>
        </w:rPr>
        <w:t xml:space="preserve"> and </w:t>
      </w:r>
      <w:r w:rsidRPr="00606055">
        <w:rPr>
          <w:i/>
          <w:sz w:val="16"/>
          <w:szCs w:val="16"/>
        </w:rPr>
        <w:t xml:space="preserve">[name of </w:t>
      </w:r>
      <w:r w:rsidRPr="00606055">
        <w:rPr>
          <w:i/>
          <w:iCs/>
          <w:sz w:val="16"/>
          <w:szCs w:val="16"/>
        </w:rPr>
        <w:t>member</w:t>
      </w:r>
      <w:r w:rsidRPr="00606055">
        <w:rPr>
          <w:i/>
          <w:sz w:val="16"/>
          <w:szCs w:val="16"/>
        </w:rPr>
        <w:t>]</w:t>
      </w:r>
      <w:r w:rsidRPr="00606055">
        <w:rPr>
          <w:sz w:val="16"/>
          <w:szCs w:val="16"/>
        </w:rPr>
        <w:t xml:space="preserve"> (hereinafter called the “Consultant”).]</w:t>
      </w:r>
    </w:p>
    <w:p w14:paraId="28284E17" w14:textId="77777777" w:rsidR="00C830DA" w:rsidRDefault="00C830DA" w:rsidP="00C830DA">
      <w:pPr>
        <w:spacing w:after="200"/>
        <w:jc w:val="both"/>
      </w:pPr>
    </w:p>
    <w:p w14:paraId="2D488EA4" w14:textId="77777777" w:rsidR="00C830DA" w:rsidRDefault="00C830DA" w:rsidP="00C830DA">
      <w:pPr>
        <w:spacing w:after="200"/>
        <w:jc w:val="both"/>
      </w:pPr>
      <w:r>
        <w:t>WHEREAS, the Client wishes to have the Consultant perform the services hereinafter referred to, and</w:t>
      </w:r>
    </w:p>
    <w:p w14:paraId="5394EB97" w14:textId="77777777" w:rsidR="00C830DA" w:rsidRDefault="00C830DA" w:rsidP="00C830DA">
      <w:pPr>
        <w:spacing w:after="200"/>
        <w:jc w:val="both"/>
      </w:pPr>
      <w:r>
        <w:t>WHEREAS, the Consultant is willing to perform these services,</w:t>
      </w:r>
    </w:p>
    <w:p w14:paraId="131EDAAC" w14:textId="77777777" w:rsidR="00C830DA" w:rsidRDefault="00C830DA" w:rsidP="00C830DA">
      <w:pPr>
        <w:spacing w:after="200"/>
        <w:jc w:val="both"/>
      </w:pPr>
      <w:r>
        <w:t>NOW THEREFORE THE PARTIES hereby agree as follows:</w:t>
      </w:r>
    </w:p>
    <w:tbl>
      <w:tblPr>
        <w:tblW w:w="9290" w:type="dxa"/>
        <w:tblInd w:w="18" w:type="dxa"/>
        <w:tblLayout w:type="fixed"/>
        <w:tblLook w:val="0000" w:firstRow="0" w:lastRow="0" w:firstColumn="0" w:lastColumn="0" w:noHBand="0" w:noVBand="0"/>
      </w:tblPr>
      <w:tblGrid>
        <w:gridCol w:w="20"/>
        <w:gridCol w:w="2126"/>
        <w:gridCol w:w="14"/>
        <w:gridCol w:w="19"/>
        <w:gridCol w:w="7091"/>
        <w:gridCol w:w="20"/>
      </w:tblGrid>
      <w:tr w:rsidR="00C830DA" w14:paraId="0EF79C95" w14:textId="77777777" w:rsidTr="00006185">
        <w:trPr>
          <w:gridAfter w:val="1"/>
          <w:wAfter w:w="20" w:type="dxa"/>
        </w:trPr>
        <w:tc>
          <w:tcPr>
            <w:tcW w:w="2160" w:type="dxa"/>
            <w:gridSpan w:val="3"/>
          </w:tcPr>
          <w:p w14:paraId="21B7B1A8" w14:textId="77777777" w:rsidR="00C830DA" w:rsidRDefault="00C830DA" w:rsidP="00006185">
            <w:pPr>
              <w:tabs>
                <w:tab w:val="left" w:pos="360"/>
              </w:tabs>
              <w:jc w:val="both"/>
              <w:rPr>
                <w:b/>
              </w:rPr>
            </w:pPr>
            <w:r>
              <w:rPr>
                <w:b/>
              </w:rPr>
              <w:t>1.</w:t>
            </w:r>
            <w:r>
              <w:rPr>
                <w:b/>
              </w:rPr>
              <w:tab/>
              <w:t>Services</w:t>
            </w:r>
          </w:p>
        </w:tc>
        <w:tc>
          <w:tcPr>
            <w:tcW w:w="7110" w:type="dxa"/>
            <w:gridSpan w:val="2"/>
          </w:tcPr>
          <w:p w14:paraId="1F274436" w14:textId="77777777" w:rsidR="00C830DA" w:rsidRDefault="00C830DA" w:rsidP="00006185">
            <w:pPr>
              <w:tabs>
                <w:tab w:val="left" w:pos="720"/>
                <w:tab w:val="left" w:pos="1260"/>
              </w:tabs>
              <w:spacing w:after="200"/>
              <w:ind w:left="702" w:hanging="702"/>
              <w:jc w:val="both"/>
            </w:pPr>
            <w:r>
              <w:t>(</w:t>
            </w:r>
            <w:proofErr w:type="spellStart"/>
            <w:r>
              <w:t>i</w:t>
            </w:r>
            <w:proofErr w:type="spellEnd"/>
            <w:r>
              <w:t>)</w:t>
            </w:r>
            <w:r>
              <w:tab/>
              <w:t>The Consultant shall perform the services specified in Annex A, “Terms of Reference and Scope of Services,” which is made an integral part of this Contract (“the Services”).</w:t>
            </w:r>
          </w:p>
          <w:p w14:paraId="40709EB7" w14:textId="77777777" w:rsidR="00C830DA" w:rsidRDefault="00C830DA" w:rsidP="00006185">
            <w:pPr>
              <w:tabs>
                <w:tab w:val="left" w:pos="720"/>
                <w:tab w:val="left" w:pos="1260"/>
              </w:tabs>
              <w:spacing w:after="200"/>
              <w:ind w:left="702" w:hanging="702"/>
              <w:jc w:val="both"/>
            </w:pPr>
            <w:r>
              <w:t>(ii)</w:t>
            </w:r>
            <w:r>
              <w:tab/>
              <w:t>The Consultant shall provide the personnel listed in Annex B, “Consultant’s Personnel,” to perform the Services.</w:t>
            </w:r>
          </w:p>
          <w:p w14:paraId="3B8596D1" w14:textId="77777777" w:rsidR="00C830DA" w:rsidRDefault="00C830DA" w:rsidP="00006185">
            <w:pPr>
              <w:spacing w:after="200"/>
              <w:ind w:left="702" w:hanging="702"/>
              <w:jc w:val="both"/>
            </w:pPr>
            <w:r>
              <w:t>(iii)</w:t>
            </w:r>
            <w:r>
              <w:tab/>
              <w:t>The Consultant shall submit to the Client the reports in the form and within the time periods specified in Annex C, “Consultant’s Reporting Obligations.”</w:t>
            </w:r>
          </w:p>
        </w:tc>
      </w:tr>
      <w:tr w:rsidR="00C830DA" w14:paraId="75B988BD" w14:textId="77777777" w:rsidTr="00006185">
        <w:trPr>
          <w:gridAfter w:val="1"/>
          <w:wAfter w:w="20" w:type="dxa"/>
        </w:trPr>
        <w:tc>
          <w:tcPr>
            <w:tcW w:w="2160" w:type="dxa"/>
            <w:gridSpan w:val="3"/>
          </w:tcPr>
          <w:p w14:paraId="4C3EACA3" w14:textId="77777777" w:rsidR="00C830DA" w:rsidRDefault="00C830DA" w:rsidP="00006185">
            <w:pPr>
              <w:tabs>
                <w:tab w:val="left" w:pos="360"/>
              </w:tabs>
              <w:jc w:val="both"/>
              <w:rPr>
                <w:b/>
              </w:rPr>
            </w:pPr>
            <w:r>
              <w:rPr>
                <w:b/>
              </w:rPr>
              <w:t>2.</w:t>
            </w:r>
            <w:r>
              <w:rPr>
                <w:b/>
              </w:rPr>
              <w:tab/>
              <w:t>Term</w:t>
            </w:r>
          </w:p>
        </w:tc>
        <w:tc>
          <w:tcPr>
            <w:tcW w:w="7110" w:type="dxa"/>
            <w:gridSpan w:val="2"/>
          </w:tcPr>
          <w:p w14:paraId="1B71BF03" w14:textId="77777777" w:rsidR="00C830DA" w:rsidRDefault="00C830DA" w:rsidP="00006185">
            <w:pPr>
              <w:tabs>
                <w:tab w:val="left" w:pos="1260"/>
              </w:tabs>
              <w:spacing w:after="200"/>
              <w:jc w:val="both"/>
            </w:pPr>
            <w:r>
              <w:t xml:space="preserve">The Consultant shall perform the Services during the period commencing </w:t>
            </w:r>
            <w:r>
              <w:rPr>
                <w:i/>
              </w:rPr>
              <w:t>[insert starting date]</w:t>
            </w:r>
            <w:r>
              <w:t xml:space="preserve"> and continuing through </w:t>
            </w:r>
            <w:r>
              <w:rPr>
                <w:i/>
              </w:rPr>
              <w:t>[insert completion date]</w:t>
            </w:r>
            <w:r>
              <w:t>, or any other period as may be subsequently agreed by the parties in writing.</w:t>
            </w:r>
          </w:p>
        </w:tc>
      </w:tr>
      <w:tr w:rsidR="00C830DA" w14:paraId="062BF442" w14:textId="77777777" w:rsidTr="00006185">
        <w:trPr>
          <w:gridAfter w:val="1"/>
          <w:wAfter w:w="20" w:type="dxa"/>
        </w:trPr>
        <w:tc>
          <w:tcPr>
            <w:tcW w:w="2160" w:type="dxa"/>
            <w:gridSpan w:val="3"/>
          </w:tcPr>
          <w:p w14:paraId="69BFB2C5" w14:textId="77777777" w:rsidR="00C830DA" w:rsidRDefault="00C830DA" w:rsidP="00006185">
            <w:pPr>
              <w:tabs>
                <w:tab w:val="left" w:pos="360"/>
              </w:tabs>
              <w:jc w:val="both"/>
              <w:rPr>
                <w:b/>
              </w:rPr>
            </w:pPr>
            <w:r>
              <w:rPr>
                <w:b/>
              </w:rPr>
              <w:t>3.</w:t>
            </w:r>
            <w:r>
              <w:rPr>
                <w:b/>
              </w:rPr>
              <w:tab/>
              <w:t>Payment</w:t>
            </w:r>
          </w:p>
        </w:tc>
        <w:tc>
          <w:tcPr>
            <w:tcW w:w="7110" w:type="dxa"/>
            <w:gridSpan w:val="2"/>
          </w:tcPr>
          <w:p w14:paraId="7A3A0FFF" w14:textId="77777777" w:rsidR="00C830DA" w:rsidRDefault="00C830DA" w:rsidP="00006185">
            <w:pPr>
              <w:spacing w:after="200"/>
              <w:jc w:val="both"/>
            </w:pPr>
            <w:r>
              <w:t>A.</w:t>
            </w:r>
            <w:r>
              <w:tab/>
            </w:r>
            <w:r>
              <w:rPr>
                <w:u w:val="single"/>
              </w:rPr>
              <w:t>Ceiling</w:t>
            </w:r>
          </w:p>
          <w:p w14:paraId="2084A113" w14:textId="77777777" w:rsidR="00C830DA" w:rsidRDefault="00C830DA" w:rsidP="00006185">
            <w:pPr>
              <w:spacing w:after="200"/>
              <w:ind w:left="702" w:hanging="702"/>
              <w:jc w:val="both"/>
            </w:pPr>
            <w:r>
              <w:tab/>
              <w:t xml:space="preserve">For Services rendered pursuant to Annex A, the Client shall pay the Consultant an amount not to exceed </w:t>
            </w:r>
            <w:r>
              <w:rPr>
                <w:i/>
              </w:rPr>
              <w:t>[insert amount]</w:t>
            </w:r>
            <w:r>
              <w:t>.  This amount has been established based on the understanding that it includes all of the Consultant's costs and profits as well as any tax obligation that may be imposed on the Consultant.</w:t>
            </w:r>
          </w:p>
          <w:p w14:paraId="1B241E10" w14:textId="77777777" w:rsidR="00C830DA" w:rsidRDefault="00C830DA" w:rsidP="00006185">
            <w:pPr>
              <w:keepNext/>
              <w:keepLines/>
              <w:spacing w:after="200"/>
              <w:jc w:val="both"/>
            </w:pPr>
            <w:r>
              <w:t>B.</w:t>
            </w:r>
            <w:r>
              <w:tab/>
            </w:r>
            <w:r>
              <w:rPr>
                <w:u w:val="single"/>
              </w:rPr>
              <w:t>Schedule of Payments</w:t>
            </w:r>
          </w:p>
          <w:p w14:paraId="53A1FC37" w14:textId="77777777" w:rsidR="00C830DA" w:rsidRDefault="00C830DA" w:rsidP="00006185">
            <w:pPr>
              <w:keepNext/>
              <w:keepLines/>
              <w:spacing w:after="200"/>
              <w:jc w:val="both"/>
            </w:pPr>
            <w:r>
              <w:tab/>
              <w:t>The schedule of payments is specified below:</w:t>
            </w:r>
            <w:r>
              <w:rPr>
                <w:rStyle w:val="FootnoteReference"/>
              </w:rPr>
              <w:footnoteReference w:customMarkFollows="1" w:id="1"/>
              <w:t>1</w:t>
            </w:r>
          </w:p>
          <w:p w14:paraId="0855B0DC" w14:textId="77777777" w:rsidR="00C830DA" w:rsidRDefault="00C830DA" w:rsidP="00006185">
            <w:pPr>
              <w:spacing w:after="200"/>
              <w:ind w:left="702" w:hanging="702"/>
              <w:jc w:val="both"/>
            </w:pPr>
            <w:r>
              <w:tab/>
            </w:r>
            <w:r>
              <w:rPr>
                <w:i/>
              </w:rPr>
              <w:t>[insert amount and currency]</w:t>
            </w:r>
            <w:r>
              <w:t xml:space="preserve"> upon the Client's receipt of a copy </w:t>
            </w:r>
            <w:r>
              <w:lastRenderedPageBreak/>
              <w:t>of this Contract signed by the Consultant;</w:t>
            </w:r>
          </w:p>
          <w:p w14:paraId="5A6EAA75" w14:textId="77777777" w:rsidR="00C830DA" w:rsidRDefault="00C830DA" w:rsidP="00006185">
            <w:pPr>
              <w:spacing w:after="200"/>
              <w:ind w:left="702" w:hanging="702"/>
              <w:jc w:val="both"/>
            </w:pPr>
            <w:r>
              <w:tab/>
            </w:r>
            <w:r>
              <w:rPr>
                <w:i/>
              </w:rPr>
              <w:t xml:space="preserve">[insert amount and currency] </w:t>
            </w:r>
            <w:r>
              <w:t>upon the Client's receipt of the draft report, acceptable to the Client; and</w:t>
            </w:r>
          </w:p>
          <w:p w14:paraId="628E2FBB" w14:textId="77777777" w:rsidR="00C830DA" w:rsidRDefault="00C830DA" w:rsidP="00006185">
            <w:pPr>
              <w:spacing w:after="200"/>
              <w:ind w:left="702" w:hanging="702"/>
              <w:jc w:val="both"/>
            </w:pPr>
            <w:r>
              <w:tab/>
            </w:r>
            <w:r>
              <w:rPr>
                <w:i/>
              </w:rPr>
              <w:t>[</w:t>
            </w:r>
            <w:proofErr w:type="gramStart"/>
            <w:r>
              <w:rPr>
                <w:i/>
              </w:rPr>
              <w:t>insert</w:t>
            </w:r>
            <w:proofErr w:type="gramEnd"/>
            <w:r>
              <w:rPr>
                <w:i/>
              </w:rPr>
              <w:t xml:space="preserve"> amount and currency] </w:t>
            </w:r>
            <w:r>
              <w:t>upon the Client's receipt of the final report, acceptable to the Client.</w:t>
            </w:r>
          </w:p>
          <w:p w14:paraId="03CA01FD" w14:textId="77777777" w:rsidR="00C830DA" w:rsidRDefault="00C830DA" w:rsidP="00006185">
            <w:pPr>
              <w:spacing w:after="200"/>
              <w:ind w:left="702" w:hanging="702"/>
              <w:jc w:val="both"/>
            </w:pPr>
            <w:r>
              <w:tab/>
            </w:r>
            <w:r>
              <w:rPr>
                <w:i/>
              </w:rPr>
              <w:t xml:space="preserve">[insert amount and currency] </w:t>
            </w:r>
            <w:r>
              <w:t>Total (shall not exceed the 100% of the Contract amount)</w:t>
            </w:r>
          </w:p>
          <w:p w14:paraId="77BAED58" w14:textId="77777777" w:rsidR="00C830DA" w:rsidRDefault="00C830DA" w:rsidP="00006185">
            <w:pPr>
              <w:tabs>
                <w:tab w:val="left" w:pos="720"/>
                <w:tab w:val="left" w:pos="1440"/>
                <w:tab w:val="left" w:pos="2160"/>
                <w:tab w:val="left" w:pos="2880"/>
              </w:tabs>
              <w:spacing w:after="200"/>
              <w:jc w:val="both"/>
            </w:pPr>
            <w:r>
              <w:t>C.</w:t>
            </w:r>
            <w:r>
              <w:tab/>
            </w:r>
            <w:r>
              <w:rPr>
                <w:u w:val="single"/>
              </w:rPr>
              <w:t>Payment Conditions</w:t>
            </w:r>
          </w:p>
          <w:p w14:paraId="59305023" w14:textId="77777777" w:rsidR="00C830DA" w:rsidRDefault="00C830DA" w:rsidP="00006185">
            <w:pPr>
              <w:spacing w:after="200"/>
              <w:ind w:left="702" w:hanging="702"/>
              <w:jc w:val="both"/>
            </w:pPr>
            <w:r>
              <w:tab/>
              <w:t xml:space="preserve">Payment shall be made in </w:t>
            </w:r>
            <w:r>
              <w:rPr>
                <w:i/>
              </w:rPr>
              <w:t>[specify currency]</w:t>
            </w:r>
            <w:r>
              <w:t>, no later than 30 days following submission by the Consultant of invoices in duplicate to the Coordinator designated in paragraph 4.</w:t>
            </w:r>
          </w:p>
          <w:p w14:paraId="2D7F42A1" w14:textId="77777777" w:rsidR="00C830DA" w:rsidRDefault="00C830DA" w:rsidP="00006185">
            <w:pPr>
              <w:spacing w:after="200"/>
              <w:ind w:left="702"/>
              <w:jc w:val="both"/>
            </w:pPr>
            <w:r w:rsidRPr="00400228">
              <w:t xml:space="preserve">Payments shall be made to Consultant’s bank account </w:t>
            </w:r>
            <w:r w:rsidRPr="00400228">
              <w:rPr>
                <w:i/>
              </w:rPr>
              <w:t>[insert banking details. If payment by bank wire is not possible, prior Bank approval to apply cash payments option shall be obtained]</w:t>
            </w:r>
          </w:p>
        </w:tc>
      </w:tr>
      <w:tr w:rsidR="00C830DA" w14:paraId="6131644B" w14:textId="77777777" w:rsidTr="00006185">
        <w:trPr>
          <w:gridAfter w:val="1"/>
          <w:wAfter w:w="20" w:type="dxa"/>
        </w:trPr>
        <w:tc>
          <w:tcPr>
            <w:tcW w:w="2160" w:type="dxa"/>
            <w:gridSpan w:val="3"/>
          </w:tcPr>
          <w:p w14:paraId="5F462C51" w14:textId="77777777" w:rsidR="00C830DA" w:rsidRDefault="00C830DA" w:rsidP="00006185">
            <w:pPr>
              <w:tabs>
                <w:tab w:val="left" w:pos="360"/>
              </w:tabs>
              <w:ind w:left="360" w:hanging="360"/>
              <w:jc w:val="both"/>
              <w:rPr>
                <w:b/>
              </w:rPr>
            </w:pPr>
            <w:r>
              <w:rPr>
                <w:b/>
              </w:rPr>
              <w:lastRenderedPageBreak/>
              <w:t>4.</w:t>
            </w:r>
            <w:r>
              <w:rPr>
                <w:b/>
              </w:rPr>
              <w:tab/>
              <w:t>Project Administration</w:t>
            </w:r>
          </w:p>
        </w:tc>
        <w:tc>
          <w:tcPr>
            <w:tcW w:w="7110" w:type="dxa"/>
            <w:gridSpan w:val="2"/>
          </w:tcPr>
          <w:p w14:paraId="221EFCF0" w14:textId="77777777" w:rsidR="00C830DA" w:rsidRDefault="00C830DA" w:rsidP="00006185">
            <w:pPr>
              <w:tabs>
                <w:tab w:val="left" w:pos="720"/>
                <w:tab w:val="left" w:pos="1440"/>
                <w:tab w:val="left" w:pos="2160"/>
                <w:tab w:val="left" w:pos="2880"/>
              </w:tabs>
              <w:spacing w:after="200"/>
              <w:ind w:left="702" w:hanging="720"/>
              <w:jc w:val="both"/>
            </w:pPr>
            <w:r>
              <w:t>A.</w:t>
            </w:r>
            <w:r>
              <w:tab/>
            </w:r>
            <w:r>
              <w:rPr>
                <w:u w:val="single"/>
              </w:rPr>
              <w:t>Coordinator</w:t>
            </w:r>
            <w:r>
              <w:t>.</w:t>
            </w:r>
          </w:p>
          <w:p w14:paraId="19DA510A" w14:textId="77777777" w:rsidR="00C830DA" w:rsidRDefault="00C830DA" w:rsidP="00006185">
            <w:pPr>
              <w:tabs>
                <w:tab w:val="left" w:pos="720"/>
                <w:tab w:val="left" w:pos="1440"/>
                <w:tab w:val="left" w:pos="2160"/>
                <w:tab w:val="left" w:pos="2880"/>
              </w:tabs>
              <w:spacing w:after="200"/>
              <w:ind w:left="702" w:hanging="720"/>
              <w:jc w:val="both"/>
            </w:pPr>
            <w:r>
              <w:tab/>
              <w:t>The Client designates Mr</w:t>
            </w:r>
            <w:proofErr w:type="gramStart"/>
            <w:r>
              <w:t>./</w:t>
            </w:r>
            <w:proofErr w:type="gramEnd"/>
            <w:r>
              <w:t xml:space="preserve">Ms. </w:t>
            </w:r>
            <w:r>
              <w:rPr>
                <w:i/>
              </w:rPr>
              <w:t>[insert name]</w:t>
            </w:r>
            <w:r>
              <w:t xml:space="preserve"> as Client's Coordinator; the Coordinator will be responsible for the coordination of activities under this Contract, for acceptance and approval of the reports and of other deliverables by the Client and for receiving and approving invoices for the payment.</w:t>
            </w:r>
          </w:p>
          <w:p w14:paraId="6763BBE8" w14:textId="77777777" w:rsidR="00C830DA" w:rsidRDefault="00C830DA" w:rsidP="00006185">
            <w:pPr>
              <w:spacing w:after="200"/>
              <w:jc w:val="both"/>
            </w:pPr>
            <w:r>
              <w:t>B.</w:t>
            </w:r>
            <w:r>
              <w:tab/>
            </w:r>
            <w:r>
              <w:rPr>
                <w:u w:val="single"/>
              </w:rPr>
              <w:t>Reports</w:t>
            </w:r>
            <w:r>
              <w:t xml:space="preserve">.  </w:t>
            </w:r>
          </w:p>
          <w:p w14:paraId="782C93DC" w14:textId="77777777" w:rsidR="00C830DA" w:rsidRDefault="00C830DA" w:rsidP="00006185">
            <w:pPr>
              <w:spacing w:after="200"/>
              <w:ind w:left="702" w:hanging="702"/>
              <w:jc w:val="both"/>
            </w:pPr>
            <w:r>
              <w:tab/>
              <w:t>The reports listed in Annex C, “Consultant's Reporting Obligations,” shall be submitted in the course of the assignment, and will constitute the basis for the payments to be made under paragraph 3.</w:t>
            </w:r>
          </w:p>
        </w:tc>
      </w:tr>
      <w:tr w:rsidR="00C830DA" w14:paraId="2C52E41B" w14:textId="77777777" w:rsidTr="00006185">
        <w:trPr>
          <w:gridAfter w:val="1"/>
          <w:wAfter w:w="20" w:type="dxa"/>
        </w:trPr>
        <w:tc>
          <w:tcPr>
            <w:tcW w:w="2160" w:type="dxa"/>
            <w:gridSpan w:val="3"/>
          </w:tcPr>
          <w:p w14:paraId="3EE17760" w14:textId="77777777" w:rsidR="00C830DA" w:rsidRDefault="00C830DA" w:rsidP="00006185">
            <w:pPr>
              <w:tabs>
                <w:tab w:val="left" w:pos="360"/>
              </w:tabs>
              <w:ind w:left="360" w:hanging="360"/>
              <w:jc w:val="both"/>
              <w:rPr>
                <w:b/>
              </w:rPr>
            </w:pPr>
            <w:r>
              <w:rPr>
                <w:b/>
              </w:rPr>
              <w:t>5.</w:t>
            </w:r>
            <w:r>
              <w:rPr>
                <w:b/>
              </w:rPr>
              <w:tab/>
              <w:t>Performance Standards</w:t>
            </w:r>
          </w:p>
          <w:p w14:paraId="6AAD6774" w14:textId="77777777" w:rsidR="00C830DA" w:rsidRDefault="00C830DA" w:rsidP="00006185">
            <w:pPr>
              <w:tabs>
                <w:tab w:val="left" w:pos="360"/>
              </w:tabs>
              <w:ind w:left="360" w:hanging="360"/>
              <w:jc w:val="both"/>
              <w:rPr>
                <w:b/>
              </w:rPr>
            </w:pPr>
          </w:p>
          <w:p w14:paraId="1966B538" w14:textId="77777777" w:rsidR="00C830DA" w:rsidRDefault="00C830DA" w:rsidP="00006185">
            <w:pPr>
              <w:tabs>
                <w:tab w:val="left" w:pos="360"/>
              </w:tabs>
              <w:ind w:left="360" w:hanging="360"/>
              <w:jc w:val="both"/>
              <w:rPr>
                <w:b/>
              </w:rPr>
            </w:pPr>
          </w:p>
          <w:p w14:paraId="1442E449" w14:textId="77777777" w:rsidR="00C830DA" w:rsidRDefault="00C830DA" w:rsidP="00006185">
            <w:pPr>
              <w:tabs>
                <w:tab w:val="left" w:pos="360"/>
              </w:tabs>
              <w:ind w:left="360" w:hanging="360"/>
              <w:jc w:val="both"/>
              <w:rPr>
                <w:b/>
              </w:rPr>
            </w:pPr>
          </w:p>
          <w:p w14:paraId="653C8E2C" w14:textId="77777777" w:rsidR="00C830DA" w:rsidRDefault="00C830DA" w:rsidP="00006185">
            <w:pPr>
              <w:tabs>
                <w:tab w:val="left" w:pos="360"/>
              </w:tabs>
              <w:ind w:left="360" w:hanging="360"/>
              <w:jc w:val="both"/>
              <w:rPr>
                <w:b/>
              </w:rPr>
            </w:pPr>
            <w:r>
              <w:rPr>
                <w:b/>
              </w:rPr>
              <w:t>6.</w:t>
            </w:r>
            <w:r>
              <w:rPr>
                <w:b/>
              </w:rPr>
              <w:tab/>
              <w:t>Inspections and Auditing</w:t>
            </w:r>
          </w:p>
        </w:tc>
        <w:tc>
          <w:tcPr>
            <w:tcW w:w="7110" w:type="dxa"/>
            <w:gridSpan w:val="2"/>
          </w:tcPr>
          <w:p w14:paraId="5F271D07" w14:textId="77777777" w:rsidR="00C830DA" w:rsidRDefault="00C830DA" w:rsidP="00006185">
            <w:pPr>
              <w:tabs>
                <w:tab w:val="left" w:pos="1440"/>
                <w:tab w:val="left" w:pos="2160"/>
                <w:tab w:val="left" w:pos="2880"/>
              </w:tabs>
              <w:spacing w:after="200"/>
              <w:ind w:left="-18"/>
              <w:jc w:val="both"/>
            </w:pPr>
            <w:r>
              <w:t>The Consultant undertakes to perform the Services with the highest standards of professional and ethical competence and integrity.  The Consultant shall promptly replace any employees assigned under this Contract that the Client considers unsatisfactory.</w:t>
            </w:r>
          </w:p>
          <w:p w14:paraId="7A9176B9" w14:textId="77777777" w:rsidR="00C830DA" w:rsidRDefault="00C830DA" w:rsidP="00006185">
            <w:pPr>
              <w:spacing w:after="200"/>
              <w:jc w:val="both"/>
            </w:pPr>
            <w:r>
              <w:t xml:space="preserve">6.1 </w:t>
            </w:r>
            <w:r>
              <w:tab/>
              <w:t>The Consultant shall keep, and shall make all reasonable efforts to cause its Sub-consultants to keep, accurate and systematic accounts and records in respect of the Services in such form and detail as will clearly identify relevant time changes and costs.</w:t>
            </w:r>
          </w:p>
          <w:p w14:paraId="3984879A" w14:textId="77777777" w:rsidR="00C830DA" w:rsidRDefault="00C830DA" w:rsidP="00006185">
            <w:pPr>
              <w:tabs>
                <w:tab w:val="left" w:pos="1440"/>
                <w:tab w:val="left" w:pos="2160"/>
                <w:tab w:val="left" w:pos="2880"/>
              </w:tabs>
              <w:spacing w:after="200"/>
              <w:ind w:left="-18"/>
              <w:jc w:val="both"/>
            </w:pPr>
            <w:r>
              <w:t xml:space="preserve">6.2 </w:t>
            </w:r>
            <w:r w:rsidRPr="00400228">
              <w:t xml:space="preserve">The Consultant shall permit, and shall cause its Sub-Consultants to permit, the Bank and/or persons appointed by the Bank to inspect </w:t>
            </w:r>
            <w:r>
              <w:t xml:space="preserve">the Site </w:t>
            </w:r>
            <w:r w:rsidRPr="00400228">
              <w:t xml:space="preserve">and/or </w:t>
            </w:r>
            <w:r>
              <w:t xml:space="preserve">all </w:t>
            </w:r>
            <w:r w:rsidRPr="00400228">
              <w:t xml:space="preserve">accounts and records relating to </w:t>
            </w:r>
            <w:r>
              <w:t xml:space="preserve">the performance of the Contract and </w:t>
            </w:r>
            <w:r w:rsidRPr="00400228">
              <w:t xml:space="preserve">the submission of the Proposal to provide the Services and </w:t>
            </w:r>
            <w:r>
              <w:t xml:space="preserve">to have such accounts and records audited by auditors appointed by </w:t>
            </w:r>
            <w:r>
              <w:lastRenderedPageBreak/>
              <w:t>the Bank if requested by the Bank. The Consultant’s attention is drawn to Clause 15 which provides inter alia, that acts intended to materially impede the exercise of the Bank’s inspection and audit rights provided for under this Clause 6.2 constitute a prohibited practice subject to contract termination (as well as to a determination of ineligibility under the Bank’s prevailing sanctions procedures.)</w:t>
            </w:r>
            <w:r w:rsidRPr="00400228">
              <w:t>.</w:t>
            </w:r>
          </w:p>
        </w:tc>
      </w:tr>
      <w:tr w:rsidR="00C830DA" w14:paraId="718DA790" w14:textId="77777777" w:rsidTr="00006185">
        <w:trPr>
          <w:gridAfter w:val="1"/>
          <w:wAfter w:w="20" w:type="dxa"/>
        </w:trPr>
        <w:tc>
          <w:tcPr>
            <w:tcW w:w="2160" w:type="dxa"/>
            <w:gridSpan w:val="3"/>
          </w:tcPr>
          <w:p w14:paraId="0305AC64" w14:textId="77777777" w:rsidR="00C830DA" w:rsidRDefault="00C830DA" w:rsidP="00006185">
            <w:pPr>
              <w:tabs>
                <w:tab w:val="left" w:pos="360"/>
              </w:tabs>
              <w:ind w:left="360" w:hanging="360"/>
              <w:jc w:val="both"/>
              <w:rPr>
                <w:b/>
              </w:rPr>
            </w:pPr>
            <w:r>
              <w:rPr>
                <w:b/>
              </w:rPr>
              <w:lastRenderedPageBreak/>
              <w:t>7.</w:t>
            </w:r>
            <w:r>
              <w:rPr>
                <w:b/>
              </w:rPr>
              <w:tab/>
              <w:t>Confidentiality</w:t>
            </w:r>
          </w:p>
        </w:tc>
        <w:tc>
          <w:tcPr>
            <w:tcW w:w="7110" w:type="dxa"/>
            <w:gridSpan w:val="2"/>
          </w:tcPr>
          <w:p w14:paraId="0BB31DDF" w14:textId="77777777" w:rsidR="00C830DA" w:rsidRDefault="00C830DA" w:rsidP="00006185">
            <w:pPr>
              <w:spacing w:after="200"/>
              <w:ind w:left="-18"/>
              <w:jc w:val="both"/>
            </w:pPr>
            <w:r>
              <w:t>The Consultants shall not, during the term of this Contract and within two years after its expiration, disclose any proprietary or confidential information relating to the Services, this Contract or the Client's business or operations without the prior written consent of the Client.</w:t>
            </w:r>
          </w:p>
        </w:tc>
      </w:tr>
      <w:tr w:rsidR="00C830DA" w14:paraId="54CB543B" w14:textId="77777777" w:rsidTr="00006185">
        <w:trPr>
          <w:gridAfter w:val="1"/>
          <w:wAfter w:w="20" w:type="dxa"/>
        </w:trPr>
        <w:tc>
          <w:tcPr>
            <w:tcW w:w="2160" w:type="dxa"/>
            <w:gridSpan w:val="3"/>
          </w:tcPr>
          <w:p w14:paraId="62622EF2" w14:textId="77777777" w:rsidR="00C830DA" w:rsidRDefault="00C830DA" w:rsidP="00006185">
            <w:pPr>
              <w:tabs>
                <w:tab w:val="left" w:pos="360"/>
              </w:tabs>
              <w:ind w:left="360" w:hanging="360"/>
              <w:rPr>
                <w:b/>
              </w:rPr>
            </w:pPr>
            <w:r>
              <w:rPr>
                <w:b/>
              </w:rPr>
              <w:t>8.</w:t>
            </w:r>
            <w:r>
              <w:rPr>
                <w:b/>
              </w:rPr>
              <w:tab/>
              <w:t>Ownership of Material</w:t>
            </w:r>
          </w:p>
        </w:tc>
        <w:tc>
          <w:tcPr>
            <w:tcW w:w="7110" w:type="dxa"/>
            <w:gridSpan w:val="2"/>
          </w:tcPr>
          <w:p w14:paraId="6BAFDD57" w14:textId="77777777" w:rsidR="00C830DA" w:rsidRDefault="00C830DA" w:rsidP="00006185">
            <w:pPr>
              <w:spacing w:after="200"/>
              <w:ind w:left="-18"/>
              <w:jc w:val="both"/>
            </w:pPr>
            <w:r>
              <w:t>Any studies reports or other material, graphic, software or otherwise, prepared by the Consultant for the Client under the Contract shall belong to and remain the property of the Client.  The Consultant may retain a copy of such documents and software.</w:t>
            </w:r>
            <w:r>
              <w:rPr>
                <w:rStyle w:val="FootnoteReference"/>
              </w:rPr>
              <w:footnoteReference w:customMarkFollows="1" w:id="2"/>
              <w:t>2</w:t>
            </w:r>
          </w:p>
        </w:tc>
      </w:tr>
      <w:tr w:rsidR="00C830DA" w:rsidRPr="0095608F" w14:paraId="66AB5946" w14:textId="77777777" w:rsidTr="00006185">
        <w:tblPrEx>
          <w:tblCellMar>
            <w:left w:w="115" w:type="dxa"/>
            <w:right w:w="115" w:type="dxa"/>
          </w:tblCellMar>
        </w:tblPrEx>
        <w:trPr>
          <w:gridAfter w:val="1"/>
          <w:wAfter w:w="20" w:type="dxa"/>
        </w:trPr>
        <w:tc>
          <w:tcPr>
            <w:tcW w:w="2146" w:type="dxa"/>
            <w:gridSpan w:val="2"/>
          </w:tcPr>
          <w:p w14:paraId="176B3E91" w14:textId="77777777" w:rsidR="00C830DA" w:rsidRDefault="00C830DA" w:rsidP="00006185">
            <w:pPr>
              <w:pStyle w:val="Section8Heading2"/>
              <w:numPr>
                <w:ilvl w:val="0"/>
                <w:numId w:val="0"/>
              </w:numPr>
              <w:ind w:left="331" w:hanging="331"/>
            </w:pPr>
            <w:r>
              <w:t xml:space="preserve">9.Conflict of Interests </w:t>
            </w:r>
          </w:p>
        </w:tc>
        <w:tc>
          <w:tcPr>
            <w:tcW w:w="7124" w:type="dxa"/>
            <w:gridSpan w:val="3"/>
          </w:tcPr>
          <w:p w14:paraId="084C0012" w14:textId="77777777" w:rsidR="00C830DA" w:rsidRPr="0095608F" w:rsidRDefault="00C830DA" w:rsidP="00006185">
            <w:pPr>
              <w:spacing w:after="200"/>
              <w:ind w:left="7" w:right="-25" w:hanging="7"/>
              <w:jc w:val="both"/>
            </w:pPr>
            <w:r>
              <w:t>9.1</w:t>
            </w:r>
            <w:r>
              <w:tab/>
            </w:r>
            <w:r w:rsidRPr="0095608F">
              <w:t>The Consultant shall hold the Client’s interests paramount, without any consideration for future work, and strictly avoid conflict with other assignments or their own corporate interests.</w:t>
            </w:r>
          </w:p>
        </w:tc>
      </w:tr>
      <w:tr w:rsidR="00C830DA" w:rsidRPr="0095608F" w14:paraId="23FF2F63" w14:textId="77777777" w:rsidTr="00006185">
        <w:tblPrEx>
          <w:jc w:val="center"/>
        </w:tblPrEx>
        <w:trPr>
          <w:gridBefore w:val="1"/>
          <w:wBefore w:w="20" w:type="dxa"/>
          <w:jc w:val="center"/>
        </w:trPr>
        <w:tc>
          <w:tcPr>
            <w:tcW w:w="2159" w:type="dxa"/>
            <w:gridSpan w:val="3"/>
          </w:tcPr>
          <w:p w14:paraId="568CCF1C" w14:textId="77777777" w:rsidR="00C830DA" w:rsidRDefault="00C830DA" w:rsidP="00006185">
            <w:pPr>
              <w:pStyle w:val="Section8Heading3"/>
              <w:ind w:left="341" w:hanging="341"/>
            </w:pPr>
            <w:r>
              <w:t>a.</w:t>
            </w:r>
            <w:r>
              <w:tab/>
              <w:t xml:space="preserve">Consultant Not to Benefit from </w:t>
            </w:r>
            <w:r>
              <w:rPr>
                <w:spacing w:val="-4"/>
              </w:rPr>
              <w:t>Commissions,</w:t>
            </w:r>
            <w:r>
              <w:rPr>
                <w:spacing w:val="-8"/>
              </w:rPr>
              <w:t xml:space="preserve"> Discounts, etc.</w:t>
            </w:r>
          </w:p>
        </w:tc>
        <w:tc>
          <w:tcPr>
            <w:tcW w:w="7111" w:type="dxa"/>
            <w:gridSpan w:val="2"/>
          </w:tcPr>
          <w:p w14:paraId="72F24899" w14:textId="77777777" w:rsidR="00C830DA" w:rsidRPr="0095608F" w:rsidRDefault="00C830DA" w:rsidP="00006185">
            <w:pPr>
              <w:spacing w:after="200"/>
              <w:ind w:right="-17"/>
              <w:jc w:val="both"/>
            </w:pPr>
            <w:r>
              <w:t>9.1.1</w:t>
            </w:r>
            <w:r>
              <w:tab/>
            </w:r>
            <w:r w:rsidRPr="0095608F">
              <w:t xml:space="preserve">The payment of the Consultant pursuant to </w:t>
            </w:r>
            <w:r>
              <w:t xml:space="preserve">the Contract </w:t>
            </w:r>
            <w:r w:rsidRPr="0095608F">
              <w:t xml:space="preserve">shall constitute the Consultant’s only payment in connection with this Contract and, subject to </w:t>
            </w:r>
            <w:r w:rsidRPr="003278A1">
              <w:t xml:space="preserve">Clause </w:t>
            </w:r>
            <w:r>
              <w:t>9</w:t>
            </w:r>
            <w:r w:rsidRPr="003278A1">
              <w:t>.1.3, the</w:t>
            </w:r>
            <w:r w:rsidRPr="0095608F">
              <w:t xml:space="preserve"> Consultant shall not accept for its own benefit any trade commission, discount or similar payment in connection with activities pursuant to this Contract or in the discharge of its obligations hereunder, and the Consultant shall use its best efforts to ensure that any Sub-</w:t>
            </w:r>
            <w:r>
              <w:t>c</w:t>
            </w:r>
            <w:r w:rsidRPr="0095608F">
              <w:t xml:space="preserve">onsultants, as well as the </w:t>
            </w:r>
            <w:r>
              <w:t>E</w:t>
            </w:r>
            <w:r w:rsidRPr="0095608F">
              <w:t>xperts and agents of either of them, similarly shall not receive any such additional payment.</w:t>
            </w:r>
          </w:p>
          <w:p w14:paraId="53D81735" w14:textId="77777777" w:rsidR="00C830DA" w:rsidRPr="0095608F" w:rsidRDefault="00C830DA" w:rsidP="00006185">
            <w:pPr>
              <w:spacing w:after="200"/>
              <w:ind w:right="-17"/>
              <w:jc w:val="both"/>
            </w:pPr>
            <w:r>
              <w:t>9.1.2</w:t>
            </w:r>
            <w:r>
              <w:tab/>
            </w:r>
            <w:r w:rsidRPr="0095608F">
              <w:t xml:space="preserve">Furthermore, if the Consultant, as part of the Services, has the responsibility of advising the Client on the procurement of goods, works or services, the Consultant shall comply with the Bank’s </w:t>
            </w:r>
            <w:r>
              <w:t>Applicable G</w:t>
            </w:r>
            <w:r w:rsidRPr="0095608F">
              <w:t>uidelines, and shall at all times exercise such responsibility in th</w:t>
            </w:r>
            <w:r>
              <w:t xml:space="preserve">e best interest of the Client. </w:t>
            </w:r>
            <w:r w:rsidRPr="0095608F">
              <w:t>Any discounts or commissions obtained by the Consultant</w:t>
            </w:r>
            <w:bookmarkStart w:id="1" w:name="_GoBack"/>
            <w:bookmarkEnd w:id="1"/>
            <w:r w:rsidRPr="0095608F">
              <w:t xml:space="preserve"> in the exercise of such procurement responsibility shall be for the account of the Client.</w:t>
            </w:r>
          </w:p>
        </w:tc>
      </w:tr>
      <w:tr w:rsidR="00C830DA" w:rsidRPr="0095608F" w14:paraId="7EAA9335" w14:textId="77777777" w:rsidTr="00006185">
        <w:tblPrEx>
          <w:jc w:val="center"/>
        </w:tblPrEx>
        <w:trPr>
          <w:gridBefore w:val="1"/>
          <w:wBefore w:w="20" w:type="dxa"/>
          <w:jc w:val="center"/>
        </w:trPr>
        <w:tc>
          <w:tcPr>
            <w:tcW w:w="2159" w:type="dxa"/>
            <w:gridSpan w:val="3"/>
          </w:tcPr>
          <w:p w14:paraId="0FC9A85C" w14:textId="77777777" w:rsidR="00C830DA" w:rsidRPr="00077B62" w:rsidRDefault="00C830DA" w:rsidP="00006185">
            <w:pPr>
              <w:pStyle w:val="Section8Heading3"/>
              <w:ind w:left="341" w:hanging="341"/>
              <w:rPr>
                <w:spacing w:val="-4"/>
              </w:rPr>
            </w:pPr>
            <w:r w:rsidRPr="00077B62">
              <w:rPr>
                <w:spacing w:val="-4"/>
              </w:rPr>
              <w:t>b</w:t>
            </w:r>
            <w:r>
              <w:rPr>
                <w:spacing w:val="-4"/>
              </w:rPr>
              <w:t>.</w:t>
            </w:r>
            <w:r w:rsidRPr="00077B62">
              <w:rPr>
                <w:spacing w:val="-4"/>
              </w:rPr>
              <w:tab/>
              <w:t>Consultant and Affiliates Not to Engage in Certain Activities</w:t>
            </w:r>
          </w:p>
        </w:tc>
        <w:tc>
          <w:tcPr>
            <w:tcW w:w="7111" w:type="dxa"/>
            <w:gridSpan w:val="2"/>
          </w:tcPr>
          <w:p w14:paraId="464C7829" w14:textId="77777777" w:rsidR="00C830DA" w:rsidRPr="0095608F" w:rsidRDefault="00C830DA" w:rsidP="00006185">
            <w:pPr>
              <w:spacing w:after="200"/>
              <w:jc w:val="both"/>
            </w:pPr>
            <w:r>
              <w:t>9.1.3</w:t>
            </w:r>
            <w:r>
              <w:tab/>
            </w:r>
            <w:r w:rsidRPr="0095608F">
              <w:t>The Consultant agrees that, during the term of this Contract and after its termination, the Consultant and any entity affiliated with the Consultant, as well as any Sub-</w:t>
            </w:r>
            <w:r>
              <w:t>c</w:t>
            </w:r>
            <w:r w:rsidRPr="0095608F">
              <w:t>onsultants and any entity affiliated with such Sub-</w:t>
            </w:r>
            <w:r>
              <w:t>c</w:t>
            </w:r>
            <w:r w:rsidRPr="0095608F">
              <w:t xml:space="preserve">onsultants, </w:t>
            </w:r>
            <w:r>
              <w:t>[</w:t>
            </w:r>
            <w:r>
              <w:rPr>
                <w:i/>
              </w:rPr>
              <w:t>select: “</w:t>
            </w:r>
            <w:r w:rsidRPr="0095608F">
              <w:t>shall</w:t>
            </w:r>
            <w:r>
              <w:t xml:space="preserve">” </w:t>
            </w:r>
            <w:r w:rsidRPr="00E43071">
              <w:rPr>
                <w:i/>
              </w:rPr>
              <w:t>OR</w:t>
            </w:r>
            <w:r>
              <w:t xml:space="preserve"> “will not”</w:t>
            </w:r>
            <w:r>
              <w:rPr>
                <w:i/>
              </w:rPr>
              <w:t>]</w:t>
            </w:r>
            <w:r w:rsidRPr="0095608F">
              <w:t xml:space="preserve"> be disqualified from providing goods, works or </w:t>
            </w:r>
            <w:r w:rsidRPr="00FA700A">
              <w:t>non-consulting</w:t>
            </w:r>
            <w:r w:rsidRPr="0095608F">
              <w:t xml:space="preserve"> services resulting from or directly related to the Consultant’s Services for the preparation or implementation of the project</w:t>
            </w:r>
            <w:r>
              <w:t>.</w:t>
            </w:r>
          </w:p>
        </w:tc>
      </w:tr>
      <w:tr w:rsidR="00C830DA" w:rsidRPr="006D52D9" w14:paraId="073933B1" w14:textId="77777777" w:rsidTr="00006185">
        <w:tblPrEx>
          <w:jc w:val="center"/>
        </w:tblPrEx>
        <w:trPr>
          <w:gridBefore w:val="1"/>
          <w:wBefore w:w="20" w:type="dxa"/>
          <w:jc w:val="center"/>
        </w:trPr>
        <w:tc>
          <w:tcPr>
            <w:tcW w:w="2159" w:type="dxa"/>
            <w:gridSpan w:val="3"/>
          </w:tcPr>
          <w:p w14:paraId="70DE620B" w14:textId="77777777" w:rsidR="00C830DA" w:rsidRPr="00077B62" w:rsidRDefault="00C830DA" w:rsidP="00006185">
            <w:pPr>
              <w:pStyle w:val="Section8Heading3"/>
              <w:ind w:left="341" w:hanging="341"/>
              <w:rPr>
                <w:spacing w:val="-4"/>
              </w:rPr>
            </w:pPr>
            <w:r w:rsidRPr="00077B62">
              <w:rPr>
                <w:spacing w:val="-4"/>
              </w:rPr>
              <w:t>c</w:t>
            </w:r>
            <w:r>
              <w:rPr>
                <w:spacing w:val="-4"/>
              </w:rPr>
              <w:t>.</w:t>
            </w:r>
            <w:r w:rsidRPr="00077B62">
              <w:rPr>
                <w:spacing w:val="-4"/>
              </w:rPr>
              <w:tab/>
              <w:t xml:space="preserve">Prohibition of Conflicting </w:t>
            </w:r>
            <w:r w:rsidRPr="00077B62">
              <w:rPr>
                <w:spacing w:val="-4"/>
              </w:rPr>
              <w:lastRenderedPageBreak/>
              <w:t>Activities</w:t>
            </w:r>
          </w:p>
        </w:tc>
        <w:tc>
          <w:tcPr>
            <w:tcW w:w="7111" w:type="dxa"/>
            <w:gridSpan w:val="2"/>
          </w:tcPr>
          <w:p w14:paraId="1E6441B3" w14:textId="77777777" w:rsidR="00C830DA" w:rsidRPr="000671C7" w:rsidRDefault="00C830DA" w:rsidP="00006185">
            <w:pPr>
              <w:pStyle w:val="BodyText2"/>
              <w:spacing w:after="200"/>
              <w:rPr>
                <w:lang w:val="en-US" w:eastAsia="en-US"/>
              </w:rPr>
            </w:pPr>
            <w:r w:rsidRPr="000671C7">
              <w:rPr>
                <w:lang w:val="en-US" w:eastAsia="en-US"/>
              </w:rPr>
              <w:lastRenderedPageBreak/>
              <w:t>9.1.4</w:t>
            </w:r>
            <w:r w:rsidRPr="000671C7">
              <w:rPr>
                <w:lang w:val="en-US" w:eastAsia="en-US"/>
              </w:rPr>
              <w:tab/>
              <w:t xml:space="preserve">The Consultant shall not engage, and shall cause its Experts as </w:t>
            </w:r>
            <w:r w:rsidRPr="000671C7">
              <w:rPr>
                <w:lang w:val="en-US" w:eastAsia="en-US"/>
              </w:rPr>
              <w:lastRenderedPageBreak/>
              <w:t>well as its Sub-</w:t>
            </w:r>
            <w:r w:rsidRPr="000671C7">
              <w:rPr>
                <w:sz w:val="28"/>
                <w:lang w:val="en-US" w:eastAsia="en-US"/>
              </w:rPr>
              <w:t>consultants not to engage, either directly or indirectly, in any business or professional activities that would conflict with the activities assigned to them under this Contract.</w:t>
            </w:r>
          </w:p>
        </w:tc>
      </w:tr>
      <w:tr w:rsidR="00C830DA" w:rsidRPr="00113BB1" w14:paraId="35BE60EB" w14:textId="77777777" w:rsidTr="00006185">
        <w:tblPrEx>
          <w:jc w:val="center"/>
        </w:tblPrEx>
        <w:trPr>
          <w:gridBefore w:val="1"/>
          <w:wBefore w:w="20" w:type="dxa"/>
          <w:jc w:val="center"/>
        </w:trPr>
        <w:tc>
          <w:tcPr>
            <w:tcW w:w="2159" w:type="dxa"/>
            <w:gridSpan w:val="3"/>
          </w:tcPr>
          <w:p w14:paraId="3880C19A" w14:textId="77777777" w:rsidR="00C830DA" w:rsidRPr="00077B62" w:rsidRDefault="00C830DA" w:rsidP="00006185">
            <w:pPr>
              <w:pStyle w:val="Section8Heading3"/>
              <w:ind w:left="341" w:hanging="341"/>
              <w:rPr>
                <w:spacing w:val="-4"/>
              </w:rPr>
            </w:pPr>
            <w:r w:rsidRPr="00077B62">
              <w:rPr>
                <w:spacing w:val="-4"/>
              </w:rPr>
              <w:lastRenderedPageBreak/>
              <w:t>d</w:t>
            </w:r>
            <w:r>
              <w:rPr>
                <w:spacing w:val="-4"/>
              </w:rPr>
              <w:t>.</w:t>
            </w:r>
            <w:r w:rsidRPr="00077B62">
              <w:rPr>
                <w:spacing w:val="-4"/>
              </w:rPr>
              <w:tab/>
              <w:t>Strict Duty to Disclose Conflicting Activities</w:t>
            </w:r>
          </w:p>
        </w:tc>
        <w:tc>
          <w:tcPr>
            <w:tcW w:w="7111" w:type="dxa"/>
            <w:gridSpan w:val="2"/>
          </w:tcPr>
          <w:p w14:paraId="3E90028B" w14:textId="77777777" w:rsidR="00C830DA" w:rsidRPr="000671C7" w:rsidRDefault="00C830DA" w:rsidP="00006185">
            <w:pPr>
              <w:pStyle w:val="BodyText2"/>
              <w:spacing w:after="200"/>
              <w:rPr>
                <w:lang w:val="en-US" w:eastAsia="en-US"/>
              </w:rPr>
            </w:pPr>
            <w:r w:rsidRPr="000671C7">
              <w:rPr>
                <w:lang w:val="en-US" w:eastAsia="en-US"/>
              </w:rPr>
              <w:t>9.1.5</w:t>
            </w:r>
            <w:r w:rsidRPr="000671C7">
              <w:rPr>
                <w:lang w:val="en-US" w:eastAsia="en-US"/>
              </w:rPr>
              <w:tab/>
              <w:t>The Consultant has an obligation and shall ensure that its Experts and Sub-consultants shall have an obligation to disclose any situation of actual or potential conflict that impacts their capacity to serve the best interest of their Client, or that may reasonably be perceived as having this effect. Failure to disclose said situations may lead to the disqualification of the Consultant or the termination of its Contract.</w:t>
            </w:r>
          </w:p>
        </w:tc>
      </w:tr>
      <w:tr w:rsidR="00C830DA" w:rsidRPr="00400228" w14:paraId="64C77134" w14:textId="77777777" w:rsidTr="00006185">
        <w:trPr>
          <w:gridAfter w:val="1"/>
          <w:wAfter w:w="20" w:type="dxa"/>
        </w:trPr>
        <w:tc>
          <w:tcPr>
            <w:tcW w:w="2160" w:type="dxa"/>
            <w:gridSpan w:val="3"/>
          </w:tcPr>
          <w:p w14:paraId="6398E9B7" w14:textId="77777777" w:rsidR="00C830DA" w:rsidRPr="00400228" w:rsidRDefault="00C830DA" w:rsidP="00006185">
            <w:pPr>
              <w:ind w:left="342" w:hanging="342"/>
              <w:rPr>
                <w:b/>
              </w:rPr>
            </w:pPr>
            <w:r w:rsidRPr="00400228">
              <w:rPr>
                <w:b/>
              </w:rPr>
              <w:t>10.</w:t>
            </w:r>
            <w:r w:rsidRPr="00400228">
              <w:rPr>
                <w:b/>
              </w:rPr>
              <w:tab/>
              <w:t>Insurance</w:t>
            </w:r>
          </w:p>
        </w:tc>
        <w:tc>
          <w:tcPr>
            <w:tcW w:w="7110" w:type="dxa"/>
            <w:gridSpan w:val="2"/>
          </w:tcPr>
          <w:p w14:paraId="7C4B0338" w14:textId="77777777" w:rsidR="00C830DA" w:rsidRPr="00400228" w:rsidRDefault="00C830DA" w:rsidP="00006185">
            <w:pPr>
              <w:tabs>
                <w:tab w:val="left" w:pos="720"/>
                <w:tab w:val="left" w:pos="1080"/>
                <w:tab w:val="left" w:pos="1350"/>
              </w:tabs>
              <w:spacing w:after="200"/>
              <w:jc w:val="both"/>
            </w:pPr>
            <w:r w:rsidRPr="00400228">
              <w:t>The Consultant will be responsible for taking out any appropriate insurance coverage.</w:t>
            </w:r>
          </w:p>
        </w:tc>
      </w:tr>
      <w:tr w:rsidR="00C830DA" w:rsidRPr="00400228" w14:paraId="321F333F" w14:textId="77777777" w:rsidTr="00006185">
        <w:trPr>
          <w:gridAfter w:val="1"/>
          <w:wAfter w:w="20" w:type="dxa"/>
        </w:trPr>
        <w:tc>
          <w:tcPr>
            <w:tcW w:w="2160" w:type="dxa"/>
            <w:gridSpan w:val="3"/>
          </w:tcPr>
          <w:p w14:paraId="524ECD74" w14:textId="77777777" w:rsidR="00C830DA" w:rsidRPr="00400228" w:rsidRDefault="00C830DA" w:rsidP="00006185">
            <w:pPr>
              <w:ind w:left="342" w:hanging="342"/>
              <w:rPr>
                <w:b/>
              </w:rPr>
            </w:pPr>
            <w:r w:rsidRPr="00400228">
              <w:rPr>
                <w:b/>
              </w:rPr>
              <w:t>11.</w:t>
            </w:r>
            <w:r w:rsidRPr="00400228">
              <w:rPr>
                <w:b/>
              </w:rPr>
              <w:tab/>
              <w:t>Assignment</w:t>
            </w:r>
          </w:p>
        </w:tc>
        <w:tc>
          <w:tcPr>
            <w:tcW w:w="7110" w:type="dxa"/>
            <w:gridSpan w:val="2"/>
          </w:tcPr>
          <w:p w14:paraId="342CB4C2" w14:textId="77777777" w:rsidR="00C830DA" w:rsidRPr="00400228" w:rsidRDefault="00C830DA" w:rsidP="00006185">
            <w:pPr>
              <w:tabs>
                <w:tab w:val="left" w:pos="0"/>
                <w:tab w:val="left" w:pos="720"/>
                <w:tab w:val="left" w:pos="1080"/>
              </w:tabs>
              <w:spacing w:after="200"/>
              <w:jc w:val="both"/>
            </w:pPr>
            <w:r w:rsidRPr="00400228">
              <w:t>The Consultant shall not assign this Contract or Subcontract any portion of it without the Client's prior written consent.</w:t>
            </w:r>
          </w:p>
        </w:tc>
      </w:tr>
      <w:tr w:rsidR="00C830DA" w:rsidRPr="00400228" w14:paraId="6411EC86" w14:textId="77777777" w:rsidTr="00006185">
        <w:trPr>
          <w:gridAfter w:val="1"/>
          <w:wAfter w:w="20" w:type="dxa"/>
        </w:trPr>
        <w:tc>
          <w:tcPr>
            <w:tcW w:w="2160" w:type="dxa"/>
            <w:gridSpan w:val="3"/>
          </w:tcPr>
          <w:p w14:paraId="71FDB746" w14:textId="77777777" w:rsidR="00C830DA" w:rsidRPr="00400228" w:rsidRDefault="00C830DA" w:rsidP="00006185">
            <w:pPr>
              <w:ind w:left="342" w:hanging="342"/>
              <w:rPr>
                <w:b/>
              </w:rPr>
            </w:pPr>
            <w:r w:rsidRPr="00400228">
              <w:rPr>
                <w:b/>
              </w:rPr>
              <w:t>12.</w:t>
            </w:r>
            <w:r w:rsidRPr="00400228">
              <w:rPr>
                <w:b/>
              </w:rPr>
              <w:tab/>
              <w:t>Law Governing Contract and Language</w:t>
            </w:r>
          </w:p>
          <w:p w14:paraId="2D6CEBE5" w14:textId="77777777" w:rsidR="00C830DA" w:rsidRPr="00400228" w:rsidRDefault="00C830DA" w:rsidP="00006185">
            <w:pPr>
              <w:ind w:left="342" w:hanging="342"/>
              <w:rPr>
                <w:b/>
              </w:rPr>
            </w:pPr>
          </w:p>
        </w:tc>
        <w:tc>
          <w:tcPr>
            <w:tcW w:w="7110" w:type="dxa"/>
            <w:gridSpan w:val="2"/>
          </w:tcPr>
          <w:p w14:paraId="46A28695" w14:textId="77777777" w:rsidR="00C830DA" w:rsidRPr="00400228" w:rsidRDefault="00C830DA" w:rsidP="00006185">
            <w:pPr>
              <w:tabs>
                <w:tab w:val="left" w:pos="720"/>
                <w:tab w:val="left" w:pos="1080"/>
                <w:tab w:val="left" w:pos="1350"/>
              </w:tabs>
              <w:jc w:val="both"/>
            </w:pPr>
            <w:r w:rsidRPr="00400228">
              <w:t xml:space="preserve">The Contract shall be governed by the laws of </w:t>
            </w:r>
            <w:r w:rsidRPr="00400228">
              <w:rPr>
                <w:i/>
                <w:sz w:val="20"/>
              </w:rPr>
              <w:t>[insert government]</w:t>
            </w:r>
            <w:r w:rsidRPr="00400228">
              <w:t xml:space="preserve">, and the language of the Contract shall </w:t>
            </w:r>
            <w:proofErr w:type="gramStart"/>
            <w:r w:rsidRPr="00400228">
              <w:t>be</w:t>
            </w:r>
            <w:r w:rsidRPr="00400228">
              <w:rPr>
                <w:vertAlign w:val="superscript"/>
              </w:rPr>
              <w:footnoteReference w:customMarkFollows="1" w:id="3"/>
              <w:t>4</w:t>
            </w:r>
            <w:r w:rsidRPr="00400228">
              <w:rPr>
                <w:i/>
                <w:sz w:val="20"/>
              </w:rPr>
              <w:t>[</w:t>
            </w:r>
            <w:proofErr w:type="gramEnd"/>
            <w:r w:rsidRPr="00400228">
              <w:rPr>
                <w:i/>
                <w:sz w:val="20"/>
              </w:rPr>
              <w:t>insert language].</w:t>
            </w:r>
          </w:p>
        </w:tc>
      </w:tr>
      <w:tr w:rsidR="00C830DA" w:rsidRPr="00400228" w14:paraId="62DF0FCA" w14:textId="77777777" w:rsidTr="00006185">
        <w:trPr>
          <w:gridAfter w:val="1"/>
          <w:wAfter w:w="20" w:type="dxa"/>
          <w:cantSplit/>
        </w:trPr>
        <w:tc>
          <w:tcPr>
            <w:tcW w:w="2160" w:type="dxa"/>
            <w:gridSpan w:val="3"/>
          </w:tcPr>
          <w:p w14:paraId="1EABCE30" w14:textId="77777777" w:rsidR="00C830DA" w:rsidRPr="00400228" w:rsidRDefault="00C830DA" w:rsidP="00006185">
            <w:pPr>
              <w:tabs>
                <w:tab w:val="left" w:pos="360"/>
              </w:tabs>
              <w:ind w:left="360" w:hanging="360"/>
              <w:rPr>
                <w:bCs/>
              </w:rPr>
            </w:pPr>
            <w:r w:rsidRPr="00400228">
              <w:rPr>
                <w:b/>
              </w:rPr>
              <w:lastRenderedPageBreak/>
              <w:t>13.</w:t>
            </w:r>
            <w:r w:rsidRPr="00400228">
              <w:rPr>
                <w:b/>
              </w:rPr>
              <w:tab/>
              <w:t>Dispute Resolution</w:t>
            </w:r>
            <w:r w:rsidRPr="00400228">
              <w:rPr>
                <w:bCs/>
                <w:vertAlign w:val="superscript"/>
              </w:rPr>
              <w:footnoteReference w:customMarkFollows="1" w:id="4"/>
              <w:t>5</w:t>
            </w:r>
          </w:p>
          <w:p w14:paraId="4011C46E" w14:textId="77777777" w:rsidR="00C830DA" w:rsidRPr="00400228" w:rsidRDefault="00C830DA" w:rsidP="00006185">
            <w:pPr>
              <w:tabs>
                <w:tab w:val="left" w:pos="360"/>
              </w:tabs>
              <w:ind w:left="360" w:hanging="360"/>
              <w:rPr>
                <w:b/>
              </w:rPr>
            </w:pPr>
          </w:p>
          <w:p w14:paraId="04A98442" w14:textId="77777777" w:rsidR="00C830DA" w:rsidRPr="00400228" w:rsidRDefault="00C830DA" w:rsidP="00006185">
            <w:pPr>
              <w:tabs>
                <w:tab w:val="left" w:pos="360"/>
              </w:tabs>
              <w:ind w:left="360" w:hanging="360"/>
              <w:rPr>
                <w:b/>
              </w:rPr>
            </w:pPr>
          </w:p>
          <w:p w14:paraId="764398B6" w14:textId="77777777" w:rsidR="00C830DA" w:rsidRPr="00400228" w:rsidRDefault="00C830DA" w:rsidP="00006185">
            <w:pPr>
              <w:tabs>
                <w:tab w:val="left" w:pos="360"/>
              </w:tabs>
              <w:ind w:left="360" w:hanging="360"/>
              <w:rPr>
                <w:b/>
              </w:rPr>
            </w:pPr>
            <w:r w:rsidRPr="00400228">
              <w:rPr>
                <w:b/>
              </w:rPr>
              <w:t>14.  Termination</w:t>
            </w:r>
          </w:p>
          <w:p w14:paraId="1A467BED" w14:textId="77777777" w:rsidR="00C830DA" w:rsidRPr="00400228" w:rsidRDefault="00C830DA" w:rsidP="00006185">
            <w:pPr>
              <w:tabs>
                <w:tab w:val="left" w:pos="360"/>
              </w:tabs>
              <w:ind w:left="360" w:hanging="360"/>
              <w:rPr>
                <w:b/>
              </w:rPr>
            </w:pPr>
          </w:p>
          <w:p w14:paraId="1D0CE5AD" w14:textId="77777777" w:rsidR="00C830DA" w:rsidRPr="00400228" w:rsidRDefault="00C830DA" w:rsidP="00006185">
            <w:pPr>
              <w:tabs>
                <w:tab w:val="left" w:pos="360"/>
              </w:tabs>
              <w:ind w:left="360" w:hanging="360"/>
              <w:rPr>
                <w:b/>
              </w:rPr>
            </w:pPr>
          </w:p>
          <w:p w14:paraId="12D3E8A1" w14:textId="77777777" w:rsidR="00C830DA" w:rsidRPr="00400228" w:rsidRDefault="00C830DA" w:rsidP="00006185">
            <w:pPr>
              <w:tabs>
                <w:tab w:val="left" w:pos="360"/>
              </w:tabs>
              <w:ind w:left="360" w:hanging="360"/>
              <w:rPr>
                <w:b/>
              </w:rPr>
            </w:pPr>
          </w:p>
          <w:p w14:paraId="6690269A" w14:textId="77777777" w:rsidR="00C830DA" w:rsidRPr="00400228" w:rsidRDefault="00C830DA" w:rsidP="00006185">
            <w:pPr>
              <w:tabs>
                <w:tab w:val="left" w:pos="360"/>
              </w:tabs>
              <w:ind w:left="360" w:hanging="360"/>
              <w:rPr>
                <w:b/>
              </w:rPr>
            </w:pPr>
          </w:p>
        </w:tc>
        <w:tc>
          <w:tcPr>
            <w:tcW w:w="7110" w:type="dxa"/>
            <w:gridSpan w:val="2"/>
          </w:tcPr>
          <w:p w14:paraId="4325D20A" w14:textId="77777777" w:rsidR="00C830DA" w:rsidRPr="00400228" w:rsidRDefault="00C830DA" w:rsidP="00006185">
            <w:pPr>
              <w:tabs>
                <w:tab w:val="left" w:pos="720"/>
                <w:tab w:val="left" w:pos="1080"/>
                <w:tab w:val="left" w:pos="1350"/>
              </w:tabs>
              <w:jc w:val="both"/>
            </w:pPr>
            <w:r w:rsidRPr="00400228">
              <w:t>Any dispute arising out of this Contract, which cannot be amicably settled between the parties, shall be referred to adjudication/arbitration in accordance with the laws of the Client’s country.</w:t>
            </w:r>
          </w:p>
          <w:p w14:paraId="1CF79949" w14:textId="77777777" w:rsidR="00C830DA" w:rsidRPr="00400228" w:rsidRDefault="00C830DA" w:rsidP="00006185">
            <w:pPr>
              <w:tabs>
                <w:tab w:val="left" w:pos="720"/>
                <w:tab w:val="left" w:pos="1080"/>
                <w:tab w:val="left" w:pos="1350"/>
              </w:tabs>
              <w:jc w:val="both"/>
            </w:pPr>
          </w:p>
          <w:p w14:paraId="61C03C37" w14:textId="77777777" w:rsidR="00C830DA" w:rsidRPr="00400228" w:rsidRDefault="00C830DA" w:rsidP="00006185">
            <w:pPr>
              <w:numPr>
                <w:ilvl w:val="12"/>
                <w:numId w:val="0"/>
              </w:numPr>
              <w:tabs>
                <w:tab w:val="left" w:pos="-720"/>
              </w:tabs>
              <w:suppressAutoHyphens/>
              <w:spacing w:after="220"/>
              <w:jc w:val="both"/>
              <w:rPr>
                <w:spacing w:val="-2"/>
                <w:szCs w:val="20"/>
                <w:lang w:eastAsia="it-IT"/>
              </w:rPr>
            </w:pPr>
            <w:r w:rsidRPr="00400228">
              <w:rPr>
                <w:spacing w:val="-2"/>
                <w:szCs w:val="20"/>
                <w:lang w:eastAsia="it-IT"/>
              </w:rPr>
              <w:t xml:space="preserve">The Client may terminate this Contract with at least ten (10) working days prior written notice to the Consultant after the occurrence of any of the events specified in paragraphs (a) through (d) of this Clause: </w:t>
            </w:r>
          </w:p>
          <w:p w14:paraId="26D2FAC0" w14:textId="77777777" w:rsidR="00C830DA" w:rsidRPr="00400228" w:rsidRDefault="00C830DA" w:rsidP="00006185">
            <w:pPr>
              <w:numPr>
                <w:ilvl w:val="12"/>
                <w:numId w:val="0"/>
              </w:numPr>
              <w:tabs>
                <w:tab w:val="left" w:pos="540"/>
              </w:tabs>
              <w:spacing w:after="220"/>
              <w:ind w:left="547" w:right="-72" w:hanging="547"/>
              <w:jc w:val="both"/>
            </w:pPr>
            <w:r w:rsidRPr="00400228">
              <w:t>(a)</w:t>
            </w:r>
            <w:r w:rsidRPr="00400228">
              <w:tab/>
              <w:t>If the Consultant does not remedy a failure in the performance of its obligations under the Contract within seven (7) working days after being notified, or within any further period as the Client may have subsequently approved in writing;</w:t>
            </w:r>
          </w:p>
          <w:p w14:paraId="06EA5964" w14:textId="77777777" w:rsidR="00C830DA" w:rsidRPr="00400228" w:rsidRDefault="00C830DA" w:rsidP="00006185">
            <w:pPr>
              <w:numPr>
                <w:ilvl w:val="12"/>
                <w:numId w:val="0"/>
              </w:numPr>
              <w:tabs>
                <w:tab w:val="left" w:pos="540"/>
              </w:tabs>
              <w:spacing w:after="220"/>
              <w:ind w:left="547" w:right="-72" w:hanging="547"/>
              <w:jc w:val="both"/>
            </w:pPr>
            <w:r w:rsidRPr="00400228">
              <w:t>(b)</w:t>
            </w:r>
            <w:r w:rsidRPr="00400228">
              <w:tab/>
              <w:t>If the Consultant becomes insolvent or bankrupt;</w:t>
            </w:r>
          </w:p>
          <w:p w14:paraId="6774094C" w14:textId="77777777" w:rsidR="00C830DA" w:rsidRPr="00400228" w:rsidRDefault="00C830DA" w:rsidP="00006185">
            <w:pPr>
              <w:numPr>
                <w:ilvl w:val="12"/>
                <w:numId w:val="0"/>
              </w:numPr>
              <w:tabs>
                <w:tab w:val="left" w:pos="540"/>
              </w:tabs>
              <w:spacing w:after="220"/>
              <w:ind w:left="547" w:right="-72" w:hanging="547"/>
              <w:jc w:val="both"/>
            </w:pPr>
            <w:r w:rsidRPr="00400228">
              <w:t>(c)</w:t>
            </w:r>
            <w:r w:rsidRPr="00400228">
              <w:tab/>
              <w:t>If the Consultant, in the judgment of the Client or the Bank, has engaged in corrupt, fraudulent, collusive, coercive, or obstructive practices (as defined in the prevailing Bank’s sanctions procedures) in competing for or in performing the Contract.</w:t>
            </w:r>
          </w:p>
          <w:p w14:paraId="69959CBF" w14:textId="77777777" w:rsidR="00C830DA" w:rsidRPr="00400228" w:rsidRDefault="00C830DA" w:rsidP="00006185">
            <w:pPr>
              <w:numPr>
                <w:ilvl w:val="12"/>
                <w:numId w:val="0"/>
              </w:numPr>
              <w:tabs>
                <w:tab w:val="left" w:pos="540"/>
              </w:tabs>
              <w:spacing w:after="220"/>
              <w:ind w:left="547" w:right="-72" w:hanging="547"/>
              <w:jc w:val="both"/>
            </w:pPr>
            <w:r w:rsidRPr="00400228">
              <w:t>(d)</w:t>
            </w:r>
            <w:r w:rsidRPr="00400228">
              <w:tab/>
            </w:r>
            <w:r w:rsidRPr="00400228">
              <w:tab/>
              <w:t>If the Client, in its sole discretion and for any reason whatsoever, decides to terminate this Contract.</w:t>
            </w:r>
          </w:p>
          <w:p w14:paraId="2BAB3A0F" w14:textId="77777777" w:rsidR="00C830DA" w:rsidRPr="00400228" w:rsidRDefault="00C830DA" w:rsidP="00006185">
            <w:pPr>
              <w:tabs>
                <w:tab w:val="left" w:pos="720"/>
                <w:tab w:val="left" w:pos="1080"/>
                <w:tab w:val="left" w:pos="1350"/>
              </w:tabs>
              <w:jc w:val="both"/>
            </w:pPr>
          </w:p>
        </w:tc>
      </w:tr>
      <w:tr w:rsidR="00C830DA" w:rsidRPr="00400228" w14:paraId="09F1E9A2" w14:textId="77777777" w:rsidTr="00006185">
        <w:trPr>
          <w:gridAfter w:val="1"/>
          <w:wAfter w:w="20" w:type="dxa"/>
          <w:cantSplit/>
        </w:trPr>
        <w:tc>
          <w:tcPr>
            <w:tcW w:w="2160" w:type="dxa"/>
            <w:gridSpan w:val="3"/>
          </w:tcPr>
          <w:p w14:paraId="226D9705" w14:textId="77777777" w:rsidR="00C830DA" w:rsidRPr="00400228" w:rsidRDefault="00C830DA" w:rsidP="00006185">
            <w:pPr>
              <w:tabs>
                <w:tab w:val="left" w:pos="360"/>
              </w:tabs>
              <w:ind w:left="360" w:hanging="360"/>
              <w:rPr>
                <w:b/>
              </w:rPr>
            </w:pPr>
            <w:r>
              <w:rPr>
                <w:b/>
              </w:rPr>
              <w:t>15. Corrupt and Fraudulent Practices</w:t>
            </w:r>
          </w:p>
        </w:tc>
        <w:tc>
          <w:tcPr>
            <w:tcW w:w="7110" w:type="dxa"/>
            <w:gridSpan w:val="2"/>
          </w:tcPr>
          <w:p w14:paraId="61475E1A" w14:textId="77777777" w:rsidR="00C830DA" w:rsidRPr="00ED2965" w:rsidRDefault="00C830DA" w:rsidP="00006185">
            <w:pPr>
              <w:tabs>
                <w:tab w:val="left" w:pos="720"/>
                <w:tab w:val="left" w:pos="1080"/>
                <w:tab w:val="left" w:pos="1350"/>
              </w:tabs>
              <w:jc w:val="both"/>
            </w:pPr>
            <w:r w:rsidRPr="00ED2965">
              <w:t>15.1 The Bank requires compliance with its policy in regard to corrupt and fraudulent practices as set forth in Attachment 1 to the Contract.</w:t>
            </w:r>
          </w:p>
        </w:tc>
      </w:tr>
    </w:tbl>
    <w:p w14:paraId="209CABB1" w14:textId="77777777" w:rsidR="00C830DA" w:rsidRPr="00400228" w:rsidRDefault="00C830DA" w:rsidP="00C830DA">
      <w:pPr>
        <w:jc w:val="both"/>
      </w:pPr>
    </w:p>
    <w:p w14:paraId="357375DA" w14:textId="77777777" w:rsidR="00C830DA" w:rsidRPr="00400228" w:rsidRDefault="00C830DA" w:rsidP="00C830DA">
      <w:pPr>
        <w:tabs>
          <w:tab w:val="left" w:pos="720"/>
          <w:tab w:val="left" w:pos="5040"/>
        </w:tabs>
        <w:jc w:val="both"/>
      </w:pPr>
    </w:p>
    <w:p w14:paraId="297CE9CA" w14:textId="77777777" w:rsidR="00C830DA" w:rsidRPr="00400228" w:rsidRDefault="00C830DA" w:rsidP="00C830DA">
      <w:pPr>
        <w:tabs>
          <w:tab w:val="left" w:pos="720"/>
          <w:tab w:val="left" w:pos="5040"/>
        </w:tabs>
        <w:jc w:val="both"/>
      </w:pPr>
      <w:r w:rsidRPr="00400228">
        <w:t>FOR THE CLIENT</w:t>
      </w:r>
      <w:r w:rsidRPr="00400228">
        <w:tab/>
        <w:t>FOR THE CONSULTANT</w:t>
      </w:r>
    </w:p>
    <w:p w14:paraId="3821A9B3" w14:textId="77777777" w:rsidR="00C830DA" w:rsidRPr="00400228" w:rsidRDefault="00C830DA" w:rsidP="00C830DA">
      <w:pPr>
        <w:tabs>
          <w:tab w:val="left" w:pos="0"/>
          <w:tab w:val="left" w:pos="720"/>
          <w:tab w:val="left" w:pos="1080"/>
        </w:tabs>
        <w:jc w:val="both"/>
      </w:pPr>
    </w:p>
    <w:p w14:paraId="7E77FE28" w14:textId="77777777" w:rsidR="00C830DA" w:rsidRPr="00400228" w:rsidRDefault="00C830DA" w:rsidP="00C830DA">
      <w:pPr>
        <w:tabs>
          <w:tab w:val="left" w:pos="0"/>
          <w:tab w:val="left" w:pos="720"/>
          <w:tab w:val="left" w:pos="1080"/>
        </w:tabs>
        <w:jc w:val="both"/>
      </w:pPr>
    </w:p>
    <w:p w14:paraId="5C5E4555" w14:textId="77777777" w:rsidR="00C830DA" w:rsidRPr="00400228" w:rsidRDefault="00C830DA" w:rsidP="00C830DA">
      <w:pPr>
        <w:tabs>
          <w:tab w:val="left" w:pos="720"/>
          <w:tab w:val="left" w:pos="5040"/>
        </w:tabs>
        <w:jc w:val="both"/>
      </w:pPr>
      <w:r w:rsidRPr="00400228">
        <w:tab/>
        <w:t>Signed by ____________________</w:t>
      </w:r>
      <w:r w:rsidRPr="00400228">
        <w:tab/>
        <w:t>Signed by ____________________</w:t>
      </w:r>
    </w:p>
    <w:p w14:paraId="2796B103" w14:textId="77777777" w:rsidR="00C830DA" w:rsidRPr="00400228" w:rsidRDefault="00C830DA" w:rsidP="00C830DA">
      <w:pPr>
        <w:tabs>
          <w:tab w:val="left" w:pos="0"/>
          <w:tab w:val="left" w:pos="720"/>
          <w:tab w:val="left" w:pos="1080"/>
        </w:tabs>
        <w:jc w:val="both"/>
      </w:pPr>
    </w:p>
    <w:p w14:paraId="5B117F7A" w14:textId="77777777" w:rsidR="00C830DA" w:rsidRPr="00400228" w:rsidRDefault="00C830DA" w:rsidP="00C830DA">
      <w:pPr>
        <w:tabs>
          <w:tab w:val="left" w:pos="720"/>
          <w:tab w:val="left" w:pos="5040"/>
        </w:tabs>
        <w:jc w:val="both"/>
        <w:rPr>
          <w:spacing w:val="-2"/>
          <w:szCs w:val="20"/>
          <w:lang w:eastAsia="it-IT"/>
        </w:rPr>
      </w:pPr>
      <w:r w:rsidRPr="00400228">
        <w:rPr>
          <w:spacing w:val="-2"/>
          <w:szCs w:val="20"/>
          <w:lang w:eastAsia="it-IT"/>
        </w:rPr>
        <w:tab/>
        <w:t>Title: ________________________</w:t>
      </w:r>
      <w:r w:rsidRPr="00400228">
        <w:rPr>
          <w:spacing w:val="-2"/>
          <w:szCs w:val="20"/>
          <w:lang w:eastAsia="it-IT"/>
        </w:rPr>
        <w:tab/>
        <w:t>Title: ________________________</w:t>
      </w:r>
    </w:p>
    <w:p w14:paraId="49545EC9" w14:textId="77777777" w:rsidR="00C830DA" w:rsidRPr="00400228" w:rsidRDefault="00C830DA" w:rsidP="00C830DA">
      <w:r w:rsidRPr="00400228">
        <w:br w:type="page"/>
      </w:r>
    </w:p>
    <w:p w14:paraId="44C51B56" w14:textId="77777777" w:rsidR="00C830DA" w:rsidRPr="00400228" w:rsidRDefault="00C830DA" w:rsidP="00C830DA">
      <w:pPr>
        <w:tabs>
          <w:tab w:val="left" w:pos="0"/>
          <w:tab w:val="left" w:pos="720"/>
          <w:tab w:val="left" w:pos="1080"/>
        </w:tabs>
        <w:jc w:val="both"/>
      </w:pPr>
    </w:p>
    <w:p w14:paraId="58B695AC" w14:textId="77777777" w:rsidR="00C830DA" w:rsidRDefault="00C830DA" w:rsidP="00C830DA">
      <w:pPr>
        <w:pStyle w:val="A1-Heading1"/>
      </w:pPr>
      <w:r>
        <w:t>Attachment 1: Bank’s Policy – Corrupt and Fraudulent Practices</w:t>
      </w:r>
    </w:p>
    <w:p w14:paraId="6F98C2BF" w14:textId="77777777" w:rsidR="00C830DA" w:rsidRPr="00EC21F1" w:rsidRDefault="00C830DA" w:rsidP="00C830DA">
      <w:pPr>
        <w:rPr>
          <w:iCs/>
        </w:rPr>
      </w:pPr>
      <w:r w:rsidRPr="00EC21F1">
        <w:rPr>
          <w:iCs/>
        </w:rPr>
        <w:t>(</w:t>
      </w:r>
      <w:proofErr w:type="gramStart"/>
      <w:r w:rsidRPr="00EC21F1">
        <w:rPr>
          <w:iCs/>
        </w:rPr>
        <w:t>the</w:t>
      </w:r>
      <w:proofErr w:type="gramEnd"/>
      <w:r w:rsidRPr="00EC21F1">
        <w:rPr>
          <w:iCs/>
        </w:rPr>
        <w:t xml:space="preserve"> text in this Attachment 1 shall not be modified)</w:t>
      </w:r>
    </w:p>
    <w:p w14:paraId="5273FC5E" w14:textId="77777777" w:rsidR="00C830DA" w:rsidRPr="00EC21F1" w:rsidRDefault="00C830DA" w:rsidP="00C830DA">
      <w:pPr>
        <w:rPr>
          <w:i/>
        </w:rPr>
      </w:pPr>
    </w:p>
    <w:p w14:paraId="46A57A0A" w14:textId="77777777" w:rsidR="00C830DA" w:rsidRPr="00EC21F1" w:rsidRDefault="00C830DA" w:rsidP="00C830DA">
      <w:pPr>
        <w:jc w:val="both"/>
        <w:rPr>
          <w:b/>
        </w:rPr>
      </w:pPr>
      <w:r w:rsidRPr="00EC21F1">
        <w:rPr>
          <w:b/>
        </w:rPr>
        <w:t>Guidelines for Selection and Employment of Consultants under IBRD Loans and IDA Credits &amp; Grants by World Bank Borrowers, dated January 2011</w:t>
      </w:r>
      <w:r>
        <w:rPr>
          <w:b/>
        </w:rPr>
        <w:t>, revised July 2014</w:t>
      </w:r>
      <w:r w:rsidRPr="00EC21F1">
        <w:rPr>
          <w:b/>
        </w:rPr>
        <w:t xml:space="preserve">: </w:t>
      </w:r>
    </w:p>
    <w:p w14:paraId="5547ADF2" w14:textId="77777777" w:rsidR="00C830DA" w:rsidRPr="00EC21F1" w:rsidRDefault="00C830DA" w:rsidP="00C830DA">
      <w:pPr>
        <w:jc w:val="both"/>
      </w:pPr>
    </w:p>
    <w:p w14:paraId="39E8EE5D" w14:textId="77777777" w:rsidR="00C830DA" w:rsidRDefault="00C830DA" w:rsidP="00C830DA">
      <w:pPr>
        <w:jc w:val="both"/>
        <w:rPr>
          <w:b/>
        </w:rPr>
      </w:pPr>
      <w:r w:rsidRPr="00EC21F1">
        <w:t>“</w:t>
      </w:r>
      <w:r w:rsidRPr="00EC21F1">
        <w:rPr>
          <w:b/>
        </w:rPr>
        <w:t>Fraud and Corruption</w:t>
      </w:r>
    </w:p>
    <w:p w14:paraId="380D2A45" w14:textId="77777777" w:rsidR="00C830DA" w:rsidRPr="00EC21F1" w:rsidRDefault="00C830DA" w:rsidP="00C830DA">
      <w:pPr>
        <w:jc w:val="both"/>
        <w:rPr>
          <w:b/>
        </w:rPr>
      </w:pPr>
    </w:p>
    <w:p w14:paraId="6C1B73A7" w14:textId="77777777" w:rsidR="00C830DA" w:rsidRPr="00EC21F1" w:rsidRDefault="00C830DA" w:rsidP="00C830DA">
      <w:pPr>
        <w:spacing w:after="200"/>
        <w:jc w:val="both"/>
      </w:pPr>
      <w:r w:rsidRPr="00EC21F1">
        <w:t>1.23 It is the Bank’s policy to require that Borrowers (including beneficiaries of Bank loans), consultants, and their agents (whether declared or not), sub-contractors, sub-consultants, service providers, or suppliers, and any personnel thereof,  observe the highest standard of ethics during the selection and execution of Bank-financed contracts [footnote: In this context, any action taken by a consultant or any of its personnel, or its agents, or its sub-consultants, sub-contractors, services providers, suppliers, and/or their employees, to influence the selection process or contract execution for undue advantage is improper.]. In pursuance of this policy, the Bank:</w:t>
      </w:r>
    </w:p>
    <w:p w14:paraId="7430BEA8" w14:textId="77777777" w:rsidR="00C830DA" w:rsidRPr="00EC21F1" w:rsidRDefault="00C830DA" w:rsidP="00C830DA">
      <w:pPr>
        <w:spacing w:after="200"/>
        <w:ind w:left="360" w:hanging="360"/>
        <w:jc w:val="both"/>
      </w:pPr>
      <w:r w:rsidRPr="00EC21F1">
        <w:t xml:space="preserve">(a) </w:t>
      </w:r>
      <w:r w:rsidRPr="00EC21F1">
        <w:tab/>
      </w:r>
      <w:proofErr w:type="gramStart"/>
      <w:r w:rsidRPr="00EC21F1">
        <w:t>defines</w:t>
      </w:r>
      <w:proofErr w:type="gramEnd"/>
      <w:r w:rsidRPr="00EC21F1">
        <w:t>, for the purposes of this provision, the terms set forth below as follows:</w:t>
      </w:r>
    </w:p>
    <w:p w14:paraId="0D0F2FF1" w14:textId="77777777" w:rsidR="00C830DA" w:rsidRPr="00EC21F1" w:rsidRDefault="00C830DA" w:rsidP="00C830DA">
      <w:pPr>
        <w:pStyle w:val="ListParagraph"/>
        <w:numPr>
          <w:ilvl w:val="0"/>
          <w:numId w:val="2"/>
        </w:numPr>
        <w:spacing w:line="240" w:lineRule="auto"/>
        <w:contextualSpacing w:val="0"/>
        <w:jc w:val="both"/>
      </w:pPr>
      <w:r w:rsidRPr="00EC21F1">
        <w:t>“corrupt practice” is the offering, giving, receiving, or soliciting, directly or indirectly, of anything of value to influence improperly the actions of another party</w:t>
      </w:r>
      <w:r w:rsidRPr="00EC21F1">
        <w:rPr>
          <w:rStyle w:val="FootnoteReference"/>
        </w:rPr>
        <w:footnoteReference w:id="5"/>
      </w:r>
      <w:r w:rsidRPr="00EC21F1">
        <w:t>;</w:t>
      </w:r>
    </w:p>
    <w:p w14:paraId="1AAEDC3D" w14:textId="77777777" w:rsidR="00C830DA" w:rsidRPr="00EC21F1" w:rsidRDefault="00C830DA" w:rsidP="00C830DA">
      <w:pPr>
        <w:pStyle w:val="ListParagraph"/>
        <w:numPr>
          <w:ilvl w:val="0"/>
          <w:numId w:val="2"/>
        </w:numPr>
        <w:spacing w:line="240" w:lineRule="auto"/>
        <w:contextualSpacing w:val="0"/>
        <w:jc w:val="both"/>
      </w:pPr>
      <w:r w:rsidRPr="00EC21F1">
        <w:t>“fraudulent practice” is any act or omission, including misrepresentation, that knowingly or recklessly misleads, or attempts to mislead, a party to obtain financial or other benefit or to avoid an obligation</w:t>
      </w:r>
      <w:r w:rsidRPr="00EC21F1">
        <w:rPr>
          <w:rStyle w:val="FootnoteReference"/>
        </w:rPr>
        <w:footnoteReference w:id="6"/>
      </w:r>
      <w:r w:rsidRPr="00EC21F1">
        <w:t>;</w:t>
      </w:r>
    </w:p>
    <w:p w14:paraId="4143BFAA" w14:textId="77777777" w:rsidR="00C830DA" w:rsidRPr="00EC21F1" w:rsidRDefault="00C830DA" w:rsidP="00C830DA">
      <w:pPr>
        <w:pStyle w:val="ListParagraph"/>
        <w:numPr>
          <w:ilvl w:val="0"/>
          <w:numId w:val="2"/>
        </w:numPr>
        <w:spacing w:line="240" w:lineRule="auto"/>
        <w:contextualSpacing w:val="0"/>
        <w:jc w:val="both"/>
      </w:pPr>
      <w:r w:rsidRPr="00EC21F1">
        <w:t>“collusive practices” is an arrangement between two or more parties designed to achieve an improper purpose, including to influence improperly the actions of another party</w:t>
      </w:r>
      <w:r w:rsidRPr="00EC21F1">
        <w:rPr>
          <w:rStyle w:val="FootnoteReference"/>
        </w:rPr>
        <w:footnoteReference w:id="7"/>
      </w:r>
      <w:r w:rsidRPr="00EC21F1">
        <w:t>;</w:t>
      </w:r>
    </w:p>
    <w:p w14:paraId="5F1CBCBD" w14:textId="77777777" w:rsidR="00C830DA" w:rsidRPr="00EC21F1" w:rsidRDefault="00C830DA" w:rsidP="00C830DA">
      <w:pPr>
        <w:pStyle w:val="ListParagraph"/>
        <w:numPr>
          <w:ilvl w:val="0"/>
          <w:numId w:val="2"/>
        </w:numPr>
        <w:spacing w:line="240" w:lineRule="auto"/>
        <w:contextualSpacing w:val="0"/>
        <w:jc w:val="both"/>
      </w:pPr>
      <w:r w:rsidRPr="00EC21F1">
        <w:t>“coercive practices” is impairing or harming, or threatening to impair or harm, directly or indirectly, any party or the property of the party to influence improperly the actions of a party</w:t>
      </w:r>
      <w:r w:rsidRPr="00EC21F1">
        <w:rPr>
          <w:rStyle w:val="FootnoteReference"/>
        </w:rPr>
        <w:footnoteReference w:id="8"/>
      </w:r>
      <w:r w:rsidRPr="00EC21F1">
        <w:t>;</w:t>
      </w:r>
    </w:p>
    <w:p w14:paraId="6C8192A6" w14:textId="77777777" w:rsidR="00C830DA" w:rsidRPr="00EC21F1" w:rsidRDefault="00C830DA" w:rsidP="00C830DA">
      <w:pPr>
        <w:pStyle w:val="ListParagraph"/>
        <w:numPr>
          <w:ilvl w:val="0"/>
          <w:numId w:val="2"/>
        </w:numPr>
        <w:spacing w:line="240" w:lineRule="auto"/>
        <w:contextualSpacing w:val="0"/>
        <w:jc w:val="both"/>
      </w:pPr>
      <w:r w:rsidRPr="00EC21F1">
        <w:lastRenderedPageBreak/>
        <w:t>“obstructive practice” is</w:t>
      </w:r>
    </w:p>
    <w:p w14:paraId="41E3CB0A" w14:textId="77777777" w:rsidR="00C830DA" w:rsidRPr="00EC21F1" w:rsidRDefault="00C830DA" w:rsidP="00C830DA">
      <w:pPr>
        <w:tabs>
          <w:tab w:val="left" w:pos="1800"/>
        </w:tabs>
        <w:spacing w:after="200"/>
        <w:ind w:left="1440" w:hanging="533"/>
        <w:jc w:val="both"/>
      </w:pPr>
      <w:r w:rsidRPr="00EC21F1">
        <w:t>(aa)</w:t>
      </w:r>
      <w:r w:rsidRPr="00EC21F1">
        <w:tab/>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5AF1054A" w14:textId="77777777" w:rsidR="00C830DA" w:rsidRPr="00EC21F1" w:rsidRDefault="00C830DA" w:rsidP="00C830DA">
      <w:pPr>
        <w:tabs>
          <w:tab w:val="left" w:pos="1800"/>
        </w:tabs>
        <w:spacing w:after="200"/>
        <w:ind w:left="1440" w:hanging="533"/>
        <w:jc w:val="both"/>
      </w:pPr>
      <w:r w:rsidRPr="00EC21F1">
        <w:t>(</w:t>
      </w:r>
      <w:proofErr w:type="gramStart"/>
      <w:r w:rsidRPr="00EC21F1">
        <w:t>bb</w:t>
      </w:r>
      <w:proofErr w:type="gramEnd"/>
      <w:r w:rsidRPr="00EC21F1">
        <w:t>)</w:t>
      </w:r>
      <w:r w:rsidRPr="00EC21F1">
        <w:tab/>
        <w:t>acts intended to materially impede the exercise of the Bank’s inspection and audit rights;</w:t>
      </w:r>
    </w:p>
    <w:p w14:paraId="6B64CCBC" w14:textId="77777777" w:rsidR="00C830DA" w:rsidRPr="00EC21F1" w:rsidRDefault="00C830DA" w:rsidP="00C830DA">
      <w:pPr>
        <w:spacing w:after="200"/>
        <w:ind w:left="360" w:hanging="360"/>
        <w:jc w:val="both"/>
      </w:pPr>
      <w:r w:rsidRPr="00EC21F1">
        <w:t>(b)</w:t>
      </w:r>
      <w:r w:rsidRPr="00EC21F1">
        <w:tab/>
        <w:t>will reject a proposal for award if it determines that the consultant recommended for award or any of its personnel, or its agents, or its sub-consultants, sub-contractors, services providers, suppliers, and/or their employees, has, directly or indirectly, engaged in corrupt, fraudulent, collusive, coercive, or obstructive practices in competing for the contract in question;</w:t>
      </w:r>
    </w:p>
    <w:p w14:paraId="150F34DF" w14:textId="77777777" w:rsidR="00C830DA" w:rsidRPr="00EC21F1" w:rsidRDefault="00C830DA" w:rsidP="00C830DA">
      <w:pPr>
        <w:spacing w:after="200"/>
        <w:ind w:left="360" w:hanging="360"/>
        <w:jc w:val="both"/>
      </w:pPr>
      <w:r w:rsidRPr="00EC21F1">
        <w:t>(c)</w:t>
      </w:r>
      <w:r w:rsidRPr="00EC21F1">
        <w:tab/>
        <w:t xml:space="preserve">will declare </w:t>
      </w:r>
      <w:proofErr w:type="spellStart"/>
      <w:r w:rsidRPr="00EC21F1">
        <w:t>misprocurement</w:t>
      </w:r>
      <w:proofErr w:type="spellEnd"/>
      <w:r w:rsidRPr="00EC21F1">
        <w:t xml:space="preserve"> and cancel the portion of the Loan allocated to a contract if it determines at any time that representatives of the Borrower or of a recipient of any part of the proceeds of the Loan were engaged in corrupt, fraudulent, collusive, coercive, or obstructive  practices during the selection process or the implementation of the contract in question, without the Borrower having taken timely and appropriate action satisfactory to the Bank to address such practices when they occur, including by failing to inform the Bank in a timely manner they knew of the practices;</w:t>
      </w:r>
    </w:p>
    <w:p w14:paraId="036C0A22" w14:textId="77777777" w:rsidR="00C830DA" w:rsidRPr="00EC21F1" w:rsidRDefault="00C830DA" w:rsidP="00C830DA">
      <w:pPr>
        <w:spacing w:after="200"/>
        <w:ind w:left="360" w:hanging="360"/>
        <w:jc w:val="both"/>
      </w:pPr>
      <w:r w:rsidRPr="00EC21F1">
        <w:t>(d)</w:t>
      </w:r>
      <w:r w:rsidRPr="00EC21F1">
        <w:tab/>
        <w:t>will sanction a firm or an individual at any time, in accordance with prevailing Bank’s sanctions procedures</w:t>
      </w:r>
      <w:r w:rsidRPr="00EC21F1">
        <w:rPr>
          <w:rStyle w:val="FootnoteReference"/>
        </w:rPr>
        <w:footnoteReference w:id="9"/>
      </w:r>
      <w:r w:rsidRPr="00EC21F1">
        <w:t>, including by publicly declaring such firm or an ineligible, either indefinitely or for a stated period of time: (</w:t>
      </w:r>
      <w:proofErr w:type="spellStart"/>
      <w:r w:rsidRPr="00EC21F1">
        <w:t>i</w:t>
      </w:r>
      <w:proofErr w:type="spellEnd"/>
      <w:r w:rsidRPr="00EC21F1">
        <w:t>) to be awarded a Bank-financed contract, and (ii) to be a nominated</w:t>
      </w:r>
      <w:r w:rsidRPr="00EC21F1">
        <w:rPr>
          <w:rStyle w:val="FootnoteReference"/>
        </w:rPr>
        <w:footnoteReference w:id="10"/>
      </w:r>
      <w:r w:rsidRPr="00EC21F1">
        <w:t xml:space="preserve"> sub-consultant, supplier, or service provider of an otherwise eligible firm being awarded a Bank-financed contract.</w:t>
      </w:r>
    </w:p>
    <w:p w14:paraId="62CD79E4" w14:textId="77777777" w:rsidR="00C830DA" w:rsidRDefault="00C830DA" w:rsidP="00C830DA">
      <w:pPr>
        <w:tabs>
          <w:tab w:val="left" w:pos="0"/>
          <w:tab w:val="left" w:pos="720"/>
          <w:tab w:val="left" w:pos="1440"/>
          <w:tab w:val="left" w:pos="2160"/>
          <w:tab w:val="left" w:pos="2880"/>
        </w:tabs>
        <w:jc w:val="both"/>
      </w:pPr>
    </w:p>
    <w:p w14:paraId="7FC9FADD" w14:textId="77777777" w:rsidR="00C830DA" w:rsidRDefault="00C830DA" w:rsidP="00C830DA">
      <w:pPr>
        <w:tabs>
          <w:tab w:val="left" w:pos="0"/>
          <w:tab w:val="left" w:pos="720"/>
          <w:tab w:val="left" w:pos="1440"/>
          <w:tab w:val="left" w:pos="2160"/>
          <w:tab w:val="left" w:pos="2880"/>
        </w:tabs>
        <w:jc w:val="both"/>
      </w:pPr>
    </w:p>
    <w:p w14:paraId="02A9E4BA" w14:textId="77777777" w:rsidR="00C830DA" w:rsidRDefault="00C830DA" w:rsidP="00C830DA">
      <w:pPr>
        <w:tabs>
          <w:tab w:val="left" w:pos="0"/>
          <w:tab w:val="left" w:pos="720"/>
          <w:tab w:val="left" w:pos="1440"/>
          <w:tab w:val="left" w:pos="2160"/>
          <w:tab w:val="left" w:pos="2880"/>
        </w:tabs>
        <w:jc w:val="both"/>
      </w:pPr>
    </w:p>
    <w:p w14:paraId="4AB87189" w14:textId="77777777" w:rsidR="00C830DA" w:rsidRDefault="00C830DA" w:rsidP="00C830DA">
      <w:pPr>
        <w:tabs>
          <w:tab w:val="left" w:pos="0"/>
          <w:tab w:val="left" w:pos="720"/>
          <w:tab w:val="left" w:pos="1440"/>
          <w:tab w:val="left" w:pos="2160"/>
          <w:tab w:val="left" w:pos="2880"/>
        </w:tabs>
        <w:jc w:val="both"/>
        <w:sectPr w:rsidR="00C830DA" w:rsidSect="00F24A53">
          <w:headerReference w:type="default" r:id="rId8"/>
          <w:headerReference w:type="first" r:id="rId9"/>
          <w:pgSz w:w="12240" w:h="15840" w:code="1"/>
          <w:pgMar w:top="1498" w:right="1584" w:bottom="576" w:left="1584" w:header="720" w:footer="720" w:gutter="0"/>
          <w:cols w:space="720"/>
          <w:titlePg/>
        </w:sectPr>
      </w:pPr>
    </w:p>
    <w:p w14:paraId="20E876EE" w14:textId="77777777" w:rsidR="00C830DA" w:rsidRDefault="00C830DA" w:rsidP="00C830DA">
      <w:pPr>
        <w:tabs>
          <w:tab w:val="left" w:pos="0"/>
          <w:tab w:val="left" w:pos="720"/>
          <w:tab w:val="left" w:pos="1440"/>
          <w:tab w:val="left" w:pos="2160"/>
          <w:tab w:val="left" w:pos="2880"/>
        </w:tabs>
        <w:jc w:val="center"/>
        <w:rPr>
          <w:rFonts w:ascii="Times New Roman Bold" w:hAnsi="Times New Roman Bold"/>
          <w:smallCaps/>
        </w:rPr>
      </w:pPr>
      <w:r>
        <w:rPr>
          <w:rFonts w:ascii="Times New Roman Bold" w:hAnsi="Times New Roman Bold"/>
          <w:b/>
          <w:smallCaps/>
        </w:rPr>
        <w:lastRenderedPageBreak/>
        <w:t>List of Annexes</w:t>
      </w:r>
    </w:p>
    <w:p w14:paraId="112750FF" w14:textId="77777777" w:rsidR="00C830DA" w:rsidRDefault="00C830DA" w:rsidP="00C830DA">
      <w:pPr>
        <w:tabs>
          <w:tab w:val="left" w:pos="0"/>
          <w:tab w:val="left" w:pos="720"/>
          <w:tab w:val="left" w:pos="1440"/>
          <w:tab w:val="left" w:pos="2160"/>
          <w:tab w:val="left" w:pos="2880"/>
        </w:tabs>
        <w:jc w:val="center"/>
      </w:pPr>
    </w:p>
    <w:p w14:paraId="2C5AF385" w14:textId="77777777" w:rsidR="00C830DA" w:rsidRDefault="00C830DA" w:rsidP="00C830DA">
      <w:pPr>
        <w:tabs>
          <w:tab w:val="left" w:pos="0"/>
          <w:tab w:val="left" w:pos="720"/>
          <w:tab w:val="left" w:pos="1440"/>
          <w:tab w:val="left" w:pos="2160"/>
          <w:tab w:val="left" w:pos="2880"/>
        </w:tabs>
        <w:jc w:val="center"/>
      </w:pPr>
    </w:p>
    <w:p w14:paraId="383D0797" w14:textId="77777777" w:rsidR="00C830DA" w:rsidRDefault="00C830DA" w:rsidP="00C830DA">
      <w:pPr>
        <w:tabs>
          <w:tab w:val="left" w:pos="0"/>
          <w:tab w:val="left" w:pos="720"/>
          <w:tab w:val="left" w:pos="1170"/>
          <w:tab w:val="left" w:pos="2160"/>
          <w:tab w:val="left" w:pos="2880"/>
        </w:tabs>
        <w:jc w:val="both"/>
      </w:pPr>
      <w:r>
        <w:t>Annex A:</w:t>
      </w:r>
      <w:r>
        <w:tab/>
        <w:t>Terms of Reference and Scope of Services</w:t>
      </w:r>
    </w:p>
    <w:p w14:paraId="1858F045" w14:textId="77777777" w:rsidR="00C830DA" w:rsidRDefault="00C830DA" w:rsidP="00C830DA">
      <w:pPr>
        <w:tabs>
          <w:tab w:val="left" w:pos="0"/>
          <w:tab w:val="left" w:pos="720"/>
          <w:tab w:val="left" w:pos="1440"/>
          <w:tab w:val="left" w:pos="2160"/>
          <w:tab w:val="left" w:pos="2880"/>
        </w:tabs>
        <w:jc w:val="both"/>
      </w:pPr>
    </w:p>
    <w:p w14:paraId="27063453" w14:textId="77777777" w:rsidR="00C830DA" w:rsidRDefault="00C830DA" w:rsidP="00C830DA">
      <w:pPr>
        <w:tabs>
          <w:tab w:val="left" w:pos="0"/>
          <w:tab w:val="left" w:pos="720"/>
          <w:tab w:val="left" w:pos="1170"/>
          <w:tab w:val="left" w:pos="1440"/>
          <w:tab w:val="left" w:pos="2160"/>
          <w:tab w:val="left" w:pos="2880"/>
        </w:tabs>
        <w:jc w:val="both"/>
      </w:pPr>
      <w:r>
        <w:t>Annex B:</w:t>
      </w:r>
      <w:r>
        <w:tab/>
        <w:t>Consultant’s Personnel</w:t>
      </w:r>
    </w:p>
    <w:p w14:paraId="341222E7" w14:textId="77777777" w:rsidR="00C830DA" w:rsidRDefault="00C830DA" w:rsidP="00C830DA">
      <w:pPr>
        <w:tabs>
          <w:tab w:val="left" w:pos="0"/>
          <w:tab w:val="left" w:pos="720"/>
          <w:tab w:val="left" w:pos="1440"/>
          <w:tab w:val="left" w:pos="2160"/>
          <w:tab w:val="left" w:pos="2880"/>
        </w:tabs>
        <w:jc w:val="both"/>
      </w:pPr>
    </w:p>
    <w:p w14:paraId="36D1CE16" w14:textId="77777777" w:rsidR="00C830DA" w:rsidRDefault="00C830DA" w:rsidP="00C830DA">
      <w:pPr>
        <w:tabs>
          <w:tab w:val="left" w:pos="0"/>
          <w:tab w:val="left" w:pos="720"/>
          <w:tab w:val="left" w:pos="1170"/>
          <w:tab w:val="left" w:pos="1440"/>
          <w:tab w:val="left" w:pos="2160"/>
          <w:tab w:val="left" w:pos="2880"/>
        </w:tabs>
        <w:jc w:val="both"/>
      </w:pPr>
      <w:r>
        <w:t>Annex C:</w:t>
      </w:r>
      <w:r>
        <w:tab/>
        <w:t>Consultant’s Reporting Obligations</w:t>
      </w:r>
    </w:p>
    <w:p w14:paraId="29DBF77D" w14:textId="77777777" w:rsidR="00C830DA" w:rsidRDefault="00C830DA" w:rsidP="00C830DA">
      <w:pPr>
        <w:pStyle w:val="BodyText2"/>
        <w:tabs>
          <w:tab w:val="left" w:pos="0"/>
          <w:tab w:val="left" w:pos="720"/>
          <w:tab w:val="left" w:pos="1440"/>
          <w:tab w:val="left" w:pos="2160"/>
          <w:tab w:val="left" w:pos="2880"/>
        </w:tabs>
      </w:pPr>
    </w:p>
    <w:p w14:paraId="76B2338C" w14:textId="55DE6B61" w:rsidR="00C830DA" w:rsidRDefault="00C830DA" w:rsidP="00C830DA">
      <w:pPr>
        <w:jc w:val="both"/>
      </w:pPr>
    </w:p>
    <w:sectPr w:rsidR="00C830DA" w:rsidSect="00F24A53">
      <w:headerReference w:type="even" r:id="rId10"/>
      <w:headerReference w:type="default" r:id="rId11"/>
      <w:headerReference w:type="first" r:id="rId12"/>
      <w:pgSz w:w="12240" w:h="15840" w:code="1"/>
      <w:pgMar w:top="1498" w:right="1584" w:bottom="576" w:left="1584" w:header="1296" w:footer="1296"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91B87F7" w15:done="0"/>
  <w15:commentEx w15:paraId="603BF3E2" w15:done="0"/>
  <w15:commentEx w15:paraId="770812A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0889BE" w14:textId="77777777" w:rsidR="00EE6E9D" w:rsidRDefault="00EE6E9D" w:rsidP="00C830DA">
      <w:r>
        <w:separator/>
      </w:r>
    </w:p>
  </w:endnote>
  <w:endnote w:type="continuationSeparator" w:id="0">
    <w:p w14:paraId="516C2B03" w14:textId="77777777" w:rsidR="00EE6E9D" w:rsidRDefault="00EE6E9D" w:rsidP="00C83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0906D7" w14:textId="77777777" w:rsidR="00EE6E9D" w:rsidRDefault="00EE6E9D" w:rsidP="00C830DA">
      <w:r>
        <w:separator/>
      </w:r>
    </w:p>
  </w:footnote>
  <w:footnote w:type="continuationSeparator" w:id="0">
    <w:p w14:paraId="25492530" w14:textId="77777777" w:rsidR="00EE6E9D" w:rsidRDefault="00EE6E9D" w:rsidP="00C830DA">
      <w:r>
        <w:continuationSeparator/>
      </w:r>
    </w:p>
  </w:footnote>
  <w:footnote w:id="1">
    <w:p w14:paraId="22384AC4" w14:textId="77777777" w:rsidR="00C830DA" w:rsidRDefault="00C830DA" w:rsidP="00C830DA">
      <w:pPr>
        <w:pStyle w:val="FootnoteText"/>
      </w:pPr>
      <w:r>
        <w:rPr>
          <w:rStyle w:val="FootnoteReference"/>
        </w:rPr>
        <w:t>1</w:t>
      </w:r>
      <w:r>
        <w:tab/>
        <w:t>Modify, in order to reflect the output required, as described in Annex C.</w:t>
      </w:r>
    </w:p>
  </w:footnote>
  <w:footnote w:id="2">
    <w:p w14:paraId="6498FE58" w14:textId="77777777" w:rsidR="00C830DA" w:rsidRDefault="00C830DA" w:rsidP="00C830DA">
      <w:pPr>
        <w:pStyle w:val="FootnoteText"/>
        <w:tabs>
          <w:tab w:val="left" w:pos="360"/>
        </w:tabs>
        <w:ind w:left="360" w:hanging="360"/>
      </w:pPr>
      <w:r>
        <w:rPr>
          <w:rStyle w:val="FootnoteReference"/>
        </w:rPr>
        <w:t>2</w:t>
      </w:r>
      <w:r>
        <w:tab/>
        <w:t>Restrictions about the future use of these documents and software, if any, shall be specified at the end of paragraph 7.</w:t>
      </w:r>
    </w:p>
  </w:footnote>
  <w:footnote w:id="3">
    <w:p w14:paraId="5C625833" w14:textId="77777777" w:rsidR="00C830DA" w:rsidRDefault="00C830DA" w:rsidP="00C830DA">
      <w:pPr>
        <w:pStyle w:val="FootnoteText"/>
        <w:tabs>
          <w:tab w:val="left" w:pos="360"/>
        </w:tabs>
        <w:ind w:left="360" w:hanging="360"/>
        <w:jc w:val="both"/>
      </w:pPr>
      <w:r>
        <w:rPr>
          <w:rStyle w:val="FootnoteReference"/>
        </w:rPr>
        <w:t>4</w:t>
      </w:r>
      <w:r>
        <w:tab/>
        <w:t>The law selected by the Client is usually the law of its country.  However, the Bank does not object if the Client and the Consultant agree on another law.  The language shall be English, French, or Spanish, unless the Contract is entered into with a domestic firm, in which case it can be the local language.</w:t>
      </w:r>
    </w:p>
  </w:footnote>
  <w:footnote w:id="4">
    <w:p w14:paraId="43DE7B63" w14:textId="77777777" w:rsidR="00C830DA" w:rsidRDefault="00C830DA" w:rsidP="00C830DA">
      <w:pPr>
        <w:pStyle w:val="FootnoteText"/>
        <w:tabs>
          <w:tab w:val="left" w:pos="360"/>
        </w:tabs>
        <w:ind w:left="360" w:hanging="360"/>
        <w:jc w:val="both"/>
      </w:pPr>
      <w:r>
        <w:rPr>
          <w:rStyle w:val="FootnoteReference"/>
        </w:rPr>
        <w:t>5</w:t>
      </w:r>
      <w:r>
        <w:tab/>
        <w:t>In the case of a Contract entered into with a foreign Consultant, the following provision may be substituted for paragraph 13:  “Any dispute, controversy or claim arising out of or relating to this Contract or the breach, termination or invalidity thereof, shall be settled by arbitration in accordance with the UNCITRAL Arbitration Rules as at present in force.”</w:t>
      </w:r>
    </w:p>
    <w:p w14:paraId="49305D28" w14:textId="77777777" w:rsidR="00C830DA" w:rsidRDefault="00C830DA" w:rsidP="00C830DA">
      <w:pPr>
        <w:pStyle w:val="FootnoteText"/>
        <w:ind w:left="450" w:hanging="450"/>
        <w:jc w:val="both"/>
      </w:pPr>
    </w:p>
  </w:footnote>
  <w:footnote w:id="5">
    <w:p w14:paraId="5F72995A" w14:textId="77777777" w:rsidR="00C830DA" w:rsidRPr="00EC21F1" w:rsidRDefault="00C830DA" w:rsidP="00C830DA">
      <w:pPr>
        <w:pStyle w:val="FootnoteText"/>
        <w:jc w:val="both"/>
        <w:rPr>
          <w:i/>
        </w:rPr>
      </w:pPr>
      <w:r w:rsidRPr="00EC21F1">
        <w:rPr>
          <w:rStyle w:val="FootnoteReference"/>
          <w:i/>
        </w:rPr>
        <w:footnoteRef/>
      </w:r>
      <w:r w:rsidRPr="00EC21F1">
        <w:rPr>
          <w:i/>
        </w:rPr>
        <w:t xml:space="preserve"> For the purpose of this sub-paragraph, “another party” refers to a public official acting in relation to the selection process or contract execution. In this context “public official” includes World Bank staff and employees of other organizations taking or reviewing selection decisions.</w:t>
      </w:r>
    </w:p>
    <w:p w14:paraId="4A71F905" w14:textId="77777777" w:rsidR="00C830DA" w:rsidRPr="00EC21F1" w:rsidRDefault="00C830DA" w:rsidP="00C830DA">
      <w:pPr>
        <w:pStyle w:val="FootnoteText"/>
        <w:jc w:val="both"/>
        <w:rPr>
          <w:i/>
        </w:rPr>
      </w:pPr>
    </w:p>
  </w:footnote>
  <w:footnote w:id="6">
    <w:p w14:paraId="116B212A" w14:textId="77777777" w:rsidR="00C830DA" w:rsidRPr="00EC21F1" w:rsidRDefault="00C830DA" w:rsidP="00C830DA">
      <w:pPr>
        <w:pStyle w:val="FootnoteText"/>
        <w:jc w:val="both"/>
        <w:rPr>
          <w:i/>
        </w:rPr>
      </w:pPr>
      <w:r w:rsidRPr="00EC21F1">
        <w:rPr>
          <w:rStyle w:val="FootnoteReference"/>
          <w:i/>
        </w:rPr>
        <w:footnoteRef/>
      </w:r>
      <w:r w:rsidRPr="00EC21F1">
        <w:rPr>
          <w:i/>
        </w:rPr>
        <w:t xml:space="preserve"> For the purpose of this sub-paragraph, “party” refers to a public official; the terms “benefit” and “obligation” relate to the selection process or contract execution; and the “act or omission” is intended to influence the selection process or contract execution.</w:t>
      </w:r>
    </w:p>
    <w:p w14:paraId="55E414C2" w14:textId="77777777" w:rsidR="00C830DA" w:rsidRPr="00EC21F1" w:rsidRDefault="00C830DA" w:rsidP="00C830DA">
      <w:pPr>
        <w:pStyle w:val="FootnoteText"/>
        <w:jc w:val="both"/>
        <w:rPr>
          <w:i/>
        </w:rPr>
      </w:pPr>
    </w:p>
  </w:footnote>
  <w:footnote w:id="7">
    <w:p w14:paraId="29FD41C7" w14:textId="77777777" w:rsidR="00C830DA" w:rsidRPr="00EC21F1" w:rsidRDefault="00C830DA" w:rsidP="00C830DA">
      <w:pPr>
        <w:pStyle w:val="FootnoteText"/>
        <w:jc w:val="both"/>
        <w:rPr>
          <w:i/>
        </w:rPr>
      </w:pPr>
      <w:r w:rsidRPr="00EC21F1">
        <w:rPr>
          <w:rStyle w:val="FootnoteReference"/>
          <w:i/>
        </w:rPr>
        <w:footnoteRef/>
      </w:r>
      <w:r w:rsidRPr="00EC21F1">
        <w:rPr>
          <w:i/>
        </w:rPr>
        <w:t xml:space="preserve"> For the purpose of this sub-paragraph, “parties” refers to participants in the procurement or selection process (including public officials) attempting either themselves, or through another person or entity not participating in the procurement or selection process, to simulate competition or to establish prices at artificial, non-competitive levels, or are privy to each other’s bid prices or other conditions.</w:t>
      </w:r>
    </w:p>
    <w:p w14:paraId="73D126F6" w14:textId="77777777" w:rsidR="00C830DA" w:rsidRDefault="00C830DA" w:rsidP="00C830DA">
      <w:pPr>
        <w:pStyle w:val="FootnoteText"/>
      </w:pPr>
    </w:p>
  </w:footnote>
  <w:footnote w:id="8">
    <w:p w14:paraId="39D0A9FF" w14:textId="77777777" w:rsidR="00C830DA" w:rsidRPr="00EC21F1" w:rsidRDefault="00C830DA" w:rsidP="00C830DA">
      <w:pPr>
        <w:pStyle w:val="FootnoteText"/>
        <w:jc w:val="both"/>
      </w:pPr>
      <w:r w:rsidRPr="00EC21F1">
        <w:rPr>
          <w:rStyle w:val="FootnoteReference"/>
        </w:rPr>
        <w:footnoteRef/>
      </w:r>
      <w:r w:rsidRPr="00EC21F1">
        <w:t xml:space="preserve">  For the purpose of this sub-paragraph, “party” refers to a participant in the selection process or contract execution.</w:t>
      </w:r>
    </w:p>
    <w:p w14:paraId="15167494" w14:textId="77777777" w:rsidR="00C830DA" w:rsidRPr="00EC21F1" w:rsidRDefault="00C830DA" w:rsidP="00C830DA">
      <w:pPr>
        <w:pStyle w:val="FootnoteText"/>
        <w:jc w:val="both"/>
      </w:pPr>
    </w:p>
  </w:footnote>
  <w:footnote w:id="9">
    <w:p w14:paraId="19831C8C" w14:textId="77777777" w:rsidR="00C830DA" w:rsidRPr="00EC21F1" w:rsidRDefault="00C830DA" w:rsidP="00C830DA">
      <w:pPr>
        <w:pStyle w:val="FootnoteText"/>
        <w:jc w:val="both"/>
      </w:pPr>
      <w:r w:rsidRPr="00EC21F1">
        <w:rPr>
          <w:rStyle w:val="FootnoteReference"/>
        </w:rPr>
        <w:footnoteRef/>
      </w:r>
      <w:r w:rsidRPr="00EC21F1">
        <w:t xml:space="preserve"> A firm or an individual may be declared ineligible to be awarded a Bank-financed contract upon (</w:t>
      </w:r>
      <w:proofErr w:type="spellStart"/>
      <w:r w:rsidRPr="00EC21F1">
        <w:t>i</w:t>
      </w:r>
      <w:proofErr w:type="spellEnd"/>
      <w:r w:rsidRPr="00EC21F1">
        <w:t>) completion of the Bank’s sanctions proceedings as per its sanctions procedures, including inter alia: cross-debarment as agreed with other International Financial Institutions, including Multilateral Development Banks, and through the application of the World Bank Group corporate administrative procurement sanctions procedures for fraud and corruption; and (ii) as a result of temporary suspension or early temporary suspension in connection with an ongoing sanctions proceedings. See footnote 12 and paragraph 8 of Appendix 1 of these Guidelines.</w:t>
      </w:r>
    </w:p>
    <w:p w14:paraId="55EAE4F9" w14:textId="77777777" w:rsidR="00C830DA" w:rsidRPr="00EC21F1" w:rsidRDefault="00C830DA" w:rsidP="00C830DA">
      <w:pPr>
        <w:pStyle w:val="FootnoteText"/>
        <w:jc w:val="both"/>
      </w:pPr>
    </w:p>
  </w:footnote>
  <w:footnote w:id="10">
    <w:p w14:paraId="2F5F148D" w14:textId="77777777" w:rsidR="00C830DA" w:rsidRDefault="00C830DA" w:rsidP="00C830DA">
      <w:pPr>
        <w:pStyle w:val="FootnoteText"/>
        <w:jc w:val="both"/>
      </w:pPr>
      <w:r w:rsidRPr="00EC21F1">
        <w:rPr>
          <w:rStyle w:val="FootnoteReference"/>
        </w:rPr>
        <w:footnoteRef/>
      </w:r>
      <w:r w:rsidRPr="00EC21F1">
        <w:t xml:space="preserve"> A nominated sub-consultant, supplier, or service provider is one which has been either (</w:t>
      </w:r>
      <w:proofErr w:type="spellStart"/>
      <w:r w:rsidRPr="00EC21F1">
        <w:t>i</w:t>
      </w:r>
      <w:proofErr w:type="spellEnd"/>
      <w:r w:rsidRPr="00EC21F1">
        <w:t>) included by the consultant in its proposal because it brings specific and critical experience and know-how that are accounted for in the technical evaluation of the consultant’s proposal for the particular services; or (ii) appointed by the Borrower.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C6F71C" w14:textId="77777777" w:rsidR="00C830DA" w:rsidRDefault="00C830DA">
    <w:pPr>
      <w:pStyle w:val="Header"/>
      <w:pBdr>
        <w:bottom w:val="single" w:sz="6" w:space="1" w:color="auto"/>
      </w:pBdr>
      <w:tabs>
        <w:tab w:val="clear" w:pos="8640"/>
        <w:tab w:val="right" w:pos="9000"/>
      </w:tabs>
      <w:ind w:right="72"/>
    </w:pPr>
    <w:r>
      <w:t>Small Assignments –Lump Sum</w:t>
    </w:r>
    <w:r>
      <w:tab/>
    </w:r>
    <w:r>
      <w:rPr>
        <w:rStyle w:val="PageNumber"/>
      </w:rPr>
      <w:fldChar w:fldCharType="begin"/>
    </w:r>
    <w:r>
      <w:rPr>
        <w:rStyle w:val="PageNumber"/>
      </w:rPr>
      <w:instrText xml:space="preserve"> PAGE </w:instrText>
    </w:r>
    <w:r>
      <w:rPr>
        <w:rStyle w:val="PageNumber"/>
      </w:rPr>
      <w:fldChar w:fldCharType="separate"/>
    </w:r>
    <w:r w:rsidR="0059058A">
      <w:rPr>
        <w:rStyle w:val="PageNumber"/>
        <w:noProof/>
      </w:rPr>
      <w:t>3</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1E4C58" w14:textId="77777777" w:rsidR="00C830DA" w:rsidRDefault="00C830DA">
    <w:pPr>
      <w:pStyle w:val="Header"/>
      <w:pBdr>
        <w:bottom w:val="single" w:sz="6" w:space="1" w:color="auto"/>
      </w:pBdr>
      <w:tabs>
        <w:tab w:val="clear" w:pos="8640"/>
        <w:tab w:val="right" w:pos="9000"/>
      </w:tabs>
      <w:ind w:right="72"/>
    </w:pPr>
    <w:r>
      <w:t>Small Assignments –Lump Sum</w:t>
    </w:r>
    <w:r>
      <w:tab/>
    </w:r>
    <w:r>
      <w:rPr>
        <w:rStyle w:val="PageNumber"/>
      </w:rPr>
      <w:fldChar w:fldCharType="begin"/>
    </w:r>
    <w:r>
      <w:rPr>
        <w:rStyle w:val="PageNumber"/>
      </w:rPr>
      <w:instrText xml:space="preserve"> PAGE </w:instrText>
    </w:r>
    <w:r>
      <w:rPr>
        <w:rStyle w:val="PageNumber"/>
      </w:rPr>
      <w:fldChar w:fldCharType="separate"/>
    </w:r>
    <w:r w:rsidR="0059058A">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4D39D8" w14:textId="77777777" w:rsidR="00CF0C9B" w:rsidRDefault="00B2383B">
    <w:pPr>
      <w:pStyle w:val="Header"/>
      <w:pBdr>
        <w:bottom w:val="single" w:sz="6" w:space="1" w:color="auto"/>
      </w:pBdr>
      <w:tabs>
        <w:tab w:val="clear" w:pos="4320"/>
        <w:tab w:val="clear" w:pos="8640"/>
        <w:tab w:val="right" w:pos="9090"/>
      </w:tabs>
      <w:ind w:right="-18"/>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6</w:t>
    </w:r>
    <w:r>
      <w:rPr>
        <w:rStyle w:val="PageNumber"/>
        <w:sz w:val="20"/>
      </w:rPr>
      <w:fldChar w:fldCharType="end"/>
    </w:r>
    <w:r>
      <w:rPr>
        <w:sz w:val="20"/>
      </w:rPr>
      <w:tab/>
      <w:t>Sample Contract:  Small Assignments - Lump Sum Payments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D98468" w14:textId="77777777" w:rsidR="00CF0C9B" w:rsidRDefault="00B2383B">
    <w:pPr>
      <w:pStyle w:val="Header"/>
      <w:tabs>
        <w:tab w:val="clear" w:pos="8640"/>
        <w:tab w:val="right" w:pos="9000"/>
      </w:tabs>
      <w:ind w:right="72"/>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59058A">
      <w:rPr>
        <w:rStyle w:val="PageNumber"/>
        <w:noProof/>
      </w:rPr>
      <w:t>8</w:t>
    </w:r>
    <w:r>
      <w:rPr>
        <w:rStyle w:val="PageNumber"/>
      </w:rPr>
      <w:fldChar w:fldCharType="end"/>
    </w:r>
  </w:p>
  <w:p w14:paraId="74B94F29" w14:textId="77777777" w:rsidR="00CF0C9B" w:rsidRDefault="00EE6E9D">
    <w:pPr>
      <w:pStyle w:val="Header"/>
      <w:tabs>
        <w:tab w:val="clear" w:pos="8640"/>
        <w:tab w:val="right" w:pos="9000"/>
      </w:tabs>
      <w:ind w:right="72"/>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7A3BA4" w14:textId="77777777" w:rsidR="00CF0C9B" w:rsidRDefault="00B2383B">
    <w:pPr>
      <w:pStyle w:val="Header"/>
      <w:pBdr>
        <w:bottom w:val="single" w:sz="6" w:space="1" w:color="auto"/>
      </w:pBdr>
      <w:tabs>
        <w:tab w:val="clear" w:pos="4320"/>
        <w:tab w:val="clear" w:pos="8640"/>
        <w:tab w:val="right" w:pos="9000"/>
      </w:tabs>
      <w:ind w:right="72"/>
      <w:rPr>
        <w:sz w:val="20"/>
      </w:rPr>
    </w:pPr>
    <w:r>
      <w:rPr>
        <w:sz w:val="20"/>
      </w:rPr>
      <w:tab/>
    </w:r>
    <w:r>
      <w:rPr>
        <w:sz w:val="20"/>
      </w:rPr>
      <w:fldChar w:fldCharType="begin"/>
    </w:r>
    <w:r>
      <w:rPr>
        <w:sz w:val="20"/>
      </w:rPr>
      <w:instrText xml:space="preserve"> PAGE  \* MERGEFORMAT </w:instrText>
    </w:r>
    <w:r>
      <w:rPr>
        <w:sz w:val="20"/>
      </w:rPr>
      <w:fldChar w:fldCharType="separate"/>
    </w:r>
    <w:r>
      <w:rPr>
        <w:noProof/>
        <w:sz w:val="20"/>
      </w:rPr>
      <w:t>77</w:t>
    </w:r>
    <w:r>
      <w:rPr>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824A5"/>
    <w:multiLevelType w:val="hybridMultilevel"/>
    <w:tmpl w:val="D7F2DC44"/>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10D7795"/>
    <w:multiLevelType w:val="hybridMultilevel"/>
    <w:tmpl w:val="01628DBC"/>
    <w:lvl w:ilvl="0" w:tplc="2D9C0B3A">
      <w:start w:val="9"/>
      <w:numFmt w:val="decimal"/>
      <w:pStyle w:val="Section8Heading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C93471"/>
    <w:multiLevelType w:val="hybridMultilevel"/>
    <w:tmpl w:val="9190BD7A"/>
    <w:lvl w:ilvl="0" w:tplc="FE34CE54">
      <w:start w:val="1"/>
      <w:numFmt w:val="lowerRoman"/>
      <w:lvlText w:val="(%1) "/>
      <w:lvlJc w:val="left"/>
      <w:pPr>
        <w:ind w:left="720" w:hanging="360"/>
      </w:pPr>
      <w:rPr>
        <w:rFonts w:ascii="Palatino" w:hAnsi="Palatino" w:cs="Times New Roman" w:hint="default"/>
        <w:b w:val="0"/>
        <w:i w:val="0"/>
        <w:sz w:val="24"/>
        <w:szCs w:val="24"/>
        <w:u w:val="no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5305325A"/>
    <w:multiLevelType w:val="hybridMultilevel"/>
    <w:tmpl w:val="54F82C56"/>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0DA"/>
    <w:rsid w:val="00176D70"/>
    <w:rsid w:val="0021524F"/>
    <w:rsid w:val="0059058A"/>
    <w:rsid w:val="00B2383B"/>
    <w:rsid w:val="00C830DA"/>
    <w:rsid w:val="00EE6E9D"/>
    <w:rsid w:val="00F272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0A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0D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C830D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4">
    <w:name w:val="heading 4"/>
    <w:aliases w:val="Sub-Clause Sub-paragraph, Sub-Clause Sub-paragraph"/>
    <w:basedOn w:val="Normal"/>
    <w:next w:val="Normal"/>
    <w:link w:val="Heading4Char"/>
    <w:qFormat/>
    <w:rsid w:val="00C830DA"/>
    <w:pPr>
      <w:keepNext/>
      <w:jc w:val="right"/>
      <w:outlineLvl w:val="3"/>
    </w:pPr>
    <w:rPr>
      <w:b/>
      <w:u w:val="single"/>
      <w:lang w:val="x-none" w:eastAsia="x-none"/>
    </w:rPr>
  </w:style>
  <w:style w:type="paragraph" w:styleId="Heading5">
    <w:name w:val="heading 5"/>
    <w:basedOn w:val="Normal"/>
    <w:next w:val="Normal"/>
    <w:link w:val="Heading5Char"/>
    <w:qFormat/>
    <w:rsid w:val="00C830DA"/>
    <w:pPr>
      <w:keepNext/>
      <w:ind w:left="720" w:firstLine="360"/>
      <w:jc w:val="right"/>
      <w:outlineLvl w:val="4"/>
    </w:pPr>
    <w:rPr>
      <w:bCs/>
      <w:u w:val="single"/>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Sub-Clause Sub-paragraph Char, Sub-Clause Sub-paragraph Char"/>
    <w:basedOn w:val="DefaultParagraphFont"/>
    <w:link w:val="Heading4"/>
    <w:rsid w:val="00C830DA"/>
    <w:rPr>
      <w:rFonts w:ascii="Times New Roman" w:eastAsia="Times New Roman" w:hAnsi="Times New Roman" w:cs="Times New Roman"/>
      <w:b/>
      <w:sz w:val="24"/>
      <w:szCs w:val="24"/>
      <w:u w:val="single"/>
      <w:lang w:val="x-none" w:eastAsia="x-none"/>
    </w:rPr>
  </w:style>
  <w:style w:type="character" w:customStyle="1" w:styleId="Heading5Char">
    <w:name w:val="Heading 5 Char"/>
    <w:basedOn w:val="DefaultParagraphFont"/>
    <w:link w:val="Heading5"/>
    <w:rsid w:val="00C830DA"/>
    <w:rPr>
      <w:rFonts w:ascii="Times New Roman" w:eastAsia="Times New Roman" w:hAnsi="Times New Roman" w:cs="Times New Roman"/>
      <w:bCs/>
      <w:sz w:val="24"/>
      <w:szCs w:val="24"/>
      <w:u w:val="single"/>
      <w:lang w:val="x-none" w:eastAsia="x-none"/>
    </w:rPr>
  </w:style>
  <w:style w:type="paragraph" w:styleId="FootnoteText">
    <w:name w:val="footnote text"/>
    <w:basedOn w:val="Normal"/>
    <w:link w:val="FootnoteTextChar"/>
    <w:uiPriority w:val="99"/>
    <w:rsid w:val="00C830DA"/>
    <w:rPr>
      <w:sz w:val="20"/>
      <w:szCs w:val="20"/>
    </w:rPr>
  </w:style>
  <w:style w:type="character" w:customStyle="1" w:styleId="FootnoteTextChar">
    <w:name w:val="Footnote Text Char"/>
    <w:basedOn w:val="DefaultParagraphFont"/>
    <w:link w:val="FootnoteText"/>
    <w:uiPriority w:val="99"/>
    <w:rsid w:val="00C830DA"/>
    <w:rPr>
      <w:rFonts w:ascii="Times New Roman" w:eastAsia="Times New Roman" w:hAnsi="Times New Roman" w:cs="Times New Roman"/>
      <w:sz w:val="20"/>
      <w:szCs w:val="20"/>
    </w:rPr>
  </w:style>
  <w:style w:type="character" w:styleId="FootnoteReference">
    <w:name w:val="footnote reference"/>
    <w:uiPriority w:val="99"/>
    <w:rsid w:val="00C830DA"/>
    <w:rPr>
      <w:vertAlign w:val="superscript"/>
    </w:rPr>
  </w:style>
  <w:style w:type="paragraph" w:styleId="BodyText2">
    <w:name w:val="Body Text 2"/>
    <w:basedOn w:val="Normal"/>
    <w:link w:val="BodyText2Char"/>
    <w:rsid w:val="00C830DA"/>
    <w:pPr>
      <w:jc w:val="both"/>
    </w:pPr>
    <w:rPr>
      <w:lang w:val="x-none" w:eastAsia="x-none"/>
    </w:rPr>
  </w:style>
  <w:style w:type="character" w:customStyle="1" w:styleId="BodyText2Char">
    <w:name w:val="Body Text 2 Char"/>
    <w:basedOn w:val="DefaultParagraphFont"/>
    <w:link w:val="BodyText2"/>
    <w:rsid w:val="00C830DA"/>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rsid w:val="00C830DA"/>
    <w:pPr>
      <w:tabs>
        <w:tab w:val="center" w:pos="4320"/>
        <w:tab w:val="right" w:pos="8640"/>
      </w:tabs>
    </w:pPr>
    <w:rPr>
      <w:lang w:val="x-none" w:eastAsia="x-none"/>
    </w:rPr>
  </w:style>
  <w:style w:type="character" w:customStyle="1" w:styleId="HeaderChar">
    <w:name w:val="Header Char"/>
    <w:basedOn w:val="DefaultParagraphFont"/>
    <w:link w:val="Header"/>
    <w:uiPriority w:val="99"/>
    <w:rsid w:val="00C830DA"/>
    <w:rPr>
      <w:rFonts w:ascii="Times New Roman" w:eastAsia="Times New Roman" w:hAnsi="Times New Roman" w:cs="Times New Roman"/>
      <w:sz w:val="24"/>
      <w:szCs w:val="24"/>
      <w:lang w:val="x-none" w:eastAsia="x-none"/>
    </w:rPr>
  </w:style>
  <w:style w:type="character" w:styleId="PageNumber">
    <w:name w:val="page number"/>
    <w:basedOn w:val="DefaultParagraphFont"/>
    <w:rsid w:val="00C830DA"/>
  </w:style>
  <w:style w:type="paragraph" w:styleId="EndnoteText">
    <w:name w:val="endnote text"/>
    <w:basedOn w:val="Normal"/>
    <w:link w:val="EndnoteTextChar"/>
    <w:rsid w:val="00C830DA"/>
    <w:pPr>
      <w:tabs>
        <w:tab w:val="left" w:pos="-720"/>
      </w:tabs>
      <w:suppressAutoHyphens/>
    </w:pPr>
    <w:rPr>
      <w:sz w:val="20"/>
      <w:szCs w:val="20"/>
    </w:rPr>
  </w:style>
  <w:style w:type="character" w:customStyle="1" w:styleId="EndnoteTextChar">
    <w:name w:val="Endnote Text Char"/>
    <w:basedOn w:val="DefaultParagraphFont"/>
    <w:link w:val="EndnoteText"/>
    <w:rsid w:val="00C830DA"/>
    <w:rPr>
      <w:rFonts w:ascii="Times New Roman" w:eastAsia="Times New Roman" w:hAnsi="Times New Roman" w:cs="Times New Roman"/>
      <w:sz w:val="20"/>
      <w:szCs w:val="20"/>
    </w:rPr>
  </w:style>
  <w:style w:type="paragraph" w:customStyle="1" w:styleId="Heading41">
    <w:name w:val="Heading 4.1"/>
    <w:basedOn w:val="Heading5"/>
    <w:rsid w:val="00C830DA"/>
    <w:pPr>
      <w:jc w:val="center"/>
    </w:pPr>
    <w:rPr>
      <w:b/>
      <w:bCs w:val="0"/>
    </w:rPr>
  </w:style>
  <w:style w:type="paragraph" w:styleId="ListParagraph">
    <w:name w:val="List Paragraph"/>
    <w:basedOn w:val="Normal"/>
    <w:uiPriority w:val="34"/>
    <w:qFormat/>
    <w:rsid w:val="00C830DA"/>
    <w:pPr>
      <w:spacing w:after="200" w:line="276" w:lineRule="auto"/>
      <w:ind w:left="720"/>
      <w:contextualSpacing/>
    </w:pPr>
    <w:rPr>
      <w:rFonts w:eastAsia="Calibri"/>
      <w:szCs w:val="22"/>
    </w:rPr>
  </w:style>
  <w:style w:type="character" w:styleId="CommentReference">
    <w:name w:val="annotation reference"/>
    <w:rsid w:val="00C830DA"/>
    <w:rPr>
      <w:sz w:val="16"/>
      <w:szCs w:val="16"/>
    </w:rPr>
  </w:style>
  <w:style w:type="paragraph" w:styleId="CommentText">
    <w:name w:val="annotation text"/>
    <w:basedOn w:val="Normal"/>
    <w:link w:val="CommentTextChar"/>
    <w:rsid w:val="00C830DA"/>
    <w:rPr>
      <w:sz w:val="20"/>
      <w:szCs w:val="20"/>
    </w:rPr>
  </w:style>
  <w:style w:type="character" w:customStyle="1" w:styleId="CommentTextChar">
    <w:name w:val="Comment Text Char"/>
    <w:basedOn w:val="DefaultParagraphFont"/>
    <w:link w:val="CommentText"/>
    <w:rsid w:val="00C830DA"/>
    <w:rPr>
      <w:rFonts w:ascii="Times New Roman" w:eastAsia="Times New Roman" w:hAnsi="Times New Roman" w:cs="Times New Roman"/>
      <w:sz w:val="20"/>
      <w:szCs w:val="20"/>
    </w:rPr>
  </w:style>
  <w:style w:type="paragraph" w:customStyle="1" w:styleId="A1-Heading1">
    <w:name w:val="A1-Heading1"/>
    <w:basedOn w:val="Heading1"/>
    <w:rsid w:val="00C830DA"/>
    <w:pPr>
      <w:keepNext w:val="0"/>
      <w:keepLines w:val="0"/>
      <w:spacing w:after="240"/>
      <w:jc w:val="center"/>
    </w:pPr>
    <w:rPr>
      <w:rFonts w:ascii="Times New Roman" w:eastAsia="Times New Roman" w:hAnsi="Times New Roman" w:cs="Times New Roman"/>
      <w:b/>
      <w:color w:val="auto"/>
      <w:szCs w:val="20"/>
      <w:lang w:val="x-none" w:eastAsia="x-none"/>
    </w:rPr>
  </w:style>
  <w:style w:type="paragraph" w:customStyle="1" w:styleId="Section8Heading2">
    <w:name w:val="Section 8. Heading2"/>
    <w:next w:val="Normal"/>
    <w:qFormat/>
    <w:rsid w:val="00C830DA"/>
    <w:pPr>
      <w:numPr>
        <w:numId w:val="1"/>
      </w:numPr>
      <w:spacing w:after="200" w:line="240" w:lineRule="auto"/>
    </w:pPr>
    <w:rPr>
      <w:rFonts w:ascii="Times New Roman" w:eastAsia="Times New Roman" w:hAnsi="Times New Roman" w:cs="Times New Roman"/>
      <w:b/>
      <w:bCs/>
      <w:sz w:val="24"/>
      <w:szCs w:val="24"/>
    </w:rPr>
  </w:style>
  <w:style w:type="paragraph" w:customStyle="1" w:styleId="Section8Heading3">
    <w:name w:val="Section 8. Heading3"/>
    <w:qFormat/>
    <w:rsid w:val="00C830DA"/>
    <w:pPr>
      <w:spacing w:after="0" w:line="240" w:lineRule="auto"/>
      <w:ind w:hanging="534"/>
    </w:pPr>
    <w:rPr>
      <w:rFonts w:ascii="Times New Roman" w:eastAsia="Times New Roman" w:hAnsi="Times New Roman" w:cs="Times New Roman"/>
      <w:b/>
      <w:bCs/>
      <w:sz w:val="24"/>
      <w:szCs w:val="24"/>
    </w:rPr>
  </w:style>
  <w:style w:type="character" w:customStyle="1" w:styleId="Heading1Char">
    <w:name w:val="Heading 1 Char"/>
    <w:basedOn w:val="DefaultParagraphFont"/>
    <w:link w:val="Heading1"/>
    <w:uiPriority w:val="9"/>
    <w:rsid w:val="00C830DA"/>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C830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30DA"/>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0D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C830D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4">
    <w:name w:val="heading 4"/>
    <w:aliases w:val="Sub-Clause Sub-paragraph, Sub-Clause Sub-paragraph"/>
    <w:basedOn w:val="Normal"/>
    <w:next w:val="Normal"/>
    <w:link w:val="Heading4Char"/>
    <w:qFormat/>
    <w:rsid w:val="00C830DA"/>
    <w:pPr>
      <w:keepNext/>
      <w:jc w:val="right"/>
      <w:outlineLvl w:val="3"/>
    </w:pPr>
    <w:rPr>
      <w:b/>
      <w:u w:val="single"/>
      <w:lang w:val="x-none" w:eastAsia="x-none"/>
    </w:rPr>
  </w:style>
  <w:style w:type="paragraph" w:styleId="Heading5">
    <w:name w:val="heading 5"/>
    <w:basedOn w:val="Normal"/>
    <w:next w:val="Normal"/>
    <w:link w:val="Heading5Char"/>
    <w:qFormat/>
    <w:rsid w:val="00C830DA"/>
    <w:pPr>
      <w:keepNext/>
      <w:ind w:left="720" w:firstLine="360"/>
      <w:jc w:val="right"/>
      <w:outlineLvl w:val="4"/>
    </w:pPr>
    <w:rPr>
      <w:bCs/>
      <w:u w:val="single"/>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Sub-Clause Sub-paragraph Char, Sub-Clause Sub-paragraph Char"/>
    <w:basedOn w:val="DefaultParagraphFont"/>
    <w:link w:val="Heading4"/>
    <w:rsid w:val="00C830DA"/>
    <w:rPr>
      <w:rFonts w:ascii="Times New Roman" w:eastAsia="Times New Roman" w:hAnsi="Times New Roman" w:cs="Times New Roman"/>
      <w:b/>
      <w:sz w:val="24"/>
      <w:szCs w:val="24"/>
      <w:u w:val="single"/>
      <w:lang w:val="x-none" w:eastAsia="x-none"/>
    </w:rPr>
  </w:style>
  <w:style w:type="character" w:customStyle="1" w:styleId="Heading5Char">
    <w:name w:val="Heading 5 Char"/>
    <w:basedOn w:val="DefaultParagraphFont"/>
    <w:link w:val="Heading5"/>
    <w:rsid w:val="00C830DA"/>
    <w:rPr>
      <w:rFonts w:ascii="Times New Roman" w:eastAsia="Times New Roman" w:hAnsi="Times New Roman" w:cs="Times New Roman"/>
      <w:bCs/>
      <w:sz w:val="24"/>
      <w:szCs w:val="24"/>
      <w:u w:val="single"/>
      <w:lang w:val="x-none" w:eastAsia="x-none"/>
    </w:rPr>
  </w:style>
  <w:style w:type="paragraph" w:styleId="FootnoteText">
    <w:name w:val="footnote text"/>
    <w:basedOn w:val="Normal"/>
    <w:link w:val="FootnoteTextChar"/>
    <w:uiPriority w:val="99"/>
    <w:rsid w:val="00C830DA"/>
    <w:rPr>
      <w:sz w:val="20"/>
      <w:szCs w:val="20"/>
    </w:rPr>
  </w:style>
  <w:style w:type="character" w:customStyle="1" w:styleId="FootnoteTextChar">
    <w:name w:val="Footnote Text Char"/>
    <w:basedOn w:val="DefaultParagraphFont"/>
    <w:link w:val="FootnoteText"/>
    <w:uiPriority w:val="99"/>
    <w:rsid w:val="00C830DA"/>
    <w:rPr>
      <w:rFonts w:ascii="Times New Roman" w:eastAsia="Times New Roman" w:hAnsi="Times New Roman" w:cs="Times New Roman"/>
      <w:sz w:val="20"/>
      <w:szCs w:val="20"/>
    </w:rPr>
  </w:style>
  <w:style w:type="character" w:styleId="FootnoteReference">
    <w:name w:val="footnote reference"/>
    <w:uiPriority w:val="99"/>
    <w:rsid w:val="00C830DA"/>
    <w:rPr>
      <w:vertAlign w:val="superscript"/>
    </w:rPr>
  </w:style>
  <w:style w:type="paragraph" w:styleId="BodyText2">
    <w:name w:val="Body Text 2"/>
    <w:basedOn w:val="Normal"/>
    <w:link w:val="BodyText2Char"/>
    <w:rsid w:val="00C830DA"/>
    <w:pPr>
      <w:jc w:val="both"/>
    </w:pPr>
    <w:rPr>
      <w:lang w:val="x-none" w:eastAsia="x-none"/>
    </w:rPr>
  </w:style>
  <w:style w:type="character" w:customStyle="1" w:styleId="BodyText2Char">
    <w:name w:val="Body Text 2 Char"/>
    <w:basedOn w:val="DefaultParagraphFont"/>
    <w:link w:val="BodyText2"/>
    <w:rsid w:val="00C830DA"/>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rsid w:val="00C830DA"/>
    <w:pPr>
      <w:tabs>
        <w:tab w:val="center" w:pos="4320"/>
        <w:tab w:val="right" w:pos="8640"/>
      </w:tabs>
    </w:pPr>
    <w:rPr>
      <w:lang w:val="x-none" w:eastAsia="x-none"/>
    </w:rPr>
  </w:style>
  <w:style w:type="character" w:customStyle="1" w:styleId="HeaderChar">
    <w:name w:val="Header Char"/>
    <w:basedOn w:val="DefaultParagraphFont"/>
    <w:link w:val="Header"/>
    <w:uiPriority w:val="99"/>
    <w:rsid w:val="00C830DA"/>
    <w:rPr>
      <w:rFonts w:ascii="Times New Roman" w:eastAsia="Times New Roman" w:hAnsi="Times New Roman" w:cs="Times New Roman"/>
      <w:sz w:val="24"/>
      <w:szCs w:val="24"/>
      <w:lang w:val="x-none" w:eastAsia="x-none"/>
    </w:rPr>
  </w:style>
  <w:style w:type="character" w:styleId="PageNumber">
    <w:name w:val="page number"/>
    <w:basedOn w:val="DefaultParagraphFont"/>
    <w:rsid w:val="00C830DA"/>
  </w:style>
  <w:style w:type="paragraph" w:styleId="EndnoteText">
    <w:name w:val="endnote text"/>
    <w:basedOn w:val="Normal"/>
    <w:link w:val="EndnoteTextChar"/>
    <w:rsid w:val="00C830DA"/>
    <w:pPr>
      <w:tabs>
        <w:tab w:val="left" w:pos="-720"/>
      </w:tabs>
      <w:suppressAutoHyphens/>
    </w:pPr>
    <w:rPr>
      <w:sz w:val="20"/>
      <w:szCs w:val="20"/>
    </w:rPr>
  </w:style>
  <w:style w:type="character" w:customStyle="1" w:styleId="EndnoteTextChar">
    <w:name w:val="Endnote Text Char"/>
    <w:basedOn w:val="DefaultParagraphFont"/>
    <w:link w:val="EndnoteText"/>
    <w:rsid w:val="00C830DA"/>
    <w:rPr>
      <w:rFonts w:ascii="Times New Roman" w:eastAsia="Times New Roman" w:hAnsi="Times New Roman" w:cs="Times New Roman"/>
      <w:sz w:val="20"/>
      <w:szCs w:val="20"/>
    </w:rPr>
  </w:style>
  <w:style w:type="paragraph" w:customStyle="1" w:styleId="Heading41">
    <w:name w:val="Heading 4.1"/>
    <w:basedOn w:val="Heading5"/>
    <w:rsid w:val="00C830DA"/>
    <w:pPr>
      <w:jc w:val="center"/>
    </w:pPr>
    <w:rPr>
      <w:b/>
      <w:bCs w:val="0"/>
    </w:rPr>
  </w:style>
  <w:style w:type="paragraph" w:styleId="ListParagraph">
    <w:name w:val="List Paragraph"/>
    <w:basedOn w:val="Normal"/>
    <w:uiPriority w:val="34"/>
    <w:qFormat/>
    <w:rsid w:val="00C830DA"/>
    <w:pPr>
      <w:spacing w:after="200" w:line="276" w:lineRule="auto"/>
      <w:ind w:left="720"/>
      <w:contextualSpacing/>
    </w:pPr>
    <w:rPr>
      <w:rFonts w:eastAsia="Calibri"/>
      <w:szCs w:val="22"/>
    </w:rPr>
  </w:style>
  <w:style w:type="character" w:styleId="CommentReference">
    <w:name w:val="annotation reference"/>
    <w:rsid w:val="00C830DA"/>
    <w:rPr>
      <w:sz w:val="16"/>
      <w:szCs w:val="16"/>
    </w:rPr>
  </w:style>
  <w:style w:type="paragraph" w:styleId="CommentText">
    <w:name w:val="annotation text"/>
    <w:basedOn w:val="Normal"/>
    <w:link w:val="CommentTextChar"/>
    <w:rsid w:val="00C830DA"/>
    <w:rPr>
      <w:sz w:val="20"/>
      <w:szCs w:val="20"/>
    </w:rPr>
  </w:style>
  <w:style w:type="character" w:customStyle="1" w:styleId="CommentTextChar">
    <w:name w:val="Comment Text Char"/>
    <w:basedOn w:val="DefaultParagraphFont"/>
    <w:link w:val="CommentText"/>
    <w:rsid w:val="00C830DA"/>
    <w:rPr>
      <w:rFonts w:ascii="Times New Roman" w:eastAsia="Times New Roman" w:hAnsi="Times New Roman" w:cs="Times New Roman"/>
      <w:sz w:val="20"/>
      <w:szCs w:val="20"/>
    </w:rPr>
  </w:style>
  <w:style w:type="paragraph" w:customStyle="1" w:styleId="A1-Heading1">
    <w:name w:val="A1-Heading1"/>
    <w:basedOn w:val="Heading1"/>
    <w:rsid w:val="00C830DA"/>
    <w:pPr>
      <w:keepNext w:val="0"/>
      <w:keepLines w:val="0"/>
      <w:spacing w:after="240"/>
      <w:jc w:val="center"/>
    </w:pPr>
    <w:rPr>
      <w:rFonts w:ascii="Times New Roman" w:eastAsia="Times New Roman" w:hAnsi="Times New Roman" w:cs="Times New Roman"/>
      <w:b/>
      <w:color w:val="auto"/>
      <w:szCs w:val="20"/>
      <w:lang w:val="x-none" w:eastAsia="x-none"/>
    </w:rPr>
  </w:style>
  <w:style w:type="paragraph" w:customStyle="1" w:styleId="Section8Heading2">
    <w:name w:val="Section 8. Heading2"/>
    <w:next w:val="Normal"/>
    <w:qFormat/>
    <w:rsid w:val="00C830DA"/>
    <w:pPr>
      <w:numPr>
        <w:numId w:val="1"/>
      </w:numPr>
      <w:spacing w:after="200" w:line="240" w:lineRule="auto"/>
    </w:pPr>
    <w:rPr>
      <w:rFonts w:ascii="Times New Roman" w:eastAsia="Times New Roman" w:hAnsi="Times New Roman" w:cs="Times New Roman"/>
      <w:b/>
      <w:bCs/>
      <w:sz w:val="24"/>
      <w:szCs w:val="24"/>
    </w:rPr>
  </w:style>
  <w:style w:type="paragraph" w:customStyle="1" w:styleId="Section8Heading3">
    <w:name w:val="Section 8. Heading3"/>
    <w:qFormat/>
    <w:rsid w:val="00C830DA"/>
    <w:pPr>
      <w:spacing w:after="0" w:line="240" w:lineRule="auto"/>
      <w:ind w:hanging="534"/>
    </w:pPr>
    <w:rPr>
      <w:rFonts w:ascii="Times New Roman" w:eastAsia="Times New Roman" w:hAnsi="Times New Roman" w:cs="Times New Roman"/>
      <w:b/>
      <w:bCs/>
      <w:sz w:val="24"/>
      <w:szCs w:val="24"/>
    </w:rPr>
  </w:style>
  <w:style w:type="character" w:customStyle="1" w:styleId="Heading1Char">
    <w:name w:val="Heading 1 Char"/>
    <w:basedOn w:val="DefaultParagraphFont"/>
    <w:link w:val="Heading1"/>
    <w:uiPriority w:val="9"/>
    <w:rsid w:val="00C830DA"/>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C830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30D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2070</Words>
  <Characters>11801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N. Ranasinghe</dc:creator>
  <cp:lastModifiedBy>Mirko Ljesevic</cp:lastModifiedBy>
  <cp:revision>3</cp:revision>
  <dcterms:created xsi:type="dcterms:W3CDTF">2015-06-01T15:04:00Z</dcterms:created>
  <dcterms:modified xsi:type="dcterms:W3CDTF">2016-01-13T10:26:00Z</dcterms:modified>
</cp:coreProperties>
</file>