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F513B" w14:textId="77777777" w:rsidR="00CF25FC" w:rsidRPr="0048184E" w:rsidRDefault="00A44DD6" w:rsidP="0048184E">
      <w:pPr>
        <w:spacing w:after="0" w:line="240" w:lineRule="auto"/>
        <w:rPr>
          <w:rFonts w:cstheme="minorHAnsi"/>
          <w:sz w:val="18"/>
          <w:szCs w:val="18"/>
        </w:rPr>
      </w:pPr>
      <w:r w:rsidRPr="0048184E">
        <w:rPr>
          <w:rFonts w:cstheme="minorHAnsi"/>
          <w:noProof/>
          <w:sz w:val="18"/>
          <w:szCs w:val="18"/>
        </w:rPr>
        <mc:AlternateContent>
          <mc:Choice Requires="wps">
            <w:drawing>
              <wp:anchor distT="0" distB="0" distL="114299" distR="114299" simplePos="0" relativeHeight="251659264" behindDoc="0" locked="0" layoutInCell="1" allowOverlap="1" wp14:anchorId="23C75470" wp14:editId="30FF0662">
                <wp:simplePos x="0" y="0"/>
                <wp:positionH relativeFrom="margin">
                  <wp:posOffset>-81815</wp:posOffset>
                </wp:positionH>
                <wp:positionV relativeFrom="paragraph">
                  <wp:posOffset>9525</wp:posOffset>
                </wp:positionV>
                <wp:extent cx="4813" cy="1174282"/>
                <wp:effectExtent l="0" t="0" r="33655" b="260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13" cy="1174282"/>
                        </a:xfrm>
                        <a:prstGeom prst="line">
                          <a:avLst/>
                        </a:prstGeom>
                        <a:ln w="19050">
                          <a:gradFill>
                            <a:gsLst>
                              <a:gs pos="18000">
                                <a:srgbClr val="FF0000"/>
                              </a:gs>
                              <a:gs pos="65000">
                                <a:srgbClr val="FFC00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9F184" id="Straight Connector 8"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6.45pt,.75pt" to="-6.0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" strokeweight="1.5pt">
                <v:stroke joinstyle="miter"/>
                <o:lock v:ext="edit" shapetype="f"/>
                <w10:wrap anchorx="margin"/>
              </v:line>
            </w:pict>
          </mc:Fallback>
        </mc:AlternateContent>
      </w:r>
    </w:p>
    <w:p w14:paraId="1F5C0E2A" w14:textId="77777777" w:rsidR="00047530" w:rsidRPr="0048184E" w:rsidRDefault="00A44DD6" w:rsidP="0048184E">
      <w:pPr>
        <w:spacing w:after="0" w:line="240" w:lineRule="auto"/>
        <w:rPr>
          <w:rFonts w:cstheme="minorHAnsi"/>
          <w:sz w:val="18"/>
          <w:szCs w:val="18"/>
        </w:rPr>
      </w:pPr>
      <w:r w:rsidRPr="0048184E">
        <w:rPr>
          <w:rFonts w:cstheme="minorHAnsi"/>
          <w:noProof/>
          <w:sz w:val="18"/>
          <w:szCs w:val="18"/>
        </w:rPr>
        <w:drawing>
          <wp:anchor distT="0" distB="0" distL="114300" distR="114300" simplePos="0" relativeHeight="251661312" behindDoc="0" locked="0" layoutInCell="1" allowOverlap="1" wp14:anchorId="42A4B232" wp14:editId="435504C7">
            <wp:simplePos x="0" y="0"/>
            <wp:positionH relativeFrom="column">
              <wp:posOffset>89368</wp:posOffset>
            </wp:positionH>
            <wp:positionV relativeFrom="paragraph">
              <wp:posOffset>4211</wp:posOffset>
            </wp:positionV>
            <wp:extent cx="539115" cy="6216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
    <w:p w14:paraId="299830E9" w14:textId="77777777" w:rsidR="00047530" w:rsidRPr="0048184E" w:rsidRDefault="00047530" w:rsidP="0048184E">
      <w:pPr>
        <w:spacing w:after="0" w:line="240" w:lineRule="auto"/>
        <w:rPr>
          <w:rFonts w:cstheme="minorHAnsi"/>
          <w:sz w:val="18"/>
          <w:szCs w:val="18"/>
        </w:rPr>
      </w:pPr>
    </w:p>
    <w:p w14:paraId="4E991157" w14:textId="77777777" w:rsidR="00047530" w:rsidRPr="0048184E" w:rsidRDefault="00047530" w:rsidP="0048184E">
      <w:pPr>
        <w:spacing w:after="0" w:line="240" w:lineRule="auto"/>
        <w:rPr>
          <w:rFonts w:cstheme="minorHAnsi"/>
          <w:sz w:val="18"/>
          <w:szCs w:val="18"/>
        </w:rPr>
      </w:pPr>
    </w:p>
    <w:p w14:paraId="613B275F" w14:textId="339BC7BE" w:rsidR="00047530" w:rsidRPr="004E05C7" w:rsidRDefault="00A44DD6" w:rsidP="00A44DD6">
      <w:pPr>
        <w:tabs>
          <w:tab w:val="left" w:pos="531"/>
          <w:tab w:val="right" w:pos="9026"/>
        </w:tabs>
        <w:spacing w:after="0" w:line="240" w:lineRule="auto"/>
        <w:rPr>
          <w:rFonts w:cstheme="minorHAnsi"/>
          <w:b/>
          <w:color w:val="4472C4" w:themeColor="accent5"/>
          <w:sz w:val="26"/>
          <w:szCs w:val="26"/>
          <w:lang w:val="pl-PL"/>
        </w:rPr>
      </w:pPr>
      <w:r>
        <w:rPr>
          <w:rFonts w:cstheme="minorHAnsi"/>
          <w:b/>
          <w:color w:val="4472C4" w:themeColor="accent5"/>
          <w:sz w:val="32"/>
          <w:szCs w:val="32"/>
          <w:lang w:val="pl-PL"/>
        </w:rPr>
        <w:tab/>
      </w:r>
      <w:r>
        <w:rPr>
          <w:rFonts w:cstheme="minorHAnsi"/>
          <w:b/>
          <w:color w:val="4472C4" w:themeColor="accent5"/>
          <w:sz w:val="32"/>
          <w:szCs w:val="32"/>
          <w:lang w:val="pl-PL"/>
        </w:rPr>
        <w:tab/>
      </w:r>
      <w:bookmarkStart w:id="0" w:name="_GoBack"/>
      <w:bookmarkEnd w:id="0"/>
    </w:p>
    <w:p w14:paraId="35624F83" w14:textId="77777777" w:rsidR="00047530" w:rsidRPr="00A44DD6" w:rsidRDefault="00A44DD6" w:rsidP="0048184E">
      <w:pPr>
        <w:spacing w:after="0" w:line="240" w:lineRule="auto"/>
        <w:rPr>
          <w:rFonts w:cstheme="minorHAnsi"/>
          <w:b/>
          <w:lang w:val="pl-PL"/>
        </w:rPr>
      </w:pPr>
      <w:r w:rsidRPr="00A44DD6">
        <w:rPr>
          <w:rFonts w:cstheme="minorHAnsi"/>
          <w:b/>
          <w:lang w:val="pl-PL"/>
        </w:rPr>
        <w:t xml:space="preserve">Ministarstvo regionalno-investicionog razvoja i </w:t>
      </w:r>
    </w:p>
    <w:p w14:paraId="179132ED" w14:textId="77777777" w:rsidR="00A44DD6" w:rsidRPr="001C272F" w:rsidRDefault="004E05C7" w:rsidP="0048184E">
      <w:pPr>
        <w:spacing w:after="0" w:line="240" w:lineRule="auto"/>
        <w:rPr>
          <w:rFonts w:cstheme="minorHAnsi"/>
          <w:color w:val="4472C4" w:themeColor="accent5"/>
          <w:sz w:val="18"/>
          <w:szCs w:val="18"/>
          <w:lang w:val="pl-PL"/>
        </w:rPr>
      </w:pPr>
      <w:r>
        <w:rPr>
          <w:rFonts w:cstheme="minorHAnsi"/>
          <w:b/>
          <w:lang w:val="pl-PL"/>
        </w:rPr>
        <w:t>s</w:t>
      </w:r>
      <w:r w:rsidR="00A44DD6" w:rsidRPr="00A44DD6">
        <w:rPr>
          <w:rFonts w:cstheme="minorHAnsi"/>
          <w:b/>
          <w:lang w:val="pl-PL"/>
        </w:rPr>
        <w:t>aradnje sa nevladinim organizacijama</w:t>
      </w:r>
    </w:p>
    <w:p w14:paraId="385B7BE0" w14:textId="77777777" w:rsidR="00047530" w:rsidRPr="0048184E" w:rsidRDefault="00047530" w:rsidP="0048184E">
      <w:pPr>
        <w:spacing w:after="0" w:line="240" w:lineRule="auto"/>
        <w:rPr>
          <w:rFonts w:cstheme="minorHAnsi"/>
          <w:sz w:val="18"/>
          <w:szCs w:val="18"/>
          <w:lang w:val="pl-PL"/>
        </w:rPr>
      </w:pPr>
    </w:p>
    <w:p w14:paraId="28AC08AF" w14:textId="3797CA68" w:rsidR="00047530" w:rsidRDefault="00047530" w:rsidP="0048184E">
      <w:pPr>
        <w:spacing w:after="0" w:line="240" w:lineRule="auto"/>
        <w:rPr>
          <w:rFonts w:cstheme="minorHAnsi"/>
          <w:sz w:val="18"/>
          <w:szCs w:val="18"/>
          <w:lang w:val="pl-PL"/>
        </w:rPr>
      </w:pPr>
    </w:p>
    <w:p w14:paraId="553CD6A4" w14:textId="1A0329C5" w:rsidR="0085124C" w:rsidRDefault="0085124C" w:rsidP="0048184E">
      <w:pPr>
        <w:spacing w:after="0" w:line="240" w:lineRule="auto"/>
        <w:rPr>
          <w:rFonts w:cstheme="minorHAnsi"/>
          <w:sz w:val="18"/>
          <w:szCs w:val="18"/>
          <w:lang w:val="pl-PL"/>
        </w:rPr>
      </w:pPr>
    </w:p>
    <w:p w14:paraId="06663C64" w14:textId="1B27894B" w:rsidR="0085124C" w:rsidRDefault="0085124C" w:rsidP="0048184E">
      <w:pPr>
        <w:spacing w:after="0" w:line="240" w:lineRule="auto"/>
        <w:rPr>
          <w:rFonts w:cstheme="minorHAnsi"/>
          <w:sz w:val="18"/>
          <w:szCs w:val="18"/>
          <w:lang w:val="pl-PL"/>
        </w:rPr>
      </w:pPr>
    </w:p>
    <w:p w14:paraId="56CAC83A" w14:textId="3C704BF0" w:rsidR="0085124C" w:rsidRDefault="0085124C" w:rsidP="0048184E">
      <w:pPr>
        <w:spacing w:after="0" w:line="240" w:lineRule="auto"/>
        <w:rPr>
          <w:rFonts w:cstheme="minorHAnsi"/>
          <w:sz w:val="18"/>
          <w:szCs w:val="18"/>
          <w:lang w:val="pl-PL"/>
        </w:rPr>
      </w:pPr>
    </w:p>
    <w:p w14:paraId="3B1DFB1F" w14:textId="0837B24D" w:rsidR="0085124C" w:rsidRDefault="0085124C" w:rsidP="0048184E">
      <w:pPr>
        <w:spacing w:after="0" w:line="240" w:lineRule="auto"/>
        <w:rPr>
          <w:rFonts w:cstheme="minorHAnsi"/>
          <w:sz w:val="18"/>
          <w:szCs w:val="18"/>
          <w:lang w:val="pl-PL"/>
        </w:rPr>
      </w:pPr>
    </w:p>
    <w:p w14:paraId="5BBFE5E0" w14:textId="6BE29B2A" w:rsidR="0085124C" w:rsidRDefault="0085124C" w:rsidP="0048184E">
      <w:pPr>
        <w:spacing w:after="0" w:line="240" w:lineRule="auto"/>
        <w:rPr>
          <w:rFonts w:cstheme="minorHAnsi"/>
          <w:sz w:val="18"/>
          <w:szCs w:val="18"/>
          <w:lang w:val="pl-PL"/>
        </w:rPr>
      </w:pPr>
    </w:p>
    <w:p w14:paraId="6F677D76" w14:textId="70450496" w:rsidR="0085124C" w:rsidRDefault="0085124C" w:rsidP="0048184E">
      <w:pPr>
        <w:spacing w:after="0" w:line="240" w:lineRule="auto"/>
        <w:rPr>
          <w:rFonts w:cstheme="minorHAnsi"/>
          <w:sz w:val="18"/>
          <w:szCs w:val="18"/>
          <w:lang w:val="pl-PL"/>
        </w:rPr>
      </w:pPr>
    </w:p>
    <w:p w14:paraId="22CDDDEA" w14:textId="4EC71161" w:rsidR="0085124C" w:rsidRDefault="0085124C" w:rsidP="0048184E">
      <w:pPr>
        <w:spacing w:after="0" w:line="240" w:lineRule="auto"/>
        <w:rPr>
          <w:rFonts w:cstheme="minorHAnsi"/>
          <w:sz w:val="18"/>
          <w:szCs w:val="18"/>
          <w:lang w:val="pl-PL"/>
        </w:rPr>
      </w:pPr>
    </w:p>
    <w:p w14:paraId="45F298FE" w14:textId="06E4318D" w:rsidR="0085124C" w:rsidRDefault="0085124C" w:rsidP="0048184E">
      <w:pPr>
        <w:spacing w:after="0" w:line="240" w:lineRule="auto"/>
        <w:rPr>
          <w:rFonts w:cstheme="minorHAnsi"/>
          <w:sz w:val="18"/>
          <w:szCs w:val="18"/>
          <w:lang w:val="pl-PL"/>
        </w:rPr>
      </w:pPr>
    </w:p>
    <w:p w14:paraId="7B4DA990" w14:textId="6D6EF41E" w:rsidR="0085124C" w:rsidRDefault="0085124C" w:rsidP="0048184E">
      <w:pPr>
        <w:spacing w:after="0" w:line="240" w:lineRule="auto"/>
        <w:rPr>
          <w:rFonts w:cstheme="minorHAnsi"/>
          <w:sz w:val="18"/>
          <w:szCs w:val="18"/>
          <w:lang w:val="pl-PL"/>
        </w:rPr>
      </w:pPr>
    </w:p>
    <w:p w14:paraId="54981803" w14:textId="69DE0155" w:rsidR="0085124C" w:rsidRDefault="0085124C" w:rsidP="0048184E">
      <w:pPr>
        <w:spacing w:after="0" w:line="240" w:lineRule="auto"/>
        <w:rPr>
          <w:rFonts w:cstheme="minorHAnsi"/>
          <w:sz w:val="18"/>
          <w:szCs w:val="18"/>
          <w:lang w:val="pl-PL"/>
        </w:rPr>
      </w:pPr>
    </w:p>
    <w:p w14:paraId="04E5F658" w14:textId="052846FE" w:rsidR="0085124C" w:rsidRDefault="0085124C" w:rsidP="0048184E">
      <w:pPr>
        <w:spacing w:after="0" w:line="240" w:lineRule="auto"/>
        <w:rPr>
          <w:rFonts w:cstheme="minorHAnsi"/>
          <w:sz w:val="18"/>
          <w:szCs w:val="18"/>
          <w:lang w:val="pl-PL"/>
        </w:rPr>
      </w:pPr>
    </w:p>
    <w:p w14:paraId="75383A83" w14:textId="77777777" w:rsidR="0085124C" w:rsidRPr="0048184E" w:rsidRDefault="0085124C" w:rsidP="0048184E">
      <w:pPr>
        <w:spacing w:after="0" w:line="240" w:lineRule="auto"/>
        <w:rPr>
          <w:rFonts w:cstheme="minorHAnsi"/>
          <w:sz w:val="18"/>
          <w:szCs w:val="18"/>
          <w:lang w:val="pl-PL"/>
        </w:rPr>
      </w:pPr>
    </w:p>
    <w:p w14:paraId="6AD5DFEA" w14:textId="77777777" w:rsidR="00047530" w:rsidRPr="0048184E" w:rsidRDefault="00047530" w:rsidP="0048184E">
      <w:pPr>
        <w:spacing w:after="0" w:line="240" w:lineRule="auto"/>
        <w:rPr>
          <w:rFonts w:cstheme="minorHAnsi"/>
          <w:sz w:val="18"/>
          <w:szCs w:val="18"/>
          <w:lang w:val="pl-PL"/>
        </w:rPr>
      </w:pPr>
    </w:p>
    <w:p w14:paraId="29FBF2A5" w14:textId="77777777" w:rsidR="00047530" w:rsidRPr="0048184E" w:rsidRDefault="00047530" w:rsidP="0048184E">
      <w:pPr>
        <w:spacing w:after="0" w:line="240" w:lineRule="auto"/>
        <w:rPr>
          <w:rFonts w:cstheme="minorHAnsi"/>
          <w:sz w:val="18"/>
          <w:szCs w:val="18"/>
          <w:lang w:val="pl-PL"/>
        </w:rPr>
      </w:pPr>
    </w:p>
    <w:p w14:paraId="4198674D" w14:textId="77777777" w:rsidR="00047530" w:rsidRPr="0048184E" w:rsidRDefault="00047530" w:rsidP="0048184E">
      <w:pPr>
        <w:spacing w:after="0" w:line="240" w:lineRule="auto"/>
        <w:rPr>
          <w:rFonts w:cstheme="minorHAnsi"/>
          <w:sz w:val="18"/>
          <w:szCs w:val="18"/>
          <w:lang w:val="pl-PL"/>
        </w:rPr>
      </w:pPr>
    </w:p>
    <w:p w14:paraId="0EBFDA21" w14:textId="77777777" w:rsidR="00886119" w:rsidRPr="0048184E" w:rsidRDefault="00886119" w:rsidP="0048184E">
      <w:pPr>
        <w:spacing w:after="0" w:line="240" w:lineRule="auto"/>
        <w:rPr>
          <w:rFonts w:cstheme="minorHAnsi"/>
          <w:sz w:val="18"/>
          <w:szCs w:val="18"/>
          <w:lang w:val="pl-PL"/>
        </w:rPr>
      </w:pPr>
    </w:p>
    <w:p w14:paraId="711FDFB4" w14:textId="77777777" w:rsidR="00047530" w:rsidRPr="0048184E" w:rsidRDefault="00047530" w:rsidP="0048184E">
      <w:pPr>
        <w:spacing w:after="0" w:line="240" w:lineRule="auto"/>
        <w:rPr>
          <w:rFonts w:cstheme="minorHAnsi"/>
          <w:sz w:val="18"/>
          <w:szCs w:val="18"/>
          <w:lang w:val="pl-PL"/>
        </w:rPr>
      </w:pPr>
    </w:p>
    <w:p w14:paraId="6ED5F3AD" w14:textId="77777777" w:rsidR="00047530" w:rsidRPr="001C272F" w:rsidRDefault="00047530" w:rsidP="00B03923">
      <w:pPr>
        <w:pStyle w:val="NoSpacing"/>
        <w:jc w:val="center"/>
        <w:rPr>
          <w:rFonts w:asciiTheme="minorHAnsi" w:hAnsiTheme="minorHAnsi" w:cstheme="minorHAnsi"/>
          <w:b/>
          <w:color w:val="4472C4" w:themeColor="accent5"/>
          <w:sz w:val="32"/>
          <w:szCs w:val="32"/>
          <w:lang w:val="sr-Latn-ME"/>
        </w:rPr>
      </w:pPr>
      <w:r w:rsidRPr="001C272F">
        <w:rPr>
          <w:rFonts w:asciiTheme="minorHAnsi" w:hAnsiTheme="minorHAnsi" w:cstheme="minorHAnsi"/>
          <w:b/>
          <w:color w:val="4472C4" w:themeColor="accent5"/>
          <w:sz w:val="32"/>
          <w:szCs w:val="32"/>
          <w:lang w:val="sr-Latn-ME"/>
        </w:rPr>
        <w:t>REVIDIRANA STRATEGIJA REGIONALNOG RAZVOJA CRNE GORE</w:t>
      </w:r>
    </w:p>
    <w:p w14:paraId="20F21448" w14:textId="77777777" w:rsidR="00047530" w:rsidRPr="001C272F" w:rsidRDefault="00047530" w:rsidP="0048184E">
      <w:pPr>
        <w:pStyle w:val="NoSpacing"/>
        <w:jc w:val="center"/>
        <w:rPr>
          <w:rFonts w:asciiTheme="minorHAnsi" w:hAnsiTheme="minorHAnsi" w:cstheme="minorHAnsi"/>
          <w:b/>
          <w:color w:val="4472C4" w:themeColor="accent5"/>
          <w:sz w:val="32"/>
          <w:szCs w:val="32"/>
          <w:lang w:val="sr-Latn-ME"/>
        </w:rPr>
      </w:pPr>
      <w:r w:rsidRPr="001C272F">
        <w:rPr>
          <w:rFonts w:asciiTheme="minorHAnsi" w:hAnsiTheme="minorHAnsi" w:cstheme="minorHAnsi"/>
          <w:b/>
          <w:color w:val="4472C4" w:themeColor="accent5"/>
          <w:sz w:val="32"/>
          <w:szCs w:val="32"/>
          <w:lang w:val="sr-Latn-ME"/>
        </w:rPr>
        <w:t>ZA PERIOD 2023-2027</w:t>
      </w:r>
      <w:r w:rsidR="00B03923">
        <w:rPr>
          <w:rFonts w:asciiTheme="minorHAnsi" w:hAnsiTheme="minorHAnsi" w:cstheme="minorHAnsi"/>
          <w:b/>
          <w:color w:val="4472C4" w:themeColor="accent5"/>
          <w:sz w:val="32"/>
          <w:szCs w:val="32"/>
          <w:lang w:val="sr-Latn-ME"/>
        </w:rPr>
        <w:t>.</w:t>
      </w:r>
    </w:p>
    <w:p w14:paraId="0200DF4F" w14:textId="77777777" w:rsidR="00047530" w:rsidRPr="001C272F" w:rsidRDefault="00047530" w:rsidP="0048184E">
      <w:pPr>
        <w:pStyle w:val="NoSpacing"/>
        <w:jc w:val="center"/>
        <w:rPr>
          <w:rFonts w:asciiTheme="minorHAnsi" w:hAnsiTheme="minorHAnsi" w:cstheme="minorHAnsi"/>
          <w:b/>
          <w:color w:val="4472C4" w:themeColor="accent5"/>
          <w:sz w:val="32"/>
          <w:szCs w:val="32"/>
          <w:lang w:val="sr-Latn-ME"/>
        </w:rPr>
      </w:pPr>
    </w:p>
    <w:p w14:paraId="7683824F" w14:textId="77777777" w:rsidR="00047530" w:rsidRPr="001C272F" w:rsidRDefault="00047530" w:rsidP="0048184E">
      <w:pPr>
        <w:spacing w:after="0" w:line="240" w:lineRule="auto"/>
        <w:rPr>
          <w:rFonts w:cstheme="minorHAnsi"/>
          <w:color w:val="4472C4" w:themeColor="accent5"/>
          <w:sz w:val="32"/>
          <w:szCs w:val="32"/>
          <w:lang w:val="sr-Latn-ME"/>
        </w:rPr>
      </w:pPr>
    </w:p>
    <w:p w14:paraId="2E2AFBC7" w14:textId="77777777" w:rsidR="00047530" w:rsidRPr="0048184E" w:rsidRDefault="00047530" w:rsidP="0048184E">
      <w:pPr>
        <w:spacing w:after="0" w:line="240" w:lineRule="auto"/>
        <w:rPr>
          <w:rFonts w:cstheme="minorHAnsi"/>
          <w:sz w:val="18"/>
          <w:szCs w:val="18"/>
          <w:lang w:val="sr-Latn-ME"/>
        </w:rPr>
      </w:pPr>
    </w:p>
    <w:p w14:paraId="4209BB10" w14:textId="77777777" w:rsidR="00047530" w:rsidRPr="0048184E" w:rsidRDefault="00047530" w:rsidP="0048184E">
      <w:pPr>
        <w:spacing w:after="0" w:line="240" w:lineRule="auto"/>
        <w:rPr>
          <w:rFonts w:cstheme="minorHAnsi"/>
          <w:sz w:val="18"/>
          <w:szCs w:val="18"/>
          <w:lang w:val="sr-Latn-ME"/>
        </w:rPr>
      </w:pPr>
    </w:p>
    <w:p w14:paraId="0A5A3061" w14:textId="77777777" w:rsidR="00047530" w:rsidRPr="0048184E" w:rsidRDefault="00047530" w:rsidP="0048184E">
      <w:pPr>
        <w:spacing w:after="0" w:line="240" w:lineRule="auto"/>
        <w:rPr>
          <w:rFonts w:cstheme="minorHAnsi"/>
          <w:sz w:val="18"/>
          <w:szCs w:val="18"/>
          <w:lang w:val="sr-Latn-ME"/>
        </w:rPr>
      </w:pPr>
    </w:p>
    <w:p w14:paraId="40FEAB5E" w14:textId="77777777" w:rsidR="00047530" w:rsidRPr="0048184E" w:rsidRDefault="00047530" w:rsidP="0048184E">
      <w:pPr>
        <w:spacing w:after="0" w:line="240" w:lineRule="auto"/>
        <w:rPr>
          <w:rFonts w:cstheme="minorHAnsi"/>
          <w:sz w:val="18"/>
          <w:szCs w:val="18"/>
          <w:lang w:val="sr-Latn-ME"/>
        </w:rPr>
      </w:pPr>
    </w:p>
    <w:p w14:paraId="0500FC7C" w14:textId="77777777" w:rsidR="00047530" w:rsidRPr="0048184E" w:rsidRDefault="00047530" w:rsidP="0048184E">
      <w:pPr>
        <w:spacing w:after="0" w:line="240" w:lineRule="auto"/>
        <w:rPr>
          <w:rFonts w:cstheme="minorHAnsi"/>
          <w:sz w:val="18"/>
          <w:szCs w:val="18"/>
          <w:lang w:val="sr-Latn-ME"/>
        </w:rPr>
      </w:pPr>
    </w:p>
    <w:p w14:paraId="11E2D187" w14:textId="77777777" w:rsidR="00047530" w:rsidRPr="0048184E" w:rsidRDefault="00047530" w:rsidP="0048184E">
      <w:pPr>
        <w:spacing w:after="0" w:line="240" w:lineRule="auto"/>
        <w:rPr>
          <w:rFonts w:cstheme="minorHAnsi"/>
          <w:sz w:val="18"/>
          <w:szCs w:val="18"/>
          <w:lang w:val="sr-Latn-ME"/>
        </w:rPr>
      </w:pPr>
    </w:p>
    <w:p w14:paraId="62FD8C60" w14:textId="64DD625A" w:rsidR="001C272F" w:rsidRDefault="001C272F" w:rsidP="0048184E">
      <w:pPr>
        <w:pStyle w:val="NoSpacing"/>
        <w:rPr>
          <w:rFonts w:asciiTheme="minorHAnsi" w:eastAsiaTheme="minorHAnsi" w:hAnsiTheme="minorHAnsi" w:cstheme="minorHAnsi"/>
          <w:sz w:val="18"/>
          <w:szCs w:val="18"/>
          <w:lang w:val="sr-Latn-ME"/>
        </w:rPr>
      </w:pPr>
    </w:p>
    <w:p w14:paraId="1C12F69B" w14:textId="1E8B5EF8" w:rsidR="0085124C" w:rsidRDefault="0085124C" w:rsidP="0048184E">
      <w:pPr>
        <w:pStyle w:val="NoSpacing"/>
        <w:rPr>
          <w:rFonts w:asciiTheme="minorHAnsi" w:eastAsiaTheme="minorHAnsi" w:hAnsiTheme="minorHAnsi" w:cstheme="minorHAnsi"/>
          <w:sz w:val="18"/>
          <w:szCs w:val="18"/>
          <w:lang w:val="sr-Latn-ME"/>
        </w:rPr>
      </w:pPr>
    </w:p>
    <w:p w14:paraId="63C70E95" w14:textId="668756B3" w:rsidR="0085124C" w:rsidRDefault="0085124C" w:rsidP="0048184E">
      <w:pPr>
        <w:pStyle w:val="NoSpacing"/>
        <w:rPr>
          <w:rFonts w:asciiTheme="minorHAnsi" w:eastAsiaTheme="minorHAnsi" w:hAnsiTheme="minorHAnsi" w:cstheme="minorHAnsi"/>
          <w:sz w:val="18"/>
          <w:szCs w:val="18"/>
          <w:lang w:val="sr-Latn-ME"/>
        </w:rPr>
      </w:pPr>
    </w:p>
    <w:p w14:paraId="7115F26E" w14:textId="77777777" w:rsidR="0085124C" w:rsidRDefault="0085124C" w:rsidP="0048184E">
      <w:pPr>
        <w:pStyle w:val="NoSpacing"/>
        <w:rPr>
          <w:rFonts w:asciiTheme="minorHAnsi" w:eastAsiaTheme="minorHAnsi" w:hAnsiTheme="minorHAnsi" w:cstheme="minorHAnsi"/>
          <w:sz w:val="18"/>
          <w:szCs w:val="18"/>
          <w:lang w:val="sr-Latn-ME"/>
        </w:rPr>
      </w:pPr>
    </w:p>
    <w:p w14:paraId="33FF235B" w14:textId="77777777" w:rsidR="001C272F" w:rsidRDefault="001C272F" w:rsidP="0048184E">
      <w:pPr>
        <w:pStyle w:val="NoSpacing"/>
        <w:rPr>
          <w:rFonts w:asciiTheme="minorHAnsi" w:eastAsiaTheme="minorHAnsi" w:hAnsiTheme="minorHAnsi" w:cstheme="minorHAnsi"/>
          <w:sz w:val="18"/>
          <w:szCs w:val="18"/>
          <w:lang w:val="sr-Latn-ME"/>
        </w:rPr>
      </w:pPr>
    </w:p>
    <w:p w14:paraId="5DFC23C9" w14:textId="77777777" w:rsidR="001C272F" w:rsidRDefault="001C272F" w:rsidP="0048184E">
      <w:pPr>
        <w:pStyle w:val="NoSpacing"/>
        <w:rPr>
          <w:rFonts w:asciiTheme="minorHAnsi" w:eastAsiaTheme="minorHAnsi" w:hAnsiTheme="minorHAnsi" w:cstheme="minorHAnsi"/>
          <w:sz w:val="18"/>
          <w:szCs w:val="18"/>
          <w:lang w:val="sr-Latn-ME"/>
        </w:rPr>
      </w:pPr>
    </w:p>
    <w:p w14:paraId="2CF5CC08" w14:textId="77777777" w:rsidR="001C272F" w:rsidRDefault="001C272F" w:rsidP="0048184E">
      <w:pPr>
        <w:pStyle w:val="NoSpacing"/>
        <w:rPr>
          <w:rFonts w:asciiTheme="minorHAnsi" w:eastAsiaTheme="minorHAnsi" w:hAnsiTheme="minorHAnsi" w:cstheme="minorHAnsi"/>
          <w:sz w:val="18"/>
          <w:szCs w:val="18"/>
          <w:lang w:val="sr-Latn-ME"/>
        </w:rPr>
      </w:pPr>
    </w:p>
    <w:p w14:paraId="6CA12BF7" w14:textId="77777777" w:rsidR="001C272F" w:rsidRDefault="001C272F" w:rsidP="0048184E">
      <w:pPr>
        <w:pStyle w:val="NoSpacing"/>
        <w:rPr>
          <w:rFonts w:asciiTheme="minorHAnsi" w:eastAsiaTheme="minorHAnsi" w:hAnsiTheme="minorHAnsi" w:cstheme="minorHAnsi"/>
          <w:sz w:val="18"/>
          <w:szCs w:val="18"/>
          <w:lang w:val="sr-Latn-ME"/>
        </w:rPr>
      </w:pPr>
    </w:p>
    <w:p w14:paraId="7E20937E" w14:textId="77777777" w:rsidR="001C272F" w:rsidRDefault="001C272F" w:rsidP="0048184E">
      <w:pPr>
        <w:pStyle w:val="NoSpacing"/>
        <w:rPr>
          <w:rFonts w:asciiTheme="minorHAnsi" w:eastAsiaTheme="minorHAnsi" w:hAnsiTheme="minorHAnsi" w:cstheme="minorHAnsi"/>
          <w:sz w:val="18"/>
          <w:szCs w:val="18"/>
          <w:lang w:val="sr-Latn-ME"/>
        </w:rPr>
      </w:pPr>
    </w:p>
    <w:p w14:paraId="42C75736" w14:textId="77777777" w:rsidR="001C272F" w:rsidRDefault="001C272F" w:rsidP="0048184E">
      <w:pPr>
        <w:pStyle w:val="NoSpacing"/>
        <w:rPr>
          <w:rFonts w:asciiTheme="minorHAnsi" w:eastAsiaTheme="minorHAnsi" w:hAnsiTheme="minorHAnsi" w:cstheme="minorHAnsi"/>
          <w:sz w:val="18"/>
          <w:szCs w:val="18"/>
          <w:lang w:val="sr-Latn-ME"/>
        </w:rPr>
      </w:pPr>
    </w:p>
    <w:p w14:paraId="746997FE" w14:textId="77777777" w:rsidR="001C272F" w:rsidRDefault="001C272F" w:rsidP="0048184E">
      <w:pPr>
        <w:pStyle w:val="NoSpacing"/>
        <w:rPr>
          <w:rFonts w:asciiTheme="minorHAnsi" w:eastAsiaTheme="minorHAnsi" w:hAnsiTheme="minorHAnsi" w:cstheme="minorHAnsi"/>
          <w:sz w:val="18"/>
          <w:szCs w:val="18"/>
          <w:lang w:val="sr-Latn-ME"/>
        </w:rPr>
      </w:pPr>
    </w:p>
    <w:p w14:paraId="11F8E243" w14:textId="77777777" w:rsidR="001C272F" w:rsidRDefault="001C272F" w:rsidP="0048184E">
      <w:pPr>
        <w:pStyle w:val="NoSpacing"/>
        <w:rPr>
          <w:rFonts w:asciiTheme="minorHAnsi" w:eastAsiaTheme="minorHAnsi" w:hAnsiTheme="minorHAnsi" w:cstheme="minorHAnsi"/>
          <w:sz w:val="18"/>
          <w:szCs w:val="18"/>
          <w:lang w:val="sr-Latn-ME"/>
        </w:rPr>
      </w:pPr>
    </w:p>
    <w:p w14:paraId="140CE8E7" w14:textId="77777777" w:rsidR="001C272F" w:rsidRDefault="001C272F" w:rsidP="0048184E">
      <w:pPr>
        <w:pStyle w:val="NoSpacing"/>
        <w:rPr>
          <w:rFonts w:asciiTheme="minorHAnsi" w:eastAsiaTheme="minorHAnsi" w:hAnsiTheme="minorHAnsi" w:cstheme="minorHAnsi"/>
          <w:sz w:val="18"/>
          <w:szCs w:val="18"/>
          <w:lang w:val="sr-Latn-ME"/>
        </w:rPr>
      </w:pPr>
    </w:p>
    <w:p w14:paraId="4E4FA11C" w14:textId="77777777" w:rsidR="001C272F" w:rsidRDefault="001C272F" w:rsidP="0048184E">
      <w:pPr>
        <w:pStyle w:val="NoSpacing"/>
        <w:rPr>
          <w:rFonts w:asciiTheme="minorHAnsi" w:eastAsiaTheme="minorHAnsi" w:hAnsiTheme="minorHAnsi" w:cstheme="minorHAnsi"/>
          <w:sz w:val="18"/>
          <w:szCs w:val="18"/>
          <w:lang w:val="sr-Latn-ME"/>
        </w:rPr>
      </w:pPr>
    </w:p>
    <w:p w14:paraId="5FE49C0B" w14:textId="77777777" w:rsidR="001C272F" w:rsidRDefault="001C272F" w:rsidP="0048184E">
      <w:pPr>
        <w:pStyle w:val="NoSpacing"/>
        <w:rPr>
          <w:rFonts w:asciiTheme="minorHAnsi" w:eastAsiaTheme="minorHAnsi" w:hAnsiTheme="minorHAnsi" w:cstheme="minorHAnsi"/>
          <w:sz w:val="18"/>
          <w:szCs w:val="18"/>
          <w:lang w:val="sr-Latn-ME"/>
        </w:rPr>
      </w:pPr>
    </w:p>
    <w:p w14:paraId="604328E9" w14:textId="77777777" w:rsidR="001C272F" w:rsidRDefault="001C272F" w:rsidP="0048184E">
      <w:pPr>
        <w:pStyle w:val="NoSpacing"/>
        <w:rPr>
          <w:rFonts w:asciiTheme="minorHAnsi" w:eastAsiaTheme="minorHAnsi" w:hAnsiTheme="minorHAnsi" w:cstheme="minorHAnsi"/>
          <w:sz w:val="18"/>
          <w:szCs w:val="18"/>
          <w:lang w:val="sr-Latn-ME"/>
        </w:rPr>
      </w:pPr>
    </w:p>
    <w:p w14:paraId="0B856776" w14:textId="77777777" w:rsidR="001C272F" w:rsidRDefault="001C272F" w:rsidP="0048184E">
      <w:pPr>
        <w:pStyle w:val="NoSpacing"/>
        <w:rPr>
          <w:rFonts w:asciiTheme="minorHAnsi" w:eastAsiaTheme="minorHAnsi" w:hAnsiTheme="minorHAnsi" w:cstheme="minorHAnsi"/>
          <w:sz w:val="18"/>
          <w:szCs w:val="18"/>
          <w:lang w:val="sr-Latn-ME"/>
        </w:rPr>
      </w:pPr>
    </w:p>
    <w:p w14:paraId="17DED42A" w14:textId="77777777" w:rsidR="001C272F" w:rsidRDefault="001C272F" w:rsidP="0048184E">
      <w:pPr>
        <w:pStyle w:val="NoSpacing"/>
        <w:rPr>
          <w:rFonts w:asciiTheme="minorHAnsi" w:eastAsiaTheme="minorHAnsi" w:hAnsiTheme="minorHAnsi" w:cstheme="minorHAnsi"/>
          <w:sz w:val="18"/>
          <w:szCs w:val="18"/>
          <w:lang w:val="sr-Latn-ME"/>
        </w:rPr>
      </w:pPr>
    </w:p>
    <w:p w14:paraId="5A7E0EDF" w14:textId="77777777" w:rsidR="001C272F" w:rsidRDefault="001C272F" w:rsidP="0048184E">
      <w:pPr>
        <w:pStyle w:val="NoSpacing"/>
        <w:rPr>
          <w:rFonts w:asciiTheme="minorHAnsi" w:eastAsiaTheme="minorHAnsi" w:hAnsiTheme="minorHAnsi" w:cstheme="minorHAnsi"/>
          <w:sz w:val="18"/>
          <w:szCs w:val="18"/>
          <w:lang w:val="sr-Latn-ME"/>
        </w:rPr>
      </w:pPr>
    </w:p>
    <w:p w14:paraId="310D6305" w14:textId="77777777" w:rsidR="001C272F" w:rsidRDefault="001C272F" w:rsidP="0048184E">
      <w:pPr>
        <w:pStyle w:val="NoSpacing"/>
        <w:rPr>
          <w:rFonts w:asciiTheme="minorHAnsi" w:eastAsiaTheme="minorHAnsi" w:hAnsiTheme="minorHAnsi" w:cstheme="minorHAnsi"/>
          <w:sz w:val="18"/>
          <w:szCs w:val="18"/>
          <w:lang w:val="sr-Latn-ME"/>
        </w:rPr>
      </w:pPr>
    </w:p>
    <w:p w14:paraId="699C80C5" w14:textId="77777777" w:rsidR="001C272F" w:rsidRDefault="001C272F" w:rsidP="0048184E">
      <w:pPr>
        <w:pStyle w:val="NoSpacing"/>
        <w:rPr>
          <w:rFonts w:asciiTheme="minorHAnsi" w:eastAsiaTheme="minorHAnsi" w:hAnsiTheme="minorHAnsi" w:cstheme="minorHAnsi"/>
          <w:sz w:val="18"/>
          <w:szCs w:val="18"/>
          <w:lang w:val="sr-Latn-ME"/>
        </w:rPr>
      </w:pPr>
    </w:p>
    <w:p w14:paraId="3404EA1F" w14:textId="49E4C349" w:rsidR="001C272F" w:rsidRDefault="00047530" w:rsidP="0017620A">
      <w:pPr>
        <w:pStyle w:val="NoSpacing"/>
        <w:jc w:val="center"/>
        <w:rPr>
          <w:rFonts w:asciiTheme="minorHAnsi" w:hAnsiTheme="minorHAnsi" w:cstheme="minorHAnsi"/>
          <w:b/>
          <w:sz w:val="18"/>
          <w:szCs w:val="18"/>
          <w:lang w:val="sr-Latn-ME"/>
        </w:rPr>
      </w:pPr>
      <w:r w:rsidRPr="0048184E">
        <w:rPr>
          <w:rFonts w:asciiTheme="minorHAnsi" w:hAnsiTheme="minorHAnsi" w:cstheme="minorHAnsi"/>
          <w:b/>
          <w:sz w:val="18"/>
          <w:szCs w:val="18"/>
          <w:lang w:val="sr-Latn-ME"/>
        </w:rPr>
        <w:t xml:space="preserve">Podgorica, </w:t>
      </w:r>
      <w:r w:rsidR="00484115">
        <w:rPr>
          <w:rFonts w:asciiTheme="minorHAnsi" w:hAnsiTheme="minorHAnsi" w:cstheme="minorHAnsi"/>
          <w:b/>
          <w:sz w:val="18"/>
          <w:szCs w:val="18"/>
          <w:lang w:val="sr-Latn-ME"/>
        </w:rPr>
        <w:t>septembar</w:t>
      </w:r>
      <w:r w:rsidR="006400D0" w:rsidRPr="0048184E">
        <w:rPr>
          <w:rFonts w:asciiTheme="minorHAnsi" w:hAnsiTheme="minorHAnsi" w:cstheme="minorHAnsi"/>
          <w:b/>
          <w:sz w:val="18"/>
          <w:szCs w:val="18"/>
          <w:lang w:val="sr-Latn-ME"/>
        </w:rPr>
        <w:t xml:space="preserve"> 2025</w:t>
      </w:r>
      <w:r w:rsidR="0017620A">
        <w:rPr>
          <w:rFonts w:asciiTheme="minorHAnsi" w:hAnsiTheme="minorHAnsi" w:cstheme="minorHAnsi"/>
          <w:b/>
          <w:sz w:val="18"/>
          <w:szCs w:val="18"/>
          <w:lang w:val="sr-Latn-ME"/>
        </w:rPr>
        <w:t>. godine</w:t>
      </w:r>
    </w:p>
    <w:p w14:paraId="3B9677F6" w14:textId="77777777" w:rsidR="001C272F" w:rsidRPr="0048184E" w:rsidRDefault="001C272F" w:rsidP="0048184E">
      <w:pPr>
        <w:pStyle w:val="NoSpacing"/>
        <w:rPr>
          <w:rFonts w:asciiTheme="minorHAnsi" w:hAnsiTheme="minorHAnsi" w:cstheme="minorHAnsi"/>
          <w:b/>
          <w:sz w:val="18"/>
          <w:szCs w:val="18"/>
          <w:lang w:val="sr-Latn-ME"/>
        </w:rPr>
      </w:pPr>
    </w:p>
    <w:p w14:paraId="1684E3E6" w14:textId="77777777" w:rsidR="00267341" w:rsidRPr="001C272F" w:rsidRDefault="00267341" w:rsidP="0048184E">
      <w:pPr>
        <w:spacing w:after="0" w:line="240" w:lineRule="auto"/>
        <w:rPr>
          <w:rFonts w:cstheme="minorHAnsi"/>
          <w:b/>
          <w:color w:val="4472C4" w:themeColor="accent5"/>
          <w:sz w:val="26"/>
          <w:szCs w:val="26"/>
          <w:lang w:val="sr-Latn-ME"/>
        </w:rPr>
      </w:pPr>
      <w:r w:rsidRPr="001C272F">
        <w:rPr>
          <w:rFonts w:cstheme="minorHAnsi"/>
          <w:b/>
          <w:color w:val="4472C4" w:themeColor="accent5"/>
          <w:sz w:val="26"/>
          <w:szCs w:val="26"/>
          <w:lang w:val="sr-Latn-ME"/>
        </w:rPr>
        <w:t>S A D R Ž A J</w:t>
      </w:r>
    </w:p>
    <w:sdt>
      <w:sdtPr>
        <w:rPr>
          <w:rFonts w:asciiTheme="minorHAnsi" w:eastAsiaTheme="minorHAnsi" w:hAnsiTheme="minorHAnsi" w:cstheme="minorBidi"/>
          <w:noProof w:val="0"/>
          <w:color w:val="auto"/>
          <w:sz w:val="18"/>
          <w:szCs w:val="18"/>
          <w:lang w:val="en-US" w:eastAsia="en-US"/>
        </w:rPr>
        <w:id w:val="1645466821"/>
        <w:docPartObj>
          <w:docPartGallery w:val="Table of Contents"/>
          <w:docPartUnique/>
        </w:docPartObj>
      </w:sdtPr>
      <w:sdtEndPr>
        <w:rPr>
          <w:b/>
          <w:bCs/>
        </w:rPr>
      </w:sdtEndPr>
      <w:sdtContent>
        <w:p w14:paraId="0327A5A2" w14:textId="77777777" w:rsidR="0048184E" w:rsidRPr="0048184E" w:rsidRDefault="0048184E" w:rsidP="0048184E">
          <w:pPr>
            <w:pStyle w:val="TOCHeading"/>
            <w:spacing w:before="0" w:line="240" w:lineRule="auto"/>
            <w:rPr>
              <w:rFonts w:asciiTheme="minorHAnsi" w:hAnsiTheme="minorHAnsi"/>
              <w:color w:val="auto"/>
              <w:sz w:val="18"/>
              <w:szCs w:val="18"/>
            </w:rPr>
          </w:pPr>
        </w:p>
        <w:p w14:paraId="2309D85F" w14:textId="607DEA60" w:rsidR="0048184E" w:rsidRPr="0048184E" w:rsidRDefault="0048184E" w:rsidP="0048184E">
          <w:pPr>
            <w:pStyle w:val="TOC1"/>
            <w:tabs>
              <w:tab w:val="right" w:leader="dot" w:pos="9016"/>
            </w:tabs>
            <w:spacing w:after="0" w:line="240" w:lineRule="auto"/>
            <w:rPr>
              <w:rFonts w:asciiTheme="minorHAnsi" w:eastAsiaTheme="minorEastAsia" w:hAnsiTheme="minorHAnsi" w:cstheme="minorBidi"/>
              <w:noProof/>
              <w:sz w:val="18"/>
              <w:szCs w:val="18"/>
            </w:rPr>
          </w:pPr>
          <w:r w:rsidRPr="0048184E">
            <w:rPr>
              <w:rFonts w:asciiTheme="minorHAnsi" w:hAnsiTheme="minorHAnsi"/>
              <w:sz w:val="18"/>
              <w:szCs w:val="18"/>
            </w:rPr>
            <w:fldChar w:fldCharType="begin"/>
          </w:r>
          <w:r w:rsidRPr="0048184E">
            <w:rPr>
              <w:rFonts w:asciiTheme="minorHAnsi" w:hAnsiTheme="minorHAnsi"/>
              <w:sz w:val="18"/>
              <w:szCs w:val="18"/>
            </w:rPr>
            <w:instrText xml:space="preserve"> TOC \o "1-3" \h \z \u </w:instrText>
          </w:r>
          <w:r w:rsidRPr="0048184E">
            <w:rPr>
              <w:rFonts w:asciiTheme="minorHAnsi" w:hAnsiTheme="minorHAnsi"/>
              <w:sz w:val="18"/>
              <w:szCs w:val="18"/>
            </w:rPr>
            <w:fldChar w:fldCharType="separate"/>
          </w:r>
          <w:hyperlink w:anchor="_Toc205215821" w:history="1">
            <w:r w:rsidRPr="0048184E">
              <w:rPr>
                <w:rStyle w:val="Hyperlink"/>
                <w:rFonts w:asciiTheme="minorHAnsi" w:hAnsiTheme="minorHAnsi"/>
                <w:noProof/>
                <w:color w:val="auto"/>
                <w:sz w:val="18"/>
                <w:szCs w:val="18"/>
                <w:lang w:val="pl-PL"/>
              </w:rPr>
              <w:t>I</w:t>
            </w:r>
            <w:r w:rsidRPr="0048184E">
              <w:rPr>
                <w:rStyle w:val="Hyperlink"/>
                <w:rFonts w:asciiTheme="minorHAnsi" w:hAnsiTheme="minorHAnsi"/>
                <w:noProof/>
                <w:color w:val="auto"/>
                <w:sz w:val="18"/>
                <w:szCs w:val="18"/>
                <w:lang w:val="sr-Latn-ME"/>
              </w:rPr>
              <w:t xml:space="preserve"> </w:t>
            </w:r>
            <w:r w:rsidRPr="0048184E">
              <w:rPr>
                <w:rStyle w:val="Hyperlink"/>
                <w:rFonts w:asciiTheme="minorHAnsi" w:hAnsiTheme="minorHAnsi"/>
                <w:noProof/>
                <w:color w:val="auto"/>
                <w:sz w:val="18"/>
                <w:szCs w:val="18"/>
                <w:lang w:val="pl-PL"/>
              </w:rPr>
              <w:t>UVOD</w:t>
            </w:r>
            <w:r w:rsidRPr="0048184E">
              <w:rPr>
                <w:rFonts w:asciiTheme="minorHAnsi" w:hAnsiTheme="minorHAnsi"/>
                <w:noProof/>
                <w:webHidden/>
                <w:sz w:val="18"/>
                <w:szCs w:val="18"/>
              </w:rPr>
              <w:tab/>
            </w:r>
            <w:r w:rsidRPr="0048184E">
              <w:rPr>
                <w:rFonts w:asciiTheme="minorHAnsi" w:hAnsiTheme="minorHAnsi"/>
                <w:noProof/>
                <w:webHidden/>
                <w:sz w:val="18"/>
                <w:szCs w:val="18"/>
              </w:rPr>
              <w:fldChar w:fldCharType="begin"/>
            </w:r>
            <w:r w:rsidRPr="0048184E">
              <w:rPr>
                <w:rFonts w:asciiTheme="minorHAnsi" w:hAnsiTheme="minorHAnsi"/>
                <w:noProof/>
                <w:webHidden/>
                <w:sz w:val="18"/>
                <w:szCs w:val="18"/>
              </w:rPr>
              <w:instrText xml:space="preserve"> PAGEREF _Toc205215821 \h </w:instrText>
            </w:r>
            <w:r w:rsidRPr="0048184E">
              <w:rPr>
                <w:rFonts w:asciiTheme="minorHAnsi" w:hAnsiTheme="minorHAnsi"/>
                <w:noProof/>
                <w:webHidden/>
                <w:sz w:val="18"/>
                <w:szCs w:val="18"/>
              </w:rPr>
            </w:r>
            <w:r w:rsidRPr="0048184E">
              <w:rPr>
                <w:rFonts w:asciiTheme="minorHAnsi" w:hAnsiTheme="minorHAnsi"/>
                <w:noProof/>
                <w:webHidden/>
                <w:sz w:val="18"/>
                <w:szCs w:val="18"/>
              </w:rPr>
              <w:fldChar w:fldCharType="separate"/>
            </w:r>
            <w:r w:rsidR="009179C8">
              <w:rPr>
                <w:rFonts w:asciiTheme="minorHAnsi" w:hAnsiTheme="minorHAnsi"/>
                <w:noProof/>
                <w:webHidden/>
                <w:sz w:val="18"/>
                <w:szCs w:val="18"/>
              </w:rPr>
              <w:t>5</w:t>
            </w:r>
            <w:r w:rsidRPr="0048184E">
              <w:rPr>
                <w:rFonts w:asciiTheme="minorHAnsi" w:hAnsiTheme="minorHAnsi"/>
                <w:noProof/>
                <w:webHidden/>
                <w:sz w:val="18"/>
                <w:szCs w:val="18"/>
              </w:rPr>
              <w:fldChar w:fldCharType="end"/>
            </w:r>
          </w:hyperlink>
        </w:p>
        <w:p w14:paraId="4BBE87E9" w14:textId="65DE7394"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22"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Značaj Strategije regionalnog razvoja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w:t>
            </w:r>
            <w:r w:rsidR="0048184E" w:rsidRPr="0048184E">
              <w:rPr>
                <w:rFonts w:asciiTheme="minorHAnsi" w:hAnsiTheme="minorHAnsi"/>
                <w:webHidden/>
                <w:sz w:val="18"/>
                <w:szCs w:val="18"/>
              </w:rPr>
              <w:fldChar w:fldCharType="end"/>
            </w:r>
          </w:hyperlink>
        </w:p>
        <w:p w14:paraId="6770C67D" w14:textId="330E6194"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23"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Region u crnogorskom kontekstu</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7</w:t>
            </w:r>
            <w:r w:rsidR="0048184E" w:rsidRPr="0048184E">
              <w:rPr>
                <w:rFonts w:asciiTheme="minorHAnsi" w:hAnsiTheme="minorHAnsi"/>
                <w:webHidden/>
                <w:sz w:val="18"/>
                <w:szCs w:val="18"/>
              </w:rPr>
              <w:fldChar w:fldCharType="end"/>
            </w:r>
          </w:hyperlink>
        </w:p>
        <w:p w14:paraId="6C7BA93C" w14:textId="39E3619B"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24" w:history="1">
            <w:r w:rsidR="0048184E" w:rsidRPr="0048184E">
              <w:rPr>
                <w:rStyle w:val="Hyperlink"/>
                <w:rFonts w:asciiTheme="minorHAnsi"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Razlozi za reviziju SRR 2023-2027.</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8</w:t>
            </w:r>
            <w:r w:rsidR="0048184E" w:rsidRPr="0048184E">
              <w:rPr>
                <w:rFonts w:asciiTheme="minorHAnsi" w:hAnsiTheme="minorHAnsi"/>
                <w:webHidden/>
                <w:sz w:val="18"/>
                <w:szCs w:val="18"/>
              </w:rPr>
              <w:fldChar w:fldCharType="end"/>
            </w:r>
          </w:hyperlink>
        </w:p>
        <w:p w14:paraId="307C2563" w14:textId="21B9F902" w:rsidR="008C60F3" w:rsidRDefault="00DB619D" w:rsidP="008C60F3">
          <w:pPr>
            <w:pStyle w:val="TOC2"/>
            <w:spacing w:after="0" w:line="240" w:lineRule="auto"/>
            <w:rPr>
              <w:rFonts w:asciiTheme="minorHAnsi" w:hAnsiTheme="minorHAnsi"/>
              <w:sz w:val="18"/>
              <w:szCs w:val="18"/>
            </w:rPr>
          </w:pPr>
          <w:hyperlink w:anchor="_Toc205215825" w:history="1">
            <w:r w:rsidR="0048184E" w:rsidRPr="0048184E">
              <w:rPr>
                <w:rStyle w:val="Hyperlink"/>
                <w:rFonts w:asciiTheme="minorHAnsi" w:hAnsiTheme="minorHAnsi"/>
                <w:color w:val="auto"/>
                <w:sz w:val="18"/>
                <w:szCs w:val="18"/>
              </w:rPr>
              <w:t>4.</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Usklađenost revidirane SRR 2023-2027. sa postojećim strateškim okvirom</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_Toc205215825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9</w:t>
            </w:r>
            <w:r w:rsidR="0048184E" w:rsidRPr="0048184E">
              <w:rPr>
                <w:rFonts w:asciiTheme="minorHAnsi" w:hAnsiTheme="minorHAnsi"/>
                <w:webHidden/>
                <w:sz w:val="18"/>
                <w:szCs w:val="18"/>
              </w:rPr>
              <w:fldChar w:fldCharType="end"/>
            </w:r>
          </w:hyperlink>
        </w:p>
        <w:p w14:paraId="7692980A" w14:textId="7F0D60F3" w:rsidR="00F55D8F" w:rsidRPr="00F55D8F" w:rsidRDefault="00DB619D" w:rsidP="00F55D8F">
          <w:pPr>
            <w:pStyle w:val="TOC2"/>
            <w:spacing w:after="0" w:line="240" w:lineRule="auto"/>
            <w:rPr>
              <w:rFonts w:asciiTheme="minorHAnsi" w:eastAsiaTheme="minorEastAsia" w:hAnsiTheme="minorHAnsi" w:cstheme="minorBidi"/>
              <w:sz w:val="18"/>
              <w:szCs w:val="18"/>
            </w:rPr>
          </w:pPr>
          <w:hyperlink w:anchor="_Toc205215826" w:history="1">
            <w:r w:rsidR="00F55D8F" w:rsidRPr="0048184E">
              <w:rPr>
                <w:rStyle w:val="Hyperlink"/>
                <w:rFonts w:asciiTheme="minorHAnsi" w:hAnsiTheme="minorHAnsi"/>
                <w:color w:val="auto"/>
                <w:sz w:val="18"/>
                <w:szCs w:val="18"/>
                <w:lang w:val="pl-PL"/>
              </w:rPr>
              <w:t>4.</w:t>
            </w:r>
            <w:r w:rsidR="00F55D8F">
              <w:rPr>
                <w:rStyle w:val="Hyperlink"/>
                <w:rFonts w:asciiTheme="minorHAnsi" w:hAnsiTheme="minorHAnsi"/>
                <w:color w:val="auto"/>
                <w:sz w:val="18"/>
                <w:szCs w:val="18"/>
                <w:lang w:val="pl-PL"/>
              </w:rPr>
              <w:t>1</w:t>
            </w:r>
            <w:r w:rsidR="00F55D8F" w:rsidRPr="0048184E">
              <w:rPr>
                <w:rStyle w:val="Hyperlink"/>
                <w:rFonts w:asciiTheme="minorHAnsi" w:hAnsiTheme="minorHAnsi"/>
                <w:color w:val="auto"/>
                <w:sz w:val="18"/>
                <w:szCs w:val="18"/>
                <w:lang w:val="pl-PL"/>
              </w:rPr>
              <w:t>.</w:t>
            </w:r>
            <w:r w:rsidR="00F55D8F" w:rsidRPr="0048184E">
              <w:rPr>
                <w:rFonts w:asciiTheme="minorHAnsi" w:eastAsiaTheme="minorEastAsia" w:hAnsiTheme="minorHAnsi" w:cstheme="minorBidi"/>
                <w:sz w:val="18"/>
                <w:szCs w:val="18"/>
              </w:rPr>
              <w:tab/>
            </w:r>
            <w:r w:rsidR="00F55D8F" w:rsidRPr="0048184E">
              <w:rPr>
                <w:rStyle w:val="Hyperlink"/>
                <w:rFonts w:asciiTheme="minorHAnsi" w:hAnsiTheme="minorHAnsi"/>
                <w:color w:val="auto"/>
                <w:sz w:val="18"/>
                <w:szCs w:val="18"/>
                <w:lang w:val="pl-PL"/>
              </w:rPr>
              <w:t xml:space="preserve">Usklađenost sa </w:t>
            </w:r>
            <w:r w:rsidR="00F55D8F">
              <w:rPr>
                <w:rStyle w:val="Hyperlink"/>
                <w:rFonts w:asciiTheme="minorHAnsi" w:hAnsiTheme="minorHAnsi"/>
                <w:color w:val="auto"/>
                <w:sz w:val="18"/>
                <w:szCs w:val="18"/>
                <w:lang w:val="pl-PL"/>
              </w:rPr>
              <w:t>krovnim</w:t>
            </w:r>
            <w:r w:rsidR="00F55D8F" w:rsidRPr="0048184E">
              <w:rPr>
                <w:rStyle w:val="Hyperlink"/>
                <w:rFonts w:asciiTheme="minorHAnsi" w:hAnsiTheme="minorHAnsi"/>
                <w:color w:val="auto"/>
                <w:sz w:val="18"/>
                <w:szCs w:val="18"/>
                <w:lang w:val="pl-PL"/>
              </w:rPr>
              <w:t xml:space="preserve"> strateškim dokumentima (</w:t>
            </w:r>
            <w:r w:rsidR="00F55D8F">
              <w:rPr>
                <w:rStyle w:val="Hyperlink"/>
                <w:rFonts w:asciiTheme="minorHAnsi" w:hAnsiTheme="minorHAnsi"/>
                <w:color w:val="auto"/>
                <w:sz w:val="18"/>
                <w:szCs w:val="18"/>
                <w:lang w:val="pl-PL"/>
              </w:rPr>
              <w:t>vertikalna</w:t>
            </w:r>
            <w:r w:rsidR="00F55D8F" w:rsidRPr="0048184E">
              <w:rPr>
                <w:rStyle w:val="Hyperlink"/>
                <w:rFonts w:asciiTheme="minorHAnsi" w:hAnsiTheme="minorHAnsi"/>
                <w:color w:val="auto"/>
                <w:sz w:val="18"/>
                <w:szCs w:val="18"/>
                <w:lang w:val="pl-PL"/>
              </w:rPr>
              <w:t xml:space="preserve"> us</w:t>
            </w:r>
            <w:r w:rsidR="00F55D8F">
              <w:rPr>
                <w:rStyle w:val="Hyperlink"/>
                <w:rFonts w:asciiTheme="minorHAnsi" w:hAnsiTheme="minorHAnsi"/>
                <w:color w:val="auto"/>
                <w:sz w:val="18"/>
                <w:szCs w:val="18"/>
                <w:lang w:val="pl-PL"/>
              </w:rPr>
              <w:t>klađenost</w:t>
            </w:r>
            <w:r w:rsidR="00F55D8F" w:rsidRPr="0048184E">
              <w:rPr>
                <w:rStyle w:val="Hyperlink"/>
                <w:rFonts w:asciiTheme="minorHAnsi" w:hAnsiTheme="minorHAnsi"/>
                <w:color w:val="auto"/>
                <w:sz w:val="18"/>
                <w:szCs w:val="18"/>
                <w:lang w:val="pl-PL"/>
              </w:rPr>
              <w:t>)</w:t>
            </w:r>
            <w:r w:rsidR="00F55D8F" w:rsidRPr="0048184E">
              <w:rPr>
                <w:rFonts w:asciiTheme="minorHAnsi" w:hAnsiTheme="minorHAnsi"/>
                <w:webHidden/>
                <w:sz w:val="18"/>
                <w:szCs w:val="18"/>
              </w:rPr>
              <w:tab/>
            </w:r>
            <w:r w:rsidR="00F55D8F" w:rsidRPr="0048184E">
              <w:rPr>
                <w:rFonts w:asciiTheme="minorHAnsi" w:hAnsiTheme="minorHAnsi"/>
                <w:webHidden/>
                <w:sz w:val="18"/>
                <w:szCs w:val="18"/>
              </w:rPr>
              <w:fldChar w:fldCharType="begin"/>
            </w:r>
            <w:r w:rsidR="00F55D8F" w:rsidRPr="0048184E">
              <w:rPr>
                <w:rFonts w:asciiTheme="minorHAnsi" w:hAnsiTheme="minorHAnsi"/>
                <w:webHidden/>
                <w:sz w:val="18"/>
                <w:szCs w:val="18"/>
              </w:rPr>
              <w:instrText xml:space="preserve"> PAGEREF _Toc205215826 \h </w:instrText>
            </w:r>
            <w:r w:rsidR="00F55D8F" w:rsidRPr="0048184E">
              <w:rPr>
                <w:rFonts w:asciiTheme="minorHAnsi" w:hAnsiTheme="minorHAnsi"/>
                <w:webHidden/>
                <w:sz w:val="18"/>
                <w:szCs w:val="18"/>
              </w:rPr>
            </w:r>
            <w:r w:rsidR="00F55D8F" w:rsidRPr="0048184E">
              <w:rPr>
                <w:rFonts w:asciiTheme="minorHAnsi" w:hAnsiTheme="minorHAnsi"/>
                <w:webHidden/>
                <w:sz w:val="18"/>
                <w:szCs w:val="18"/>
              </w:rPr>
              <w:fldChar w:fldCharType="separate"/>
            </w:r>
            <w:r w:rsidR="00F55D8F">
              <w:rPr>
                <w:rFonts w:asciiTheme="minorHAnsi" w:hAnsiTheme="minorHAnsi"/>
                <w:webHidden/>
                <w:sz w:val="18"/>
                <w:szCs w:val="18"/>
              </w:rPr>
              <w:t>9</w:t>
            </w:r>
            <w:r w:rsidR="00F55D8F" w:rsidRPr="0048184E">
              <w:rPr>
                <w:rFonts w:asciiTheme="minorHAnsi" w:hAnsiTheme="minorHAnsi"/>
                <w:webHidden/>
                <w:sz w:val="18"/>
                <w:szCs w:val="18"/>
              </w:rPr>
              <w:fldChar w:fldCharType="end"/>
            </w:r>
          </w:hyperlink>
        </w:p>
        <w:p w14:paraId="44E890C4" w14:textId="451558D4"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26" w:history="1">
            <w:r w:rsidR="0048184E" w:rsidRPr="0048184E">
              <w:rPr>
                <w:rStyle w:val="Hyperlink"/>
                <w:rFonts w:asciiTheme="minorHAnsi" w:hAnsiTheme="minorHAnsi"/>
                <w:color w:val="auto"/>
                <w:sz w:val="18"/>
                <w:szCs w:val="18"/>
                <w:lang w:val="pl-PL"/>
              </w:rPr>
              <w:t>4.2.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Usklađenost sa sektorskim strateškim dokumentima (horizontalna usaglašenost)</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10</w:t>
            </w:r>
            <w:r w:rsidR="0048184E" w:rsidRPr="0048184E">
              <w:rPr>
                <w:rFonts w:asciiTheme="minorHAnsi" w:hAnsiTheme="minorHAnsi"/>
                <w:webHidden/>
                <w:sz w:val="18"/>
                <w:szCs w:val="18"/>
              </w:rPr>
              <w:fldChar w:fldCharType="end"/>
            </w:r>
          </w:hyperlink>
        </w:p>
        <w:p w14:paraId="29068286" w14:textId="42127B69"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27" w:history="1">
            <w:r w:rsidR="0048184E" w:rsidRPr="0048184E">
              <w:rPr>
                <w:rStyle w:val="Hyperlink"/>
                <w:rFonts w:asciiTheme="minorHAnsi" w:hAnsiTheme="minorHAnsi"/>
                <w:color w:val="auto"/>
                <w:sz w:val="18"/>
                <w:szCs w:val="18"/>
              </w:rPr>
              <w:t>4.3.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Usklađenost sa međunarodnim obavezama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13</w:t>
            </w:r>
            <w:r w:rsidR="0048184E" w:rsidRPr="0048184E">
              <w:rPr>
                <w:rFonts w:asciiTheme="minorHAnsi" w:hAnsiTheme="minorHAnsi"/>
                <w:webHidden/>
                <w:sz w:val="18"/>
                <w:szCs w:val="18"/>
              </w:rPr>
              <w:fldChar w:fldCharType="end"/>
            </w:r>
          </w:hyperlink>
        </w:p>
        <w:p w14:paraId="79CA27EB" w14:textId="7DE75F00"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28" w:history="1">
            <w:r w:rsidR="0048184E" w:rsidRPr="0048184E">
              <w:rPr>
                <w:rStyle w:val="Hyperlink"/>
                <w:rFonts w:asciiTheme="minorHAnsi" w:hAnsiTheme="minorHAnsi"/>
                <w:color w:val="auto"/>
                <w:sz w:val="18"/>
                <w:szCs w:val="18"/>
              </w:rPr>
              <w:t>5.</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Orodnjavanje javnih politika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15</w:t>
            </w:r>
            <w:r w:rsidR="0048184E" w:rsidRPr="0048184E">
              <w:rPr>
                <w:rFonts w:asciiTheme="minorHAnsi" w:hAnsiTheme="minorHAnsi"/>
                <w:webHidden/>
                <w:sz w:val="18"/>
                <w:szCs w:val="18"/>
              </w:rPr>
              <w:fldChar w:fldCharType="end"/>
            </w:r>
          </w:hyperlink>
        </w:p>
        <w:p w14:paraId="5B6A4906" w14:textId="66BD348A"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29" w:history="1">
            <w:r w:rsidR="0048184E" w:rsidRPr="0048184E">
              <w:rPr>
                <w:rStyle w:val="Hyperlink"/>
                <w:rFonts w:asciiTheme="minorHAnsi" w:hAnsiTheme="minorHAnsi"/>
                <w:color w:val="auto"/>
                <w:sz w:val="18"/>
                <w:szCs w:val="18"/>
              </w:rPr>
              <w:t>6.</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Strateška analiza uticaja na životnu sredinu u fazi definisanja ciljeva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_Toc205215829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16</w:t>
            </w:r>
            <w:r w:rsidR="0048184E" w:rsidRPr="0048184E">
              <w:rPr>
                <w:rFonts w:asciiTheme="minorHAnsi" w:hAnsiTheme="minorHAnsi"/>
                <w:webHidden/>
                <w:sz w:val="18"/>
                <w:szCs w:val="18"/>
              </w:rPr>
              <w:fldChar w:fldCharType="end"/>
            </w:r>
          </w:hyperlink>
        </w:p>
        <w:p w14:paraId="17803F54" w14:textId="188C87EA" w:rsidR="0048184E" w:rsidRPr="0048184E" w:rsidRDefault="00DB619D" w:rsidP="0048184E">
          <w:pPr>
            <w:pStyle w:val="TOC1"/>
            <w:tabs>
              <w:tab w:val="right" w:leader="dot" w:pos="9016"/>
            </w:tabs>
            <w:spacing w:after="0" w:line="240" w:lineRule="auto"/>
            <w:rPr>
              <w:rFonts w:asciiTheme="minorHAnsi" w:eastAsiaTheme="minorEastAsia" w:hAnsiTheme="minorHAnsi" w:cstheme="minorBidi"/>
              <w:noProof/>
              <w:sz w:val="18"/>
              <w:szCs w:val="18"/>
            </w:rPr>
          </w:pPr>
          <w:hyperlink w:anchor="_Toc205215830" w:history="1">
            <w:r w:rsidR="0048184E" w:rsidRPr="0048184E">
              <w:rPr>
                <w:rStyle w:val="Hyperlink"/>
                <w:rFonts w:asciiTheme="minorHAnsi" w:hAnsiTheme="minorHAnsi"/>
                <w:noProof/>
                <w:color w:val="auto"/>
                <w:sz w:val="18"/>
                <w:szCs w:val="18"/>
                <w:lang w:val="sr-Latn-ME"/>
              </w:rPr>
              <w:t>II. ANALIZA STANJA</w:t>
            </w:r>
            <w:r w:rsidR="0048184E" w:rsidRPr="0048184E">
              <w:rPr>
                <w:rFonts w:asciiTheme="minorHAnsi" w:hAnsiTheme="minorHAnsi"/>
                <w:noProof/>
                <w:webHidden/>
                <w:sz w:val="18"/>
                <w:szCs w:val="18"/>
              </w:rPr>
              <w:tab/>
            </w:r>
            <w:r w:rsidR="0048184E" w:rsidRPr="0048184E">
              <w:rPr>
                <w:rFonts w:asciiTheme="minorHAnsi" w:hAnsiTheme="minorHAnsi"/>
                <w:noProof/>
                <w:webHidden/>
                <w:sz w:val="18"/>
                <w:szCs w:val="18"/>
              </w:rPr>
              <w:fldChar w:fldCharType="begin"/>
            </w:r>
            <w:r w:rsidR="0048184E" w:rsidRPr="0048184E">
              <w:rPr>
                <w:rFonts w:asciiTheme="minorHAnsi" w:hAnsiTheme="minorHAnsi"/>
                <w:noProof/>
                <w:webHidden/>
                <w:sz w:val="18"/>
                <w:szCs w:val="18"/>
              </w:rPr>
              <w:instrText xml:space="preserve"> PAGEREF _Toc205215830 \h </w:instrText>
            </w:r>
            <w:r w:rsidR="0048184E" w:rsidRPr="0048184E">
              <w:rPr>
                <w:rFonts w:asciiTheme="minorHAnsi" w:hAnsiTheme="minorHAnsi"/>
                <w:noProof/>
                <w:webHidden/>
                <w:sz w:val="18"/>
                <w:szCs w:val="18"/>
              </w:rPr>
            </w:r>
            <w:r w:rsidR="0048184E" w:rsidRPr="0048184E">
              <w:rPr>
                <w:rFonts w:asciiTheme="minorHAnsi" w:hAnsiTheme="minorHAnsi"/>
                <w:noProof/>
                <w:webHidden/>
                <w:sz w:val="18"/>
                <w:szCs w:val="18"/>
              </w:rPr>
              <w:fldChar w:fldCharType="separate"/>
            </w:r>
            <w:r w:rsidR="009179C8">
              <w:rPr>
                <w:rFonts w:asciiTheme="minorHAnsi" w:hAnsiTheme="minorHAnsi"/>
                <w:noProof/>
                <w:webHidden/>
                <w:sz w:val="18"/>
                <w:szCs w:val="18"/>
              </w:rPr>
              <w:t>16</w:t>
            </w:r>
            <w:r w:rsidR="0048184E" w:rsidRPr="0048184E">
              <w:rPr>
                <w:rFonts w:asciiTheme="minorHAnsi" w:hAnsiTheme="minorHAnsi"/>
                <w:noProof/>
                <w:webHidden/>
                <w:sz w:val="18"/>
                <w:szCs w:val="18"/>
              </w:rPr>
              <w:fldChar w:fldCharType="end"/>
            </w:r>
          </w:hyperlink>
        </w:p>
        <w:p w14:paraId="2E0A2C52" w14:textId="51CEF701"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1"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Ključni efekti i rezultati implementacije SRR u 2023. i 2024.godini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16</w:t>
            </w:r>
            <w:r w:rsidR="0048184E" w:rsidRPr="0048184E">
              <w:rPr>
                <w:rFonts w:asciiTheme="minorHAnsi" w:hAnsiTheme="minorHAnsi"/>
                <w:webHidden/>
                <w:sz w:val="18"/>
                <w:szCs w:val="18"/>
              </w:rPr>
              <w:fldChar w:fldCharType="end"/>
            </w:r>
          </w:hyperlink>
        </w:p>
        <w:p w14:paraId="5752FF1C" w14:textId="2C1EBD48"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2" w:history="1">
            <w:r w:rsidR="0048184E" w:rsidRPr="0048184E">
              <w:rPr>
                <w:rStyle w:val="Hyperlink"/>
                <w:rFonts w:asciiTheme="minorHAnsi" w:hAnsiTheme="minorHAnsi"/>
                <w:color w:val="auto"/>
                <w:sz w:val="18"/>
                <w:szCs w:val="18"/>
              </w:rPr>
              <w:t>1.1.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Pregled realizovanih ulaganja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18</w:t>
            </w:r>
            <w:r w:rsidR="0048184E" w:rsidRPr="0048184E">
              <w:rPr>
                <w:rFonts w:asciiTheme="minorHAnsi" w:hAnsiTheme="minorHAnsi"/>
                <w:webHidden/>
                <w:sz w:val="18"/>
                <w:szCs w:val="18"/>
              </w:rPr>
              <w:fldChar w:fldCharType="end"/>
            </w:r>
          </w:hyperlink>
        </w:p>
        <w:p w14:paraId="2611AD4A" w14:textId="4BF497D6"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3" w:history="1">
            <w:r w:rsidR="0048184E" w:rsidRPr="0048184E">
              <w:rPr>
                <w:rStyle w:val="Hyperlink"/>
                <w:rFonts w:asciiTheme="minorHAnsi" w:hAnsiTheme="minorHAnsi"/>
                <w:color w:val="auto"/>
                <w:sz w:val="18"/>
                <w:szCs w:val="18"/>
              </w:rPr>
              <w:t>1.2.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Zakonodavni okvir</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18</w:t>
            </w:r>
            <w:r w:rsidR="0048184E" w:rsidRPr="0048184E">
              <w:rPr>
                <w:rFonts w:asciiTheme="minorHAnsi" w:hAnsiTheme="minorHAnsi"/>
                <w:webHidden/>
                <w:sz w:val="18"/>
                <w:szCs w:val="18"/>
              </w:rPr>
              <w:fldChar w:fldCharType="end"/>
            </w:r>
          </w:hyperlink>
        </w:p>
        <w:p w14:paraId="0F31BABD" w14:textId="060FA5F7"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4" w:history="1">
            <w:r w:rsidR="0048184E" w:rsidRPr="0048184E">
              <w:rPr>
                <w:rStyle w:val="Hyperlink"/>
                <w:rFonts w:asciiTheme="minorHAnsi" w:hAnsiTheme="minorHAnsi"/>
                <w:color w:val="auto"/>
                <w:sz w:val="18"/>
                <w:szCs w:val="18"/>
              </w:rPr>
              <w:t>1.3.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Institucionalni okvir</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19</w:t>
            </w:r>
            <w:r w:rsidR="0048184E" w:rsidRPr="0048184E">
              <w:rPr>
                <w:rFonts w:asciiTheme="minorHAnsi" w:hAnsiTheme="minorHAnsi"/>
                <w:webHidden/>
                <w:sz w:val="18"/>
                <w:szCs w:val="18"/>
              </w:rPr>
              <w:fldChar w:fldCharType="end"/>
            </w:r>
          </w:hyperlink>
        </w:p>
        <w:p w14:paraId="01D5A9C0" w14:textId="4A3F15B4"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5"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Pregled osnovnih makroekonomskih indikatora razvijenost</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_Toc205215835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20</w:t>
            </w:r>
            <w:r w:rsidR="0048184E" w:rsidRPr="0048184E">
              <w:rPr>
                <w:rFonts w:asciiTheme="minorHAnsi" w:hAnsiTheme="minorHAnsi"/>
                <w:webHidden/>
                <w:sz w:val="18"/>
                <w:szCs w:val="18"/>
              </w:rPr>
              <w:fldChar w:fldCharType="end"/>
            </w:r>
          </w:hyperlink>
        </w:p>
        <w:p w14:paraId="7CDDC9FE" w14:textId="6ADDBD85"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6" w:history="1">
            <w:r w:rsidR="0048184E" w:rsidRPr="0048184E">
              <w:rPr>
                <w:rStyle w:val="Hyperlink"/>
                <w:rFonts w:asciiTheme="minorHAnsi" w:hAnsiTheme="minorHAnsi"/>
                <w:color w:val="auto"/>
                <w:sz w:val="18"/>
                <w:szCs w:val="18"/>
                <w:lang w:val="pl-PL"/>
              </w:rPr>
              <w:t>2.1.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Kratka analiza stanja sektora MMSP</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26</w:t>
            </w:r>
            <w:r w:rsidR="0048184E" w:rsidRPr="0048184E">
              <w:rPr>
                <w:rFonts w:asciiTheme="minorHAnsi" w:hAnsiTheme="minorHAnsi"/>
                <w:webHidden/>
                <w:sz w:val="18"/>
                <w:szCs w:val="18"/>
              </w:rPr>
              <w:fldChar w:fldCharType="end"/>
            </w:r>
          </w:hyperlink>
        </w:p>
        <w:p w14:paraId="639B0BA9" w14:textId="74E04B2B"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7" w:history="1">
            <w:r w:rsidR="0048184E" w:rsidRPr="0048184E">
              <w:rPr>
                <w:rStyle w:val="Hyperlink"/>
                <w:rFonts w:asciiTheme="minorHAnsi" w:eastAsia="Aptos"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eastAsia="Aptos" w:hAnsiTheme="minorHAnsi"/>
                <w:color w:val="auto"/>
                <w:sz w:val="18"/>
                <w:szCs w:val="18"/>
              </w:rPr>
              <w:t>Demografska kretanja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27</w:t>
            </w:r>
            <w:r w:rsidR="0048184E" w:rsidRPr="0048184E">
              <w:rPr>
                <w:rFonts w:asciiTheme="minorHAnsi" w:hAnsiTheme="minorHAnsi"/>
                <w:webHidden/>
                <w:sz w:val="18"/>
                <w:szCs w:val="18"/>
              </w:rPr>
              <w:fldChar w:fldCharType="end"/>
            </w:r>
          </w:hyperlink>
        </w:p>
        <w:p w14:paraId="4E1B4303" w14:textId="253CF7D0"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8" w:history="1">
            <w:r w:rsidR="0048184E" w:rsidRPr="0048184E">
              <w:rPr>
                <w:rStyle w:val="Hyperlink"/>
                <w:rFonts w:asciiTheme="minorHAnsi" w:hAnsiTheme="minorHAnsi"/>
                <w:color w:val="auto"/>
                <w:sz w:val="18"/>
                <w:szCs w:val="18"/>
              </w:rPr>
              <w:t>4.</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Rizik o siromaštva u 2024. godini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31</w:t>
            </w:r>
            <w:r w:rsidR="0048184E" w:rsidRPr="0048184E">
              <w:rPr>
                <w:rFonts w:asciiTheme="minorHAnsi" w:hAnsiTheme="minorHAnsi"/>
                <w:webHidden/>
                <w:sz w:val="18"/>
                <w:szCs w:val="18"/>
              </w:rPr>
              <w:fldChar w:fldCharType="end"/>
            </w:r>
          </w:hyperlink>
        </w:p>
        <w:p w14:paraId="06E6A428" w14:textId="06345917"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39" w:history="1">
            <w:r w:rsidR="0048184E" w:rsidRPr="0048184E">
              <w:rPr>
                <w:rStyle w:val="Hyperlink"/>
                <w:rFonts w:asciiTheme="minorHAnsi" w:hAnsiTheme="minorHAnsi"/>
                <w:color w:val="auto"/>
                <w:sz w:val="18"/>
                <w:szCs w:val="18"/>
              </w:rPr>
              <w:t>5.</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Ostvarenje izabranih međunarodnih indikatora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_Toc205215839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34</w:t>
            </w:r>
            <w:r w:rsidR="0048184E" w:rsidRPr="0048184E">
              <w:rPr>
                <w:rFonts w:asciiTheme="minorHAnsi" w:hAnsiTheme="minorHAnsi"/>
                <w:webHidden/>
                <w:sz w:val="18"/>
                <w:szCs w:val="18"/>
              </w:rPr>
              <w:fldChar w:fldCharType="end"/>
            </w:r>
          </w:hyperlink>
        </w:p>
        <w:p w14:paraId="593452BE" w14:textId="4439CDD0"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0" w:history="1">
            <w:r w:rsidR="0048184E" w:rsidRPr="0048184E">
              <w:rPr>
                <w:rStyle w:val="Hyperlink"/>
                <w:rFonts w:asciiTheme="minorHAnsi" w:hAnsiTheme="minorHAnsi"/>
                <w:color w:val="auto"/>
                <w:sz w:val="18"/>
                <w:szCs w:val="18"/>
                <w:lang w:val="pl-PL"/>
              </w:rPr>
              <w:t>5.1.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Indeks razvijenosti jedinica lokalne samouprave u Crnoj Gori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_Toc205215840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36</w:t>
            </w:r>
            <w:r w:rsidR="0048184E" w:rsidRPr="0048184E">
              <w:rPr>
                <w:rFonts w:asciiTheme="minorHAnsi" w:hAnsiTheme="minorHAnsi"/>
                <w:webHidden/>
                <w:sz w:val="18"/>
                <w:szCs w:val="18"/>
              </w:rPr>
              <w:fldChar w:fldCharType="end"/>
            </w:r>
          </w:hyperlink>
        </w:p>
        <w:p w14:paraId="4757366A" w14:textId="35C38DDF"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1" w:history="1">
            <w:r w:rsidR="0048184E" w:rsidRPr="0048184E">
              <w:rPr>
                <w:rStyle w:val="Hyperlink"/>
                <w:rFonts w:asciiTheme="minorHAnsi" w:hAnsiTheme="minorHAnsi"/>
                <w:color w:val="auto"/>
                <w:sz w:val="18"/>
                <w:szCs w:val="18"/>
                <w:lang w:val="pl-PL"/>
              </w:rPr>
              <w:t>5.2.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Indeks konkurentnosti jedinica lokalne samouprave u Crnoj Gori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37</w:t>
            </w:r>
            <w:r w:rsidR="0048184E" w:rsidRPr="0048184E">
              <w:rPr>
                <w:rFonts w:asciiTheme="minorHAnsi" w:hAnsiTheme="minorHAnsi"/>
                <w:webHidden/>
                <w:sz w:val="18"/>
                <w:szCs w:val="18"/>
              </w:rPr>
              <w:fldChar w:fldCharType="end"/>
            </w:r>
          </w:hyperlink>
        </w:p>
        <w:p w14:paraId="77CF4FDB" w14:textId="21F62306"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2" w:history="1">
            <w:r w:rsidR="0048184E" w:rsidRPr="0048184E">
              <w:rPr>
                <w:rStyle w:val="Hyperlink"/>
                <w:rFonts w:asciiTheme="minorHAnsi" w:hAnsiTheme="minorHAnsi"/>
                <w:color w:val="auto"/>
                <w:sz w:val="18"/>
                <w:szCs w:val="18"/>
              </w:rPr>
              <w:t>6.</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Analiza zainteresovanih strana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38</w:t>
            </w:r>
            <w:r w:rsidR="0048184E" w:rsidRPr="0048184E">
              <w:rPr>
                <w:rFonts w:asciiTheme="minorHAnsi" w:hAnsiTheme="minorHAnsi"/>
                <w:webHidden/>
                <w:sz w:val="18"/>
                <w:szCs w:val="18"/>
              </w:rPr>
              <w:fldChar w:fldCharType="end"/>
            </w:r>
          </w:hyperlink>
        </w:p>
        <w:p w14:paraId="67376C1C" w14:textId="767CE551"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3" w:history="1">
            <w:r w:rsidR="0048184E" w:rsidRPr="0048184E">
              <w:rPr>
                <w:rStyle w:val="Hyperlink"/>
                <w:rFonts w:asciiTheme="minorHAnsi" w:hAnsiTheme="minorHAnsi"/>
                <w:color w:val="auto"/>
                <w:sz w:val="18"/>
                <w:szCs w:val="18"/>
              </w:rPr>
              <w:t>7.</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SWOT analiza po regionima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38</w:t>
            </w:r>
            <w:r w:rsidR="0048184E" w:rsidRPr="0048184E">
              <w:rPr>
                <w:rFonts w:asciiTheme="minorHAnsi" w:hAnsiTheme="minorHAnsi"/>
                <w:webHidden/>
                <w:sz w:val="18"/>
                <w:szCs w:val="18"/>
              </w:rPr>
              <w:fldChar w:fldCharType="end"/>
            </w:r>
          </w:hyperlink>
        </w:p>
        <w:p w14:paraId="543B4935" w14:textId="44660F95"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4" w:history="1">
            <w:r w:rsidR="0048184E" w:rsidRPr="0048184E">
              <w:rPr>
                <w:rStyle w:val="Hyperlink"/>
                <w:rFonts w:asciiTheme="minorHAnsi" w:hAnsiTheme="minorHAnsi"/>
                <w:color w:val="auto"/>
                <w:sz w:val="18"/>
                <w:szCs w:val="18"/>
              </w:rPr>
              <w:t>8.</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Ključni izazovi za politiku regionalnog razvoja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41</w:t>
            </w:r>
            <w:r w:rsidR="0048184E" w:rsidRPr="0048184E">
              <w:rPr>
                <w:rFonts w:asciiTheme="minorHAnsi" w:hAnsiTheme="minorHAnsi"/>
                <w:webHidden/>
                <w:sz w:val="18"/>
                <w:szCs w:val="18"/>
              </w:rPr>
              <w:fldChar w:fldCharType="end"/>
            </w:r>
          </w:hyperlink>
        </w:p>
        <w:p w14:paraId="01746AB2" w14:textId="6F26ACE4" w:rsidR="0048184E" w:rsidRPr="0048184E" w:rsidRDefault="00DB619D" w:rsidP="0048184E">
          <w:pPr>
            <w:pStyle w:val="TOC1"/>
            <w:tabs>
              <w:tab w:val="right" w:leader="dot" w:pos="9016"/>
            </w:tabs>
            <w:spacing w:after="0" w:line="240" w:lineRule="auto"/>
            <w:rPr>
              <w:rFonts w:asciiTheme="minorHAnsi" w:eastAsiaTheme="minorEastAsia" w:hAnsiTheme="minorHAnsi" w:cstheme="minorBidi"/>
              <w:noProof/>
              <w:sz w:val="18"/>
              <w:szCs w:val="18"/>
            </w:rPr>
          </w:pPr>
          <w:hyperlink w:anchor="_Toc205215845" w:history="1">
            <w:r w:rsidR="0048184E" w:rsidRPr="0048184E">
              <w:rPr>
                <w:rStyle w:val="Hyperlink"/>
                <w:rFonts w:asciiTheme="minorHAnsi" w:hAnsiTheme="minorHAnsi"/>
                <w:noProof/>
                <w:color w:val="auto"/>
                <w:sz w:val="18"/>
                <w:szCs w:val="18"/>
                <w:lang w:val="sr-Latn-ME"/>
              </w:rPr>
              <w:t>III VIZIJA, STRATEŠKI I OPERATIVNI CILJEVI STRATEGIJE REGIONALNOG RAZVOJA CRNE GORE 2023-2027</w:t>
            </w:r>
            <w:r w:rsidR="0048184E" w:rsidRPr="0048184E">
              <w:rPr>
                <w:rFonts w:asciiTheme="minorHAnsi" w:hAnsiTheme="minorHAnsi"/>
                <w:noProof/>
                <w:webHidden/>
                <w:sz w:val="18"/>
                <w:szCs w:val="18"/>
              </w:rPr>
              <w:tab/>
            </w:r>
            <w:r w:rsidR="0048184E" w:rsidRPr="0048184E">
              <w:rPr>
                <w:rFonts w:asciiTheme="minorHAnsi" w:hAnsiTheme="minorHAnsi"/>
                <w:noProof/>
                <w:webHidden/>
                <w:sz w:val="18"/>
                <w:szCs w:val="18"/>
              </w:rPr>
              <w:fldChar w:fldCharType="begin"/>
            </w:r>
            <w:r w:rsidR="0048184E" w:rsidRPr="0048184E">
              <w:rPr>
                <w:rFonts w:asciiTheme="minorHAnsi" w:hAnsiTheme="minorHAnsi"/>
                <w:noProof/>
                <w:webHidden/>
                <w:sz w:val="18"/>
                <w:szCs w:val="18"/>
              </w:rPr>
              <w:instrText xml:space="preserve"> PAGEREF _Toc205215845 \h </w:instrText>
            </w:r>
            <w:r w:rsidR="0048184E" w:rsidRPr="0048184E">
              <w:rPr>
                <w:rFonts w:asciiTheme="minorHAnsi" w:hAnsiTheme="minorHAnsi"/>
                <w:noProof/>
                <w:webHidden/>
                <w:sz w:val="18"/>
                <w:szCs w:val="18"/>
              </w:rPr>
            </w:r>
            <w:r w:rsidR="0048184E" w:rsidRPr="0048184E">
              <w:rPr>
                <w:rFonts w:asciiTheme="minorHAnsi" w:hAnsiTheme="minorHAnsi"/>
                <w:noProof/>
                <w:webHidden/>
                <w:sz w:val="18"/>
                <w:szCs w:val="18"/>
              </w:rPr>
              <w:fldChar w:fldCharType="separate"/>
            </w:r>
            <w:r w:rsidR="009179C8">
              <w:rPr>
                <w:rFonts w:asciiTheme="minorHAnsi" w:hAnsiTheme="minorHAnsi"/>
                <w:noProof/>
                <w:webHidden/>
                <w:sz w:val="18"/>
                <w:szCs w:val="18"/>
              </w:rPr>
              <w:t>45</w:t>
            </w:r>
            <w:r w:rsidR="0048184E" w:rsidRPr="0048184E">
              <w:rPr>
                <w:rFonts w:asciiTheme="minorHAnsi" w:hAnsiTheme="minorHAnsi"/>
                <w:noProof/>
                <w:webHidden/>
                <w:sz w:val="18"/>
                <w:szCs w:val="18"/>
              </w:rPr>
              <w:fldChar w:fldCharType="end"/>
            </w:r>
          </w:hyperlink>
        </w:p>
        <w:p w14:paraId="6A2DEC7A" w14:textId="1FD227C4"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6"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STRATEŠKI CILJ 1 (SC1) – Jačanje funkcionalnosti JLS kroz sistemsko upravljanje regionalnim razvojem</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46</w:t>
            </w:r>
            <w:r w:rsidR="0048184E" w:rsidRPr="0048184E">
              <w:rPr>
                <w:rFonts w:asciiTheme="minorHAnsi" w:hAnsiTheme="minorHAnsi"/>
                <w:webHidden/>
                <w:sz w:val="18"/>
                <w:szCs w:val="18"/>
              </w:rPr>
              <w:fldChar w:fldCharType="end"/>
            </w:r>
          </w:hyperlink>
        </w:p>
        <w:p w14:paraId="7ED5FEE7" w14:textId="745728D6"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7" w:history="1">
            <w:r w:rsidR="0048184E" w:rsidRPr="0048184E">
              <w:rPr>
                <w:rStyle w:val="Hyperlink"/>
                <w:rFonts w:asciiTheme="minorHAnsi" w:hAnsiTheme="minorHAnsi"/>
                <w:color w:val="auto"/>
                <w:sz w:val="18"/>
                <w:szCs w:val="18"/>
              </w:rPr>
              <w:t>1.1.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1.1. Jačanje funkcionalnosti JLS i fiskalnih pozicija manje razvijenih opština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47</w:t>
            </w:r>
            <w:r w:rsidR="0048184E" w:rsidRPr="0048184E">
              <w:rPr>
                <w:rFonts w:asciiTheme="minorHAnsi" w:hAnsiTheme="minorHAnsi"/>
                <w:webHidden/>
                <w:sz w:val="18"/>
                <w:szCs w:val="18"/>
              </w:rPr>
              <w:fldChar w:fldCharType="end"/>
            </w:r>
          </w:hyperlink>
        </w:p>
        <w:p w14:paraId="72A0CF83" w14:textId="32E497E8"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8" w:history="1">
            <w:r w:rsidR="0048184E" w:rsidRPr="0048184E">
              <w:rPr>
                <w:rStyle w:val="Hyperlink"/>
                <w:rFonts w:asciiTheme="minorHAnsi" w:hAnsiTheme="minorHAnsi"/>
                <w:color w:val="auto"/>
                <w:sz w:val="18"/>
                <w:szCs w:val="18"/>
              </w:rPr>
              <w:t>1.2.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1.2. Unaprjeđenje mehanizma koordinacije u sprovođenju politike regionalnog razvoja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48</w:t>
            </w:r>
            <w:r w:rsidR="0048184E" w:rsidRPr="0048184E">
              <w:rPr>
                <w:rFonts w:asciiTheme="minorHAnsi" w:hAnsiTheme="minorHAnsi"/>
                <w:webHidden/>
                <w:sz w:val="18"/>
                <w:szCs w:val="18"/>
              </w:rPr>
              <w:fldChar w:fldCharType="end"/>
            </w:r>
          </w:hyperlink>
        </w:p>
        <w:p w14:paraId="1E45CE80" w14:textId="6F150870"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49"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STRATEŠKI CILJ 2 (SC2) – Ostvarenje održivog ekonomskog razvoja regiona kroz jačanje ljudskih potencijala i podsticanje zapošljavanja radi poboljšanja kvaliteta života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_Toc205215849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49</w:t>
            </w:r>
            <w:r w:rsidR="0048184E" w:rsidRPr="0048184E">
              <w:rPr>
                <w:rFonts w:asciiTheme="minorHAnsi" w:hAnsiTheme="minorHAnsi"/>
                <w:webHidden/>
                <w:sz w:val="18"/>
                <w:szCs w:val="18"/>
              </w:rPr>
              <w:fldChar w:fldCharType="end"/>
            </w:r>
          </w:hyperlink>
        </w:p>
        <w:p w14:paraId="770FCC5A" w14:textId="179D46AF"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0" w:history="1">
            <w:r w:rsidR="0048184E" w:rsidRPr="0048184E">
              <w:rPr>
                <w:rStyle w:val="Hyperlink"/>
                <w:rFonts w:asciiTheme="minorHAnsi" w:hAnsiTheme="minorHAnsi"/>
                <w:color w:val="auto"/>
                <w:sz w:val="18"/>
                <w:szCs w:val="18"/>
              </w:rPr>
              <w:t>2.1.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2.1. Unaprjeđenje ljudskog kapitala kroz poboljšanje kvaliteta obrazovanja, zdravstvene i socijalne zaštite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_Toc205215850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50</w:t>
            </w:r>
            <w:r w:rsidR="0048184E" w:rsidRPr="0048184E">
              <w:rPr>
                <w:rFonts w:asciiTheme="minorHAnsi" w:hAnsiTheme="minorHAnsi"/>
                <w:webHidden/>
                <w:sz w:val="18"/>
                <w:szCs w:val="18"/>
              </w:rPr>
              <w:fldChar w:fldCharType="end"/>
            </w:r>
          </w:hyperlink>
        </w:p>
        <w:p w14:paraId="341FA051" w14:textId="216DE92E"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1" w:history="1">
            <w:r w:rsidR="0048184E" w:rsidRPr="0048184E">
              <w:rPr>
                <w:rStyle w:val="Hyperlink"/>
                <w:rFonts w:asciiTheme="minorHAnsi" w:hAnsiTheme="minorHAnsi"/>
                <w:color w:val="auto"/>
                <w:sz w:val="18"/>
                <w:szCs w:val="18"/>
              </w:rPr>
              <w:t>2.2.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2.2. Povećanje stope zaposlenosti i smanjenje neformalne zaposlenosti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51</w:t>
            </w:r>
            <w:r w:rsidR="0048184E" w:rsidRPr="0048184E">
              <w:rPr>
                <w:rFonts w:asciiTheme="minorHAnsi" w:hAnsiTheme="minorHAnsi"/>
                <w:webHidden/>
                <w:sz w:val="18"/>
                <w:szCs w:val="18"/>
              </w:rPr>
              <w:fldChar w:fldCharType="end"/>
            </w:r>
          </w:hyperlink>
        </w:p>
        <w:p w14:paraId="3C561493" w14:textId="17F5EAE0"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2" w:history="1">
            <w:r w:rsidR="0048184E" w:rsidRPr="0048184E">
              <w:rPr>
                <w:rStyle w:val="Hyperlink"/>
                <w:rFonts w:asciiTheme="minorHAnsi" w:hAnsiTheme="minorHAnsi"/>
                <w:color w:val="auto"/>
                <w:sz w:val="18"/>
                <w:szCs w:val="18"/>
              </w:rPr>
              <w:t>2.3.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2.3. Povećanje efikasnosti i učinkovitosti populacione politike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52</w:t>
            </w:r>
            <w:r w:rsidR="0048184E" w:rsidRPr="0048184E">
              <w:rPr>
                <w:rFonts w:asciiTheme="minorHAnsi" w:hAnsiTheme="minorHAnsi"/>
                <w:webHidden/>
                <w:sz w:val="18"/>
                <w:szCs w:val="18"/>
              </w:rPr>
              <w:fldChar w:fldCharType="end"/>
            </w:r>
          </w:hyperlink>
        </w:p>
        <w:p w14:paraId="4D601A60" w14:textId="4F1B71A6"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3" w:history="1">
            <w:r w:rsidR="0048184E" w:rsidRPr="0048184E">
              <w:rPr>
                <w:rStyle w:val="Hyperlink"/>
                <w:rFonts w:asciiTheme="minorHAnsi"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STRATEŠKI CILJ 3 (SC3) - Povećanje konkurentnosti regiona zasnovano na unaprjeđenju infrastrukture, poboljšanju poslovnog ambijenta i razvoj prioritetnih sektora i sektora sa potencijalom rasta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52</w:t>
            </w:r>
            <w:r w:rsidR="0048184E" w:rsidRPr="0048184E">
              <w:rPr>
                <w:rFonts w:asciiTheme="minorHAnsi" w:hAnsiTheme="minorHAnsi"/>
                <w:webHidden/>
                <w:sz w:val="18"/>
                <w:szCs w:val="18"/>
              </w:rPr>
              <w:fldChar w:fldCharType="end"/>
            </w:r>
          </w:hyperlink>
        </w:p>
        <w:p w14:paraId="7AE0BFF2" w14:textId="3F980566"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4" w:history="1">
            <w:r w:rsidR="0048184E" w:rsidRPr="0048184E">
              <w:rPr>
                <w:rStyle w:val="Hyperlink"/>
                <w:rFonts w:asciiTheme="minorHAnsi" w:hAnsiTheme="minorHAnsi"/>
                <w:color w:val="auto"/>
                <w:sz w:val="18"/>
                <w:szCs w:val="18"/>
              </w:rPr>
              <w:t>3.1.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3.1. Povećanje regionalne konkurentnosti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54</w:t>
            </w:r>
            <w:r w:rsidR="0048184E" w:rsidRPr="0048184E">
              <w:rPr>
                <w:rFonts w:asciiTheme="minorHAnsi" w:hAnsiTheme="minorHAnsi"/>
                <w:webHidden/>
                <w:sz w:val="18"/>
                <w:szCs w:val="18"/>
              </w:rPr>
              <w:fldChar w:fldCharType="end"/>
            </w:r>
          </w:hyperlink>
        </w:p>
        <w:p w14:paraId="1B309669" w14:textId="04F97B75"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5" w:history="1">
            <w:r w:rsidR="0048184E" w:rsidRPr="0048184E">
              <w:rPr>
                <w:rStyle w:val="Hyperlink"/>
                <w:rFonts w:asciiTheme="minorHAnsi" w:hAnsiTheme="minorHAnsi"/>
                <w:color w:val="auto"/>
                <w:sz w:val="18"/>
                <w:szCs w:val="18"/>
              </w:rPr>
              <w:t>3.2.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3.2. Razvoj prioritetnih sektora i sektora sa potencijalom rasta sa fokusom na diverzifikaciju turističkog proizvoda, prerađivačku industriju i valorizaciju kulturne baštine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_Toc205215855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55</w:t>
            </w:r>
            <w:r w:rsidR="0048184E" w:rsidRPr="0048184E">
              <w:rPr>
                <w:rFonts w:asciiTheme="minorHAnsi" w:hAnsiTheme="minorHAnsi"/>
                <w:webHidden/>
                <w:sz w:val="18"/>
                <w:szCs w:val="18"/>
              </w:rPr>
              <w:fldChar w:fldCharType="end"/>
            </w:r>
          </w:hyperlink>
        </w:p>
        <w:p w14:paraId="3206F869" w14:textId="4C504B7F"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6" w:history="1">
            <w:r w:rsidR="0048184E" w:rsidRPr="0048184E">
              <w:rPr>
                <w:rStyle w:val="Hyperlink"/>
                <w:rFonts w:asciiTheme="minorHAnsi" w:hAnsiTheme="minorHAnsi"/>
                <w:color w:val="auto"/>
                <w:sz w:val="18"/>
                <w:szCs w:val="18"/>
              </w:rPr>
              <w:t>3.3.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3.3. Unaprjeđenje saobraćajne infrastrukture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56</w:t>
            </w:r>
            <w:r w:rsidR="0048184E" w:rsidRPr="0048184E">
              <w:rPr>
                <w:rFonts w:asciiTheme="minorHAnsi" w:hAnsiTheme="minorHAnsi"/>
                <w:webHidden/>
                <w:sz w:val="18"/>
                <w:szCs w:val="18"/>
              </w:rPr>
              <w:fldChar w:fldCharType="end"/>
            </w:r>
          </w:hyperlink>
        </w:p>
        <w:p w14:paraId="5074ABCF" w14:textId="594360BB"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7" w:history="1">
            <w:r w:rsidR="0048184E" w:rsidRPr="0048184E">
              <w:rPr>
                <w:rStyle w:val="Hyperlink"/>
                <w:rFonts w:asciiTheme="minorHAnsi" w:hAnsiTheme="minorHAnsi"/>
                <w:color w:val="auto"/>
                <w:sz w:val="18"/>
                <w:szCs w:val="18"/>
              </w:rPr>
              <w:t>3.4.</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3.4. Unaprjeđenje uslova za proizvodnju visokokvalitetne hrane, organskog porijekla uz održiv dohodak poljoprivrednika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56</w:t>
            </w:r>
            <w:r w:rsidR="0048184E" w:rsidRPr="0048184E">
              <w:rPr>
                <w:rFonts w:asciiTheme="minorHAnsi" w:hAnsiTheme="minorHAnsi"/>
                <w:webHidden/>
                <w:sz w:val="18"/>
                <w:szCs w:val="18"/>
              </w:rPr>
              <w:fldChar w:fldCharType="end"/>
            </w:r>
          </w:hyperlink>
        </w:p>
        <w:p w14:paraId="26F011F9" w14:textId="0102FCA7"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58" w:history="1">
            <w:r w:rsidR="0048184E" w:rsidRPr="0048184E">
              <w:rPr>
                <w:rStyle w:val="Hyperlink"/>
                <w:rFonts w:asciiTheme="minorHAnsi" w:hAnsiTheme="minorHAnsi"/>
                <w:color w:val="auto"/>
                <w:sz w:val="18"/>
                <w:szCs w:val="18"/>
              </w:rPr>
              <w:t>3.5.</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3.5. Zaštita životne sredine, razvoj energetike, unaprjeđenje energetske efikasnosti, adaptacija i mitigacija efekata klimatskih promjena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57</w:t>
            </w:r>
            <w:r w:rsidR="0048184E" w:rsidRPr="0048184E">
              <w:rPr>
                <w:rFonts w:asciiTheme="minorHAnsi" w:hAnsiTheme="minorHAnsi"/>
                <w:webHidden/>
                <w:sz w:val="18"/>
                <w:szCs w:val="18"/>
              </w:rPr>
              <w:fldChar w:fldCharType="end"/>
            </w:r>
          </w:hyperlink>
        </w:p>
        <w:p w14:paraId="62EE34E7" w14:textId="7B5F7F50" w:rsidR="0048184E" w:rsidRPr="0048184E" w:rsidRDefault="00DB619D" w:rsidP="0048184E">
          <w:pPr>
            <w:pStyle w:val="TOC1"/>
            <w:tabs>
              <w:tab w:val="right" w:leader="dot" w:pos="9016"/>
            </w:tabs>
            <w:spacing w:after="0" w:line="240" w:lineRule="auto"/>
            <w:rPr>
              <w:rFonts w:asciiTheme="minorHAnsi" w:eastAsiaTheme="minorEastAsia" w:hAnsiTheme="minorHAnsi" w:cstheme="minorBidi"/>
              <w:noProof/>
              <w:sz w:val="18"/>
              <w:szCs w:val="18"/>
            </w:rPr>
          </w:pPr>
          <w:hyperlink w:anchor="_Toc205215859" w:history="1">
            <w:r w:rsidR="0048184E" w:rsidRPr="0048184E">
              <w:rPr>
                <w:rStyle w:val="Hyperlink"/>
                <w:rFonts w:asciiTheme="minorHAnsi" w:hAnsiTheme="minorHAnsi"/>
                <w:noProof/>
                <w:color w:val="auto"/>
                <w:sz w:val="18"/>
                <w:szCs w:val="18"/>
                <w:lang w:val="sr-Latn-ME"/>
              </w:rPr>
              <w:t xml:space="preserve">IV </w:t>
            </w:r>
            <w:r w:rsidR="00FA4DE1">
              <w:rPr>
                <w:rStyle w:val="Hyperlink"/>
                <w:rFonts w:asciiTheme="minorHAnsi" w:hAnsiTheme="minorHAnsi"/>
                <w:noProof/>
                <w:color w:val="auto"/>
                <w:sz w:val="18"/>
                <w:szCs w:val="18"/>
                <w:lang w:val="sr-Latn-ME"/>
              </w:rPr>
              <w:t>MEHANIZAM ZA</w:t>
            </w:r>
            <w:r w:rsidR="0048184E" w:rsidRPr="0048184E">
              <w:rPr>
                <w:rStyle w:val="Hyperlink"/>
                <w:rFonts w:asciiTheme="minorHAnsi" w:hAnsiTheme="minorHAnsi"/>
                <w:noProof/>
                <w:color w:val="auto"/>
                <w:sz w:val="18"/>
                <w:szCs w:val="18"/>
                <w:lang w:val="sr-Latn-ME"/>
              </w:rPr>
              <w:t xml:space="preserve"> MONITORING</w:t>
            </w:r>
            <w:r w:rsidR="00FA4DE1">
              <w:rPr>
                <w:rStyle w:val="Hyperlink"/>
                <w:rFonts w:asciiTheme="minorHAnsi" w:hAnsiTheme="minorHAnsi"/>
                <w:noProof/>
                <w:color w:val="auto"/>
                <w:sz w:val="18"/>
                <w:szCs w:val="18"/>
                <w:lang w:val="sr-Latn-ME"/>
              </w:rPr>
              <w:t>, IZVJEŠTAVANJE</w:t>
            </w:r>
            <w:r w:rsidR="0048184E" w:rsidRPr="0048184E">
              <w:rPr>
                <w:rStyle w:val="Hyperlink"/>
                <w:rFonts w:asciiTheme="minorHAnsi" w:hAnsiTheme="minorHAnsi"/>
                <w:noProof/>
                <w:color w:val="auto"/>
                <w:sz w:val="18"/>
                <w:szCs w:val="18"/>
                <w:lang w:val="sr-Latn-ME"/>
              </w:rPr>
              <w:t xml:space="preserve"> I EVALUACIJ</w:t>
            </w:r>
            <w:r w:rsidR="00FA4DE1">
              <w:rPr>
                <w:rStyle w:val="Hyperlink"/>
                <w:rFonts w:asciiTheme="minorHAnsi" w:hAnsiTheme="minorHAnsi"/>
                <w:noProof/>
                <w:color w:val="auto"/>
                <w:sz w:val="18"/>
                <w:szCs w:val="18"/>
                <w:lang w:val="sr-Latn-ME"/>
              </w:rPr>
              <w:t>U</w:t>
            </w:r>
            <w:r w:rsidR="0048184E" w:rsidRPr="0048184E">
              <w:rPr>
                <w:rFonts w:asciiTheme="minorHAnsi" w:hAnsiTheme="minorHAnsi"/>
                <w:noProof/>
                <w:webHidden/>
                <w:sz w:val="18"/>
                <w:szCs w:val="18"/>
              </w:rPr>
              <w:tab/>
            </w:r>
            <w:r w:rsidR="0048184E" w:rsidRPr="0048184E">
              <w:rPr>
                <w:rFonts w:asciiTheme="minorHAnsi" w:hAnsiTheme="minorHAnsi"/>
                <w:noProof/>
                <w:webHidden/>
                <w:sz w:val="18"/>
                <w:szCs w:val="18"/>
              </w:rPr>
              <w:fldChar w:fldCharType="begin"/>
            </w:r>
            <w:r w:rsidR="0048184E" w:rsidRPr="0048184E">
              <w:rPr>
                <w:rFonts w:asciiTheme="minorHAnsi" w:hAnsiTheme="minorHAnsi"/>
                <w:noProof/>
                <w:webHidden/>
                <w:sz w:val="18"/>
                <w:szCs w:val="18"/>
              </w:rPr>
              <w:instrText xml:space="preserve"> PAGEREF _Toc205215859 \h </w:instrText>
            </w:r>
            <w:r w:rsidR="0048184E" w:rsidRPr="0048184E">
              <w:rPr>
                <w:rFonts w:asciiTheme="minorHAnsi" w:hAnsiTheme="minorHAnsi"/>
                <w:noProof/>
                <w:webHidden/>
                <w:sz w:val="18"/>
                <w:szCs w:val="18"/>
              </w:rPr>
            </w:r>
            <w:r w:rsidR="0048184E" w:rsidRPr="0048184E">
              <w:rPr>
                <w:rFonts w:asciiTheme="minorHAnsi" w:hAnsiTheme="minorHAnsi"/>
                <w:noProof/>
                <w:webHidden/>
                <w:sz w:val="18"/>
                <w:szCs w:val="18"/>
              </w:rPr>
              <w:fldChar w:fldCharType="separate"/>
            </w:r>
            <w:r w:rsidR="009179C8">
              <w:rPr>
                <w:rFonts w:asciiTheme="minorHAnsi" w:hAnsiTheme="minorHAnsi"/>
                <w:noProof/>
                <w:webHidden/>
                <w:sz w:val="18"/>
                <w:szCs w:val="18"/>
              </w:rPr>
              <w:t>59</w:t>
            </w:r>
            <w:r w:rsidR="0048184E" w:rsidRPr="0048184E">
              <w:rPr>
                <w:rFonts w:asciiTheme="minorHAnsi" w:hAnsiTheme="minorHAnsi"/>
                <w:noProof/>
                <w:webHidden/>
                <w:sz w:val="18"/>
                <w:szCs w:val="18"/>
              </w:rPr>
              <w:fldChar w:fldCharType="end"/>
            </w:r>
          </w:hyperlink>
        </w:p>
        <w:p w14:paraId="67706BA4" w14:textId="5B755B83"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60"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Implementacija i monitoring</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_Toc205215860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59</w:t>
            </w:r>
            <w:r w:rsidR="0048184E" w:rsidRPr="0048184E">
              <w:rPr>
                <w:rFonts w:asciiTheme="minorHAnsi" w:hAnsiTheme="minorHAnsi"/>
                <w:webHidden/>
                <w:sz w:val="18"/>
                <w:szCs w:val="18"/>
              </w:rPr>
              <w:fldChar w:fldCharType="end"/>
            </w:r>
          </w:hyperlink>
        </w:p>
        <w:p w14:paraId="5EDE57BB" w14:textId="2259BA4C"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61"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Komunikacioni plan</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60</w:t>
            </w:r>
            <w:r w:rsidR="0048184E" w:rsidRPr="0048184E">
              <w:rPr>
                <w:rFonts w:asciiTheme="minorHAnsi" w:hAnsiTheme="minorHAnsi"/>
                <w:webHidden/>
                <w:sz w:val="18"/>
                <w:szCs w:val="18"/>
              </w:rPr>
              <w:fldChar w:fldCharType="end"/>
            </w:r>
          </w:hyperlink>
        </w:p>
        <w:p w14:paraId="12D88305" w14:textId="04839136"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62" w:history="1">
            <w:r w:rsidR="0048184E" w:rsidRPr="0048184E">
              <w:rPr>
                <w:rStyle w:val="Hyperlink"/>
                <w:rFonts w:asciiTheme="minorHAnsi"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Finansiranje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60</w:t>
            </w:r>
            <w:r w:rsidR="0048184E" w:rsidRPr="0048184E">
              <w:rPr>
                <w:rFonts w:asciiTheme="minorHAnsi" w:hAnsiTheme="minorHAnsi"/>
                <w:webHidden/>
                <w:sz w:val="18"/>
                <w:szCs w:val="18"/>
              </w:rPr>
              <w:fldChar w:fldCharType="end"/>
            </w:r>
          </w:hyperlink>
        </w:p>
        <w:p w14:paraId="17270161" w14:textId="61260467" w:rsidR="0048184E" w:rsidRPr="0048184E" w:rsidRDefault="00DB619D" w:rsidP="0048184E">
          <w:pPr>
            <w:pStyle w:val="TOC2"/>
            <w:spacing w:after="0" w:line="240" w:lineRule="auto"/>
            <w:rPr>
              <w:rFonts w:asciiTheme="minorHAnsi" w:eastAsiaTheme="minorEastAsia" w:hAnsiTheme="minorHAnsi" w:cstheme="minorBidi"/>
              <w:sz w:val="18"/>
              <w:szCs w:val="18"/>
            </w:rPr>
          </w:pPr>
          <w:hyperlink w:anchor="_Toc205215863" w:history="1">
            <w:r w:rsidR="0048184E" w:rsidRPr="0048184E">
              <w:rPr>
                <w:rStyle w:val="Hyperlink"/>
                <w:rFonts w:asciiTheme="minorHAnsi" w:hAnsiTheme="minorHAnsi"/>
                <w:color w:val="auto"/>
                <w:sz w:val="18"/>
                <w:szCs w:val="18"/>
              </w:rPr>
              <w:t>Lista grafika i tabela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9179C8">
              <w:rPr>
                <w:rFonts w:asciiTheme="minorHAnsi" w:hAnsiTheme="minorHAnsi"/>
                <w:webHidden/>
                <w:sz w:val="18"/>
                <w:szCs w:val="18"/>
              </w:rPr>
              <w:t>61</w:t>
            </w:r>
            <w:r w:rsidR="0048184E" w:rsidRPr="0048184E">
              <w:rPr>
                <w:rFonts w:asciiTheme="minorHAnsi" w:hAnsiTheme="minorHAnsi"/>
                <w:webHidden/>
                <w:sz w:val="18"/>
                <w:szCs w:val="18"/>
              </w:rPr>
              <w:fldChar w:fldCharType="end"/>
            </w:r>
          </w:hyperlink>
        </w:p>
        <w:p w14:paraId="4E6CA04F" w14:textId="77777777" w:rsidR="0048184E" w:rsidRPr="0048184E" w:rsidRDefault="00DB619D" w:rsidP="0048184E">
          <w:pPr>
            <w:pStyle w:val="TOC2"/>
            <w:spacing w:after="0" w:line="240" w:lineRule="auto"/>
            <w:rPr>
              <w:rFonts w:asciiTheme="minorHAnsi" w:hAnsiTheme="minorHAnsi"/>
              <w:sz w:val="18"/>
              <w:szCs w:val="18"/>
              <w:u w:val="single"/>
            </w:rPr>
          </w:pPr>
          <w:hyperlink w:anchor="_Toc205215864" w:history="1"/>
        </w:p>
        <w:p w14:paraId="384EC7C6" w14:textId="77777777" w:rsidR="0048184E" w:rsidRPr="0048184E" w:rsidRDefault="0048184E" w:rsidP="0048184E">
          <w:pPr>
            <w:spacing w:after="0" w:line="240" w:lineRule="auto"/>
            <w:rPr>
              <w:sz w:val="18"/>
              <w:szCs w:val="18"/>
            </w:rPr>
          </w:pPr>
          <w:r w:rsidRPr="0048184E">
            <w:rPr>
              <w:b/>
              <w:bCs/>
              <w:noProof/>
              <w:sz w:val="18"/>
              <w:szCs w:val="18"/>
            </w:rPr>
            <w:fldChar w:fldCharType="end"/>
          </w:r>
        </w:p>
      </w:sdtContent>
    </w:sdt>
    <w:p w14:paraId="4152BEF0" w14:textId="77777777" w:rsidR="00267341" w:rsidRPr="0048184E" w:rsidRDefault="00267341" w:rsidP="0048184E">
      <w:pPr>
        <w:spacing w:after="0" w:line="240" w:lineRule="auto"/>
        <w:rPr>
          <w:rFonts w:cstheme="minorHAnsi"/>
          <w:b/>
          <w:sz w:val="18"/>
          <w:szCs w:val="18"/>
          <w:lang w:val="sr-Latn-ME"/>
        </w:rPr>
      </w:pPr>
    </w:p>
    <w:p w14:paraId="1E73C605" w14:textId="77777777" w:rsidR="00267341" w:rsidRPr="0048184E" w:rsidRDefault="00267341" w:rsidP="0048184E">
      <w:pPr>
        <w:spacing w:after="0" w:line="240" w:lineRule="auto"/>
        <w:rPr>
          <w:rFonts w:cstheme="minorHAnsi"/>
          <w:b/>
          <w:sz w:val="18"/>
          <w:szCs w:val="18"/>
          <w:lang w:val="sr-Latn-ME"/>
        </w:rPr>
      </w:pPr>
    </w:p>
    <w:p w14:paraId="5A807692" w14:textId="77777777" w:rsidR="00267341" w:rsidRPr="0048184E" w:rsidRDefault="00267341" w:rsidP="0048184E">
      <w:pPr>
        <w:spacing w:after="0" w:line="240" w:lineRule="auto"/>
        <w:rPr>
          <w:rFonts w:cstheme="minorHAnsi"/>
          <w:b/>
          <w:sz w:val="18"/>
          <w:szCs w:val="18"/>
          <w:lang w:val="sr-Latn-ME"/>
        </w:rPr>
      </w:pPr>
    </w:p>
    <w:p w14:paraId="0D51A731" w14:textId="77777777" w:rsidR="00267341" w:rsidRPr="0048184E" w:rsidRDefault="00267341" w:rsidP="0048184E">
      <w:pPr>
        <w:spacing w:after="0" w:line="240" w:lineRule="auto"/>
        <w:rPr>
          <w:rFonts w:cstheme="minorHAnsi"/>
          <w:b/>
          <w:sz w:val="18"/>
          <w:szCs w:val="18"/>
          <w:lang w:val="sr-Latn-ME"/>
        </w:rPr>
      </w:pPr>
    </w:p>
    <w:p w14:paraId="1087C8B6" w14:textId="77777777" w:rsidR="008F48D1" w:rsidRDefault="008F48D1" w:rsidP="0048184E">
      <w:pPr>
        <w:spacing w:after="0" w:line="240" w:lineRule="auto"/>
        <w:rPr>
          <w:rFonts w:cstheme="minorHAnsi"/>
          <w:b/>
          <w:sz w:val="18"/>
          <w:szCs w:val="18"/>
          <w:lang w:val="sr-Latn-ME"/>
        </w:rPr>
      </w:pPr>
    </w:p>
    <w:p w14:paraId="442BB3A7" w14:textId="77777777" w:rsidR="001C272F" w:rsidRPr="0048184E" w:rsidRDefault="001C272F" w:rsidP="0048184E">
      <w:pPr>
        <w:spacing w:after="0" w:line="240" w:lineRule="auto"/>
        <w:rPr>
          <w:rFonts w:cstheme="minorHAnsi"/>
          <w:b/>
          <w:sz w:val="18"/>
          <w:szCs w:val="18"/>
          <w:lang w:val="sr-Latn-ME"/>
        </w:rPr>
      </w:pPr>
    </w:p>
    <w:p w14:paraId="5B97D6B9" w14:textId="77777777" w:rsidR="008F48D1" w:rsidRPr="0048184E" w:rsidRDefault="008F48D1" w:rsidP="0048184E">
      <w:pPr>
        <w:spacing w:after="0" w:line="240" w:lineRule="auto"/>
        <w:rPr>
          <w:rFonts w:cstheme="minorHAnsi"/>
          <w:b/>
          <w:sz w:val="18"/>
          <w:szCs w:val="18"/>
          <w:lang w:val="sr-Latn-ME"/>
        </w:rPr>
      </w:pPr>
    </w:p>
    <w:p w14:paraId="6B1554DD" w14:textId="77777777" w:rsidR="004B6950" w:rsidRPr="001C272F" w:rsidRDefault="004B6950" w:rsidP="0048184E">
      <w:pPr>
        <w:spacing w:after="0" w:line="240" w:lineRule="auto"/>
        <w:rPr>
          <w:rFonts w:cstheme="minorHAnsi"/>
          <w:b/>
          <w:color w:val="4472C4" w:themeColor="accent5"/>
          <w:sz w:val="26"/>
          <w:szCs w:val="26"/>
          <w:lang w:val="sr-Latn-ME"/>
        </w:rPr>
      </w:pPr>
      <w:r w:rsidRPr="001C272F">
        <w:rPr>
          <w:rFonts w:cstheme="minorHAnsi"/>
          <w:b/>
          <w:color w:val="4472C4" w:themeColor="accent5"/>
          <w:sz w:val="26"/>
          <w:szCs w:val="26"/>
          <w:lang w:val="sr-Latn-ME"/>
        </w:rPr>
        <w:lastRenderedPageBreak/>
        <w:t>SKRAĆENICE</w:t>
      </w:r>
    </w:p>
    <w:p w14:paraId="2C65A470" w14:textId="77777777" w:rsidR="001C272F" w:rsidRPr="0048184E" w:rsidRDefault="001C272F" w:rsidP="0048184E">
      <w:pPr>
        <w:spacing w:after="0" w:line="240" w:lineRule="auto"/>
        <w:rPr>
          <w:rFonts w:cstheme="minorHAnsi"/>
          <w:b/>
          <w:sz w:val="18"/>
          <w:szCs w:val="18"/>
          <w:lang w:val="sr-Latn-ME"/>
        </w:rPr>
      </w:pPr>
    </w:p>
    <w:tbl>
      <w:tblPr>
        <w:tblW w:w="9404" w:type="dxa"/>
        <w:tblInd w:w="93" w:type="dxa"/>
        <w:tblBorders>
          <w:insideH w:val="single" w:sz="4" w:space="0" w:color="auto"/>
          <w:insideV w:val="single" w:sz="4" w:space="0" w:color="auto"/>
        </w:tblBorders>
        <w:tblLayout w:type="fixed"/>
        <w:tblLook w:val="04A0" w:firstRow="1" w:lastRow="0" w:firstColumn="1" w:lastColumn="0" w:noHBand="0" w:noVBand="1"/>
      </w:tblPr>
      <w:tblGrid>
        <w:gridCol w:w="986"/>
        <w:gridCol w:w="3421"/>
        <w:gridCol w:w="995"/>
        <w:gridCol w:w="4002"/>
      </w:tblGrid>
      <w:tr w:rsidR="004B6950" w:rsidRPr="0048184E" w14:paraId="29C0D1AA" w14:textId="77777777" w:rsidTr="00924113">
        <w:trPr>
          <w:trHeight w:val="20"/>
        </w:trPr>
        <w:tc>
          <w:tcPr>
            <w:tcW w:w="986" w:type="dxa"/>
            <w:shd w:val="clear" w:color="auto" w:fill="auto"/>
            <w:noWrap/>
            <w:vAlign w:val="center"/>
          </w:tcPr>
          <w:p w14:paraId="526223CB"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CRM</w:t>
            </w:r>
          </w:p>
        </w:tc>
        <w:tc>
          <w:tcPr>
            <w:tcW w:w="3421" w:type="dxa"/>
            <w:shd w:val="clear" w:color="auto" w:fill="auto"/>
            <w:vAlign w:val="center"/>
          </w:tcPr>
          <w:p w14:paraId="1A040B0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Common Regional Maker</w:t>
            </w:r>
          </w:p>
        </w:tc>
        <w:tc>
          <w:tcPr>
            <w:tcW w:w="995" w:type="dxa"/>
            <w:shd w:val="clear" w:color="auto" w:fill="auto"/>
            <w:vAlign w:val="center"/>
          </w:tcPr>
          <w:p w14:paraId="28289F3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ZRT</w:t>
            </w:r>
          </w:p>
        </w:tc>
        <w:tc>
          <w:tcPr>
            <w:tcW w:w="4002" w:type="dxa"/>
            <w:shd w:val="clear" w:color="auto" w:fill="auto"/>
            <w:vAlign w:val="center"/>
          </w:tcPr>
          <w:p w14:paraId="3970718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Zajedničko regionalno tržište</w:t>
            </w:r>
          </w:p>
        </w:tc>
      </w:tr>
      <w:tr w:rsidR="004B6950" w:rsidRPr="0048184E" w14:paraId="7FDA6DBD" w14:textId="77777777" w:rsidTr="00924113">
        <w:trPr>
          <w:trHeight w:val="20"/>
        </w:trPr>
        <w:tc>
          <w:tcPr>
            <w:tcW w:w="986" w:type="dxa"/>
            <w:shd w:val="clear" w:color="auto" w:fill="auto"/>
            <w:noWrap/>
            <w:vAlign w:val="center"/>
          </w:tcPr>
          <w:p w14:paraId="65383D5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DB WB</w:t>
            </w:r>
          </w:p>
        </w:tc>
        <w:tc>
          <w:tcPr>
            <w:tcW w:w="3421" w:type="dxa"/>
            <w:shd w:val="clear" w:color="auto" w:fill="auto"/>
            <w:vAlign w:val="center"/>
          </w:tcPr>
          <w:p w14:paraId="399764D1"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Doing Bussines World Bank Report</w:t>
            </w:r>
          </w:p>
        </w:tc>
        <w:tc>
          <w:tcPr>
            <w:tcW w:w="995" w:type="dxa"/>
            <w:shd w:val="clear" w:color="auto" w:fill="auto"/>
            <w:vAlign w:val="center"/>
          </w:tcPr>
          <w:p w14:paraId="000370B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DB SB</w:t>
            </w:r>
          </w:p>
        </w:tc>
        <w:tc>
          <w:tcPr>
            <w:tcW w:w="4002" w:type="dxa"/>
            <w:shd w:val="clear" w:color="auto" w:fill="auto"/>
            <w:vAlign w:val="center"/>
          </w:tcPr>
          <w:p w14:paraId="1F078DD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Izvještaj Svjetske Banke "Doing Business"</w:t>
            </w:r>
          </w:p>
        </w:tc>
      </w:tr>
      <w:tr w:rsidR="004B6950" w:rsidRPr="002A2822" w14:paraId="3C302883" w14:textId="77777777" w:rsidTr="00924113">
        <w:trPr>
          <w:trHeight w:val="20"/>
        </w:trPr>
        <w:tc>
          <w:tcPr>
            <w:tcW w:w="986" w:type="dxa"/>
            <w:shd w:val="clear" w:color="auto" w:fill="auto"/>
            <w:noWrap/>
            <w:vAlign w:val="center"/>
          </w:tcPr>
          <w:p w14:paraId="79B0EF7E"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EBRD</w:t>
            </w:r>
          </w:p>
        </w:tc>
        <w:tc>
          <w:tcPr>
            <w:tcW w:w="3421" w:type="dxa"/>
            <w:shd w:val="clear" w:color="auto" w:fill="auto"/>
            <w:vAlign w:val="center"/>
          </w:tcPr>
          <w:p w14:paraId="13E0B8BA" w14:textId="77777777" w:rsidR="004B6950" w:rsidRPr="0048184E" w:rsidRDefault="004B6950" w:rsidP="0048184E">
            <w:pPr>
              <w:spacing w:after="0" w:line="240" w:lineRule="auto"/>
              <w:ind w:right="-142"/>
              <w:rPr>
                <w:rFonts w:cstheme="minorHAnsi"/>
                <w:sz w:val="18"/>
                <w:szCs w:val="18"/>
                <w:lang w:val="sr-Latn-ME" w:eastAsia="sr-Latn-ME"/>
              </w:rPr>
            </w:pPr>
            <w:r w:rsidRPr="0048184E">
              <w:rPr>
                <w:rFonts w:cstheme="minorHAnsi"/>
                <w:sz w:val="18"/>
                <w:szCs w:val="18"/>
                <w:lang w:val="sr-Latn-ME" w:eastAsia="sr-Latn-ME"/>
              </w:rPr>
              <w:t>European Bank for reconstruction and development</w:t>
            </w:r>
          </w:p>
        </w:tc>
        <w:tc>
          <w:tcPr>
            <w:tcW w:w="995" w:type="dxa"/>
            <w:shd w:val="clear" w:color="auto" w:fill="auto"/>
            <w:vAlign w:val="center"/>
          </w:tcPr>
          <w:p w14:paraId="2F1B661A"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EBRD</w:t>
            </w:r>
          </w:p>
        </w:tc>
        <w:tc>
          <w:tcPr>
            <w:tcW w:w="4002" w:type="dxa"/>
            <w:shd w:val="clear" w:color="auto" w:fill="auto"/>
            <w:vAlign w:val="center"/>
          </w:tcPr>
          <w:p w14:paraId="4928C591"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Evropska banka za obnovu i razvoj</w:t>
            </w:r>
          </w:p>
        </w:tc>
      </w:tr>
      <w:tr w:rsidR="004B6950" w:rsidRPr="0048184E" w14:paraId="452E1477" w14:textId="77777777" w:rsidTr="00924113">
        <w:trPr>
          <w:trHeight w:val="20"/>
        </w:trPr>
        <w:tc>
          <w:tcPr>
            <w:tcW w:w="986" w:type="dxa"/>
            <w:shd w:val="clear" w:color="auto" w:fill="auto"/>
            <w:noWrap/>
            <w:vAlign w:val="center"/>
          </w:tcPr>
          <w:p w14:paraId="1E8F057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EC</w:t>
            </w:r>
          </w:p>
        </w:tc>
        <w:tc>
          <w:tcPr>
            <w:tcW w:w="3421" w:type="dxa"/>
            <w:shd w:val="clear" w:color="auto" w:fill="auto"/>
            <w:vAlign w:val="center"/>
          </w:tcPr>
          <w:p w14:paraId="6FD1012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Commission</w:t>
            </w:r>
          </w:p>
        </w:tc>
        <w:tc>
          <w:tcPr>
            <w:tcW w:w="995" w:type="dxa"/>
            <w:shd w:val="clear" w:color="auto" w:fill="auto"/>
            <w:vAlign w:val="center"/>
          </w:tcPr>
          <w:p w14:paraId="40259F4A"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EK</w:t>
            </w:r>
          </w:p>
        </w:tc>
        <w:tc>
          <w:tcPr>
            <w:tcW w:w="4002" w:type="dxa"/>
            <w:shd w:val="clear" w:color="auto" w:fill="auto"/>
            <w:vAlign w:val="center"/>
          </w:tcPr>
          <w:p w14:paraId="7E5CB238"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Evropska komisija</w:t>
            </w:r>
          </w:p>
        </w:tc>
      </w:tr>
      <w:tr w:rsidR="004B6950" w:rsidRPr="0048184E" w14:paraId="0FA690F7" w14:textId="77777777" w:rsidTr="00924113">
        <w:trPr>
          <w:trHeight w:val="20"/>
        </w:trPr>
        <w:tc>
          <w:tcPr>
            <w:tcW w:w="986" w:type="dxa"/>
            <w:shd w:val="clear" w:color="auto" w:fill="auto"/>
            <w:noWrap/>
            <w:vAlign w:val="center"/>
          </w:tcPr>
          <w:p w14:paraId="13D3F878"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EIB</w:t>
            </w:r>
          </w:p>
        </w:tc>
        <w:tc>
          <w:tcPr>
            <w:tcW w:w="3421" w:type="dxa"/>
            <w:shd w:val="clear" w:color="auto" w:fill="auto"/>
            <w:vAlign w:val="center"/>
          </w:tcPr>
          <w:p w14:paraId="45EFC1E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Investment Bank</w:t>
            </w:r>
          </w:p>
        </w:tc>
        <w:tc>
          <w:tcPr>
            <w:tcW w:w="995" w:type="dxa"/>
            <w:shd w:val="clear" w:color="auto" w:fill="auto"/>
            <w:vAlign w:val="center"/>
          </w:tcPr>
          <w:p w14:paraId="19EE7823"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EIB</w:t>
            </w:r>
          </w:p>
        </w:tc>
        <w:tc>
          <w:tcPr>
            <w:tcW w:w="4002" w:type="dxa"/>
            <w:shd w:val="clear" w:color="auto" w:fill="auto"/>
            <w:vAlign w:val="center"/>
          </w:tcPr>
          <w:p w14:paraId="6C83998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Evropska investiciona banka </w:t>
            </w:r>
          </w:p>
        </w:tc>
      </w:tr>
      <w:tr w:rsidR="004B6950" w:rsidRPr="0048184E" w14:paraId="12A70E11" w14:textId="77777777" w:rsidTr="00924113">
        <w:trPr>
          <w:trHeight w:val="20"/>
        </w:trPr>
        <w:tc>
          <w:tcPr>
            <w:tcW w:w="986" w:type="dxa"/>
            <w:shd w:val="clear" w:color="auto" w:fill="auto"/>
            <w:noWrap/>
            <w:vAlign w:val="center"/>
          </w:tcPr>
          <w:p w14:paraId="0414060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EIF</w:t>
            </w:r>
          </w:p>
        </w:tc>
        <w:tc>
          <w:tcPr>
            <w:tcW w:w="3421" w:type="dxa"/>
            <w:shd w:val="clear" w:color="auto" w:fill="auto"/>
            <w:vAlign w:val="center"/>
          </w:tcPr>
          <w:p w14:paraId="0F37500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Investment Fund</w:t>
            </w:r>
          </w:p>
        </w:tc>
        <w:tc>
          <w:tcPr>
            <w:tcW w:w="995" w:type="dxa"/>
            <w:shd w:val="clear" w:color="auto" w:fill="auto"/>
            <w:vAlign w:val="center"/>
          </w:tcPr>
          <w:p w14:paraId="5804B83C"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EIF</w:t>
            </w:r>
          </w:p>
        </w:tc>
        <w:tc>
          <w:tcPr>
            <w:tcW w:w="4002" w:type="dxa"/>
            <w:shd w:val="clear" w:color="auto" w:fill="auto"/>
            <w:vAlign w:val="center"/>
          </w:tcPr>
          <w:p w14:paraId="481CC46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Evropski investicioni fond </w:t>
            </w:r>
          </w:p>
        </w:tc>
      </w:tr>
      <w:tr w:rsidR="004B6950" w:rsidRPr="0048184E" w14:paraId="567789F2" w14:textId="77777777" w:rsidTr="00924113">
        <w:trPr>
          <w:trHeight w:val="20"/>
        </w:trPr>
        <w:tc>
          <w:tcPr>
            <w:tcW w:w="986" w:type="dxa"/>
            <w:shd w:val="clear" w:color="auto" w:fill="auto"/>
            <w:noWrap/>
            <w:vAlign w:val="center"/>
          </w:tcPr>
          <w:p w14:paraId="2DD35E9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w:t>
            </w:r>
          </w:p>
        </w:tc>
        <w:tc>
          <w:tcPr>
            <w:tcW w:w="3421" w:type="dxa"/>
            <w:shd w:val="clear" w:color="auto" w:fill="auto"/>
            <w:vAlign w:val="center"/>
          </w:tcPr>
          <w:p w14:paraId="20DFC9F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Union</w:t>
            </w:r>
          </w:p>
        </w:tc>
        <w:tc>
          <w:tcPr>
            <w:tcW w:w="995" w:type="dxa"/>
            <w:shd w:val="clear" w:color="auto" w:fill="auto"/>
            <w:vAlign w:val="center"/>
          </w:tcPr>
          <w:p w14:paraId="445350FC"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EU</w:t>
            </w:r>
          </w:p>
        </w:tc>
        <w:tc>
          <w:tcPr>
            <w:tcW w:w="4002" w:type="dxa"/>
            <w:shd w:val="clear" w:color="auto" w:fill="auto"/>
            <w:vAlign w:val="center"/>
          </w:tcPr>
          <w:p w14:paraId="4B56A7FE"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Evropska unija</w:t>
            </w:r>
          </w:p>
        </w:tc>
      </w:tr>
      <w:tr w:rsidR="004B6950" w:rsidRPr="0048184E" w14:paraId="4EC35BCB" w14:textId="77777777" w:rsidTr="00924113">
        <w:trPr>
          <w:trHeight w:val="20"/>
        </w:trPr>
        <w:tc>
          <w:tcPr>
            <w:tcW w:w="986" w:type="dxa"/>
            <w:shd w:val="clear" w:color="auto" w:fill="auto"/>
            <w:noWrap/>
            <w:vAlign w:val="center"/>
          </w:tcPr>
          <w:p w14:paraId="42F3FE7A" w14:textId="77777777" w:rsidR="004B6950" w:rsidRPr="00886119" w:rsidRDefault="004B6950" w:rsidP="0048184E">
            <w:pPr>
              <w:spacing w:after="0" w:line="240" w:lineRule="auto"/>
              <w:rPr>
                <w:rFonts w:cstheme="minorHAnsi"/>
                <w:sz w:val="14"/>
                <w:szCs w:val="14"/>
                <w:lang w:val="sr-Latn-ME" w:eastAsia="sr-Latn-ME"/>
              </w:rPr>
            </w:pPr>
            <w:r w:rsidRPr="00886119">
              <w:rPr>
                <w:rFonts w:cstheme="minorHAnsi"/>
                <w:sz w:val="14"/>
                <w:szCs w:val="14"/>
                <w:lang w:val="sr-Latn-ME" w:eastAsia="sr-Latn-ME"/>
              </w:rPr>
              <w:t>EUROSTAT</w:t>
            </w:r>
          </w:p>
        </w:tc>
        <w:tc>
          <w:tcPr>
            <w:tcW w:w="3421" w:type="dxa"/>
            <w:shd w:val="clear" w:color="auto" w:fill="auto"/>
            <w:vAlign w:val="center"/>
          </w:tcPr>
          <w:p w14:paraId="257667F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 statistical office</w:t>
            </w:r>
          </w:p>
        </w:tc>
        <w:tc>
          <w:tcPr>
            <w:tcW w:w="995" w:type="dxa"/>
            <w:shd w:val="clear" w:color="auto" w:fill="auto"/>
            <w:vAlign w:val="center"/>
          </w:tcPr>
          <w:p w14:paraId="4A7E1EF4" w14:textId="77777777" w:rsidR="004B6950" w:rsidRPr="00886119" w:rsidRDefault="004B6950" w:rsidP="0048184E">
            <w:pPr>
              <w:spacing w:after="0" w:line="240" w:lineRule="auto"/>
              <w:ind w:right="-108"/>
              <w:rPr>
                <w:rFonts w:cstheme="minorHAnsi"/>
                <w:sz w:val="14"/>
                <w:szCs w:val="14"/>
                <w:lang w:val="sr-Latn-ME" w:eastAsia="sr-Latn-ME"/>
              </w:rPr>
            </w:pPr>
            <w:r w:rsidRPr="00886119">
              <w:rPr>
                <w:rFonts w:cstheme="minorHAnsi"/>
                <w:sz w:val="14"/>
                <w:szCs w:val="14"/>
                <w:lang w:val="sr-Latn-ME" w:eastAsia="sr-Latn-ME"/>
              </w:rPr>
              <w:t>EUROSTAT</w:t>
            </w:r>
          </w:p>
        </w:tc>
        <w:tc>
          <w:tcPr>
            <w:tcW w:w="4002" w:type="dxa"/>
            <w:shd w:val="clear" w:color="auto" w:fill="auto"/>
            <w:vAlign w:val="center"/>
          </w:tcPr>
          <w:p w14:paraId="63765C6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Statistički zavod EU </w:t>
            </w:r>
          </w:p>
        </w:tc>
      </w:tr>
      <w:tr w:rsidR="004B6950" w:rsidRPr="0048184E" w14:paraId="498F2CD1" w14:textId="77777777" w:rsidTr="00924113">
        <w:trPr>
          <w:trHeight w:val="20"/>
        </w:trPr>
        <w:tc>
          <w:tcPr>
            <w:tcW w:w="986" w:type="dxa"/>
            <w:shd w:val="clear" w:color="auto" w:fill="auto"/>
            <w:noWrap/>
            <w:vAlign w:val="center"/>
          </w:tcPr>
          <w:p w14:paraId="37A5511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FDI</w:t>
            </w:r>
          </w:p>
        </w:tc>
        <w:tc>
          <w:tcPr>
            <w:tcW w:w="3421" w:type="dxa"/>
            <w:shd w:val="clear" w:color="auto" w:fill="auto"/>
            <w:vAlign w:val="center"/>
          </w:tcPr>
          <w:p w14:paraId="5C23B63E"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Foreign direct investment </w:t>
            </w:r>
          </w:p>
        </w:tc>
        <w:tc>
          <w:tcPr>
            <w:tcW w:w="995" w:type="dxa"/>
            <w:shd w:val="clear" w:color="auto" w:fill="auto"/>
            <w:vAlign w:val="center"/>
          </w:tcPr>
          <w:p w14:paraId="611343C9"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SDI</w:t>
            </w:r>
          </w:p>
        </w:tc>
        <w:tc>
          <w:tcPr>
            <w:tcW w:w="4002" w:type="dxa"/>
            <w:shd w:val="clear" w:color="auto" w:fill="auto"/>
            <w:vAlign w:val="center"/>
          </w:tcPr>
          <w:p w14:paraId="3B1C590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Strane direktne investicije</w:t>
            </w:r>
          </w:p>
        </w:tc>
      </w:tr>
      <w:tr w:rsidR="004B6950" w:rsidRPr="0048184E" w14:paraId="67A92792" w14:textId="77777777" w:rsidTr="00924113">
        <w:trPr>
          <w:trHeight w:val="20"/>
        </w:trPr>
        <w:tc>
          <w:tcPr>
            <w:tcW w:w="986" w:type="dxa"/>
            <w:shd w:val="clear" w:color="auto" w:fill="auto"/>
            <w:noWrap/>
            <w:vAlign w:val="center"/>
          </w:tcPr>
          <w:p w14:paraId="14B7234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GDP</w:t>
            </w:r>
          </w:p>
        </w:tc>
        <w:tc>
          <w:tcPr>
            <w:tcW w:w="3421" w:type="dxa"/>
            <w:shd w:val="clear" w:color="auto" w:fill="auto"/>
            <w:vAlign w:val="center"/>
          </w:tcPr>
          <w:p w14:paraId="50D0E3A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Gross Domestic Product</w:t>
            </w:r>
          </w:p>
        </w:tc>
        <w:tc>
          <w:tcPr>
            <w:tcW w:w="995" w:type="dxa"/>
            <w:shd w:val="clear" w:color="auto" w:fill="auto"/>
            <w:vAlign w:val="center"/>
          </w:tcPr>
          <w:p w14:paraId="78B9A852"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BDP</w:t>
            </w:r>
          </w:p>
        </w:tc>
        <w:tc>
          <w:tcPr>
            <w:tcW w:w="4002" w:type="dxa"/>
            <w:shd w:val="clear" w:color="auto" w:fill="auto"/>
            <w:vAlign w:val="center"/>
          </w:tcPr>
          <w:p w14:paraId="057B564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Bruto domaći proizvod</w:t>
            </w:r>
          </w:p>
        </w:tc>
      </w:tr>
      <w:tr w:rsidR="004B6950" w:rsidRPr="0048184E" w14:paraId="501149DB" w14:textId="77777777" w:rsidTr="00924113">
        <w:trPr>
          <w:trHeight w:val="20"/>
        </w:trPr>
        <w:tc>
          <w:tcPr>
            <w:tcW w:w="986" w:type="dxa"/>
            <w:shd w:val="clear" w:color="auto" w:fill="auto"/>
            <w:noWrap/>
            <w:vAlign w:val="center"/>
          </w:tcPr>
          <w:p w14:paraId="5F60071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ICT</w:t>
            </w:r>
          </w:p>
        </w:tc>
        <w:tc>
          <w:tcPr>
            <w:tcW w:w="3421" w:type="dxa"/>
            <w:shd w:val="clear" w:color="auto" w:fill="auto"/>
            <w:vAlign w:val="center"/>
          </w:tcPr>
          <w:p w14:paraId="01FC211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Information and communication technology</w:t>
            </w:r>
          </w:p>
        </w:tc>
        <w:tc>
          <w:tcPr>
            <w:tcW w:w="995" w:type="dxa"/>
            <w:shd w:val="clear" w:color="auto" w:fill="auto"/>
            <w:vAlign w:val="center"/>
          </w:tcPr>
          <w:p w14:paraId="408F6519"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ICT</w:t>
            </w:r>
          </w:p>
        </w:tc>
        <w:tc>
          <w:tcPr>
            <w:tcW w:w="4002" w:type="dxa"/>
            <w:shd w:val="clear" w:color="auto" w:fill="auto"/>
            <w:vAlign w:val="center"/>
          </w:tcPr>
          <w:p w14:paraId="58264AD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Informacione i komunikacione tehnologije</w:t>
            </w:r>
          </w:p>
        </w:tc>
      </w:tr>
      <w:tr w:rsidR="004B6950" w:rsidRPr="002A2822" w14:paraId="72D73E6C" w14:textId="77777777" w:rsidTr="00924113">
        <w:trPr>
          <w:trHeight w:val="20"/>
        </w:trPr>
        <w:tc>
          <w:tcPr>
            <w:tcW w:w="986" w:type="dxa"/>
            <w:shd w:val="clear" w:color="auto" w:fill="auto"/>
            <w:noWrap/>
            <w:vAlign w:val="center"/>
          </w:tcPr>
          <w:p w14:paraId="424B4228"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IDF MNE</w:t>
            </w:r>
          </w:p>
        </w:tc>
        <w:tc>
          <w:tcPr>
            <w:tcW w:w="3421" w:type="dxa"/>
            <w:shd w:val="clear" w:color="auto" w:fill="auto"/>
            <w:vAlign w:val="center"/>
          </w:tcPr>
          <w:p w14:paraId="5C35CC1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Investment and Development Fund of Montenegro</w:t>
            </w:r>
            <w:r w:rsidR="00886119">
              <w:rPr>
                <w:rFonts w:cstheme="minorHAnsi"/>
                <w:sz w:val="18"/>
                <w:szCs w:val="18"/>
                <w:lang w:val="sr-Latn-ME" w:eastAsia="sr-Latn-ME"/>
              </w:rPr>
              <w:t xml:space="preserve"> ( Development Bank of Montenegro)</w:t>
            </w:r>
          </w:p>
        </w:tc>
        <w:tc>
          <w:tcPr>
            <w:tcW w:w="995" w:type="dxa"/>
            <w:shd w:val="clear" w:color="auto" w:fill="auto"/>
            <w:vAlign w:val="center"/>
          </w:tcPr>
          <w:p w14:paraId="16E2E30D"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IRF CG</w:t>
            </w:r>
          </w:p>
        </w:tc>
        <w:tc>
          <w:tcPr>
            <w:tcW w:w="4002" w:type="dxa"/>
            <w:shd w:val="clear" w:color="auto" w:fill="auto"/>
            <w:vAlign w:val="center"/>
          </w:tcPr>
          <w:p w14:paraId="192D1DA7"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Investiciono-razvojni fond Crne Gore</w:t>
            </w:r>
            <w:r w:rsidR="00886119">
              <w:rPr>
                <w:rFonts w:cstheme="minorHAnsi"/>
                <w:sz w:val="18"/>
                <w:szCs w:val="18"/>
                <w:lang w:val="sr-Latn-ME" w:eastAsia="sr-Latn-ME"/>
              </w:rPr>
              <w:t xml:space="preserve"> (Razvojna banka Crne Gore)</w:t>
            </w:r>
            <w:r w:rsidR="00886119">
              <w:rPr>
                <w:rStyle w:val="FootnoteReference"/>
                <w:rFonts w:cstheme="minorHAnsi"/>
                <w:sz w:val="18"/>
                <w:szCs w:val="18"/>
                <w:lang w:val="sr-Latn-ME" w:eastAsia="sr-Latn-ME"/>
              </w:rPr>
              <w:footnoteReference w:id="1"/>
            </w:r>
          </w:p>
        </w:tc>
      </w:tr>
      <w:tr w:rsidR="004B6950" w:rsidRPr="0048184E" w14:paraId="7E3C235A" w14:textId="77777777" w:rsidTr="00924113">
        <w:trPr>
          <w:trHeight w:val="20"/>
        </w:trPr>
        <w:tc>
          <w:tcPr>
            <w:tcW w:w="986" w:type="dxa"/>
            <w:shd w:val="clear" w:color="auto" w:fill="auto"/>
            <w:noWrap/>
            <w:vAlign w:val="center"/>
          </w:tcPr>
          <w:p w14:paraId="46829C4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IFI</w:t>
            </w:r>
          </w:p>
        </w:tc>
        <w:tc>
          <w:tcPr>
            <w:tcW w:w="3421" w:type="dxa"/>
            <w:shd w:val="clear" w:color="auto" w:fill="auto"/>
            <w:vAlign w:val="center"/>
          </w:tcPr>
          <w:p w14:paraId="1BB186E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International Financial Institutions </w:t>
            </w:r>
          </w:p>
        </w:tc>
        <w:tc>
          <w:tcPr>
            <w:tcW w:w="995" w:type="dxa"/>
            <w:shd w:val="clear" w:color="auto" w:fill="auto"/>
            <w:vAlign w:val="center"/>
          </w:tcPr>
          <w:p w14:paraId="0490966C"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MFI</w:t>
            </w:r>
          </w:p>
        </w:tc>
        <w:tc>
          <w:tcPr>
            <w:tcW w:w="4002" w:type="dxa"/>
            <w:shd w:val="clear" w:color="auto" w:fill="auto"/>
            <w:vAlign w:val="center"/>
          </w:tcPr>
          <w:p w14:paraId="39E76C8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Međunarodne finansijske institucije </w:t>
            </w:r>
          </w:p>
        </w:tc>
      </w:tr>
      <w:tr w:rsidR="004B6950" w:rsidRPr="0048184E" w14:paraId="12A859A2" w14:textId="77777777" w:rsidTr="00924113">
        <w:trPr>
          <w:trHeight w:val="20"/>
        </w:trPr>
        <w:tc>
          <w:tcPr>
            <w:tcW w:w="986" w:type="dxa"/>
            <w:shd w:val="clear" w:color="auto" w:fill="auto"/>
            <w:noWrap/>
            <w:vAlign w:val="center"/>
          </w:tcPr>
          <w:p w14:paraId="6425347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IMF</w:t>
            </w:r>
          </w:p>
        </w:tc>
        <w:tc>
          <w:tcPr>
            <w:tcW w:w="3421" w:type="dxa"/>
            <w:shd w:val="clear" w:color="auto" w:fill="auto"/>
            <w:vAlign w:val="center"/>
          </w:tcPr>
          <w:p w14:paraId="025BCF45"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International Monetary Fund</w:t>
            </w:r>
          </w:p>
        </w:tc>
        <w:tc>
          <w:tcPr>
            <w:tcW w:w="995" w:type="dxa"/>
            <w:shd w:val="clear" w:color="auto" w:fill="auto"/>
            <w:vAlign w:val="center"/>
          </w:tcPr>
          <w:p w14:paraId="172B497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MMF</w:t>
            </w:r>
          </w:p>
        </w:tc>
        <w:tc>
          <w:tcPr>
            <w:tcW w:w="4002" w:type="dxa"/>
            <w:shd w:val="clear" w:color="auto" w:fill="auto"/>
            <w:vAlign w:val="center"/>
          </w:tcPr>
          <w:p w14:paraId="72ADDA9B"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Medjunarodni monetarni fond </w:t>
            </w:r>
          </w:p>
        </w:tc>
      </w:tr>
      <w:tr w:rsidR="004B6950" w:rsidRPr="0048184E" w14:paraId="18F9993B" w14:textId="77777777" w:rsidTr="00924113">
        <w:trPr>
          <w:trHeight w:val="20"/>
        </w:trPr>
        <w:tc>
          <w:tcPr>
            <w:tcW w:w="986" w:type="dxa"/>
            <w:shd w:val="clear" w:color="auto" w:fill="auto"/>
            <w:noWrap/>
            <w:vAlign w:val="center"/>
          </w:tcPr>
          <w:p w14:paraId="5F834FE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IPA</w:t>
            </w:r>
          </w:p>
        </w:tc>
        <w:tc>
          <w:tcPr>
            <w:tcW w:w="3421" w:type="dxa"/>
            <w:shd w:val="clear" w:color="auto" w:fill="auto"/>
            <w:vAlign w:val="center"/>
          </w:tcPr>
          <w:p w14:paraId="4B9E1A27"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Instrument for pre-accession</w:t>
            </w:r>
          </w:p>
        </w:tc>
        <w:tc>
          <w:tcPr>
            <w:tcW w:w="995" w:type="dxa"/>
            <w:shd w:val="clear" w:color="auto" w:fill="auto"/>
            <w:vAlign w:val="center"/>
          </w:tcPr>
          <w:p w14:paraId="0B5E28F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IPA</w:t>
            </w:r>
          </w:p>
        </w:tc>
        <w:tc>
          <w:tcPr>
            <w:tcW w:w="4002" w:type="dxa"/>
            <w:shd w:val="clear" w:color="auto" w:fill="auto"/>
            <w:vAlign w:val="center"/>
          </w:tcPr>
          <w:p w14:paraId="3655E9D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Pretpristupni instrument</w:t>
            </w:r>
          </w:p>
        </w:tc>
      </w:tr>
      <w:tr w:rsidR="004B6950" w:rsidRPr="002A2822" w14:paraId="02D05480" w14:textId="77777777" w:rsidTr="00924113">
        <w:trPr>
          <w:trHeight w:val="20"/>
        </w:trPr>
        <w:tc>
          <w:tcPr>
            <w:tcW w:w="986" w:type="dxa"/>
            <w:shd w:val="clear" w:color="auto" w:fill="auto"/>
            <w:noWrap/>
            <w:vAlign w:val="center"/>
          </w:tcPr>
          <w:p w14:paraId="3A782D0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IPARD</w:t>
            </w:r>
          </w:p>
        </w:tc>
        <w:tc>
          <w:tcPr>
            <w:tcW w:w="3421" w:type="dxa"/>
            <w:shd w:val="clear" w:color="auto" w:fill="auto"/>
            <w:vAlign w:val="center"/>
          </w:tcPr>
          <w:p w14:paraId="2F6408B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Rural Development component of the Instrument for Pre-accession Assistance</w:t>
            </w:r>
          </w:p>
        </w:tc>
        <w:tc>
          <w:tcPr>
            <w:tcW w:w="995" w:type="dxa"/>
            <w:shd w:val="clear" w:color="auto" w:fill="auto"/>
            <w:vAlign w:val="center"/>
          </w:tcPr>
          <w:p w14:paraId="2BAE02AF"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IPARD</w:t>
            </w:r>
          </w:p>
        </w:tc>
        <w:tc>
          <w:tcPr>
            <w:tcW w:w="4002" w:type="dxa"/>
            <w:shd w:val="clear" w:color="auto" w:fill="auto"/>
            <w:vAlign w:val="center"/>
          </w:tcPr>
          <w:p w14:paraId="4DA9B6A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Pretpristupni instrument za ruralni razvoj</w:t>
            </w:r>
          </w:p>
        </w:tc>
      </w:tr>
      <w:tr w:rsidR="00B51193" w:rsidRPr="0048184E" w14:paraId="706323E3" w14:textId="77777777" w:rsidTr="00924113">
        <w:trPr>
          <w:trHeight w:val="20"/>
        </w:trPr>
        <w:tc>
          <w:tcPr>
            <w:tcW w:w="986" w:type="dxa"/>
            <w:shd w:val="clear" w:color="auto" w:fill="auto"/>
            <w:noWrap/>
            <w:vAlign w:val="center"/>
          </w:tcPr>
          <w:p w14:paraId="0D465858" w14:textId="77777777" w:rsidR="00B51193" w:rsidRPr="0048184E" w:rsidRDefault="00B51193"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LGU</w:t>
            </w:r>
          </w:p>
        </w:tc>
        <w:tc>
          <w:tcPr>
            <w:tcW w:w="3421" w:type="dxa"/>
            <w:shd w:val="clear" w:color="auto" w:fill="auto"/>
            <w:vAlign w:val="center"/>
          </w:tcPr>
          <w:p w14:paraId="5EB7D108" w14:textId="77777777" w:rsidR="00B51193" w:rsidRPr="0048184E" w:rsidRDefault="00B51193"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Local Gouvernment Unit</w:t>
            </w:r>
          </w:p>
        </w:tc>
        <w:tc>
          <w:tcPr>
            <w:tcW w:w="995" w:type="dxa"/>
            <w:shd w:val="clear" w:color="auto" w:fill="auto"/>
            <w:vAlign w:val="center"/>
          </w:tcPr>
          <w:p w14:paraId="4CDAFF0E" w14:textId="77777777" w:rsidR="00B51193" w:rsidRPr="0048184E" w:rsidRDefault="00B51193"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JLS</w:t>
            </w:r>
          </w:p>
        </w:tc>
        <w:tc>
          <w:tcPr>
            <w:tcW w:w="4002" w:type="dxa"/>
            <w:shd w:val="clear" w:color="auto" w:fill="auto"/>
            <w:vAlign w:val="center"/>
          </w:tcPr>
          <w:p w14:paraId="0877A0DE" w14:textId="77777777" w:rsidR="00B51193" w:rsidRPr="0048184E" w:rsidRDefault="00B51193"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Jedinica lokalne samouprave</w:t>
            </w:r>
          </w:p>
        </w:tc>
      </w:tr>
      <w:tr w:rsidR="006567A8" w:rsidRPr="0048184E" w14:paraId="1E99E2E3" w14:textId="77777777" w:rsidTr="00924113">
        <w:trPr>
          <w:trHeight w:val="20"/>
        </w:trPr>
        <w:tc>
          <w:tcPr>
            <w:tcW w:w="986" w:type="dxa"/>
            <w:shd w:val="clear" w:color="auto" w:fill="auto"/>
            <w:noWrap/>
            <w:vAlign w:val="center"/>
          </w:tcPr>
          <w:p w14:paraId="2664A0FF" w14:textId="77777777" w:rsidR="006567A8" w:rsidRPr="0048184E" w:rsidRDefault="006567A8"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LFS</w:t>
            </w:r>
          </w:p>
        </w:tc>
        <w:tc>
          <w:tcPr>
            <w:tcW w:w="3421" w:type="dxa"/>
            <w:shd w:val="clear" w:color="auto" w:fill="auto"/>
            <w:vAlign w:val="center"/>
          </w:tcPr>
          <w:p w14:paraId="7D810EE8" w14:textId="77777777" w:rsidR="006567A8" w:rsidRPr="0048184E" w:rsidRDefault="006567A8"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Labour Force Survey</w:t>
            </w:r>
          </w:p>
        </w:tc>
        <w:tc>
          <w:tcPr>
            <w:tcW w:w="995" w:type="dxa"/>
            <w:shd w:val="clear" w:color="auto" w:fill="auto"/>
            <w:vAlign w:val="center"/>
          </w:tcPr>
          <w:p w14:paraId="5B25C3EE" w14:textId="77777777" w:rsidR="006567A8" w:rsidRPr="0048184E" w:rsidRDefault="006567A8"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ARS</w:t>
            </w:r>
          </w:p>
        </w:tc>
        <w:tc>
          <w:tcPr>
            <w:tcW w:w="4002" w:type="dxa"/>
            <w:shd w:val="clear" w:color="auto" w:fill="auto"/>
            <w:vAlign w:val="center"/>
          </w:tcPr>
          <w:p w14:paraId="52DA5FCB" w14:textId="77777777" w:rsidR="006567A8" w:rsidRPr="0048184E" w:rsidRDefault="006567A8"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Anketa o radnoj snazi </w:t>
            </w:r>
          </w:p>
        </w:tc>
      </w:tr>
      <w:tr w:rsidR="004B6950" w:rsidRPr="0048184E" w14:paraId="51328C2F" w14:textId="77777777" w:rsidTr="00924113">
        <w:trPr>
          <w:trHeight w:val="20"/>
        </w:trPr>
        <w:tc>
          <w:tcPr>
            <w:tcW w:w="986" w:type="dxa"/>
            <w:shd w:val="clear" w:color="auto" w:fill="auto"/>
            <w:noWrap/>
            <w:vAlign w:val="center"/>
          </w:tcPr>
          <w:p w14:paraId="10A1E6C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MAFWM</w:t>
            </w:r>
          </w:p>
        </w:tc>
        <w:tc>
          <w:tcPr>
            <w:tcW w:w="3421" w:type="dxa"/>
            <w:shd w:val="clear" w:color="auto" w:fill="auto"/>
            <w:vAlign w:val="center"/>
          </w:tcPr>
          <w:p w14:paraId="2E1EF845"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Agriculture, Forestry and Water Management</w:t>
            </w:r>
          </w:p>
        </w:tc>
        <w:tc>
          <w:tcPr>
            <w:tcW w:w="995" w:type="dxa"/>
            <w:shd w:val="clear" w:color="auto" w:fill="auto"/>
            <w:vAlign w:val="center"/>
          </w:tcPr>
          <w:p w14:paraId="75274DB3"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MPŠV</w:t>
            </w:r>
          </w:p>
        </w:tc>
        <w:tc>
          <w:tcPr>
            <w:tcW w:w="4002" w:type="dxa"/>
            <w:shd w:val="clear" w:color="auto" w:fill="auto"/>
            <w:vAlign w:val="center"/>
          </w:tcPr>
          <w:p w14:paraId="7FDCB5A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poljoprivrede i ruralnog razvoja</w:t>
            </w:r>
          </w:p>
        </w:tc>
      </w:tr>
      <w:tr w:rsidR="004B6950" w:rsidRPr="0048184E" w14:paraId="0D0158B3" w14:textId="77777777" w:rsidTr="00924113">
        <w:trPr>
          <w:trHeight w:val="20"/>
        </w:trPr>
        <w:tc>
          <w:tcPr>
            <w:tcW w:w="986" w:type="dxa"/>
            <w:shd w:val="clear" w:color="auto" w:fill="auto"/>
            <w:noWrap/>
            <w:vAlign w:val="center"/>
          </w:tcPr>
          <w:p w14:paraId="1B38B4E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MC</w:t>
            </w:r>
          </w:p>
        </w:tc>
        <w:tc>
          <w:tcPr>
            <w:tcW w:w="3421" w:type="dxa"/>
            <w:shd w:val="clear" w:color="auto" w:fill="auto"/>
            <w:vAlign w:val="center"/>
          </w:tcPr>
          <w:p w14:paraId="6981B75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Culture</w:t>
            </w:r>
          </w:p>
        </w:tc>
        <w:tc>
          <w:tcPr>
            <w:tcW w:w="995" w:type="dxa"/>
            <w:shd w:val="clear" w:color="auto" w:fill="auto"/>
            <w:vAlign w:val="center"/>
          </w:tcPr>
          <w:p w14:paraId="30649818"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MK</w:t>
            </w:r>
          </w:p>
        </w:tc>
        <w:tc>
          <w:tcPr>
            <w:tcW w:w="4002" w:type="dxa"/>
            <w:shd w:val="clear" w:color="auto" w:fill="auto"/>
            <w:vAlign w:val="center"/>
          </w:tcPr>
          <w:p w14:paraId="1E2BAFBB"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kulture</w:t>
            </w:r>
          </w:p>
        </w:tc>
      </w:tr>
      <w:tr w:rsidR="004B6950" w:rsidRPr="0048184E" w14:paraId="558DAADE" w14:textId="77777777" w:rsidTr="00924113">
        <w:trPr>
          <w:trHeight w:val="20"/>
        </w:trPr>
        <w:tc>
          <w:tcPr>
            <w:tcW w:w="986" w:type="dxa"/>
            <w:shd w:val="clear" w:color="auto" w:fill="auto"/>
            <w:noWrap/>
            <w:vAlign w:val="center"/>
          </w:tcPr>
          <w:p w14:paraId="07B4949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MD</w:t>
            </w:r>
          </w:p>
        </w:tc>
        <w:tc>
          <w:tcPr>
            <w:tcW w:w="3421" w:type="dxa"/>
            <w:shd w:val="clear" w:color="auto" w:fill="auto"/>
            <w:vAlign w:val="center"/>
          </w:tcPr>
          <w:p w14:paraId="35B5E66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Defence</w:t>
            </w:r>
          </w:p>
        </w:tc>
        <w:tc>
          <w:tcPr>
            <w:tcW w:w="995" w:type="dxa"/>
            <w:shd w:val="clear" w:color="auto" w:fill="auto"/>
            <w:vAlign w:val="center"/>
          </w:tcPr>
          <w:p w14:paraId="1E5422E8"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MO</w:t>
            </w:r>
          </w:p>
        </w:tc>
        <w:tc>
          <w:tcPr>
            <w:tcW w:w="4002" w:type="dxa"/>
            <w:shd w:val="clear" w:color="auto" w:fill="auto"/>
            <w:vAlign w:val="center"/>
          </w:tcPr>
          <w:p w14:paraId="1CCBE7F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odbrane</w:t>
            </w:r>
          </w:p>
        </w:tc>
      </w:tr>
      <w:tr w:rsidR="000C20FC" w:rsidRPr="002A2822" w14:paraId="77F331C7" w14:textId="77777777" w:rsidTr="00924113">
        <w:trPr>
          <w:trHeight w:val="20"/>
        </w:trPr>
        <w:tc>
          <w:tcPr>
            <w:tcW w:w="986" w:type="dxa"/>
            <w:shd w:val="clear" w:color="auto" w:fill="auto"/>
            <w:noWrap/>
            <w:vAlign w:val="center"/>
          </w:tcPr>
          <w:p w14:paraId="36E0E7D5" w14:textId="77777777" w:rsidR="000C20FC" w:rsidRDefault="000C20FC" w:rsidP="0063519F">
            <w:pPr>
              <w:spacing w:after="0" w:line="240" w:lineRule="auto"/>
              <w:rPr>
                <w:rFonts w:cstheme="minorHAnsi"/>
                <w:sz w:val="18"/>
                <w:szCs w:val="18"/>
                <w:lang w:val="sr-Latn-ME" w:eastAsia="sr-Latn-ME"/>
              </w:rPr>
            </w:pPr>
            <w:r>
              <w:rPr>
                <w:rFonts w:cstheme="minorHAnsi"/>
                <w:sz w:val="18"/>
                <w:szCs w:val="18"/>
                <w:lang w:val="sr-Latn-ME" w:eastAsia="sr-Latn-ME"/>
              </w:rPr>
              <w:t>MRID</w:t>
            </w:r>
          </w:p>
        </w:tc>
        <w:tc>
          <w:tcPr>
            <w:tcW w:w="3421" w:type="dxa"/>
            <w:shd w:val="clear" w:color="auto" w:fill="auto"/>
            <w:vAlign w:val="center"/>
          </w:tcPr>
          <w:p w14:paraId="6D2AA068" w14:textId="77777777" w:rsidR="000C20FC" w:rsidRPr="000C20FC" w:rsidRDefault="000C20FC" w:rsidP="0063519F">
            <w:pPr>
              <w:spacing w:after="0" w:line="240" w:lineRule="auto"/>
              <w:rPr>
                <w:rFonts w:cstheme="minorHAnsi"/>
                <w:sz w:val="18"/>
                <w:szCs w:val="18"/>
                <w:lang w:val="sr-Latn-ME" w:eastAsia="sr-Latn-ME"/>
              </w:rPr>
            </w:pPr>
            <w:r w:rsidRPr="000C20FC">
              <w:rPr>
                <w:rFonts w:cstheme="minorHAnsi"/>
                <w:color w:val="2C2C2C"/>
                <w:sz w:val="18"/>
                <w:szCs w:val="18"/>
              </w:rPr>
              <w:t>Ministry of Regional-Investment Development and Cooperation with Non-Governmental Organizations</w:t>
            </w:r>
          </w:p>
        </w:tc>
        <w:tc>
          <w:tcPr>
            <w:tcW w:w="995" w:type="dxa"/>
            <w:shd w:val="clear" w:color="auto" w:fill="auto"/>
            <w:vAlign w:val="center"/>
          </w:tcPr>
          <w:p w14:paraId="1758A14E" w14:textId="77777777" w:rsidR="000C20FC" w:rsidRDefault="000C20FC"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MIRN</w:t>
            </w:r>
          </w:p>
        </w:tc>
        <w:tc>
          <w:tcPr>
            <w:tcW w:w="4002" w:type="dxa"/>
            <w:shd w:val="clear" w:color="auto" w:fill="auto"/>
            <w:vAlign w:val="center"/>
          </w:tcPr>
          <w:p w14:paraId="3E30F9FD" w14:textId="77777777" w:rsidR="000C20FC" w:rsidRDefault="000C20FC" w:rsidP="0063519F">
            <w:pPr>
              <w:spacing w:after="0" w:line="240" w:lineRule="auto"/>
              <w:rPr>
                <w:rFonts w:cstheme="minorHAnsi"/>
                <w:sz w:val="18"/>
                <w:szCs w:val="18"/>
                <w:lang w:val="sr-Latn-ME" w:eastAsia="sr-Latn-ME"/>
              </w:rPr>
            </w:pPr>
            <w:r>
              <w:rPr>
                <w:rFonts w:cstheme="minorHAnsi"/>
                <w:sz w:val="18"/>
                <w:szCs w:val="18"/>
                <w:lang w:val="sr-Latn-ME" w:eastAsia="sr-Latn-ME"/>
              </w:rPr>
              <w:t>Ministarstvo investiciono regionalnog razvoja i saradnje sa nevladinim organizacijama</w:t>
            </w:r>
          </w:p>
        </w:tc>
      </w:tr>
      <w:tr w:rsidR="0063519F" w:rsidRPr="002A2822" w14:paraId="0FDA80A9" w14:textId="77777777" w:rsidTr="00924113">
        <w:trPr>
          <w:trHeight w:val="20"/>
        </w:trPr>
        <w:tc>
          <w:tcPr>
            <w:tcW w:w="986" w:type="dxa"/>
            <w:shd w:val="clear" w:color="auto" w:fill="auto"/>
            <w:noWrap/>
            <w:vAlign w:val="center"/>
          </w:tcPr>
          <w:p w14:paraId="47C99B73"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w:t>
            </w:r>
            <w:r w:rsidRPr="0048184E">
              <w:rPr>
                <w:rFonts w:cstheme="minorHAnsi"/>
                <w:sz w:val="18"/>
                <w:szCs w:val="18"/>
                <w:lang w:val="sr-Latn-ME" w:eastAsia="sr-Latn-ME"/>
              </w:rPr>
              <w:t>ESDDN</w:t>
            </w:r>
          </w:p>
        </w:tc>
        <w:tc>
          <w:tcPr>
            <w:tcW w:w="3421" w:type="dxa"/>
            <w:shd w:val="clear" w:color="auto" w:fill="auto"/>
            <w:vAlign w:val="center"/>
          </w:tcPr>
          <w:p w14:paraId="1C5D63DF"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Ministry of</w:t>
            </w:r>
            <w:r w:rsidRPr="0048184E">
              <w:rPr>
                <w:rFonts w:cstheme="minorHAnsi"/>
                <w:sz w:val="18"/>
                <w:szCs w:val="18"/>
                <w:lang w:val="sr-Latn-ME" w:eastAsia="sr-Latn-ME"/>
              </w:rPr>
              <w:t xml:space="preserve"> Ecology, Sustainable Development and Development of the North</w:t>
            </w:r>
          </w:p>
        </w:tc>
        <w:tc>
          <w:tcPr>
            <w:tcW w:w="995" w:type="dxa"/>
            <w:shd w:val="clear" w:color="auto" w:fill="auto"/>
            <w:vAlign w:val="center"/>
          </w:tcPr>
          <w:p w14:paraId="45CD145D" w14:textId="77777777" w:rsidR="0063519F" w:rsidRPr="0048184E" w:rsidRDefault="0063519F"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w:t>
            </w:r>
            <w:r w:rsidRPr="0048184E">
              <w:rPr>
                <w:rFonts w:cstheme="minorHAnsi"/>
                <w:sz w:val="18"/>
                <w:szCs w:val="18"/>
                <w:lang w:val="sr-Latn-ME" w:eastAsia="sr-Latn-ME"/>
              </w:rPr>
              <w:t>EORRS</w:t>
            </w:r>
          </w:p>
        </w:tc>
        <w:tc>
          <w:tcPr>
            <w:tcW w:w="4002" w:type="dxa"/>
            <w:shd w:val="clear" w:color="auto" w:fill="auto"/>
            <w:vAlign w:val="center"/>
          </w:tcPr>
          <w:p w14:paraId="67931005" w14:textId="77777777" w:rsidR="0063519F" w:rsidRPr="0048184E" w:rsidRDefault="00886119" w:rsidP="0063519F">
            <w:pPr>
              <w:spacing w:after="0" w:line="240" w:lineRule="auto"/>
              <w:rPr>
                <w:rFonts w:cstheme="minorHAnsi"/>
                <w:sz w:val="18"/>
                <w:szCs w:val="18"/>
                <w:lang w:val="sr-Latn-ME" w:eastAsia="sr-Latn-ME"/>
              </w:rPr>
            </w:pPr>
            <w:r>
              <w:rPr>
                <w:rFonts w:cstheme="minorHAnsi"/>
                <w:sz w:val="18"/>
                <w:szCs w:val="18"/>
                <w:lang w:val="sr-Latn-ME" w:eastAsia="sr-Latn-ME"/>
              </w:rPr>
              <w:t xml:space="preserve">Ministarstvo </w:t>
            </w:r>
            <w:r w:rsidR="0063519F" w:rsidRPr="0048184E">
              <w:rPr>
                <w:rFonts w:cstheme="minorHAnsi"/>
                <w:sz w:val="18"/>
                <w:szCs w:val="18"/>
                <w:lang w:val="sr-Latn-ME" w:eastAsia="sr-Latn-ME"/>
              </w:rPr>
              <w:t>ekologije, održivog razvoja i razvoja Sjevera</w:t>
            </w:r>
          </w:p>
        </w:tc>
      </w:tr>
      <w:tr w:rsidR="0063519F" w:rsidRPr="0048184E" w14:paraId="3AF961D0" w14:textId="77777777" w:rsidTr="00924113">
        <w:trPr>
          <w:trHeight w:val="20"/>
        </w:trPr>
        <w:tc>
          <w:tcPr>
            <w:tcW w:w="986" w:type="dxa"/>
            <w:shd w:val="clear" w:color="auto" w:fill="auto"/>
            <w:noWrap/>
            <w:vAlign w:val="center"/>
          </w:tcPr>
          <w:p w14:paraId="4C869C00"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MT</w:t>
            </w:r>
          </w:p>
        </w:tc>
        <w:tc>
          <w:tcPr>
            <w:tcW w:w="3421" w:type="dxa"/>
            <w:shd w:val="clear" w:color="auto" w:fill="auto"/>
            <w:vAlign w:val="center"/>
          </w:tcPr>
          <w:p w14:paraId="631B8636"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Ministry of Tourism</w:t>
            </w:r>
          </w:p>
        </w:tc>
        <w:tc>
          <w:tcPr>
            <w:tcW w:w="995" w:type="dxa"/>
            <w:shd w:val="clear" w:color="auto" w:fill="auto"/>
            <w:vAlign w:val="center"/>
          </w:tcPr>
          <w:p w14:paraId="31F8BA22" w14:textId="77777777" w:rsidR="0063519F" w:rsidRPr="0048184E" w:rsidRDefault="0063519F"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MT</w:t>
            </w:r>
          </w:p>
        </w:tc>
        <w:tc>
          <w:tcPr>
            <w:tcW w:w="4002" w:type="dxa"/>
            <w:shd w:val="clear" w:color="auto" w:fill="auto"/>
            <w:vAlign w:val="center"/>
          </w:tcPr>
          <w:p w14:paraId="2E096F23"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Ministarstvo turizma</w:t>
            </w:r>
          </w:p>
        </w:tc>
      </w:tr>
      <w:tr w:rsidR="0063519F" w:rsidRPr="0048184E" w14:paraId="05D6D5B5" w14:textId="77777777" w:rsidTr="00924113">
        <w:trPr>
          <w:trHeight w:val="20"/>
        </w:trPr>
        <w:tc>
          <w:tcPr>
            <w:tcW w:w="986" w:type="dxa"/>
            <w:shd w:val="clear" w:color="auto" w:fill="auto"/>
            <w:noWrap/>
            <w:vAlign w:val="center"/>
          </w:tcPr>
          <w:p w14:paraId="0C2A491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MED</w:t>
            </w:r>
          </w:p>
        </w:tc>
        <w:tc>
          <w:tcPr>
            <w:tcW w:w="3421" w:type="dxa"/>
            <w:shd w:val="clear" w:color="auto" w:fill="auto"/>
            <w:vAlign w:val="center"/>
          </w:tcPr>
          <w:p w14:paraId="4D420F9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Economic Development</w:t>
            </w:r>
          </w:p>
        </w:tc>
        <w:tc>
          <w:tcPr>
            <w:tcW w:w="995" w:type="dxa"/>
            <w:shd w:val="clear" w:color="auto" w:fill="auto"/>
            <w:vAlign w:val="center"/>
          </w:tcPr>
          <w:p w14:paraId="7A5C8B0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MER</w:t>
            </w:r>
          </w:p>
        </w:tc>
        <w:tc>
          <w:tcPr>
            <w:tcW w:w="4002" w:type="dxa"/>
            <w:shd w:val="clear" w:color="auto" w:fill="auto"/>
            <w:vAlign w:val="center"/>
          </w:tcPr>
          <w:p w14:paraId="4B4DE1A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ekonomskog razvoja</w:t>
            </w:r>
          </w:p>
        </w:tc>
      </w:tr>
      <w:tr w:rsidR="0063519F" w:rsidRPr="002A2822" w14:paraId="0CB101EE" w14:textId="77777777" w:rsidTr="00924113">
        <w:trPr>
          <w:trHeight w:val="20"/>
        </w:trPr>
        <w:tc>
          <w:tcPr>
            <w:tcW w:w="986" w:type="dxa"/>
            <w:shd w:val="clear" w:color="auto" w:fill="auto"/>
            <w:noWrap/>
            <w:vAlign w:val="center"/>
          </w:tcPr>
          <w:p w14:paraId="1DD134E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MESI</w:t>
            </w:r>
          </w:p>
        </w:tc>
        <w:tc>
          <w:tcPr>
            <w:tcW w:w="3421" w:type="dxa"/>
            <w:shd w:val="clear" w:color="auto" w:fill="auto"/>
            <w:vAlign w:val="center"/>
          </w:tcPr>
          <w:p w14:paraId="7DE76BF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Education, Science and Innovations</w:t>
            </w:r>
          </w:p>
        </w:tc>
        <w:tc>
          <w:tcPr>
            <w:tcW w:w="995" w:type="dxa"/>
            <w:shd w:val="clear" w:color="auto" w:fill="auto"/>
            <w:vAlign w:val="center"/>
          </w:tcPr>
          <w:p w14:paraId="3224D737"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MPNI</w:t>
            </w:r>
          </w:p>
        </w:tc>
        <w:tc>
          <w:tcPr>
            <w:tcW w:w="4002" w:type="dxa"/>
            <w:shd w:val="clear" w:color="auto" w:fill="auto"/>
            <w:vAlign w:val="center"/>
          </w:tcPr>
          <w:p w14:paraId="4A612AB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prosvjete, nauke i inovacija</w:t>
            </w:r>
          </w:p>
        </w:tc>
      </w:tr>
      <w:tr w:rsidR="00D25A55" w:rsidRPr="0048184E" w14:paraId="3AF48E13" w14:textId="77777777" w:rsidTr="00924113">
        <w:trPr>
          <w:trHeight w:val="20"/>
        </w:trPr>
        <w:tc>
          <w:tcPr>
            <w:tcW w:w="986" w:type="dxa"/>
            <w:shd w:val="clear" w:color="auto" w:fill="auto"/>
            <w:noWrap/>
            <w:vAlign w:val="center"/>
          </w:tcPr>
          <w:p w14:paraId="7DA3D190" w14:textId="77777777" w:rsidR="00D25A55" w:rsidRPr="0048184E" w:rsidRDefault="00D25A55" w:rsidP="0063519F">
            <w:pPr>
              <w:spacing w:after="0" w:line="240" w:lineRule="auto"/>
              <w:rPr>
                <w:rFonts w:cstheme="minorHAnsi"/>
                <w:sz w:val="18"/>
                <w:szCs w:val="18"/>
                <w:lang w:val="sr-Latn-ME" w:eastAsia="sr-Latn-ME"/>
              </w:rPr>
            </w:pPr>
            <w:r>
              <w:rPr>
                <w:rFonts w:cstheme="minorHAnsi"/>
                <w:sz w:val="18"/>
                <w:szCs w:val="18"/>
                <w:lang w:val="sr-Latn-ME" w:eastAsia="sr-Latn-ME"/>
              </w:rPr>
              <w:t>MT</w:t>
            </w:r>
          </w:p>
        </w:tc>
        <w:tc>
          <w:tcPr>
            <w:tcW w:w="3421" w:type="dxa"/>
            <w:shd w:val="clear" w:color="auto" w:fill="auto"/>
            <w:vAlign w:val="center"/>
          </w:tcPr>
          <w:p w14:paraId="10AB73CE" w14:textId="77777777" w:rsidR="00D25A55" w:rsidRPr="0048184E" w:rsidRDefault="00D25A55" w:rsidP="0063519F">
            <w:pPr>
              <w:spacing w:after="0" w:line="240" w:lineRule="auto"/>
              <w:rPr>
                <w:rFonts w:cstheme="minorHAnsi"/>
                <w:sz w:val="18"/>
                <w:szCs w:val="18"/>
                <w:lang w:val="sr-Latn-ME" w:eastAsia="sr-Latn-ME"/>
              </w:rPr>
            </w:pPr>
            <w:r>
              <w:rPr>
                <w:rFonts w:cstheme="minorHAnsi"/>
                <w:sz w:val="18"/>
                <w:szCs w:val="18"/>
                <w:lang w:val="sr-Latn-ME" w:eastAsia="sr-Latn-ME"/>
              </w:rPr>
              <w:t>Ministry of Transport</w:t>
            </w:r>
          </w:p>
        </w:tc>
        <w:tc>
          <w:tcPr>
            <w:tcW w:w="995" w:type="dxa"/>
            <w:shd w:val="clear" w:color="auto" w:fill="auto"/>
            <w:vAlign w:val="center"/>
          </w:tcPr>
          <w:p w14:paraId="1C866E4B" w14:textId="77777777" w:rsidR="00D25A55" w:rsidRPr="0048184E" w:rsidRDefault="00D25A55"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MS</w:t>
            </w:r>
          </w:p>
        </w:tc>
        <w:tc>
          <w:tcPr>
            <w:tcW w:w="4002" w:type="dxa"/>
            <w:shd w:val="clear" w:color="auto" w:fill="auto"/>
            <w:vAlign w:val="center"/>
          </w:tcPr>
          <w:p w14:paraId="6C41FF85" w14:textId="77777777" w:rsidR="00D25A55" w:rsidRPr="0048184E" w:rsidRDefault="00D25A55" w:rsidP="0063519F">
            <w:pPr>
              <w:spacing w:after="0" w:line="240" w:lineRule="auto"/>
              <w:rPr>
                <w:rFonts w:cstheme="minorHAnsi"/>
                <w:sz w:val="18"/>
                <w:szCs w:val="18"/>
                <w:lang w:val="sr-Latn-ME" w:eastAsia="sr-Latn-ME"/>
              </w:rPr>
            </w:pPr>
            <w:r>
              <w:rPr>
                <w:rFonts w:cstheme="minorHAnsi"/>
                <w:sz w:val="18"/>
                <w:szCs w:val="18"/>
                <w:lang w:val="sr-Latn-ME" w:eastAsia="sr-Latn-ME"/>
              </w:rPr>
              <w:t>Ministarstvo saobraćaja</w:t>
            </w:r>
          </w:p>
        </w:tc>
      </w:tr>
      <w:tr w:rsidR="0063519F" w:rsidRPr="0048184E" w14:paraId="3E4B2ACF" w14:textId="77777777" w:rsidTr="00924113">
        <w:trPr>
          <w:trHeight w:val="20"/>
        </w:trPr>
        <w:tc>
          <w:tcPr>
            <w:tcW w:w="986" w:type="dxa"/>
            <w:shd w:val="clear" w:color="auto" w:fill="auto"/>
            <w:noWrap/>
            <w:vAlign w:val="center"/>
          </w:tcPr>
          <w:p w14:paraId="52FB330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MF</w:t>
            </w:r>
          </w:p>
        </w:tc>
        <w:tc>
          <w:tcPr>
            <w:tcW w:w="3421" w:type="dxa"/>
            <w:shd w:val="clear" w:color="auto" w:fill="auto"/>
            <w:vAlign w:val="center"/>
          </w:tcPr>
          <w:p w14:paraId="09E0D83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Finance</w:t>
            </w:r>
          </w:p>
        </w:tc>
        <w:tc>
          <w:tcPr>
            <w:tcW w:w="995" w:type="dxa"/>
            <w:shd w:val="clear" w:color="auto" w:fill="auto"/>
            <w:vAlign w:val="center"/>
          </w:tcPr>
          <w:p w14:paraId="11D2FBC4"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MF</w:t>
            </w:r>
          </w:p>
        </w:tc>
        <w:tc>
          <w:tcPr>
            <w:tcW w:w="4002" w:type="dxa"/>
            <w:shd w:val="clear" w:color="auto" w:fill="auto"/>
            <w:vAlign w:val="center"/>
          </w:tcPr>
          <w:p w14:paraId="66113C8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finansija</w:t>
            </w:r>
          </w:p>
        </w:tc>
      </w:tr>
      <w:tr w:rsidR="0063519F" w:rsidRPr="0048184E" w14:paraId="43AE07A8" w14:textId="77777777" w:rsidTr="00924113">
        <w:trPr>
          <w:trHeight w:val="20"/>
        </w:trPr>
        <w:tc>
          <w:tcPr>
            <w:tcW w:w="986" w:type="dxa"/>
            <w:shd w:val="clear" w:color="auto" w:fill="auto"/>
            <w:noWrap/>
            <w:vAlign w:val="center"/>
          </w:tcPr>
          <w:p w14:paraId="64B60A0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MFA</w:t>
            </w:r>
          </w:p>
        </w:tc>
        <w:tc>
          <w:tcPr>
            <w:tcW w:w="3421" w:type="dxa"/>
            <w:shd w:val="clear" w:color="auto" w:fill="auto"/>
            <w:vAlign w:val="center"/>
          </w:tcPr>
          <w:p w14:paraId="36ABD60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Foreign Affairs</w:t>
            </w:r>
          </w:p>
        </w:tc>
        <w:tc>
          <w:tcPr>
            <w:tcW w:w="995" w:type="dxa"/>
            <w:shd w:val="clear" w:color="auto" w:fill="auto"/>
            <w:vAlign w:val="center"/>
          </w:tcPr>
          <w:p w14:paraId="793DE34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MVP</w:t>
            </w:r>
          </w:p>
        </w:tc>
        <w:tc>
          <w:tcPr>
            <w:tcW w:w="4002" w:type="dxa"/>
            <w:shd w:val="clear" w:color="auto" w:fill="auto"/>
            <w:vAlign w:val="center"/>
          </w:tcPr>
          <w:p w14:paraId="5645828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vanjskih poslova</w:t>
            </w:r>
          </w:p>
        </w:tc>
      </w:tr>
      <w:tr w:rsidR="0063519F" w:rsidRPr="0048184E" w14:paraId="336E3355" w14:textId="77777777" w:rsidTr="00924113">
        <w:trPr>
          <w:trHeight w:val="20"/>
        </w:trPr>
        <w:tc>
          <w:tcPr>
            <w:tcW w:w="986" w:type="dxa"/>
            <w:shd w:val="clear" w:color="auto" w:fill="auto"/>
            <w:noWrap/>
            <w:vAlign w:val="center"/>
          </w:tcPr>
          <w:p w14:paraId="066886D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MEA</w:t>
            </w:r>
          </w:p>
        </w:tc>
        <w:tc>
          <w:tcPr>
            <w:tcW w:w="3421" w:type="dxa"/>
            <w:shd w:val="clear" w:color="auto" w:fill="auto"/>
            <w:vAlign w:val="center"/>
          </w:tcPr>
          <w:p w14:paraId="730A5CB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European Affairs</w:t>
            </w:r>
          </w:p>
        </w:tc>
        <w:tc>
          <w:tcPr>
            <w:tcW w:w="995" w:type="dxa"/>
            <w:shd w:val="clear" w:color="auto" w:fill="auto"/>
            <w:vAlign w:val="center"/>
          </w:tcPr>
          <w:p w14:paraId="6F92EA09"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MEP</w:t>
            </w:r>
          </w:p>
        </w:tc>
        <w:tc>
          <w:tcPr>
            <w:tcW w:w="4002" w:type="dxa"/>
            <w:shd w:val="clear" w:color="auto" w:fill="auto"/>
            <w:vAlign w:val="center"/>
          </w:tcPr>
          <w:p w14:paraId="72293F4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evropskih poslova</w:t>
            </w:r>
          </w:p>
        </w:tc>
      </w:tr>
      <w:tr w:rsidR="0063519F" w:rsidRPr="0048184E" w14:paraId="66992742" w14:textId="77777777" w:rsidTr="00924113">
        <w:trPr>
          <w:trHeight w:val="20"/>
        </w:trPr>
        <w:tc>
          <w:tcPr>
            <w:tcW w:w="986" w:type="dxa"/>
            <w:shd w:val="clear" w:color="auto" w:fill="auto"/>
            <w:noWrap/>
            <w:vAlign w:val="center"/>
          </w:tcPr>
          <w:p w14:paraId="25B40CF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MFF</w:t>
            </w:r>
          </w:p>
        </w:tc>
        <w:tc>
          <w:tcPr>
            <w:tcW w:w="3421" w:type="dxa"/>
            <w:shd w:val="clear" w:color="auto" w:fill="auto"/>
            <w:vAlign w:val="center"/>
          </w:tcPr>
          <w:p w14:paraId="07610A7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The Multianual Financial Framework </w:t>
            </w:r>
          </w:p>
        </w:tc>
        <w:tc>
          <w:tcPr>
            <w:tcW w:w="995" w:type="dxa"/>
            <w:shd w:val="clear" w:color="auto" w:fill="auto"/>
            <w:vAlign w:val="center"/>
          </w:tcPr>
          <w:p w14:paraId="30DC12D6"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MFF</w:t>
            </w:r>
          </w:p>
        </w:tc>
        <w:tc>
          <w:tcPr>
            <w:tcW w:w="4002" w:type="dxa"/>
            <w:shd w:val="clear" w:color="auto" w:fill="auto"/>
            <w:vAlign w:val="center"/>
          </w:tcPr>
          <w:p w14:paraId="05CB62C7" w14:textId="77777777" w:rsidR="0063519F" w:rsidRPr="0048184E" w:rsidRDefault="005C60FA" w:rsidP="0063519F">
            <w:pPr>
              <w:spacing w:after="0" w:line="240" w:lineRule="auto"/>
              <w:rPr>
                <w:rFonts w:cstheme="minorHAnsi"/>
                <w:sz w:val="18"/>
                <w:szCs w:val="18"/>
                <w:lang w:val="sr-Latn-ME" w:eastAsia="sr-Latn-ME"/>
              </w:rPr>
            </w:pPr>
            <w:r>
              <w:rPr>
                <w:rFonts w:cstheme="minorHAnsi"/>
                <w:sz w:val="18"/>
                <w:szCs w:val="18"/>
                <w:lang w:val="sr-Latn-ME" w:eastAsia="sr-Latn-ME"/>
              </w:rPr>
              <w:t>Višegodišnji finansijski o</w:t>
            </w:r>
            <w:r w:rsidR="0063519F" w:rsidRPr="0048184E">
              <w:rPr>
                <w:rFonts w:cstheme="minorHAnsi"/>
                <w:sz w:val="18"/>
                <w:szCs w:val="18"/>
                <w:lang w:val="sr-Latn-ME" w:eastAsia="sr-Latn-ME"/>
              </w:rPr>
              <w:t>kvir</w:t>
            </w:r>
          </w:p>
        </w:tc>
      </w:tr>
      <w:tr w:rsidR="0063519F" w:rsidRPr="0048184E" w14:paraId="314B2D07" w14:textId="77777777" w:rsidTr="00924113">
        <w:trPr>
          <w:trHeight w:val="20"/>
        </w:trPr>
        <w:tc>
          <w:tcPr>
            <w:tcW w:w="986" w:type="dxa"/>
            <w:shd w:val="clear" w:color="auto" w:fill="auto"/>
            <w:noWrap/>
            <w:vAlign w:val="center"/>
          </w:tcPr>
          <w:p w14:paraId="1C840D4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MH</w:t>
            </w:r>
          </w:p>
        </w:tc>
        <w:tc>
          <w:tcPr>
            <w:tcW w:w="3421" w:type="dxa"/>
            <w:shd w:val="clear" w:color="auto" w:fill="auto"/>
            <w:vAlign w:val="center"/>
          </w:tcPr>
          <w:p w14:paraId="10FF4C9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Health</w:t>
            </w:r>
          </w:p>
        </w:tc>
        <w:tc>
          <w:tcPr>
            <w:tcW w:w="995" w:type="dxa"/>
            <w:shd w:val="clear" w:color="auto" w:fill="auto"/>
            <w:vAlign w:val="center"/>
          </w:tcPr>
          <w:p w14:paraId="2D2B16B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MZ</w:t>
            </w:r>
          </w:p>
        </w:tc>
        <w:tc>
          <w:tcPr>
            <w:tcW w:w="4002" w:type="dxa"/>
            <w:shd w:val="clear" w:color="auto" w:fill="auto"/>
            <w:vAlign w:val="center"/>
          </w:tcPr>
          <w:p w14:paraId="6913A26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zdravlja</w:t>
            </w:r>
          </w:p>
        </w:tc>
      </w:tr>
      <w:tr w:rsidR="0063519F" w:rsidRPr="002A2822" w14:paraId="4AA01640" w14:textId="77777777" w:rsidTr="00924113">
        <w:trPr>
          <w:trHeight w:val="20"/>
        </w:trPr>
        <w:tc>
          <w:tcPr>
            <w:tcW w:w="986" w:type="dxa"/>
            <w:shd w:val="clear" w:color="auto" w:fill="auto"/>
            <w:noWrap/>
            <w:vAlign w:val="center"/>
          </w:tcPr>
          <w:p w14:paraId="2C0B41E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MIPA</w:t>
            </w:r>
          </w:p>
        </w:tc>
        <w:tc>
          <w:tcPr>
            <w:tcW w:w="3421" w:type="dxa"/>
            <w:shd w:val="clear" w:color="auto" w:fill="auto"/>
            <w:vAlign w:val="center"/>
          </w:tcPr>
          <w:p w14:paraId="46ED1FE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Montenegrin investment promotion agency</w:t>
            </w:r>
          </w:p>
        </w:tc>
        <w:tc>
          <w:tcPr>
            <w:tcW w:w="995" w:type="dxa"/>
            <w:shd w:val="clear" w:color="auto" w:fill="auto"/>
            <w:vAlign w:val="center"/>
          </w:tcPr>
          <w:p w14:paraId="11ECBB1B"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MIPA</w:t>
            </w:r>
          </w:p>
        </w:tc>
        <w:tc>
          <w:tcPr>
            <w:tcW w:w="4002" w:type="dxa"/>
            <w:shd w:val="clear" w:color="auto" w:fill="auto"/>
            <w:vAlign w:val="center"/>
          </w:tcPr>
          <w:p w14:paraId="41D2AF6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Agenciju za promociju investicija Crne Gore</w:t>
            </w:r>
          </w:p>
        </w:tc>
      </w:tr>
      <w:tr w:rsidR="0063519F" w:rsidRPr="002A2822" w14:paraId="236EE974" w14:textId="77777777" w:rsidTr="00924113">
        <w:trPr>
          <w:trHeight w:val="20"/>
        </w:trPr>
        <w:tc>
          <w:tcPr>
            <w:tcW w:w="986" w:type="dxa"/>
            <w:shd w:val="clear" w:color="auto" w:fill="auto"/>
            <w:noWrap/>
            <w:vAlign w:val="center"/>
          </w:tcPr>
          <w:p w14:paraId="7A827D8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MMSP</w:t>
            </w:r>
          </w:p>
        </w:tc>
        <w:tc>
          <w:tcPr>
            <w:tcW w:w="3421" w:type="dxa"/>
            <w:shd w:val="clear" w:color="auto" w:fill="auto"/>
            <w:vAlign w:val="center"/>
          </w:tcPr>
          <w:p w14:paraId="7B175E1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Micro, small and medium enterprises</w:t>
            </w:r>
          </w:p>
        </w:tc>
        <w:tc>
          <w:tcPr>
            <w:tcW w:w="995" w:type="dxa"/>
            <w:shd w:val="clear" w:color="auto" w:fill="auto"/>
            <w:vAlign w:val="center"/>
          </w:tcPr>
          <w:p w14:paraId="4A8095E8"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MMSP</w:t>
            </w:r>
          </w:p>
        </w:tc>
        <w:tc>
          <w:tcPr>
            <w:tcW w:w="4002" w:type="dxa"/>
            <w:shd w:val="clear" w:color="auto" w:fill="auto"/>
            <w:vAlign w:val="center"/>
          </w:tcPr>
          <w:p w14:paraId="4203B62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Mikro, mala i srednja preduzeća</w:t>
            </w:r>
          </w:p>
        </w:tc>
      </w:tr>
      <w:tr w:rsidR="0063519F" w:rsidRPr="0048184E" w14:paraId="76DDAF9B" w14:textId="77777777" w:rsidTr="00924113">
        <w:trPr>
          <w:trHeight w:val="20"/>
        </w:trPr>
        <w:tc>
          <w:tcPr>
            <w:tcW w:w="986" w:type="dxa"/>
            <w:shd w:val="clear" w:color="auto" w:fill="auto"/>
            <w:noWrap/>
            <w:vAlign w:val="center"/>
          </w:tcPr>
          <w:p w14:paraId="70FEDC55"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MNGOV</w:t>
            </w:r>
          </w:p>
        </w:tc>
        <w:tc>
          <w:tcPr>
            <w:tcW w:w="3421" w:type="dxa"/>
            <w:shd w:val="clear" w:color="auto" w:fill="auto"/>
            <w:vAlign w:val="center"/>
          </w:tcPr>
          <w:p w14:paraId="7C5796D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Government of Montenegro</w:t>
            </w:r>
          </w:p>
        </w:tc>
        <w:tc>
          <w:tcPr>
            <w:tcW w:w="995" w:type="dxa"/>
            <w:shd w:val="clear" w:color="auto" w:fill="auto"/>
            <w:vAlign w:val="center"/>
          </w:tcPr>
          <w:p w14:paraId="4743DBB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VCG</w:t>
            </w:r>
          </w:p>
        </w:tc>
        <w:tc>
          <w:tcPr>
            <w:tcW w:w="4002" w:type="dxa"/>
            <w:shd w:val="clear" w:color="auto" w:fill="auto"/>
            <w:vAlign w:val="center"/>
          </w:tcPr>
          <w:p w14:paraId="11514C0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Vlada Crne Gore</w:t>
            </w:r>
          </w:p>
        </w:tc>
      </w:tr>
      <w:tr w:rsidR="0063519F" w:rsidRPr="002A2822" w14:paraId="4955C21E" w14:textId="77777777" w:rsidTr="00924113">
        <w:trPr>
          <w:trHeight w:val="20"/>
        </w:trPr>
        <w:tc>
          <w:tcPr>
            <w:tcW w:w="986" w:type="dxa"/>
            <w:shd w:val="clear" w:color="auto" w:fill="auto"/>
            <w:noWrap/>
            <w:vAlign w:val="center"/>
          </w:tcPr>
          <w:p w14:paraId="31A6C71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MONSTAT</w:t>
            </w:r>
          </w:p>
        </w:tc>
        <w:tc>
          <w:tcPr>
            <w:tcW w:w="3421" w:type="dxa"/>
            <w:shd w:val="clear" w:color="auto" w:fill="auto"/>
            <w:vAlign w:val="center"/>
          </w:tcPr>
          <w:p w14:paraId="662FB775"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Montenegrin statistical office</w:t>
            </w:r>
          </w:p>
        </w:tc>
        <w:tc>
          <w:tcPr>
            <w:tcW w:w="995" w:type="dxa"/>
            <w:shd w:val="clear" w:color="auto" w:fill="auto"/>
            <w:vAlign w:val="center"/>
          </w:tcPr>
          <w:p w14:paraId="4F9DED01"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MONSTAT</w:t>
            </w:r>
          </w:p>
        </w:tc>
        <w:tc>
          <w:tcPr>
            <w:tcW w:w="4002" w:type="dxa"/>
            <w:shd w:val="clear" w:color="auto" w:fill="auto"/>
            <w:vAlign w:val="center"/>
          </w:tcPr>
          <w:p w14:paraId="789A0F9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Uprava za statistiku Crne Gore</w:t>
            </w:r>
          </w:p>
        </w:tc>
      </w:tr>
      <w:tr w:rsidR="0063519F" w:rsidRPr="0048184E" w14:paraId="0ECC2D13" w14:textId="77777777" w:rsidTr="00924113">
        <w:trPr>
          <w:trHeight w:val="20"/>
        </w:trPr>
        <w:tc>
          <w:tcPr>
            <w:tcW w:w="986" w:type="dxa"/>
            <w:shd w:val="clear" w:color="auto" w:fill="auto"/>
            <w:noWrap/>
            <w:vAlign w:val="center"/>
          </w:tcPr>
          <w:p w14:paraId="7A04C8D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MPA</w:t>
            </w:r>
          </w:p>
        </w:tc>
        <w:tc>
          <w:tcPr>
            <w:tcW w:w="3421" w:type="dxa"/>
            <w:shd w:val="clear" w:color="auto" w:fill="auto"/>
            <w:vAlign w:val="center"/>
          </w:tcPr>
          <w:p w14:paraId="2499FF6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Public Administration</w:t>
            </w:r>
          </w:p>
        </w:tc>
        <w:tc>
          <w:tcPr>
            <w:tcW w:w="995" w:type="dxa"/>
            <w:shd w:val="clear" w:color="auto" w:fill="auto"/>
            <w:vAlign w:val="center"/>
          </w:tcPr>
          <w:p w14:paraId="42E7F2D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MJU</w:t>
            </w:r>
          </w:p>
        </w:tc>
        <w:tc>
          <w:tcPr>
            <w:tcW w:w="4002" w:type="dxa"/>
            <w:shd w:val="clear" w:color="auto" w:fill="auto"/>
            <w:vAlign w:val="center"/>
          </w:tcPr>
          <w:p w14:paraId="575C664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javne uprave</w:t>
            </w:r>
          </w:p>
        </w:tc>
      </w:tr>
      <w:tr w:rsidR="0063519F" w:rsidRPr="0048184E" w14:paraId="69425E0D" w14:textId="77777777" w:rsidTr="00924113">
        <w:trPr>
          <w:trHeight w:val="20"/>
        </w:trPr>
        <w:tc>
          <w:tcPr>
            <w:tcW w:w="986" w:type="dxa"/>
            <w:shd w:val="clear" w:color="auto" w:fill="auto"/>
            <w:noWrap/>
            <w:vAlign w:val="center"/>
          </w:tcPr>
          <w:p w14:paraId="49E9FAB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MMSP</w:t>
            </w:r>
          </w:p>
        </w:tc>
        <w:tc>
          <w:tcPr>
            <w:tcW w:w="3421" w:type="dxa"/>
            <w:shd w:val="clear" w:color="auto" w:fill="auto"/>
            <w:vAlign w:val="center"/>
          </w:tcPr>
          <w:p w14:paraId="3044C70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Micro, small and medium sized enterprises</w:t>
            </w:r>
          </w:p>
        </w:tc>
        <w:tc>
          <w:tcPr>
            <w:tcW w:w="995" w:type="dxa"/>
            <w:shd w:val="clear" w:color="auto" w:fill="auto"/>
            <w:vAlign w:val="center"/>
          </w:tcPr>
          <w:p w14:paraId="599525DF"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MMSP</w:t>
            </w:r>
          </w:p>
        </w:tc>
        <w:tc>
          <w:tcPr>
            <w:tcW w:w="4002" w:type="dxa"/>
            <w:shd w:val="clear" w:color="auto" w:fill="auto"/>
            <w:vAlign w:val="center"/>
          </w:tcPr>
          <w:p w14:paraId="49DAC84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Mala i srednja preduzeća</w:t>
            </w:r>
          </w:p>
        </w:tc>
      </w:tr>
      <w:tr w:rsidR="0063519F" w:rsidRPr="0048184E" w14:paraId="0E257068" w14:textId="77777777" w:rsidTr="00924113">
        <w:trPr>
          <w:trHeight w:val="20"/>
        </w:trPr>
        <w:tc>
          <w:tcPr>
            <w:tcW w:w="986" w:type="dxa"/>
            <w:shd w:val="clear" w:color="auto" w:fill="auto"/>
            <w:noWrap/>
            <w:vAlign w:val="center"/>
          </w:tcPr>
          <w:p w14:paraId="321F082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NIPAC</w:t>
            </w:r>
          </w:p>
        </w:tc>
        <w:tc>
          <w:tcPr>
            <w:tcW w:w="3421" w:type="dxa"/>
            <w:shd w:val="clear" w:color="auto" w:fill="auto"/>
            <w:vAlign w:val="center"/>
          </w:tcPr>
          <w:p w14:paraId="6B882AB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National IPA Coordinator </w:t>
            </w:r>
          </w:p>
        </w:tc>
        <w:tc>
          <w:tcPr>
            <w:tcW w:w="995" w:type="dxa"/>
            <w:shd w:val="clear" w:color="auto" w:fill="auto"/>
            <w:vAlign w:val="center"/>
          </w:tcPr>
          <w:p w14:paraId="61DC7072"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NIPAC</w:t>
            </w:r>
          </w:p>
        </w:tc>
        <w:tc>
          <w:tcPr>
            <w:tcW w:w="4002" w:type="dxa"/>
            <w:shd w:val="clear" w:color="auto" w:fill="auto"/>
            <w:vAlign w:val="center"/>
          </w:tcPr>
          <w:p w14:paraId="60D2B2E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Nacionalni IPA koordinator </w:t>
            </w:r>
          </w:p>
        </w:tc>
      </w:tr>
      <w:tr w:rsidR="0063519F" w:rsidRPr="002A2822" w14:paraId="41CDEDEF" w14:textId="77777777" w:rsidTr="00924113">
        <w:trPr>
          <w:trHeight w:val="20"/>
        </w:trPr>
        <w:tc>
          <w:tcPr>
            <w:tcW w:w="986" w:type="dxa"/>
            <w:shd w:val="clear" w:color="auto" w:fill="auto"/>
            <w:noWrap/>
            <w:vAlign w:val="center"/>
          </w:tcPr>
          <w:p w14:paraId="4D55F34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NUTS</w:t>
            </w:r>
          </w:p>
        </w:tc>
        <w:tc>
          <w:tcPr>
            <w:tcW w:w="3421" w:type="dxa"/>
            <w:shd w:val="clear" w:color="auto" w:fill="auto"/>
            <w:vAlign w:val="center"/>
          </w:tcPr>
          <w:p w14:paraId="756234F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The Nomenclature of Territorial Units for Statistic</w:t>
            </w:r>
          </w:p>
        </w:tc>
        <w:tc>
          <w:tcPr>
            <w:tcW w:w="995" w:type="dxa"/>
            <w:shd w:val="clear" w:color="auto" w:fill="auto"/>
            <w:vAlign w:val="center"/>
          </w:tcPr>
          <w:p w14:paraId="5397E471"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 xml:space="preserve">NUTS </w:t>
            </w:r>
          </w:p>
        </w:tc>
        <w:tc>
          <w:tcPr>
            <w:tcW w:w="4002" w:type="dxa"/>
            <w:shd w:val="clear" w:color="auto" w:fill="auto"/>
            <w:vAlign w:val="center"/>
          </w:tcPr>
          <w:p w14:paraId="052399B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Klasifikacije teritorijalnih jedinica za statistiku </w:t>
            </w:r>
          </w:p>
        </w:tc>
      </w:tr>
      <w:tr w:rsidR="0063519F" w:rsidRPr="0048184E" w14:paraId="1CD31407" w14:textId="77777777" w:rsidTr="00924113">
        <w:trPr>
          <w:trHeight w:val="20"/>
        </w:trPr>
        <w:tc>
          <w:tcPr>
            <w:tcW w:w="986" w:type="dxa"/>
            <w:shd w:val="clear" w:color="auto" w:fill="auto"/>
            <w:noWrap/>
            <w:vAlign w:val="center"/>
          </w:tcPr>
          <w:p w14:paraId="142DB07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OG</w:t>
            </w:r>
          </w:p>
        </w:tc>
        <w:tc>
          <w:tcPr>
            <w:tcW w:w="3421" w:type="dxa"/>
            <w:shd w:val="clear" w:color="auto" w:fill="auto"/>
            <w:vAlign w:val="center"/>
          </w:tcPr>
          <w:p w14:paraId="37D8438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Operational goal</w:t>
            </w:r>
          </w:p>
        </w:tc>
        <w:tc>
          <w:tcPr>
            <w:tcW w:w="995" w:type="dxa"/>
            <w:shd w:val="clear" w:color="auto" w:fill="auto"/>
            <w:vAlign w:val="center"/>
          </w:tcPr>
          <w:p w14:paraId="7EA3CB56"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OC</w:t>
            </w:r>
          </w:p>
        </w:tc>
        <w:tc>
          <w:tcPr>
            <w:tcW w:w="4002" w:type="dxa"/>
            <w:shd w:val="clear" w:color="auto" w:fill="auto"/>
            <w:vAlign w:val="center"/>
          </w:tcPr>
          <w:p w14:paraId="6CBCAA0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Operativni cilj</w:t>
            </w:r>
          </w:p>
        </w:tc>
      </w:tr>
      <w:tr w:rsidR="0063519F" w:rsidRPr="002A2822" w14:paraId="61462C59" w14:textId="77777777" w:rsidTr="00924113">
        <w:trPr>
          <w:trHeight w:val="20"/>
        </w:trPr>
        <w:tc>
          <w:tcPr>
            <w:tcW w:w="986" w:type="dxa"/>
            <w:shd w:val="clear" w:color="auto" w:fill="auto"/>
            <w:noWrap/>
            <w:vAlign w:val="center"/>
          </w:tcPr>
          <w:p w14:paraId="68B4096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OECD</w:t>
            </w:r>
          </w:p>
        </w:tc>
        <w:tc>
          <w:tcPr>
            <w:tcW w:w="3421" w:type="dxa"/>
            <w:shd w:val="clear" w:color="auto" w:fill="auto"/>
            <w:vAlign w:val="center"/>
          </w:tcPr>
          <w:p w14:paraId="5DD9FC2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Organisation for economic cooperation and development</w:t>
            </w:r>
          </w:p>
        </w:tc>
        <w:tc>
          <w:tcPr>
            <w:tcW w:w="995" w:type="dxa"/>
            <w:shd w:val="clear" w:color="auto" w:fill="auto"/>
            <w:vAlign w:val="center"/>
          </w:tcPr>
          <w:p w14:paraId="0EAC2DEE"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OECD</w:t>
            </w:r>
          </w:p>
        </w:tc>
        <w:tc>
          <w:tcPr>
            <w:tcW w:w="4002" w:type="dxa"/>
            <w:shd w:val="clear" w:color="auto" w:fill="auto"/>
            <w:vAlign w:val="center"/>
          </w:tcPr>
          <w:p w14:paraId="7E6AC64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Organizacija za ekonomsku saradnju i razvoj</w:t>
            </w:r>
          </w:p>
        </w:tc>
      </w:tr>
      <w:tr w:rsidR="0063519F" w:rsidRPr="002A2822" w14:paraId="19D09CB8" w14:textId="77777777" w:rsidTr="00924113">
        <w:trPr>
          <w:trHeight w:val="20"/>
        </w:trPr>
        <w:tc>
          <w:tcPr>
            <w:tcW w:w="986" w:type="dxa"/>
            <w:shd w:val="clear" w:color="auto" w:fill="auto"/>
            <w:noWrap/>
            <w:vAlign w:val="center"/>
          </w:tcPr>
          <w:p w14:paraId="5C202AF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lastRenderedPageBreak/>
              <w:t>PESTLE</w:t>
            </w:r>
          </w:p>
        </w:tc>
        <w:tc>
          <w:tcPr>
            <w:tcW w:w="3421" w:type="dxa"/>
            <w:shd w:val="clear" w:color="auto" w:fill="auto"/>
            <w:vAlign w:val="center"/>
          </w:tcPr>
          <w:p w14:paraId="591D67B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Political, economic, sociological, technological, Legal and Environmentall  Analysis</w:t>
            </w:r>
          </w:p>
        </w:tc>
        <w:tc>
          <w:tcPr>
            <w:tcW w:w="995" w:type="dxa"/>
            <w:shd w:val="clear" w:color="auto" w:fill="auto"/>
            <w:vAlign w:val="center"/>
          </w:tcPr>
          <w:p w14:paraId="5821192B"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PESTPŽS</w:t>
            </w:r>
          </w:p>
        </w:tc>
        <w:tc>
          <w:tcPr>
            <w:tcW w:w="4002" w:type="dxa"/>
            <w:shd w:val="clear" w:color="auto" w:fill="auto"/>
            <w:vAlign w:val="center"/>
          </w:tcPr>
          <w:p w14:paraId="08CF753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Politička, ekonomska, sociološka, tehnološka, pravna i analiza zaštite životne sredine</w:t>
            </w:r>
          </w:p>
        </w:tc>
      </w:tr>
      <w:tr w:rsidR="0063519F" w:rsidRPr="0048184E" w14:paraId="477BA872" w14:textId="77777777" w:rsidTr="00924113">
        <w:trPr>
          <w:trHeight w:val="20"/>
        </w:trPr>
        <w:tc>
          <w:tcPr>
            <w:tcW w:w="986" w:type="dxa"/>
            <w:shd w:val="clear" w:color="auto" w:fill="auto"/>
            <w:noWrap/>
            <w:vAlign w:val="center"/>
          </w:tcPr>
          <w:p w14:paraId="7318FB3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SG</w:t>
            </w:r>
          </w:p>
        </w:tc>
        <w:tc>
          <w:tcPr>
            <w:tcW w:w="3421" w:type="dxa"/>
            <w:shd w:val="clear" w:color="auto" w:fill="auto"/>
            <w:vAlign w:val="center"/>
          </w:tcPr>
          <w:p w14:paraId="206B161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Strategic Goal</w:t>
            </w:r>
          </w:p>
        </w:tc>
        <w:tc>
          <w:tcPr>
            <w:tcW w:w="995" w:type="dxa"/>
            <w:shd w:val="clear" w:color="auto" w:fill="auto"/>
            <w:vAlign w:val="center"/>
          </w:tcPr>
          <w:p w14:paraId="473A9252"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SC</w:t>
            </w:r>
          </w:p>
        </w:tc>
        <w:tc>
          <w:tcPr>
            <w:tcW w:w="4002" w:type="dxa"/>
            <w:shd w:val="clear" w:color="auto" w:fill="auto"/>
            <w:vAlign w:val="center"/>
          </w:tcPr>
          <w:p w14:paraId="2D0C2F3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Strateški cilj</w:t>
            </w:r>
          </w:p>
        </w:tc>
      </w:tr>
      <w:tr w:rsidR="0063519F" w:rsidRPr="0048184E" w14:paraId="7EB57A19" w14:textId="77777777" w:rsidTr="00924113">
        <w:trPr>
          <w:trHeight w:val="20"/>
        </w:trPr>
        <w:tc>
          <w:tcPr>
            <w:tcW w:w="986" w:type="dxa"/>
            <w:shd w:val="clear" w:color="auto" w:fill="auto"/>
            <w:noWrap/>
            <w:vAlign w:val="center"/>
          </w:tcPr>
          <w:p w14:paraId="6DF9ECF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w:t>
            </w:r>
          </w:p>
        </w:tc>
        <w:tc>
          <w:tcPr>
            <w:tcW w:w="3421" w:type="dxa"/>
            <w:shd w:val="clear" w:color="auto" w:fill="auto"/>
            <w:vAlign w:val="center"/>
          </w:tcPr>
          <w:p w14:paraId="28057C0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United Nations</w:t>
            </w:r>
          </w:p>
        </w:tc>
        <w:tc>
          <w:tcPr>
            <w:tcW w:w="995" w:type="dxa"/>
            <w:shd w:val="clear" w:color="auto" w:fill="auto"/>
            <w:vAlign w:val="center"/>
          </w:tcPr>
          <w:p w14:paraId="757300F6"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UN</w:t>
            </w:r>
          </w:p>
        </w:tc>
        <w:tc>
          <w:tcPr>
            <w:tcW w:w="4002" w:type="dxa"/>
            <w:shd w:val="clear" w:color="auto" w:fill="auto"/>
            <w:vAlign w:val="center"/>
          </w:tcPr>
          <w:p w14:paraId="57F8CBF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Ujedinjene Nacije</w:t>
            </w:r>
          </w:p>
        </w:tc>
      </w:tr>
      <w:tr w:rsidR="0063519F" w:rsidRPr="002A2822" w14:paraId="7693475A" w14:textId="77777777" w:rsidTr="00924113">
        <w:trPr>
          <w:trHeight w:val="20"/>
        </w:trPr>
        <w:tc>
          <w:tcPr>
            <w:tcW w:w="986" w:type="dxa"/>
            <w:shd w:val="clear" w:color="auto" w:fill="auto"/>
            <w:noWrap/>
            <w:vAlign w:val="center"/>
          </w:tcPr>
          <w:p w14:paraId="131A1A3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UNDP</w:t>
            </w:r>
          </w:p>
        </w:tc>
        <w:tc>
          <w:tcPr>
            <w:tcW w:w="3421" w:type="dxa"/>
            <w:shd w:val="clear" w:color="auto" w:fill="auto"/>
            <w:vAlign w:val="center"/>
          </w:tcPr>
          <w:p w14:paraId="6B6BFFF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United Nations Development Program</w:t>
            </w:r>
          </w:p>
        </w:tc>
        <w:tc>
          <w:tcPr>
            <w:tcW w:w="995" w:type="dxa"/>
            <w:shd w:val="clear" w:color="auto" w:fill="auto"/>
            <w:vAlign w:val="center"/>
          </w:tcPr>
          <w:p w14:paraId="2946FCEC"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UNDP</w:t>
            </w:r>
          </w:p>
        </w:tc>
        <w:tc>
          <w:tcPr>
            <w:tcW w:w="4002" w:type="dxa"/>
            <w:shd w:val="clear" w:color="auto" w:fill="auto"/>
            <w:vAlign w:val="center"/>
          </w:tcPr>
          <w:p w14:paraId="2361B617"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Program za razvoj Ujedinjenih Nacija</w:t>
            </w:r>
          </w:p>
        </w:tc>
      </w:tr>
      <w:tr w:rsidR="0063519F" w:rsidRPr="0048184E" w14:paraId="475AC600" w14:textId="77777777" w:rsidTr="00924113">
        <w:trPr>
          <w:trHeight w:val="20"/>
        </w:trPr>
        <w:tc>
          <w:tcPr>
            <w:tcW w:w="986" w:type="dxa"/>
            <w:shd w:val="clear" w:color="auto" w:fill="auto"/>
            <w:noWrap/>
            <w:vAlign w:val="center"/>
          </w:tcPr>
          <w:p w14:paraId="0B252DF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PAMN</w:t>
            </w:r>
          </w:p>
        </w:tc>
        <w:tc>
          <w:tcPr>
            <w:tcW w:w="3421" w:type="dxa"/>
            <w:shd w:val="clear" w:color="auto" w:fill="auto"/>
            <w:vAlign w:val="center"/>
          </w:tcPr>
          <w:p w14:paraId="2C61810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Program for Accesion of Montenegro into the EU</w:t>
            </w:r>
          </w:p>
        </w:tc>
        <w:tc>
          <w:tcPr>
            <w:tcW w:w="995" w:type="dxa"/>
            <w:shd w:val="clear" w:color="auto" w:fill="auto"/>
            <w:vAlign w:val="center"/>
          </w:tcPr>
          <w:p w14:paraId="33A09029"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PPCG</w:t>
            </w:r>
          </w:p>
        </w:tc>
        <w:tc>
          <w:tcPr>
            <w:tcW w:w="4002" w:type="dxa"/>
            <w:shd w:val="clear" w:color="auto" w:fill="auto"/>
            <w:vAlign w:val="center"/>
          </w:tcPr>
          <w:p w14:paraId="31C756D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Program pristupanja Crne Gore</w:t>
            </w:r>
          </w:p>
        </w:tc>
      </w:tr>
      <w:tr w:rsidR="00785B32" w:rsidRPr="0048184E" w14:paraId="1E68C570" w14:textId="77777777" w:rsidTr="00924113">
        <w:trPr>
          <w:trHeight w:val="20"/>
        </w:trPr>
        <w:tc>
          <w:tcPr>
            <w:tcW w:w="986" w:type="dxa"/>
            <w:shd w:val="clear" w:color="auto" w:fill="auto"/>
            <w:noWrap/>
            <w:vAlign w:val="center"/>
          </w:tcPr>
          <w:p w14:paraId="006AD6AE" w14:textId="77777777" w:rsidR="00785B32" w:rsidRPr="0048184E" w:rsidRDefault="00785B32" w:rsidP="0063519F">
            <w:pPr>
              <w:spacing w:after="0" w:line="240" w:lineRule="auto"/>
              <w:rPr>
                <w:rFonts w:cstheme="minorHAnsi"/>
                <w:sz w:val="18"/>
                <w:szCs w:val="18"/>
                <w:lang w:val="sr-Latn-ME" w:eastAsia="sr-Latn-ME"/>
              </w:rPr>
            </w:pPr>
            <w:r>
              <w:rPr>
                <w:rFonts w:cstheme="minorHAnsi"/>
                <w:sz w:val="18"/>
                <w:szCs w:val="18"/>
                <w:lang w:val="sr-Latn-ME" w:eastAsia="sr-Latn-ME"/>
              </w:rPr>
              <w:t>RD</w:t>
            </w:r>
          </w:p>
        </w:tc>
        <w:tc>
          <w:tcPr>
            <w:tcW w:w="3421" w:type="dxa"/>
            <w:shd w:val="clear" w:color="auto" w:fill="auto"/>
            <w:vAlign w:val="center"/>
          </w:tcPr>
          <w:p w14:paraId="1DBA7B2C" w14:textId="77777777" w:rsidR="00785B32" w:rsidRPr="0048184E" w:rsidRDefault="00785B32" w:rsidP="0063519F">
            <w:pPr>
              <w:spacing w:after="0" w:line="240" w:lineRule="auto"/>
              <w:rPr>
                <w:rFonts w:cstheme="minorHAnsi"/>
                <w:sz w:val="18"/>
                <w:szCs w:val="18"/>
                <w:lang w:val="sr-Latn-ME" w:eastAsia="sr-Latn-ME"/>
              </w:rPr>
            </w:pPr>
            <w:r>
              <w:rPr>
                <w:rFonts w:cstheme="minorHAnsi"/>
                <w:sz w:val="18"/>
                <w:szCs w:val="18"/>
                <w:lang w:val="sr-Latn-ME" w:eastAsia="sr-Latn-ME"/>
              </w:rPr>
              <w:t>Regional Development</w:t>
            </w:r>
          </w:p>
        </w:tc>
        <w:tc>
          <w:tcPr>
            <w:tcW w:w="995" w:type="dxa"/>
            <w:shd w:val="clear" w:color="auto" w:fill="auto"/>
            <w:vAlign w:val="center"/>
          </w:tcPr>
          <w:p w14:paraId="1614160A" w14:textId="77777777" w:rsidR="00785B32" w:rsidRPr="0048184E" w:rsidRDefault="00785B32"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RR</w:t>
            </w:r>
          </w:p>
        </w:tc>
        <w:tc>
          <w:tcPr>
            <w:tcW w:w="4002" w:type="dxa"/>
            <w:shd w:val="clear" w:color="auto" w:fill="auto"/>
            <w:vAlign w:val="center"/>
          </w:tcPr>
          <w:p w14:paraId="1B9E2E73" w14:textId="77777777" w:rsidR="00785B32" w:rsidRPr="0048184E" w:rsidRDefault="00785B32" w:rsidP="0063519F">
            <w:pPr>
              <w:spacing w:after="0" w:line="240" w:lineRule="auto"/>
              <w:rPr>
                <w:rFonts w:cstheme="minorHAnsi"/>
                <w:sz w:val="18"/>
                <w:szCs w:val="18"/>
                <w:lang w:val="sr-Latn-ME" w:eastAsia="sr-Latn-ME"/>
              </w:rPr>
            </w:pPr>
            <w:r>
              <w:rPr>
                <w:rFonts w:cstheme="minorHAnsi"/>
                <w:sz w:val="18"/>
                <w:szCs w:val="18"/>
                <w:lang w:val="sr-Latn-ME" w:eastAsia="sr-Latn-ME"/>
              </w:rPr>
              <w:t>Regionalni razvoj</w:t>
            </w:r>
          </w:p>
        </w:tc>
      </w:tr>
      <w:tr w:rsidR="0063519F" w:rsidRPr="0048184E" w14:paraId="2857EE89" w14:textId="77777777" w:rsidTr="00924113">
        <w:trPr>
          <w:trHeight w:val="20"/>
        </w:trPr>
        <w:tc>
          <w:tcPr>
            <w:tcW w:w="986" w:type="dxa"/>
            <w:shd w:val="clear" w:color="auto" w:fill="auto"/>
            <w:noWrap/>
            <w:vAlign w:val="center"/>
          </w:tcPr>
          <w:p w14:paraId="346B18B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R&amp;D</w:t>
            </w:r>
          </w:p>
        </w:tc>
        <w:tc>
          <w:tcPr>
            <w:tcW w:w="3421" w:type="dxa"/>
            <w:shd w:val="clear" w:color="auto" w:fill="auto"/>
            <w:vAlign w:val="center"/>
          </w:tcPr>
          <w:p w14:paraId="0BA0F1F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Research and development</w:t>
            </w:r>
          </w:p>
        </w:tc>
        <w:tc>
          <w:tcPr>
            <w:tcW w:w="995" w:type="dxa"/>
            <w:shd w:val="clear" w:color="auto" w:fill="auto"/>
            <w:vAlign w:val="center"/>
          </w:tcPr>
          <w:p w14:paraId="386ECCF5"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R&amp;D</w:t>
            </w:r>
          </w:p>
        </w:tc>
        <w:tc>
          <w:tcPr>
            <w:tcW w:w="4002" w:type="dxa"/>
            <w:shd w:val="clear" w:color="auto" w:fill="auto"/>
            <w:vAlign w:val="center"/>
          </w:tcPr>
          <w:p w14:paraId="0DB9B4C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Istraživanje i razvoj </w:t>
            </w:r>
          </w:p>
        </w:tc>
      </w:tr>
      <w:tr w:rsidR="0063519F" w:rsidRPr="0048184E" w14:paraId="28DCBB17" w14:textId="77777777" w:rsidTr="00924113">
        <w:trPr>
          <w:trHeight w:val="20"/>
        </w:trPr>
        <w:tc>
          <w:tcPr>
            <w:tcW w:w="986" w:type="dxa"/>
            <w:shd w:val="clear" w:color="auto" w:fill="auto"/>
            <w:noWrap/>
            <w:vAlign w:val="center"/>
          </w:tcPr>
          <w:p w14:paraId="5066CDD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SG</w:t>
            </w:r>
          </w:p>
        </w:tc>
        <w:tc>
          <w:tcPr>
            <w:tcW w:w="3421" w:type="dxa"/>
            <w:shd w:val="clear" w:color="auto" w:fill="auto"/>
            <w:vAlign w:val="center"/>
          </w:tcPr>
          <w:p w14:paraId="12F49E2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Strategic goal</w:t>
            </w:r>
          </w:p>
        </w:tc>
        <w:tc>
          <w:tcPr>
            <w:tcW w:w="995" w:type="dxa"/>
            <w:shd w:val="clear" w:color="auto" w:fill="auto"/>
            <w:vAlign w:val="center"/>
          </w:tcPr>
          <w:p w14:paraId="4D643C92"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SC</w:t>
            </w:r>
          </w:p>
        </w:tc>
        <w:tc>
          <w:tcPr>
            <w:tcW w:w="4002" w:type="dxa"/>
            <w:shd w:val="clear" w:color="auto" w:fill="auto"/>
            <w:vAlign w:val="center"/>
          </w:tcPr>
          <w:p w14:paraId="1974974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Strateški ciljevi</w:t>
            </w:r>
          </w:p>
        </w:tc>
      </w:tr>
      <w:tr w:rsidR="0063519F" w:rsidRPr="0048184E" w14:paraId="7F70660A" w14:textId="77777777" w:rsidTr="00924113">
        <w:trPr>
          <w:trHeight w:val="20"/>
        </w:trPr>
        <w:tc>
          <w:tcPr>
            <w:tcW w:w="986" w:type="dxa"/>
            <w:shd w:val="clear" w:color="auto" w:fill="auto"/>
            <w:noWrap/>
            <w:vAlign w:val="center"/>
          </w:tcPr>
          <w:p w14:paraId="37022697"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SNA</w:t>
            </w:r>
          </w:p>
        </w:tc>
        <w:tc>
          <w:tcPr>
            <w:tcW w:w="3421" w:type="dxa"/>
            <w:shd w:val="clear" w:color="auto" w:fill="auto"/>
            <w:vAlign w:val="center"/>
          </w:tcPr>
          <w:p w14:paraId="688F426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System of National Accounts</w:t>
            </w:r>
          </w:p>
        </w:tc>
        <w:tc>
          <w:tcPr>
            <w:tcW w:w="995" w:type="dxa"/>
            <w:shd w:val="clear" w:color="auto" w:fill="auto"/>
            <w:vAlign w:val="center"/>
          </w:tcPr>
          <w:p w14:paraId="5AF3313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SNR</w:t>
            </w:r>
          </w:p>
        </w:tc>
        <w:tc>
          <w:tcPr>
            <w:tcW w:w="4002" w:type="dxa"/>
            <w:shd w:val="clear" w:color="auto" w:fill="auto"/>
            <w:vAlign w:val="center"/>
          </w:tcPr>
          <w:p w14:paraId="3EB34BD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Sistem nacionalnih računa </w:t>
            </w:r>
          </w:p>
        </w:tc>
      </w:tr>
      <w:tr w:rsidR="0063519F" w:rsidRPr="002A2822" w14:paraId="6E30958D" w14:textId="77777777" w:rsidTr="00924113">
        <w:trPr>
          <w:trHeight w:val="20"/>
        </w:trPr>
        <w:tc>
          <w:tcPr>
            <w:tcW w:w="986" w:type="dxa"/>
            <w:shd w:val="clear" w:color="auto" w:fill="auto"/>
            <w:noWrap/>
            <w:vAlign w:val="center"/>
          </w:tcPr>
          <w:p w14:paraId="16079B0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SWOT</w:t>
            </w:r>
          </w:p>
        </w:tc>
        <w:tc>
          <w:tcPr>
            <w:tcW w:w="3421" w:type="dxa"/>
            <w:shd w:val="clear" w:color="auto" w:fill="auto"/>
            <w:vAlign w:val="center"/>
          </w:tcPr>
          <w:p w14:paraId="3CD305B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Strengths weaknesses, opportunities, threats</w:t>
            </w:r>
          </w:p>
        </w:tc>
        <w:tc>
          <w:tcPr>
            <w:tcW w:w="995" w:type="dxa"/>
            <w:shd w:val="clear" w:color="auto" w:fill="auto"/>
            <w:vAlign w:val="center"/>
          </w:tcPr>
          <w:p w14:paraId="068F9487"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SWOT</w:t>
            </w:r>
          </w:p>
        </w:tc>
        <w:tc>
          <w:tcPr>
            <w:tcW w:w="4002" w:type="dxa"/>
            <w:shd w:val="clear" w:color="auto" w:fill="auto"/>
            <w:vAlign w:val="center"/>
          </w:tcPr>
          <w:p w14:paraId="4D41BE5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Analiza snaga-slabosti-prilika-prijetnji</w:t>
            </w:r>
          </w:p>
        </w:tc>
      </w:tr>
      <w:tr w:rsidR="0063519F" w:rsidRPr="0048184E" w14:paraId="4D7D6FD7" w14:textId="77777777" w:rsidTr="00924113">
        <w:trPr>
          <w:trHeight w:val="20"/>
        </w:trPr>
        <w:tc>
          <w:tcPr>
            <w:tcW w:w="986" w:type="dxa"/>
            <w:shd w:val="clear" w:color="auto" w:fill="auto"/>
            <w:noWrap/>
            <w:vAlign w:val="center"/>
          </w:tcPr>
          <w:p w14:paraId="58E6430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TEU</w:t>
            </w:r>
          </w:p>
        </w:tc>
        <w:tc>
          <w:tcPr>
            <w:tcW w:w="3421" w:type="dxa"/>
            <w:shd w:val="clear" w:color="auto" w:fill="auto"/>
            <w:vAlign w:val="center"/>
          </w:tcPr>
          <w:p w14:paraId="14A6205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Treaty establishing the European Union</w:t>
            </w:r>
          </w:p>
        </w:tc>
        <w:tc>
          <w:tcPr>
            <w:tcW w:w="995" w:type="dxa"/>
            <w:shd w:val="clear" w:color="auto" w:fill="auto"/>
            <w:vAlign w:val="center"/>
          </w:tcPr>
          <w:p w14:paraId="44325C74"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UEU</w:t>
            </w:r>
          </w:p>
        </w:tc>
        <w:tc>
          <w:tcPr>
            <w:tcW w:w="4002" w:type="dxa"/>
            <w:shd w:val="clear" w:color="auto" w:fill="auto"/>
            <w:vAlign w:val="center"/>
          </w:tcPr>
          <w:p w14:paraId="5B119B3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Ugovor o Evropskoj uniji </w:t>
            </w:r>
          </w:p>
        </w:tc>
      </w:tr>
      <w:tr w:rsidR="0063519F" w:rsidRPr="0048184E" w14:paraId="76AAA55E" w14:textId="77777777" w:rsidTr="00924113">
        <w:trPr>
          <w:trHeight w:val="20"/>
        </w:trPr>
        <w:tc>
          <w:tcPr>
            <w:tcW w:w="986" w:type="dxa"/>
            <w:shd w:val="clear" w:color="auto" w:fill="auto"/>
            <w:noWrap/>
            <w:vAlign w:val="center"/>
          </w:tcPr>
          <w:p w14:paraId="60386E8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WB</w:t>
            </w:r>
          </w:p>
        </w:tc>
        <w:tc>
          <w:tcPr>
            <w:tcW w:w="3421" w:type="dxa"/>
            <w:shd w:val="clear" w:color="auto" w:fill="auto"/>
            <w:vAlign w:val="center"/>
          </w:tcPr>
          <w:p w14:paraId="6FF5590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World Bank</w:t>
            </w:r>
          </w:p>
        </w:tc>
        <w:tc>
          <w:tcPr>
            <w:tcW w:w="995" w:type="dxa"/>
            <w:shd w:val="clear" w:color="auto" w:fill="auto"/>
            <w:vAlign w:val="center"/>
          </w:tcPr>
          <w:p w14:paraId="32656AE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 xml:space="preserve">SB </w:t>
            </w:r>
          </w:p>
        </w:tc>
        <w:tc>
          <w:tcPr>
            <w:tcW w:w="4002" w:type="dxa"/>
            <w:shd w:val="clear" w:color="auto" w:fill="auto"/>
            <w:vAlign w:val="center"/>
          </w:tcPr>
          <w:p w14:paraId="77C25E5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Svjetska banka</w:t>
            </w:r>
          </w:p>
        </w:tc>
      </w:tr>
      <w:tr w:rsidR="0063519F" w:rsidRPr="002A2822" w14:paraId="7FC49C1F" w14:textId="77777777" w:rsidTr="00924113">
        <w:trPr>
          <w:trHeight w:val="20"/>
        </w:trPr>
        <w:tc>
          <w:tcPr>
            <w:tcW w:w="986" w:type="dxa"/>
            <w:shd w:val="clear" w:color="auto" w:fill="auto"/>
            <w:noWrap/>
            <w:vAlign w:val="center"/>
          </w:tcPr>
          <w:p w14:paraId="0B96FEF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WBIF</w:t>
            </w:r>
          </w:p>
        </w:tc>
        <w:tc>
          <w:tcPr>
            <w:tcW w:w="3421" w:type="dxa"/>
            <w:shd w:val="clear" w:color="auto" w:fill="auto"/>
            <w:vAlign w:val="center"/>
          </w:tcPr>
          <w:p w14:paraId="3ABFE7E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Western Balkans Investment Framework</w:t>
            </w:r>
          </w:p>
        </w:tc>
        <w:tc>
          <w:tcPr>
            <w:tcW w:w="995" w:type="dxa"/>
            <w:shd w:val="clear" w:color="auto" w:fill="auto"/>
            <w:vAlign w:val="center"/>
          </w:tcPr>
          <w:p w14:paraId="6F3150A7"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WBIF</w:t>
            </w:r>
          </w:p>
        </w:tc>
        <w:tc>
          <w:tcPr>
            <w:tcW w:w="4002" w:type="dxa"/>
            <w:shd w:val="clear" w:color="auto" w:fill="auto"/>
            <w:vAlign w:val="center"/>
          </w:tcPr>
          <w:p w14:paraId="51F0038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Investicioni okvir za Zapadni Balkan </w:t>
            </w:r>
          </w:p>
        </w:tc>
      </w:tr>
      <w:tr w:rsidR="0063519F" w:rsidRPr="0048184E" w14:paraId="1237CED3" w14:textId="77777777" w:rsidTr="00924113">
        <w:trPr>
          <w:trHeight w:val="20"/>
        </w:trPr>
        <w:tc>
          <w:tcPr>
            <w:tcW w:w="986" w:type="dxa"/>
            <w:shd w:val="clear" w:color="auto" w:fill="auto"/>
            <w:noWrap/>
            <w:vAlign w:val="center"/>
          </w:tcPr>
          <w:p w14:paraId="34A64D0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WEF</w:t>
            </w:r>
          </w:p>
        </w:tc>
        <w:tc>
          <w:tcPr>
            <w:tcW w:w="3421" w:type="dxa"/>
            <w:shd w:val="clear" w:color="auto" w:fill="auto"/>
            <w:vAlign w:val="center"/>
          </w:tcPr>
          <w:p w14:paraId="6AE67B8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World Economic Forum</w:t>
            </w:r>
          </w:p>
        </w:tc>
        <w:tc>
          <w:tcPr>
            <w:tcW w:w="995" w:type="dxa"/>
            <w:shd w:val="clear" w:color="auto" w:fill="auto"/>
            <w:vAlign w:val="center"/>
          </w:tcPr>
          <w:p w14:paraId="271DF6C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 xml:space="preserve">SEF </w:t>
            </w:r>
          </w:p>
        </w:tc>
        <w:tc>
          <w:tcPr>
            <w:tcW w:w="4002" w:type="dxa"/>
            <w:shd w:val="clear" w:color="auto" w:fill="auto"/>
            <w:vAlign w:val="center"/>
          </w:tcPr>
          <w:p w14:paraId="43904F1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Svjetski ekonomski forum </w:t>
            </w:r>
          </w:p>
        </w:tc>
      </w:tr>
      <w:tr w:rsidR="0063519F" w:rsidRPr="002A2822" w14:paraId="72039C56" w14:textId="77777777" w:rsidTr="00924113">
        <w:trPr>
          <w:trHeight w:val="20"/>
        </w:trPr>
        <w:tc>
          <w:tcPr>
            <w:tcW w:w="986" w:type="dxa"/>
            <w:shd w:val="clear" w:color="auto" w:fill="auto"/>
            <w:noWrap/>
            <w:vAlign w:val="center"/>
          </w:tcPr>
          <w:p w14:paraId="02062C7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WTTC</w:t>
            </w:r>
          </w:p>
        </w:tc>
        <w:tc>
          <w:tcPr>
            <w:tcW w:w="3421" w:type="dxa"/>
            <w:shd w:val="clear" w:color="auto" w:fill="auto"/>
            <w:vAlign w:val="center"/>
          </w:tcPr>
          <w:p w14:paraId="41E5042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World Travel &amp; Tourism Council</w:t>
            </w:r>
          </w:p>
        </w:tc>
        <w:tc>
          <w:tcPr>
            <w:tcW w:w="995" w:type="dxa"/>
            <w:shd w:val="clear" w:color="auto" w:fill="auto"/>
            <w:vAlign w:val="center"/>
          </w:tcPr>
          <w:p w14:paraId="09DD697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WTTC</w:t>
            </w:r>
          </w:p>
        </w:tc>
        <w:tc>
          <w:tcPr>
            <w:tcW w:w="4002" w:type="dxa"/>
            <w:shd w:val="clear" w:color="auto" w:fill="auto"/>
            <w:vAlign w:val="center"/>
          </w:tcPr>
          <w:p w14:paraId="0E230F0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Svjetski savjet za putovanja i turizam </w:t>
            </w:r>
          </w:p>
        </w:tc>
      </w:tr>
      <w:tr w:rsidR="0063519F" w:rsidRPr="002A2822" w14:paraId="3B1997FC" w14:textId="77777777" w:rsidTr="00924113">
        <w:trPr>
          <w:trHeight w:val="20"/>
        </w:trPr>
        <w:tc>
          <w:tcPr>
            <w:tcW w:w="986" w:type="dxa"/>
            <w:shd w:val="clear" w:color="auto" w:fill="auto"/>
            <w:noWrap/>
            <w:vAlign w:val="center"/>
          </w:tcPr>
          <w:p w14:paraId="0F917C9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ZZZCG</w:t>
            </w:r>
          </w:p>
        </w:tc>
        <w:tc>
          <w:tcPr>
            <w:tcW w:w="3421" w:type="dxa"/>
            <w:shd w:val="clear" w:color="auto" w:fill="auto"/>
            <w:vAlign w:val="center"/>
          </w:tcPr>
          <w:p w14:paraId="5B647AC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Employment Agency Montenegro</w:t>
            </w:r>
          </w:p>
        </w:tc>
        <w:tc>
          <w:tcPr>
            <w:tcW w:w="995" w:type="dxa"/>
            <w:shd w:val="clear" w:color="auto" w:fill="auto"/>
            <w:vAlign w:val="center"/>
          </w:tcPr>
          <w:p w14:paraId="38C5FACE"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ZZZCG</w:t>
            </w:r>
          </w:p>
        </w:tc>
        <w:tc>
          <w:tcPr>
            <w:tcW w:w="4002" w:type="dxa"/>
            <w:shd w:val="clear" w:color="auto" w:fill="auto"/>
            <w:vAlign w:val="center"/>
          </w:tcPr>
          <w:p w14:paraId="1E338F9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Zavod za zapošljavanje Crne Gore </w:t>
            </w:r>
          </w:p>
        </w:tc>
      </w:tr>
    </w:tbl>
    <w:p w14:paraId="5FE8747D" w14:textId="77777777" w:rsidR="004B6950" w:rsidRPr="0048184E" w:rsidRDefault="004B6950" w:rsidP="0048184E">
      <w:pPr>
        <w:spacing w:after="0" w:line="240" w:lineRule="auto"/>
        <w:rPr>
          <w:rFonts w:cstheme="minorHAnsi"/>
          <w:b/>
          <w:sz w:val="18"/>
          <w:szCs w:val="18"/>
          <w:lang w:val="sr-Latn-ME"/>
        </w:rPr>
      </w:pPr>
    </w:p>
    <w:p w14:paraId="73C9C65C" w14:textId="77777777" w:rsidR="004B6950" w:rsidRPr="0048184E" w:rsidRDefault="004B6950" w:rsidP="0048184E">
      <w:pPr>
        <w:spacing w:after="0" w:line="240" w:lineRule="auto"/>
        <w:rPr>
          <w:rFonts w:cstheme="minorHAnsi"/>
          <w:b/>
          <w:sz w:val="18"/>
          <w:szCs w:val="18"/>
          <w:lang w:val="sr-Latn-ME"/>
        </w:rPr>
      </w:pPr>
    </w:p>
    <w:p w14:paraId="1ECBA74B" w14:textId="77777777" w:rsidR="00047530" w:rsidRPr="0048184E" w:rsidRDefault="00047530" w:rsidP="0048184E">
      <w:pPr>
        <w:spacing w:after="0" w:line="240" w:lineRule="auto"/>
        <w:rPr>
          <w:rFonts w:cstheme="minorHAnsi"/>
          <w:sz w:val="18"/>
          <w:szCs w:val="18"/>
          <w:lang w:val="sr-Latn-ME"/>
        </w:rPr>
      </w:pPr>
    </w:p>
    <w:p w14:paraId="05DDA312" w14:textId="77777777" w:rsidR="00047530" w:rsidRPr="0048184E" w:rsidRDefault="00047530" w:rsidP="0048184E">
      <w:pPr>
        <w:spacing w:after="0" w:line="240" w:lineRule="auto"/>
        <w:rPr>
          <w:rFonts w:cstheme="minorHAnsi"/>
          <w:sz w:val="18"/>
          <w:szCs w:val="18"/>
          <w:lang w:val="sr-Latn-ME"/>
        </w:rPr>
      </w:pPr>
    </w:p>
    <w:p w14:paraId="22C58D35" w14:textId="77777777" w:rsidR="00047530" w:rsidRPr="0048184E" w:rsidRDefault="00047530" w:rsidP="0048184E">
      <w:pPr>
        <w:spacing w:after="0" w:line="240" w:lineRule="auto"/>
        <w:rPr>
          <w:rFonts w:cstheme="minorHAnsi"/>
          <w:sz w:val="18"/>
          <w:szCs w:val="18"/>
          <w:lang w:val="sr-Latn-ME"/>
        </w:rPr>
      </w:pPr>
    </w:p>
    <w:p w14:paraId="0FC6EF6A" w14:textId="77777777" w:rsidR="00047530" w:rsidRPr="0048184E" w:rsidRDefault="00047530" w:rsidP="0048184E">
      <w:pPr>
        <w:spacing w:after="0" w:line="240" w:lineRule="auto"/>
        <w:rPr>
          <w:rFonts w:cstheme="minorHAnsi"/>
          <w:sz w:val="18"/>
          <w:szCs w:val="18"/>
          <w:lang w:val="sr-Latn-ME"/>
        </w:rPr>
      </w:pPr>
    </w:p>
    <w:p w14:paraId="5DDB8215" w14:textId="77777777" w:rsidR="00047530" w:rsidRPr="0048184E" w:rsidRDefault="00047530" w:rsidP="0048184E">
      <w:pPr>
        <w:spacing w:after="0" w:line="240" w:lineRule="auto"/>
        <w:rPr>
          <w:rFonts w:cstheme="minorHAnsi"/>
          <w:sz w:val="18"/>
          <w:szCs w:val="18"/>
          <w:lang w:val="sr-Latn-ME"/>
        </w:rPr>
      </w:pPr>
    </w:p>
    <w:p w14:paraId="491A51E5" w14:textId="77777777" w:rsidR="00047530" w:rsidRPr="0048184E" w:rsidRDefault="00047530" w:rsidP="0048184E">
      <w:pPr>
        <w:spacing w:after="0" w:line="240" w:lineRule="auto"/>
        <w:rPr>
          <w:rFonts w:cstheme="minorHAnsi"/>
          <w:sz w:val="18"/>
          <w:szCs w:val="18"/>
          <w:lang w:val="sr-Latn-ME"/>
        </w:rPr>
      </w:pPr>
    </w:p>
    <w:p w14:paraId="11C4981C" w14:textId="77777777" w:rsidR="00047530" w:rsidRPr="0048184E" w:rsidRDefault="00047530" w:rsidP="0048184E">
      <w:pPr>
        <w:spacing w:after="0" w:line="240" w:lineRule="auto"/>
        <w:rPr>
          <w:rFonts w:cstheme="minorHAnsi"/>
          <w:sz w:val="18"/>
          <w:szCs w:val="18"/>
          <w:lang w:val="sr-Latn-ME"/>
        </w:rPr>
      </w:pPr>
    </w:p>
    <w:p w14:paraId="3E0C1C73" w14:textId="77777777" w:rsidR="00047530" w:rsidRPr="0048184E" w:rsidRDefault="00047530" w:rsidP="0048184E">
      <w:pPr>
        <w:spacing w:after="0" w:line="240" w:lineRule="auto"/>
        <w:rPr>
          <w:rFonts w:cstheme="minorHAnsi"/>
          <w:sz w:val="18"/>
          <w:szCs w:val="18"/>
          <w:lang w:val="sr-Latn-ME"/>
        </w:rPr>
      </w:pPr>
    </w:p>
    <w:p w14:paraId="71AC3D0B" w14:textId="77777777" w:rsidR="00047530" w:rsidRPr="0048184E" w:rsidRDefault="00047530" w:rsidP="0048184E">
      <w:pPr>
        <w:spacing w:after="0" w:line="240" w:lineRule="auto"/>
        <w:rPr>
          <w:rFonts w:cstheme="minorHAnsi"/>
          <w:sz w:val="18"/>
          <w:szCs w:val="18"/>
          <w:lang w:val="sr-Latn-ME"/>
        </w:rPr>
      </w:pPr>
    </w:p>
    <w:p w14:paraId="77AEC3F5" w14:textId="77777777" w:rsidR="00047530" w:rsidRPr="0048184E" w:rsidRDefault="00047530" w:rsidP="0048184E">
      <w:pPr>
        <w:spacing w:after="0" w:line="240" w:lineRule="auto"/>
        <w:rPr>
          <w:rFonts w:cstheme="minorHAnsi"/>
          <w:sz w:val="18"/>
          <w:szCs w:val="18"/>
          <w:lang w:val="sr-Latn-ME"/>
        </w:rPr>
      </w:pPr>
    </w:p>
    <w:p w14:paraId="06A07CAD" w14:textId="77777777" w:rsidR="00047530" w:rsidRPr="0048184E" w:rsidRDefault="00047530" w:rsidP="0048184E">
      <w:pPr>
        <w:spacing w:after="0" w:line="240" w:lineRule="auto"/>
        <w:rPr>
          <w:rFonts w:cstheme="minorHAnsi"/>
          <w:sz w:val="18"/>
          <w:szCs w:val="18"/>
          <w:lang w:val="sr-Latn-ME"/>
        </w:rPr>
      </w:pPr>
    </w:p>
    <w:p w14:paraId="55DBB743" w14:textId="77777777" w:rsidR="00047530" w:rsidRPr="0048184E" w:rsidRDefault="00047530" w:rsidP="0048184E">
      <w:pPr>
        <w:spacing w:after="0" w:line="240" w:lineRule="auto"/>
        <w:rPr>
          <w:rFonts w:cstheme="minorHAnsi"/>
          <w:sz w:val="18"/>
          <w:szCs w:val="18"/>
          <w:lang w:val="sr-Latn-ME"/>
        </w:rPr>
      </w:pPr>
    </w:p>
    <w:p w14:paraId="69126AF1" w14:textId="77777777" w:rsidR="00047530" w:rsidRPr="0048184E" w:rsidRDefault="00047530" w:rsidP="0048184E">
      <w:pPr>
        <w:spacing w:after="0" w:line="240" w:lineRule="auto"/>
        <w:rPr>
          <w:rFonts w:cstheme="minorHAnsi"/>
          <w:sz w:val="18"/>
          <w:szCs w:val="18"/>
          <w:lang w:val="sr-Latn-ME"/>
        </w:rPr>
      </w:pPr>
    </w:p>
    <w:p w14:paraId="029D8515" w14:textId="77777777" w:rsidR="00047530" w:rsidRPr="0048184E" w:rsidRDefault="00047530" w:rsidP="0048184E">
      <w:pPr>
        <w:spacing w:after="0" w:line="240" w:lineRule="auto"/>
        <w:rPr>
          <w:rFonts w:cstheme="minorHAnsi"/>
          <w:sz w:val="18"/>
          <w:szCs w:val="18"/>
          <w:lang w:val="sr-Latn-ME"/>
        </w:rPr>
      </w:pPr>
    </w:p>
    <w:p w14:paraId="70072ED3" w14:textId="77777777" w:rsidR="00047530" w:rsidRPr="0048184E" w:rsidRDefault="00047530" w:rsidP="0048184E">
      <w:pPr>
        <w:spacing w:after="0" w:line="240" w:lineRule="auto"/>
        <w:rPr>
          <w:rFonts w:cstheme="minorHAnsi"/>
          <w:sz w:val="18"/>
          <w:szCs w:val="18"/>
          <w:lang w:val="sr-Latn-ME"/>
        </w:rPr>
      </w:pPr>
    </w:p>
    <w:p w14:paraId="5E9C3755" w14:textId="77777777" w:rsidR="00047530" w:rsidRPr="0048184E" w:rsidRDefault="00047530" w:rsidP="0048184E">
      <w:pPr>
        <w:spacing w:after="0" w:line="240" w:lineRule="auto"/>
        <w:rPr>
          <w:rFonts w:cstheme="minorHAnsi"/>
          <w:sz w:val="18"/>
          <w:szCs w:val="18"/>
          <w:lang w:val="sr-Latn-ME"/>
        </w:rPr>
      </w:pPr>
    </w:p>
    <w:p w14:paraId="2A03B131" w14:textId="77777777" w:rsidR="00047530" w:rsidRPr="0048184E" w:rsidRDefault="00047530" w:rsidP="0048184E">
      <w:pPr>
        <w:spacing w:after="0" w:line="240" w:lineRule="auto"/>
        <w:rPr>
          <w:rFonts w:cstheme="minorHAnsi"/>
          <w:sz w:val="18"/>
          <w:szCs w:val="18"/>
          <w:lang w:val="sr-Latn-ME"/>
        </w:rPr>
      </w:pPr>
    </w:p>
    <w:p w14:paraId="6AB15B32" w14:textId="77777777" w:rsidR="00047530" w:rsidRPr="0048184E" w:rsidRDefault="00047530" w:rsidP="0048184E">
      <w:pPr>
        <w:spacing w:after="0" w:line="240" w:lineRule="auto"/>
        <w:rPr>
          <w:rFonts w:cstheme="minorHAnsi"/>
          <w:sz w:val="18"/>
          <w:szCs w:val="18"/>
          <w:lang w:val="sr-Latn-ME"/>
        </w:rPr>
      </w:pPr>
    </w:p>
    <w:p w14:paraId="3104886C" w14:textId="77777777" w:rsidR="00047530" w:rsidRPr="0048184E" w:rsidRDefault="00047530" w:rsidP="0048184E">
      <w:pPr>
        <w:spacing w:after="0" w:line="240" w:lineRule="auto"/>
        <w:rPr>
          <w:rFonts w:cstheme="minorHAnsi"/>
          <w:sz w:val="18"/>
          <w:szCs w:val="18"/>
          <w:lang w:val="sr-Latn-ME"/>
        </w:rPr>
      </w:pPr>
    </w:p>
    <w:p w14:paraId="15F2695C" w14:textId="77777777" w:rsidR="00047530" w:rsidRPr="0048184E" w:rsidRDefault="00047530" w:rsidP="0048184E">
      <w:pPr>
        <w:spacing w:after="0" w:line="240" w:lineRule="auto"/>
        <w:rPr>
          <w:rFonts w:cstheme="minorHAnsi"/>
          <w:sz w:val="18"/>
          <w:szCs w:val="18"/>
          <w:lang w:val="sr-Latn-ME"/>
        </w:rPr>
      </w:pPr>
    </w:p>
    <w:p w14:paraId="0FC0A4E6" w14:textId="77777777" w:rsidR="00047530" w:rsidRPr="0048184E" w:rsidRDefault="00047530" w:rsidP="0048184E">
      <w:pPr>
        <w:spacing w:after="0" w:line="240" w:lineRule="auto"/>
        <w:rPr>
          <w:rFonts w:cstheme="minorHAnsi"/>
          <w:sz w:val="18"/>
          <w:szCs w:val="18"/>
          <w:lang w:val="sr-Latn-ME"/>
        </w:rPr>
      </w:pPr>
    </w:p>
    <w:p w14:paraId="6C82C10D" w14:textId="77777777" w:rsidR="00047530" w:rsidRPr="0048184E" w:rsidRDefault="00047530" w:rsidP="0048184E">
      <w:pPr>
        <w:spacing w:after="0" w:line="240" w:lineRule="auto"/>
        <w:rPr>
          <w:rFonts w:cstheme="minorHAnsi"/>
          <w:sz w:val="18"/>
          <w:szCs w:val="18"/>
          <w:lang w:val="sr-Latn-ME"/>
        </w:rPr>
      </w:pPr>
    </w:p>
    <w:p w14:paraId="6F350415" w14:textId="77777777" w:rsidR="00047530" w:rsidRPr="0048184E" w:rsidRDefault="00047530" w:rsidP="0048184E">
      <w:pPr>
        <w:spacing w:after="0" w:line="240" w:lineRule="auto"/>
        <w:rPr>
          <w:rFonts w:cstheme="minorHAnsi"/>
          <w:sz w:val="18"/>
          <w:szCs w:val="18"/>
          <w:lang w:val="sr-Latn-ME"/>
        </w:rPr>
      </w:pPr>
    </w:p>
    <w:p w14:paraId="5FEA9D47" w14:textId="77777777" w:rsidR="00047530" w:rsidRPr="0048184E" w:rsidRDefault="00047530" w:rsidP="0048184E">
      <w:pPr>
        <w:spacing w:after="0" w:line="240" w:lineRule="auto"/>
        <w:rPr>
          <w:rFonts w:cstheme="minorHAnsi"/>
          <w:sz w:val="18"/>
          <w:szCs w:val="18"/>
          <w:lang w:val="sr-Latn-ME"/>
        </w:rPr>
      </w:pPr>
    </w:p>
    <w:p w14:paraId="46A08C2D" w14:textId="77777777" w:rsidR="00047530" w:rsidRPr="0048184E" w:rsidRDefault="00047530" w:rsidP="0048184E">
      <w:pPr>
        <w:spacing w:after="0" w:line="240" w:lineRule="auto"/>
        <w:rPr>
          <w:rFonts w:cstheme="minorHAnsi"/>
          <w:sz w:val="18"/>
          <w:szCs w:val="18"/>
          <w:lang w:val="sr-Latn-ME"/>
        </w:rPr>
      </w:pPr>
    </w:p>
    <w:p w14:paraId="182E7CF5" w14:textId="77777777" w:rsidR="00047530" w:rsidRPr="0048184E" w:rsidRDefault="00047530" w:rsidP="0048184E">
      <w:pPr>
        <w:spacing w:after="0" w:line="240" w:lineRule="auto"/>
        <w:rPr>
          <w:rFonts w:cstheme="minorHAnsi"/>
          <w:sz w:val="18"/>
          <w:szCs w:val="18"/>
          <w:lang w:val="sr-Latn-ME"/>
        </w:rPr>
      </w:pPr>
    </w:p>
    <w:p w14:paraId="4A7C77FA" w14:textId="77777777" w:rsidR="002401DC" w:rsidRPr="0048184E" w:rsidRDefault="002401DC" w:rsidP="0048184E">
      <w:pPr>
        <w:spacing w:after="0" w:line="240" w:lineRule="auto"/>
        <w:rPr>
          <w:rFonts w:cstheme="minorHAnsi"/>
          <w:sz w:val="18"/>
          <w:szCs w:val="18"/>
          <w:lang w:val="sr-Latn-ME"/>
        </w:rPr>
      </w:pPr>
    </w:p>
    <w:p w14:paraId="24139BC5" w14:textId="77777777" w:rsidR="002401DC" w:rsidRPr="0048184E" w:rsidRDefault="002401DC" w:rsidP="0048184E">
      <w:pPr>
        <w:spacing w:after="0" w:line="240" w:lineRule="auto"/>
        <w:rPr>
          <w:rFonts w:cstheme="minorHAnsi"/>
          <w:sz w:val="18"/>
          <w:szCs w:val="18"/>
          <w:lang w:val="sr-Latn-ME"/>
        </w:rPr>
      </w:pPr>
    </w:p>
    <w:p w14:paraId="1F4BA843" w14:textId="77777777" w:rsidR="002401DC" w:rsidRPr="0048184E" w:rsidRDefault="002401DC" w:rsidP="0048184E">
      <w:pPr>
        <w:spacing w:after="0" w:line="240" w:lineRule="auto"/>
        <w:rPr>
          <w:rFonts w:cstheme="minorHAnsi"/>
          <w:sz w:val="18"/>
          <w:szCs w:val="18"/>
          <w:lang w:val="sr-Latn-ME"/>
        </w:rPr>
      </w:pPr>
    </w:p>
    <w:p w14:paraId="3482E80F" w14:textId="77777777" w:rsidR="00047530" w:rsidRPr="0048184E" w:rsidRDefault="00047530" w:rsidP="0048184E">
      <w:pPr>
        <w:spacing w:after="0" w:line="240" w:lineRule="auto"/>
        <w:rPr>
          <w:rFonts w:cstheme="minorHAnsi"/>
          <w:sz w:val="18"/>
          <w:szCs w:val="18"/>
          <w:lang w:val="sr-Latn-ME"/>
        </w:rPr>
      </w:pPr>
    </w:p>
    <w:p w14:paraId="1D0D5980" w14:textId="77777777" w:rsidR="004B6950" w:rsidRPr="0048184E" w:rsidRDefault="004B6950" w:rsidP="0048184E">
      <w:pPr>
        <w:spacing w:after="0" w:line="240" w:lineRule="auto"/>
        <w:rPr>
          <w:rFonts w:cstheme="minorHAnsi"/>
          <w:sz w:val="18"/>
          <w:szCs w:val="18"/>
          <w:lang w:val="sr-Latn-ME"/>
        </w:rPr>
      </w:pPr>
    </w:p>
    <w:p w14:paraId="242F3302" w14:textId="77777777" w:rsidR="00267341" w:rsidRDefault="00267341" w:rsidP="0048184E">
      <w:pPr>
        <w:spacing w:after="0" w:line="240" w:lineRule="auto"/>
        <w:rPr>
          <w:rFonts w:cstheme="minorHAnsi"/>
          <w:sz w:val="18"/>
          <w:szCs w:val="18"/>
          <w:lang w:val="sr-Latn-ME"/>
        </w:rPr>
      </w:pPr>
    </w:p>
    <w:p w14:paraId="41C48D59" w14:textId="77777777" w:rsidR="00E4513C" w:rsidRDefault="00E4513C" w:rsidP="0048184E">
      <w:pPr>
        <w:spacing w:after="0" w:line="240" w:lineRule="auto"/>
        <w:rPr>
          <w:rFonts w:cstheme="minorHAnsi"/>
          <w:sz w:val="18"/>
          <w:szCs w:val="18"/>
          <w:lang w:val="sr-Latn-ME"/>
        </w:rPr>
      </w:pPr>
    </w:p>
    <w:p w14:paraId="2C6F5CF6" w14:textId="77777777" w:rsidR="00E4513C" w:rsidRDefault="00E4513C" w:rsidP="0048184E">
      <w:pPr>
        <w:spacing w:after="0" w:line="240" w:lineRule="auto"/>
        <w:rPr>
          <w:rFonts w:cstheme="minorHAnsi"/>
          <w:sz w:val="18"/>
          <w:szCs w:val="18"/>
          <w:lang w:val="sr-Latn-ME"/>
        </w:rPr>
      </w:pPr>
    </w:p>
    <w:p w14:paraId="474E03BC" w14:textId="77777777" w:rsidR="00E4513C" w:rsidRDefault="00E4513C" w:rsidP="0048184E">
      <w:pPr>
        <w:spacing w:after="0" w:line="240" w:lineRule="auto"/>
        <w:rPr>
          <w:rFonts w:cstheme="minorHAnsi"/>
          <w:sz w:val="18"/>
          <w:szCs w:val="18"/>
          <w:lang w:val="sr-Latn-ME"/>
        </w:rPr>
      </w:pPr>
    </w:p>
    <w:p w14:paraId="16F2303F" w14:textId="77777777" w:rsidR="00D25A55" w:rsidRDefault="00D25A55" w:rsidP="0048184E">
      <w:pPr>
        <w:pStyle w:val="Heading11"/>
        <w:spacing w:before="0"/>
        <w:rPr>
          <w:rFonts w:eastAsiaTheme="minorHAnsi" w:cstheme="minorHAnsi"/>
          <w:b w:val="0"/>
          <w:bCs w:val="0"/>
          <w:color w:val="auto"/>
          <w:sz w:val="18"/>
          <w:szCs w:val="18"/>
          <w:lang w:val="sr-Latn-ME"/>
        </w:rPr>
      </w:pPr>
      <w:bookmarkStart w:id="1" w:name="_Toc205215821"/>
    </w:p>
    <w:p w14:paraId="64319868" w14:textId="77777777" w:rsidR="00087084" w:rsidRPr="00087084" w:rsidRDefault="00087084" w:rsidP="00087084">
      <w:pPr>
        <w:rPr>
          <w:lang w:val="sr-Latn-ME"/>
        </w:rPr>
      </w:pPr>
    </w:p>
    <w:p w14:paraId="5DB0BE79" w14:textId="77777777" w:rsidR="00047530" w:rsidRPr="00AA1F43" w:rsidRDefault="00047530" w:rsidP="0048184E">
      <w:pPr>
        <w:pStyle w:val="Heading11"/>
        <w:spacing w:before="0"/>
        <w:rPr>
          <w:color w:val="4472C4" w:themeColor="accent5"/>
          <w:sz w:val="26"/>
          <w:szCs w:val="26"/>
          <w:lang w:val="sr-Latn-ME"/>
        </w:rPr>
      </w:pPr>
      <w:r w:rsidRPr="00AA1F43">
        <w:rPr>
          <w:color w:val="4472C4" w:themeColor="accent5"/>
          <w:sz w:val="26"/>
          <w:szCs w:val="26"/>
          <w:lang w:val="pl-PL"/>
        </w:rPr>
        <w:lastRenderedPageBreak/>
        <w:t>I</w:t>
      </w:r>
      <w:r w:rsidRPr="00AA1F43">
        <w:rPr>
          <w:color w:val="4472C4" w:themeColor="accent5"/>
          <w:sz w:val="26"/>
          <w:szCs w:val="26"/>
          <w:lang w:val="sr-Latn-ME"/>
        </w:rPr>
        <w:t xml:space="preserve"> </w:t>
      </w:r>
      <w:r w:rsidRPr="00AA1F43">
        <w:rPr>
          <w:color w:val="4472C4" w:themeColor="accent5"/>
          <w:sz w:val="26"/>
          <w:szCs w:val="26"/>
          <w:lang w:val="pl-PL"/>
        </w:rPr>
        <w:t>UVOD</w:t>
      </w:r>
      <w:bookmarkEnd w:id="1"/>
      <w:r w:rsidRPr="00AA1F43">
        <w:rPr>
          <w:color w:val="4472C4" w:themeColor="accent5"/>
          <w:sz w:val="26"/>
          <w:szCs w:val="26"/>
          <w:lang w:val="sr-Latn-ME"/>
        </w:rPr>
        <w:t xml:space="preserve"> </w:t>
      </w:r>
    </w:p>
    <w:p w14:paraId="608808FD" w14:textId="77777777" w:rsidR="00E63F00" w:rsidRPr="0048184E" w:rsidRDefault="00E63F00" w:rsidP="0048184E">
      <w:pPr>
        <w:pStyle w:val="NoSpacing"/>
        <w:jc w:val="both"/>
        <w:rPr>
          <w:rFonts w:asciiTheme="minorHAnsi" w:hAnsiTheme="minorHAnsi" w:cstheme="minorHAnsi"/>
          <w:b/>
          <w:sz w:val="18"/>
          <w:szCs w:val="18"/>
          <w:lang w:val="sr-Latn-ME"/>
        </w:rPr>
      </w:pPr>
    </w:p>
    <w:p w14:paraId="5DCDB45D" w14:textId="77777777" w:rsidR="00B72616" w:rsidRPr="0048184E" w:rsidRDefault="00B72616" w:rsidP="0048184E">
      <w:pPr>
        <w:pStyle w:val="T30X"/>
        <w:ind w:firstLine="0"/>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CS"/>
        </w:rPr>
        <w:t xml:space="preserve">U skladu sa Zakonom o regionalnom razvoju </w:t>
      </w:r>
      <w:r w:rsidR="00B51193" w:rsidRPr="0048184E">
        <w:rPr>
          <w:rFonts w:asciiTheme="minorHAnsi" w:hAnsiTheme="minorHAnsi" w:cstheme="minorHAnsi"/>
          <w:color w:val="auto"/>
          <w:sz w:val="18"/>
          <w:szCs w:val="18"/>
          <w:lang w:val="sr-Latn-CS"/>
        </w:rPr>
        <w:t>Crne Gore</w:t>
      </w:r>
      <w:r w:rsidR="00B51193" w:rsidRPr="0048184E">
        <w:rPr>
          <w:rStyle w:val="FootnoteReference"/>
          <w:rFonts w:asciiTheme="minorHAnsi" w:hAnsiTheme="minorHAnsi" w:cstheme="minorHAnsi"/>
          <w:color w:val="auto"/>
          <w:sz w:val="18"/>
          <w:szCs w:val="18"/>
          <w:lang w:val="sr-Latn-CS"/>
        </w:rPr>
        <w:footnoteReference w:id="2"/>
      </w:r>
      <w:r w:rsidR="00B51193" w:rsidRPr="0048184E">
        <w:rPr>
          <w:rFonts w:asciiTheme="minorHAnsi" w:hAnsiTheme="minorHAnsi" w:cstheme="minorHAnsi"/>
          <w:color w:val="auto"/>
          <w:sz w:val="18"/>
          <w:szCs w:val="18"/>
          <w:lang w:val="sr-Latn-CS"/>
        </w:rPr>
        <w:t xml:space="preserve"> </w:t>
      </w:r>
      <w:r w:rsidRPr="0048184E">
        <w:rPr>
          <w:rFonts w:asciiTheme="minorHAnsi" w:hAnsiTheme="minorHAnsi" w:cstheme="minorHAnsi"/>
          <w:color w:val="auto"/>
          <w:sz w:val="18"/>
          <w:szCs w:val="18"/>
          <w:lang w:val="sr-Latn-CS"/>
        </w:rPr>
        <w:t xml:space="preserve">definisano je da se regionalni razvoj planira Strategijom regionalnog razvoj </w:t>
      </w:r>
      <w:r w:rsidRPr="0048184E">
        <w:rPr>
          <w:rFonts w:asciiTheme="minorHAnsi" w:hAnsiTheme="minorHAnsi" w:cstheme="minorHAnsi"/>
          <w:color w:val="auto"/>
          <w:sz w:val="18"/>
          <w:szCs w:val="18"/>
          <w:lang w:val="sr-Latn-RS"/>
        </w:rPr>
        <w:t>Crne Gore i strateškim planovima razvoja jedinica lokalne samouprave. Strategijom, kao krovnim plansk</w:t>
      </w:r>
      <w:r w:rsidR="00087084">
        <w:rPr>
          <w:rFonts w:asciiTheme="minorHAnsi" w:hAnsiTheme="minorHAnsi" w:cstheme="minorHAnsi"/>
          <w:color w:val="auto"/>
          <w:sz w:val="18"/>
          <w:szCs w:val="18"/>
          <w:lang w:val="sr-Latn-RS"/>
        </w:rPr>
        <w:t>im dokumentom u ovoj oblasti</w:t>
      </w:r>
      <w:r w:rsidRPr="0048184E">
        <w:rPr>
          <w:rFonts w:asciiTheme="minorHAnsi" w:hAnsiTheme="minorHAnsi" w:cstheme="minorHAnsi"/>
          <w:color w:val="auto"/>
          <w:sz w:val="18"/>
          <w:szCs w:val="18"/>
          <w:lang w:val="sr-Latn-RS"/>
        </w:rPr>
        <w:t xml:space="preserve"> utvrđuju </w:t>
      </w:r>
      <w:r w:rsidR="00087084">
        <w:rPr>
          <w:rFonts w:asciiTheme="minorHAnsi" w:hAnsiTheme="minorHAnsi" w:cstheme="minorHAnsi"/>
          <w:color w:val="auto"/>
          <w:sz w:val="18"/>
          <w:szCs w:val="18"/>
          <w:lang w:val="sr-Latn-RS"/>
        </w:rPr>
        <w:t xml:space="preserve">se: vizija, ciljevi i aktivnosti, </w:t>
      </w:r>
      <w:r w:rsidRPr="0048184E">
        <w:rPr>
          <w:rFonts w:asciiTheme="minorHAnsi" w:hAnsiTheme="minorHAnsi" w:cstheme="minorHAnsi"/>
          <w:color w:val="auto"/>
          <w:sz w:val="18"/>
          <w:szCs w:val="18"/>
          <w:lang w:val="sr-Latn-RS"/>
        </w:rPr>
        <w:t>radi smanjivanja regionalnih nejednakosti i povećanja nivoa konkurentn</w:t>
      </w:r>
      <w:r w:rsidR="00087084">
        <w:rPr>
          <w:rFonts w:asciiTheme="minorHAnsi" w:hAnsiTheme="minorHAnsi" w:cstheme="minorHAnsi"/>
          <w:color w:val="auto"/>
          <w:sz w:val="18"/>
          <w:szCs w:val="18"/>
          <w:lang w:val="sr-Latn-RS"/>
        </w:rPr>
        <w:t>osti JLS</w:t>
      </w:r>
      <w:r w:rsidRPr="0048184E">
        <w:rPr>
          <w:rFonts w:asciiTheme="minorHAnsi" w:hAnsiTheme="minorHAnsi" w:cstheme="minorHAnsi"/>
          <w:color w:val="auto"/>
          <w:sz w:val="18"/>
          <w:szCs w:val="18"/>
          <w:lang w:val="sr-Latn-RS"/>
        </w:rPr>
        <w:t xml:space="preserve"> i regiona, kao i način obezbjeđivanja sredstava za ostvarivanje utvrđenih ciljeva i druga pitanja od značaja za ra</w:t>
      </w:r>
      <w:r w:rsidR="00B51193" w:rsidRPr="0048184E">
        <w:rPr>
          <w:rFonts w:asciiTheme="minorHAnsi" w:hAnsiTheme="minorHAnsi" w:cstheme="minorHAnsi"/>
          <w:color w:val="auto"/>
          <w:sz w:val="18"/>
          <w:szCs w:val="18"/>
          <w:lang w:val="sr-Latn-RS"/>
        </w:rPr>
        <w:t>zvoj. Strategiju donosi VCG</w:t>
      </w:r>
      <w:r w:rsidRPr="0048184E">
        <w:rPr>
          <w:rFonts w:asciiTheme="minorHAnsi" w:hAnsiTheme="minorHAnsi" w:cstheme="minorHAnsi"/>
          <w:color w:val="auto"/>
          <w:sz w:val="18"/>
          <w:szCs w:val="18"/>
          <w:lang w:val="sr-Latn-RS"/>
        </w:rPr>
        <w:t>. Strategiju prate godišnji akcioni planovi sa ključnim razvojnim projektima i procjenom troškova mjera za podsticanje regionalnog razvoja.</w:t>
      </w:r>
    </w:p>
    <w:p w14:paraId="378D478D" w14:textId="77777777" w:rsidR="00B72616" w:rsidRPr="0048184E" w:rsidRDefault="00B72616" w:rsidP="0048184E">
      <w:pPr>
        <w:pStyle w:val="T30X"/>
        <w:ind w:firstLine="0"/>
        <w:rPr>
          <w:rFonts w:asciiTheme="minorHAnsi" w:hAnsiTheme="minorHAnsi" w:cstheme="minorHAnsi"/>
          <w:color w:val="auto"/>
          <w:sz w:val="18"/>
          <w:szCs w:val="18"/>
          <w:lang w:val="sr-Latn-RS"/>
        </w:rPr>
      </w:pPr>
    </w:p>
    <w:p w14:paraId="41FEB80D" w14:textId="298F54DF" w:rsidR="00B72616" w:rsidRDefault="00B72616" w:rsidP="0048184E">
      <w:pPr>
        <w:pStyle w:val="T30X"/>
        <w:ind w:firstLine="0"/>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RS"/>
        </w:rPr>
        <w:t xml:space="preserve">Crna Gora je do sada donijela </w:t>
      </w:r>
      <w:r w:rsidR="00164E56">
        <w:rPr>
          <w:rFonts w:asciiTheme="minorHAnsi" w:hAnsiTheme="minorHAnsi" w:cstheme="minorHAnsi"/>
          <w:color w:val="auto"/>
          <w:sz w:val="18"/>
          <w:szCs w:val="18"/>
          <w:lang w:val="sr-Latn-RS"/>
        </w:rPr>
        <w:t>tri</w:t>
      </w:r>
      <w:r w:rsidRPr="0048184E">
        <w:rPr>
          <w:rFonts w:asciiTheme="minorHAnsi" w:hAnsiTheme="minorHAnsi" w:cstheme="minorHAnsi"/>
          <w:color w:val="auto"/>
          <w:sz w:val="18"/>
          <w:szCs w:val="18"/>
          <w:lang w:val="sr-Latn-RS"/>
        </w:rPr>
        <w:t xml:space="preserve"> strategije regionalnog razvoja i to: </w:t>
      </w:r>
    </w:p>
    <w:p w14:paraId="1870DA65" w14:textId="17D7F83F" w:rsidR="00164E56" w:rsidRPr="0048184E" w:rsidRDefault="00164E56" w:rsidP="00FC66BF">
      <w:pPr>
        <w:pStyle w:val="T30X"/>
        <w:numPr>
          <w:ilvl w:val="0"/>
          <w:numId w:val="32"/>
        </w:numPr>
        <w:rPr>
          <w:rFonts w:asciiTheme="minorHAnsi" w:hAnsiTheme="minorHAnsi" w:cstheme="minorHAnsi"/>
          <w:color w:val="auto"/>
          <w:sz w:val="18"/>
          <w:szCs w:val="18"/>
          <w:lang w:val="sr-Latn-RS"/>
        </w:rPr>
      </w:pPr>
      <w:r>
        <w:rPr>
          <w:rFonts w:asciiTheme="minorHAnsi" w:hAnsiTheme="minorHAnsi" w:cstheme="minorHAnsi"/>
          <w:color w:val="auto"/>
          <w:sz w:val="18"/>
          <w:szCs w:val="18"/>
          <w:lang w:val="sr-Latn-RS"/>
        </w:rPr>
        <w:t>Strategija regionalnog razvoja Crne Gore 2010-2014, (donešena 2010. godine)</w:t>
      </w:r>
    </w:p>
    <w:p w14:paraId="63E79DAB" w14:textId="77777777" w:rsidR="00B72616" w:rsidRPr="00FC66BF" w:rsidRDefault="00B72616" w:rsidP="00FC66BF">
      <w:pPr>
        <w:pStyle w:val="ListParagraph"/>
        <w:numPr>
          <w:ilvl w:val="0"/>
          <w:numId w:val="32"/>
        </w:numPr>
        <w:spacing w:after="0" w:line="240" w:lineRule="auto"/>
        <w:rPr>
          <w:rFonts w:eastAsia="Times New Roman" w:cstheme="minorHAnsi"/>
          <w:sz w:val="18"/>
          <w:szCs w:val="18"/>
          <w:lang w:val="pl-PL"/>
        </w:rPr>
      </w:pPr>
      <w:r w:rsidRPr="00FC66BF">
        <w:rPr>
          <w:rFonts w:eastAsia="Times New Roman" w:cstheme="minorHAnsi"/>
          <w:bCs/>
          <w:sz w:val="18"/>
          <w:szCs w:val="18"/>
          <w:lang w:val="pl-PL"/>
        </w:rPr>
        <w:t>Strategija regionalnog razvoja Crne Gore 2014–2020</w:t>
      </w:r>
      <w:r w:rsidR="00087084" w:rsidRPr="00FC66BF">
        <w:rPr>
          <w:rFonts w:eastAsia="Times New Roman" w:cstheme="minorHAnsi"/>
          <w:sz w:val="18"/>
          <w:szCs w:val="18"/>
          <w:lang w:val="pl-PL"/>
        </w:rPr>
        <w:t>, (doneš</w:t>
      </w:r>
      <w:r w:rsidR="00B51193" w:rsidRPr="00FC66BF">
        <w:rPr>
          <w:rFonts w:eastAsia="Times New Roman" w:cstheme="minorHAnsi"/>
          <w:sz w:val="18"/>
          <w:szCs w:val="18"/>
          <w:lang w:val="pl-PL"/>
        </w:rPr>
        <w:t>ena u julu 2014. godine</w:t>
      </w:r>
      <w:r w:rsidRPr="00FC66BF">
        <w:rPr>
          <w:rFonts w:eastAsia="Times New Roman" w:cstheme="minorHAnsi"/>
          <w:sz w:val="18"/>
          <w:szCs w:val="18"/>
          <w:lang w:val="pl-PL"/>
        </w:rPr>
        <w:t>)</w:t>
      </w:r>
    </w:p>
    <w:p w14:paraId="479885E2" w14:textId="77777777" w:rsidR="00B72616" w:rsidRPr="00FC66BF" w:rsidRDefault="00B72616" w:rsidP="00FC66BF">
      <w:pPr>
        <w:pStyle w:val="ListParagraph"/>
        <w:numPr>
          <w:ilvl w:val="0"/>
          <w:numId w:val="32"/>
        </w:numPr>
        <w:spacing w:after="0" w:line="240" w:lineRule="auto"/>
        <w:rPr>
          <w:rFonts w:eastAsia="Times New Roman" w:cstheme="minorHAnsi"/>
          <w:sz w:val="18"/>
          <w:szCs w:val="18"/>
          <w:lang w:val="pl-PL"/>
        </w:rPr>
      </w:pPr>
      <w:r w:rsidRPr="00FC66BF">
        <w:rPr>
          <w:rFonts w:eastAsia="Times New Roman" w:cstheme="minorHAnsi"/>
          <w:bCs/>
          <w:sz w:val="18"/>
          <w:szCs w:val="18"/>
          <w:lang w:val="pl-PL"/>
        </w:rPr>
        <w:t>Strategija regionalnog razvoja Crne Gore 2023–2027</w:t>
      </w:r>
      <w:r w:rsidR="00087084" w:rsidRPr="00FC66BF">
        <w:rPr>
          <w:rFonts w:eastAsia="Times New Roman" w:cstheme="minorHAnsi"/>
          <w:sz w:val="18"/>
          <w:szCs w:val="18"/>
          <w:lang w:val="pl-PL"/>
        </w:rPr>
        <w:t>, (doneš</w:t>
      </w:r>
      <w:r w:rsidRPr="00FC66BF">
        <w:rPr>
          <w:rFonts w:eastAsia="Times New Roman" w:cstheme="minorHAnsi"/>
          <w:sz w:val="18"/>
          <w:szCs w:val="18"/>
          <w:lang w:val="pl-PL"/>
        </w:rPr>
        <w:t>ena 7. jula 2023. godine)</w:t>
      </w:r>
    </w:p>
    <w:p w14:paraId="415503FF" w14:textId="77777777" w:rsidR="00B72616" w:rsidRPr="0048184E" w:rsidRDefault="00B72616" w:rsidP="0048184E">
      <w:pPr>
        <w:spacing w:after="0" w:line="240" w:lineRule="auto"/>
        <w:jc w:val="both"/>
        <w:rPr>
          <w:rFonts w:cstheme="minorHAnsi"/>
          <w:sz w:val="18"/>
          <w:szCs w:val="18"/>
          <w:lang w:val="pl-PL"/>
        </w:rPr>
      </w:pPr>
    </w:p>
    <w:p w14:paraId="75871FC1" w14:textId="77777777" w:rsidR="00047530" w:rsidRPr="0048184E" w:rsidRDefault="00E63F00" w:rsidP="0048184E">
      <w:pPr>
        <w:spacing w:after="0" w:line="240" w:lineRule="auto"/>
        <w:jc w:val="both"/>
        <w:rPr>
          <w:rFonts w:cstheme="minorHAnsi"/>
          <w:sz w:val="18"/>
          <w:szCs w:val="18"/>
          <w:lang w:val="sr-Latn-ME"/>
        </w:rPr>
      </w:pPr>
      <w:r w:rsidRPr="0048184E">
        <w:rPr>
          <w:rFonts w:cstheme="minorHAnsi"/>
          <w:sz w:val="18"/>
          <w:szCs w:val="18"/>
          <w:lang w:val="sr-Latn-CS"/>
        </w:rPr>
        <w:t>Polazeći od preporuka procesa monitoringa S</w:t>
      </w:r>
      <w:r w:rsidR="00BD2D1E" w:rsidRPr="0048184E">
        <w:rPr>
          <w:rFonts w:cstheme="minorHAnsi"/>
          <w:sz w:val="18"/>
          <w:szCs w:val="18"/>
          <w:lang w:val="sr-Latn-ME"/>
        </w:rPr>
        <w:t>trategije</w:t>
      </w:r>
      <w:r w:rsidRPr="0048184E">
        <w:rPr>
          <w:rFonts w:cstheme="minorHAnsi"/>
          <w:sz w:val="18"/>
          <w:szCs w:val="18"/>
          <w:lang w:val="sr-Latn-ME"/>
        </w:rPr>
        <w:t xml:space="preserve"> regionalnog razvoja Crne Gore 2023-2027 (SRR 2023-2027</w:t>
      </w:r>
      <w:r w:rsidR="00B51193" w:rsidRPr="0048184E">
        <w:rPr>
          <w:rFonts w:cstheme="minorHAnsi"/>
          <w:sz w:val="18"/>
          <w:szCs w:val="18"/>
          <w:lang w:val="sr-Latn-ME"/>
        </w:rPr>
        <w:t>.</w:t>
      </w:r>
      <w:r w:rsidRPr="0048184E">
        <w:rPr>
          <w:rFonts w:cstheme="minorHAnsi"/>
          <w:sz w:val="18"/>
          <w:szCs w:val="18"/>
          <w:lang w:val="sr-Latn-ME"/>
        </w:rPr>
        <w:t>), kao i nove or</w:t>
      </w:r>
      <w:r w:rsidR="00087084">
        <w:rPr>
          <w:rFonts w:cstheme="minorHAnsi"/>
          <w:sz w:val="18"/>
          <w:szCs w:val="18"/>
          <w:lang w:val="sr-Latn-ME"/>
        </w:rPr>
        <w:t>ganizacione strukture 44. VCG</w:t>
      </w:r>
      <w:r w:rsidR="00B51193" w:rsidRPr="0048184E">
        <w:rPr>
          <w:rFonts w:cstheme="minorHAnsi"/>
          <w:sz w:val="18"/>
          <w:szCs w:val="18"/>
          <w:lang w:val="sr-Latn-ME"/>
        </w:rPr>
        <w:t>, u Programu rada VCG</w:t>
      </w:r>
      <w:r w:rsidRPr="0048184E">
        <w:rPr>
          <w:rFonts w:cstheme="minorHAnsi"/>
          <w:sz w:val="18"/>
          <w:szCs w:val="18"/>
          <w:lang w:val="sr-Latn-ME"/>
        </w:rPr>
        <w:t xml:space="preserve"> definisana je obaveza izrade Revidirane SRR 2023-2027.  </w:t>
      </w:r>
      <w:r w:rsidR="00B51193" w:rsidRPr="0048184E">
        <w:rPr>
          <w:rFonts w:cstheme="minorHAnsi"/>
          <w:sz w:val="18"/>
          <w:szCs w:val="18"/>
          <w:lang w:val="sr-Latn-ME"/>
        </w:rPr>
        <w:t xml:space="preserve">Važećom </w:t>
      </w:r>
      <w:r w:rsidRPr="0048184E">
        <w:rPr>
          <w:rFonts w:cstheme="minorHAnsi"/>
          <w:sz w:val="18"/>
          <w:szCs w:val="18"/>
          <w:lang w:val="sr-Latn-ME"/>
        </w:rPr>
        <w:t>SRR 2023-2027</w:t>
      </w:r>
      <w:r w:rsidR="00B51193" w:rsidRPr="0048184E">
        <w:rPr>
          <w:rFonts w:cstheme="minorHAnsi"/>
          <w:sz w:val="18"/>
          <w:szCs w:val="18"/>
          <w:lang w:val="sr-Latn-ME"/>
        </w:rPr>
        <w:t>.</w:t>
      </w:r>
      <w:r w:rsidRPr="0048184E">
        <w:rPr>
          <w:rFonts w:cstheme="minorHAnsi"/>
          <w:sz w:val="18"/>
          <w:szCs w:val="18"/>
          <w:lang w:val="sr-Latn-ME"/>
        </w:rPr>
        <w:t xml:space="preserve"> utvrđeni su</w:t>
      </w:r>
      <w:r w:rsidR="00047530" w:rsidRPr="0048184E">
        <w:rPr>
          <w:rFonts w:cstheme="minorHAnsi"/>
          <w:sz w:val="18"/>
          <w:szCs w:val="18"/>
          <w:lang w:val="sr-Latn-ME"/>
        </w:rPr>
        <w:t xml:space="preserve"> ciljevi, prioriteti i aktivnosti radi smanjivanja regionalnih nejednakosti.</w:t>
      </w:r>
      <w:r w:rsidR="00B51193" w:rsidRPr="0048184E">
        <w:rPr>
          <w:rFonts w:cstheme="minorHAnsi"/>
          <w:sz w:val="18"/>
          <w:szCs w:val="18"/>
          <w:lang w:val="sr-Latn-ME"/>
        </w:rPr>
        <w:t xml:space="preserve"> SRR 2023-2027.</w:t>
      </w:r>
      <w:r w:rsidR="001838F3" w:rsidRPr="0048184E">
        <w:rPr>
          <w:rFonts w:cstheme="minorHAnsi"/>
          <w:sz w:val="18"/>
          <w:szCs w:val="18"/>
          <w:lang w:val="sr-Latn-ME"/>
        </w:rPr>
        <w:t xml:space="preserve"> je definisana vizija, strateški i operativni ciljevi. Za praćenje uspješnosti ostvarenja SRR 2023-2027. definisani su indikatori za strateške i operativne ciljeve, na nivou sva tri regiona.</w:t>
      </w:r>
    </w:p>
    <w:p w14:paraId="5BDA3250" w14:textId="77777777" w:rsidR="0058745D" w:rsidRPr="0048184E" w:rsidRDefault="0058745D" w:rsidP="0048184E">
      <w:pPr>
        <w:spacing w:after="0" w:line="240" w:lineRule="auto"/>
        <w:jc w:val="both"/>
        <w:rPr>
          <w:rFonts w:cstheme="minorHAnsi"/>
          <w:sz w:val="18"/>
          <w:szCs w:val="18"/>
          <w:lang w:val="sr-Latn-ME"/>
        </w:rPr>
      </w:pPr>
    </w:p>
    <w:p w14:paraId="5CC90300" w14:textId="77777777" w:rsidR="00047530" w:rsidRPr="0048184E" w:rsidRDefault="00B51193" w:rsidP="0048184E">
      <w:pPr>
        <w:spacing w:after="0" w:line="240" w:lineRule="auto"/>
        <w:jc w:val="both"/>
        <w:rPr>
          <w:rFonts w:cstheme="minorHAnsi"/>
          <w:sz w:val="18"/>
          <w:szCs w:val="18"/>
          <w:lang w:val="sr-Latn-ME"/>
        </w:rPr>
      </w:pPr>
      <w:r w:rsidRPr="0048184E">
        <w:rPr>
          <w:rFonts w:cstheme="minorHAnsi"/>
          <w:sz w:val="18"/>
          <w:szCs w:val="18"/>
          <w:lang w:val="sr-Latn-ME"/>
        </w:rPr>
        <w:t>U skladu s</w:t>
      </w:r>
      <w:r w:rsidR="00047530" w:rsidRPr="0048184E">
        <w:rPr>
          <w:rFonts w:cstheme="minorHAnsi"/>
          <w:sz w:val="18"/>
          <w:szCs w:val="18"/>
          <w:lang w:val="sr-Latn-ME"/>
        </w:rPr>
        <w:t xml:space="preserve"> vizijom SRR 2023-2027</w:t>
      </w:r>
      <w:r w:rsidRPr="0048184E">
        <w:rPr>
          <w:rFonts w:cstheme="minorHAnsi"/>
          <w:sz w:val="18"/>
          <w:szCs w:val="18"/>
          <w:lang w:val="sr-Latn-ME"/>
        </w:rPr>
        <w:t>.</w:t>
      </w:r>
      <w:r w:rsidR="00047530" w:rsidRPr="0048184E">
        <w:rPr>
          <w:rFonts w:cstheme="minorHAnsi"/>
          <w:sz w:val="18"/>
          <w:szCs w:val="18"/>
          <w:lang w:val="sr-Latn-ME"/>
        </w:rPr>
        <w:t xml:space="preserve">  definisana su tri strateška cilja: </w:t>
      </w:r>
    </w:p>
    <w:p w14:paraId="2684EBF8" w14:textId="77777777" w:rsidR="00047530" w:rsidRPr="0048184E" w:rsidRDefault="00B51193" w:rsidP="0048184E">
      <w:pPr>
        <w:numPr>
          <w:ilvl w:val="0"/>
          <w:numId w:val="4"/>
        </w:numPr>
        <w:spacing w:after="0" w:line="240" w:lineRule="auto"/>
        <w:contextualSpacing/>
        <w:jc w:val="both"/>
        <w:rPr>
          <w:rFonts w:eastAsia="Calibri" w:cstheme="minorHAnsi"/>
          <w:sz w:val="18"/>
          <w:szCs w:val="18"/>
          <w:lang w:val="sr-Latn-ME"/>
        </w:rPr>
      </w:pPr>
      <w:r w:rsidRPr="0048184E">
        <w:rPr>
          <w:rFonts w:eastAsia="Calibri" w:cstheme="minorHAnsi"/>
          <w:sz w:val="18"/>
          <w:szCs w:val="18"/>
          <w:lang w:val="sr-Latn-ME"/>
        </w:rPr>
        <w:t>j</w:t>
      </w:r>
      <w:r w:rsidR="00047530" w:rsidRPr="0048184E">
        <w:rPr>
          <w:rFonts w:eastAsia="Calibri" w:cstheme="minorHAnsi"/>
          <w:sz w:val="18"/>
          <w:szCs w:val="18"/>
          <w:lang w:val="sr-Latn-ME"/>
        </w:rPr>
        <w:t>ačanje funkcionalnosti JLS kroz sistemsko upravljanje regionalnim razvojem</w:t>
      </w:r>
      <w:r w:rsidR="00B77CE8" w:rsidRPr="0048184E">
        <w:rPr>
          <w:rFonts w:eastAsia="Calibri" w:cstheme="minorHAnsi"/>
          <w:sz w:val="18"/>
          <w:szCs w:val="18"/>
          <w:lang w:val="sr-Latn-ME"/>
        </w:rPr>
        <w:t>,</w:t>
      </w:r>
    </w:p>
    <w:p w14:paraId="545D622F" w14:textId="77777777" w:rsidR="00047530" w:rsidRPr="0048184E" w:rsidRDefault="00B51193" w:rsidP="0048184E">
      <w:pPr>
        <w:numPr>
          <w:ilvl w:val="0"/>
          <w:numId w:val="4"/>
        </w:numPr>
        <w:spacing w:after="0" w:line="240" w:lineRule="auto"/>
        <w:contextualSpacing/>
        <w:jc w:val="both"/>
        <w:rPr>
          <w:rFonts w:eastAsia="Calibri" w:cstheme="minorHAnsi"/>
          <w:sz w:val="18"/>
          <w:szCs w:val="18"/>
          <w:lang w:val="sr-Latn-ME"/>
        </w:rPr>
      </w:pPr>
      <w:r w:rsidRPr="0048184E">
        <w:rPr>
          <w:rFonts w:eastAsia="Calibri" w:cstheme="minorHAnsi"/>
          <w:sz w:val="18"/>
          <w:szCs w:val="18"/>
          <w:lang w:val="sr-Latn-ME"/>
        </w:rPr>
        <w:t>o</w:t>
      </w:r>
      <w:r w:rsidR="00047530" w:rsidRPr="0048184E">
        <w:rPr>
          <w:rFonts w:eastAsia="Calibri" w:cstheme="minorHAnsi"/>
          <w:sz w:val="18"/>
          <w:szCs w:val="18"/>
          <w:lang w:val="sr-Latn-ME"/>
        </w:rPr>
        <w:t>stvarenje održivog ekonomskog razvoja regiona kroz jačanje ljudskih potencijala i podsticanje zapošljavanja radi poboljšanja kvaliteta života</w:t>
      </w:r>
      <w:r w:rsidR="00B77CE8" w:rsidRPr="0048184E">
        <w:rPr>
          <w:rFonts w:eastAsia="Calibri" w:cstheme="minorHAnsi"/>
          <w:sz w:val="18"/>
          <w:szCs w:val="18"/>
          <w:lang w:val="sr-Latn-ME"/>
        </w:rPr>
        <w:t>,</w:t>
      </w:r>
    </w:p>
    <w:p w14:paraId="1D8C7DCB" w14:textId="77777777" w:rsidR="001A11B4" w:rsidRPr="0048184E" w:rsidRDefault="00B51193" w:rsidP="0048184E">
      <w:pPr>
        <w:numPr>
          <w:ilvl w:val="0"/>
          <w:numId w:val="4"/>
        </w:numPr>
        <w:spacing w:after="0" w:line="240" w:lineRule="auto"/>
        <w:contextualSpacing/>
        <w:jc w:val="both"/>
        <w:rPr>
          <w:rFonts w:eastAsia="Calibri" w:cstheme="minorHAnsi"/>
          <w:sz w:val="18"/>
          <w:szCs w:val="18"/>
          <w:lang w:val="sr-Latn-ME"/>
        </w:rPr>
      </w:pPr>
      <w:r w:rsidRPr="0048184E">
        <w:rPr>
          <w:rFonts w:eastAsia="Calibri" w:cstheme="minorHAnsi"/>
          <w:sz w:val="18"/>
          <w:szCs w:val="18"/>
          <w:lang w:val="sr-Latn-ME"/>
        </w:rPr>
        <w:t>p</w:t>
      </w:r>
      <w:r w:rsidR="00047530" w:rsidRPr="0048184E">
        <w:rPr>
          <w:rFonts w:eastAsia="Calibri" w:cstheme="minorHAnsi"/>
          <w:sz w:val="18"/>
          <w:szCs w:val="18"/>
          <w:lang w:val="sr-Latn-ME"/>
        </w:rPr>
        <w:t>ovećanje konkurentnosti regiona zasnovano na unaprjeđenju infrastrukture, poboljšanju poslovnog ambijenta i razvoj prioritetnih sektora i sektora sa potencijalom rasta</w:t>
      </w:r>
      <w:r w:rsidR="00B77CE8" w:rsidRPr="0048184E">
        <w:rPr>
          <w:rFonts w:eastAsia="Calibri" w:cstheme="minorHAnsi"/>
          <w:sz w:val="18"/>
          <w:szCs w:val="18"/>
          <w:lang w:val="sr-Latn-ME"/>
        </w:rPr>
        <w:t>.</w:t>
      </w:r>
    </w:p>
    <w:p w14:paraId="31C28A9F" w14:textId="77777777" w:rsidR="001A11B4" w:rsidRPr="0048184E" w:rsidRDefault="001A11B4" w:rsidP="0048184E">
      <w:pPr>
        <w:spacing w:after="0" w:line="240" w:lineRule="auto"/>
        <w:contextualSpacing/>
        <w:jc w:val="both"/>
        <w:rPr>
          <w:rFonts w:eastAsia="Calibri" w:cstheme="minorHAnsi"/>
          <w:sz w:val="18"/>
          <w:szCs w:val="18"/>
          <w:lang w:val="sr-Latn-ME"/>
        </w:rPr>
      </w:pPr>
    </w:p>
    <w:p w14:paraId="0F4CC03E" w14:textId="77777777" w:rsidR="001A11B4" w:rsidRPr="0048184E" w:rsidRDefault="00B77CE8" w:rsidP="0048184E">
      <w:pPr>
        <w:spacing w:after="0" w:line="240" w:lineRule="auto"/>
        <w:contextualSpacing/>
        <w:jc w:val="both"/>
        <w:rPr>
          <w:rFonts w:cstheme="minorHAnsi"/>
          <w:sz w:val="18"/>
          <w:szCs w:val="18"/>
          <w:lang w:val="sr-Latn-ME"/>
        </w:rPr>
      </w:pPr>
      <w:r w:rsidRPr="0048184E">
        <w:rPr>
          <w:rFonts w:cstheme="minorHAnsi"/>
          <w:sz w:val="18"/>
          <w:szCs w:val="18"/>
          <w:lang w:val="sr-Latn-ME"/>
        </w:rPr>
        <w:t>Realizacija gore</w:t>
      </w:r>
      <w:r w:rsidR="00122DAF" w:rsidRPr="0048184E">
        <w:rPr>
          <w:rFonts w:cstheme="minorHAnsi"/>
          <w:sz w:val="18"/>
          <w:szCs w:val="18"/>
          <w:lang w:val="sr-Latn-ME"/>
        </w:rPr>
        <w:t xml:space="preserve"> navedeni</w:t>
      </w:r>
      <w:r w:rsidRPr="0048184E">
        <w:rPr>
          <w:rFonts w:cstheme="minorHAnsi"/>
          <w:sz w:val="18"/>
          <w:szCs w:val="18"/>
          <w:lang w:val="sr-Latn-ME"/>
        </w:rPr>
        <w:t>h ciljeva, u konačnom, treba da dovede do</w:t>
      </w:r>
      <w:r w:rsidR="001A11B4" w:rsidRPr="0048184E">
        <w:rPr>
          <w:rFonts w:cstheme="minorHAnsi"/>
          <w:sz w:val="18"/>
          <w:szCs w:val="18"/>
          <w:lang w:val="sr-Latn-ME"/>
        </w:rPr>
        <w:t xml:space="preserve"> povećan</w:t>
      </w:r>
      <w:r w:rsidRPr="0048184E">
        <w:rPr>
          <w:rFonts w:cstheme="minorHAnsi"/>
          <w:sz w:val="18"/>
          <w:szCs w:val="18"/>
          <w:lang w:val="sr-Latn-ME"/>
        </w:rPr>
        <w:t>je kvaliteta života svih građanki i građana</w:t>
      </w:r>
      <w:r w:rsidR="001A11B4" w:rsidRPr="0048184E">
        <w:rPr>
          <w:rFonts w:cstheme="minorHAnsi"/>
          <w:sz w:val="18"/>
          <w:szCs w:val="18"/>
          <w:lang w:val="sr-Latn-ME"/>
        </w:rPr>
        <w:t>, kroz veću zap</w:t>
      </w:r>
      <w:r w:rsidRPr="0048184E">
        <w:rPr>
          <w:rFonts w:cstheme="minorHAnsi"/>
          <w:sz w:val="18"/>
          <w:szCs w:val="18"/>
          <w:lang w:val="sr-Latn-ME"/>
        </w:rPr>
        <w:t>ošljivost i dohodak per capita, kao i</w:t>
      </w:r>
      <w:r w:rsidR="001A11B4" w:rsidRPr="0048184E">
        <w:rPr>
          <w:rFonts w:cstheme="minorHAnsi"/>
          <w:sz w:val="18"/>
          <w:szCs w:val="18"/>
          <w:lang w:val="sr-Latn-ME"/>
        </w:rPr>
        <w:t xml:space="preserve"> posljedično smanjenje r</w:t>
      </w:r>
      <w:r w:rsidR="00122DAF" w:rsidRPr="0048184E">
        <w:rPr>
          <w:rFonts w:cstheme="minorHAnsi"/>
          <w:sz w:val="18"/>
          <w:szCs w:val="18"/>
          <w:lang w:val="sr-Latn-ME"/>
        </w:rPr>
        <w:t>izika od siromaš</w:t>
      </w:r>
      <w:r w:rsidR="00BD2D1E" w:rsidRPr="0048184E">
        <w:rPr>
          <w:rFonts w:cstheme="minorHAnsi"/>
          <w:sz w:val="18"/>
          <w:szCs w:val="18"/>
          <w:lang w:val="sr-Latn-ME"/>
        </w:rPr>
        <w:t>tva i migracija, što je u skladu</w:t>
      </w:r>
      <w:r w:rsidRPr="0048184E">
        <w:rPr>
          <w:rFonts w:cstheme="minorHAnsi"/>
          <w:sz w:val="18"/>
          <w:szCs w:val="18"/>
          <w:lang w:val="sr-Latn-ME"/>
        </w:rPr>
        <w:t xml:space="preserve"> sa vizijom SRR 2023.2027.</w:t>
      </w:r>
      <w:r w:rsidR="00122DAF" w:rsidRPr="0048184E">
        <w:rPr>
          <w:rFonts w:cstheme="minorHAnsi"/>
          <w:sz w:val="18"/>
          <w:szCs w:val="18"/>
          <w:lang w:val="sr-Latn-ME"/>
        </w:rPr>
        <w:t>: „</w:t>
      </w:r>
      <w:r w:rsidR="00122DAF" w:rsidRPr="0048184E">
        <w:rPr>
          <w:rFonts w:cstheme="minorHAnsi"/>
          <w:i/>
          <w:sz w:val="18"/>
          <w:szCs w:val="18"/>
          <w:lang w:val="sr-Latn-ME"/>
        </w:rPr>
        <w:t>Ravnomjerniji regionalni razvoj za život po mjeri čovjeka, zasnovan na konkurentnosti, inovativnosti, unaprjeđenju ljudskog kapitala, digitalizaciji, dekarbonizaciji i socijalnoj inkluziji</w:t>
      </w:r>
      <w:r w:rsidR="00122DAF" w:rsidRPr="0048184E">
        <w:rPr>
          <w:rFonts w:cstheme="minorHAnsi"/>
          <w:sz w:val="18"/>
          <w:szCs w:val="18"/>
          <w:lang w:val="sr-Latn-ME"/>
        </w:rPr>
        <w:t>“.</w:t>
      </w:r>
    </w:p>
    <w:p w14:paraId="0E77D322" w14:textId="77777777" w:rsidR="00ED768F" w:rsidRPr="0048184E" w:rsidRDefault="00ED768F" w:rsidP="0048184E">
      <w:pPr>
        <w:spacing w:after="0" w:line="240" w:lineRule="auto"/>
        <w:contextualSpacing/>
        <w:jc w:val="both"/>
        <w:rPr>
          <w:rFonts w:eastAsia="Calibri" w:cstheme="minorHAnsi"/>
          <w:sz w:val="18"/>
          <w:szCs w:val="18"/>
          <w:lang w:val="sr-Latn-ME"/>
        </w:rPr>
      </w:pPr>
    </w:p>
    <w:p w14:paraId="25EB7334" w14:textId="77777777" w:rsidR="00B578C8" w:rsidRPr="003C2A72" w:rsidRDefault="001B5D8F" w:rsidP="0048184E">
      <w:pPr>
        <w:pStyle w:val="Heading2"/>
        <w:numPr>
          <w:ilvl w:val="0"/>
          <w:numId w:val="26"/>
        </w:numPr>
        <w:spacing w:before="0" w:line="240" w:lineRule="auto"/>
        <w:rPr>
          <w:rFonts w:asciiTheme="minorHAnsi" w:hAnsiTheme="minorHAnsi"/>
        </w:rPr>
      </w:pPr>
      <w:bookmarkStart w:id="2" w:name="_Toc205215822"/>
      <w:r w:rsidRPr="003C2A72">
        <w:rPr>
          <w:rFonts w:asciiTheme="minorHAnsi" w:hAnsiTheme="minorHAnsi"/>
        </w:rPr>
        <w:t>Značaj Strategije regionalnog razvoja</w:t>
      </w:r>
      <w:bookmarkEnd w:id="2"/>
    </w:p>
    <w:p w14:paraId="54AF600A" w14:textId="77777777" w:rsidR="00ED768F" w:rsidRPr="0048184E" w:rsidRDefault="00ED768F" w:rsidP="0048184E">
      <w:pPr>
        <w:pStyle w:val="Heading2"/>
        <w:spacing w:before="0" w:line="240" w:lineRule="auto"/>
        <w:rPr>
          <w:rFonts w:asciiTheme="minorHAnsi" w:hAnsiTheme="minorHAnsi"/>
          <w:color w:val="auto"/>
          <w:sz w:val="18"/>
          <w:szCs w:val="18"/>
        </w:rPr>
      </w:pPr>
    </w:p>
    <w:p w14:paraId="67044AC7" w14:textId="77777777" w:rsidR="005A519B" w:rsidRPr="0048184E" w:rsidRDefault="00B72616" w:rsidP="0048184E">
      <w:pPr>
        <w:spacing w:after="0" w:line="240" w:lineRule="auto"/>
        <w:jc w:val="both"/>
        <w:rPr>
          <w:sz w:val="18"/>
          <w:szCs w:val="18"/>
          <w:lang w:val="pl-PL"/>
        </w:rPr>
      </w:pPr>
      <w:r w:rsidRPr="0048184E">
        <w:rPr>
          <w:rFonts w:cstheme="minorHAnsi"/>
          <w:bCs/>
          <w:sz w:val="18"/>
          <w:szCs w:val="18"/>
          <w:lang w:val="sr-Latn-ME"/>
        </w:rPr>
        <w:t>Jedan od klj</w:t>
      </w:r>
      <w:r w:rsidR="00650C22" w:rsidRPr="0048184E">
        <w:rPr>
          <w:rFonts w:cstheme="minorHAnsi"/>
          <w:bCs/>
          <w:sz w:val="18"/>
          <w:szCs w:val="18"/>
          <w:lang w:val="sr-Latn-ME"/>
        </w:rPr>
        <w:t>učnih prioriteta VCG</w:t>
      </w:r>
      <w:r w:rsidRPr="0048184E">
        <w:rPr>
          <w:rFonts w:cstheme="minorHAnsi"/>
          <w:bCs/>
          <w:sz w:val="18"/>
          <w:szCs w:val="18"/>
          <w:lang w:val="sr-Latn-ME"/>
        </w:rPr>
        <w:t xml:space="preserve"> je uravnotežen socio-ekonomski rast na cjelokupnoj teritoriji države. </w:t>
      </w:r>
      <w:r w:rsidR="005A519B" w:rsidRPr="0048184E">
        <w:rPr>
          <w:sz w:val="18"/>
          <w:szCs w:val="18"/>
          <w:lang w:val="pl-PL"/>
        </w:rPr>
        <w:t xml:space="preserve">Crna Gora je zemlja kandidat za ulazak u EU, za koju se očekuje da će biti </w:t>
      </w:r>
      <w:r w:rsidR="00650C22" w:rsidRPr="0048184E">
        <w:rPr>
          <w:sz w:val="18"/>
          <w:szCs w:val="18"/>
          <w:lang w:val="pl-PL"/>
        </w:rPr>
        <w:t>prva naredna (28.)</w:t>
      </w:r>
      <w:r w:rsidR="005A519B" w:rsidRPr="0048184E">
        <w:rPr>
          <w:sz w:val="18"/>
          <w:szCs w:val="18"/>
          <w:lang w:val="pl-PL"/>
        </w:rPr>
        <w:t xml:space="preserve"> članica EU. Kao buduća članica EU politika regionalnog razvoja mora biti je</w:t>
      </w:r>
      <w:r w:rsidR="00650C22" w:rsidRPr="0048184E">
        <w:rPr>
          <w:sz w:val="18"/>
          <w:szCs w:val="18"/>
          <w:lang w:val="pl-PL"/>
        </w:rPr>
        <w:t>dna od prioritenih politika što je  slučaj u</w:t>
      </w:r>
      <w:r w:rsidR="005A519B" w:rsidRPr="0048184E">
        <w:rPr>
          <w:sz w:val="18"/>
          <w:szCs w:val="18"/>
          <w:lang w:val="pl-PL"/>
        </w:rPr>
        <w:t xml:space="preserve"> </w:t>
      </w:r>
      <w:r w:rsidR="00650C22" w:rsidRPr="0048184E">
        <w:rPr>
          <w:sz w:val="18"/>
          <w:szCs w:val="18"/>
          <w:lang w:val="pl-PL"/>
        </w:rPr>
        <w:t xml:space="preserve">svim članicam </w:t>
      </w:r>
      <w:r w:rsidR="005A519B" w:rsidRPr="0048184E">
        <w:rPr>
          <w:sz w:val="18"/>
          <w:szCs w:val="18"/>
          <w:lang w:val="pl-PL"/>
        </w:rPr>
        <w:t>EU. Regionalna politika EU je razvojna politika koja nije samo usmjerena na usko shvaćeni regionalni razvoj već i na cjelokupan razvoj svih regiona EU.  Iako je regiona</w:t>
      </w:r>
      <w:r w:rsidR="00650C22" w:rsidRPr="0048184E">
        <w:rPr>
          <w:sz w:val="18"/>
          <w:szCs w:val="18"/>
          <w:lang w:val="pl-PL"/>
        </w:rPr>
        <w:t>lni razvoj već više godina jedna</w:t>
      </w:r>
      <w:r w:rsidR="005A519B" w:rsidRPr="0048184E">
        <w:rPr>
          <w:sz w:val="18"/>
          <w:szCs w:val="18"/>
          <w:lang w:val="pl-PL"/>
        </w:rPr>
        <w:t xml:space="preserve"> od najaktuelnih društveno-poličkih i socio-ekonomskih tema u Crnoj Gori, nažalost Crna Gora je država </w:t>
      </w:r>
      <w:r w:rsidR="00650C22" w:rsidRPr="0048184E">
        <w:rPr>
          <w:sz w:val="18"/>
          <w:szCs w:val="18"/>
          <w:lang w:val="pl-PL"/>
        </w:rPr>
        <w:t>sa jako izraženim region</w:t>
      </w:r>
      <w:r w:rsidR="006F0AEE">
        <w:rPr>
          <w:sz w:val="18"/>
          <w:szCs w:val="18"/>
          <w:lang w:val="pl-PL"/>
        </w:rPr>
        <w:t>alnim razlikama, naročito izmeđ</w:t>
      </w:r>
      <w:r w:rsidR="00650C22" w:rsidRPr="0048184E">
        <w:rPr>
          <w:sz w:val="18"/>
          <w:szCs w:val="18"/>
          <w:lang w:val="pl-PL"/>
        </w:rPr>
        <w:t>u juga i sjevera države</w:t>
      </w:r>
      <w:r w:rsidR="005A519B" w:rsidRPr="0048184E">
        <w:rPr>
          <w:sz w:val="18"/>
          <w:szCs w:val="18"/>
          <w:lang w:val="pl-PL"/>
        </w:rPr>
        <w:t xml:space="preserve">. Riječ je o sistemskom problemu koji zahtijeva multidisciplinarni pristup rješavanju. </w:t>
      </w:r>
    </w:p>
    <w:p w14:paraId="2AB5AAC2" w14:textId="77777777" w:rsidR="005A519B" w:rsidRPr="0048184E" w:rsidRDefault="005A519B" w:rsidP="0048184E">
      <w:pPr>
        <w:spacing w:after="0" w:line="240" w:lineRule="auto"/>
        <w:jc w:val="both"/>
        <w:rPr>
          <w:sz w:val="18"/>
          <w:szCs w:val="18"/>
          <w:lang w:val="pl-PL"/>
        </w:rPr>
      </w:pPr>
    </w:p>
    <w:p w14:paraId="16648EA0" w14:textId="77777777" w:rsidR="005A519B" w:rsidRPr="00735803" w:rsidRDefault="005A519B" w:rsidP="00735803">
      <w:pPr>
        <w:spacing w:after="0" w:line="240" w:lineRule="auto"/>
        <w:jc w:val="both"/>
        <w:rPr>
          <w:sz w:val="18"/>
          <w:szCs w:val="18"/>
          <w:lang w:val="pl-PL"/>
        </w:rPr>
      </w:pPr>
      <w:r w:rsidRPr="0048184E">
        <w:rPr>
          <w:sz w:val="18"/>
          <w:szCs w:val="18"/>
          <w:lang w:val="pl-PL"/>
        </w:rPr>
        <w:t>Nastanak i razvo</w:t>
      </w:r>
      <w:r w:rsidR="00650C22" w:rsidRPr="0048184E">
        <w:rPr>
          <w:sz w:val="18"/>
          <w:szCs w:val="18"/>
          <w:lang w:val="pl-PL"/>
        </w:rPr>
        <w:t>j politike regionalnog razvoja u</w:t>
      </w:r>
      <w:r w:rsidR="00A445B6" w:rsidRPr="0048184E">
        <w:rPr>
          <w:sz w:val="18"/>
          <w:szCs w:val="18"/>
          <w:lang w:val="pl-PL"/>
        </w:rPr>
        <w:t xml:space="preserve"> Crnoj Gori dominanto je u vezi sa</w:t>
      </w:r>
      <w:r w:rsidRPr="0048184E">
        <w:rPr>
          <w:sz w:val="18"/>
          <w:szCs w:val="18"/>
          <w:lang w:val="pl-PL"/>
        </w:rPr>
        <w:t xml:space="preserve"> pokušaj</w:t>
      </w:r>
      <w:r w:rsidR="00A445B6" w:rsidRPr="0048184E">
        <w:rPr>
          <w:sz w:val="18"/>
          <w:szCs w:val="18"/>
          <w:lang w:val="pl-PL"/>
        </w:rPr>
        <w:t>em</w:t>
      </w:r>
      <w:r w:rsidRPr="0048184E">
        <w:rPr>
          <w:sz w:val="18"/>
          <w:szCs w:val="18"/>
          <w:lang w:val="pl-PL"/>
        </w:rPr>
        <w:t xml:space="preserve"> smanjenja postojećih socijalnih i ekonomskih razlika naročito između opština Sjevern</w:t>
      </w:r>
      <w:r w:rsidR="00735803">
        <w:rPr>
          <w:sz w:val="18"/>
          <w:szCs w:val="18"/>
          <w:lang w:val="pl-PL"/>
        </w:rPr>
        <w:t xml:space="preserve">og regiona  i ostalih regiona. </w:t>
      </w:r>
    </w:p>
    <w:p w14:paraId="2AC041CE" w14:textId="77777777" w:rsidR="005A519B" w:rsidRPr="0048184E" w:rsidRDefault="005A519B" w:rsidP="0048184E">
      <w:pPr>
        <w:tabs>
          <w:tab w:val="left" w:pos="1077"/>
        </w:tabs>
        <w:spacing w:after="0" w:line="240" w:lineRule="auto"/>
        <w:jc w:val="both"/>
        <w:rPr>
          <w:rFonts w:cstheme="minorHAnsi"/>
          <w:bCs/>
          <w:sz w:val="18"/>
          <w:szCs w:val="18"/>
          <w:lang w:val="sr-Latn-ME"/>
        </w:rPr>
      </w:pPr>
    </w:p>
    <w:p w14:paraId="2CA93FB9" w14:textId="77777777" w:rsidR="00B578C8" w:rsidRPr="0048184E" w:rsidRDefault="00B578C8" w:rsidP="0048184E">
      <w:pPr>
        <w:tabs>
          <w:tab w:val="left" w:pos="1077"/>
        </w:tabs>
        <w:spacing w:after="0" w:line="240" w:lineRule="auto"/>
        <w:jc w:val="both"/>
        <w:rPr>
          <w:sz w:val="18"/>
          <w:szCs w:val="18"/>
          <w:lang w:val="sr-Latn-ME"/>
        </w:rPr>
      </w:pPr>
      <w:r w:rsidRPr="0048184E">
        <w:rPr>
          <w:rFonts w:cstheme="minorHAnsi"/>
          <w:bCs/>
          <w:sz w:val="18"/>
          <w:szCs w:val="18"/>
          <w:lang w:val="sr-Latn-ME"/>
        </w:rPr>
        <w:t>Kao jedan statistički region, Crna Gora je, prema</w:t>
      </w:r>
      <w:r w:rsidR="007079B7" w:rsidRPr="0048184E">
        <w:rPr>
          <w:rFonts w:cstheme="minorHAnsi"/>
          <w:bCs/>
          <w:sz w:val="18"/>
          <w:szCs w:val="18"/>
          <w:lang w:val="sr-Latn-ME"/>
        </w:rPr>
        <w:t xml:space="preserve"> </w:t>
      </w:r>
      <w:r w:rsidR="00932C2D" w:rsidRPr="0048184E">
        <w:rPr>
          <w:rFonts w:cstheme="minorHAnsi"/>
          <w:bCs/>
          <w:sz w:val="18"/>
          <w:szCs w:val="18"/>
          <w:lang w:val="sr-Latn-ME"/>
        </w:rPr>
        <w:t>podacima Eurostata, dostigla 54</w:t>
      </w:r>
      <w:r w:rsidRPr="0048184E">
        <w:rPr>
          <w:rFonts w:cstheme="minorHAnsi"/>
          <w:bCs/>
          <w:sz w:val="18"/>
          <w:szCs w:val="18"/>
          <w:lang w:val="sr-Latn-ME"/>
        </w:rPr>
        <w:t>% prosjeka razvijenost</w:t>
      </w:r>
      <w:r w:rsidR="00DB2402" w:rsidRPr="0048184E">
        <w:rPr>
          <w:rFonts w:cstheme="minorHAnsi"/>
          <w:bCs/>
          <w:sz w:val="18"/>
          <w:szCs w:val="18"/>
          <w:lang w:val="sr-Latn-ME"/>
        </w:rPr>
        <w:t>i EU–27</w:t>
      </w:r>
      <w:r w:rsidR="00932C2D" w:rsidRPr="0048184E">
        <w:rPr>
          <w:rFonts w:cstheme="minorHAnsi"/>
          <w:bCs/>
          <w:sz w:val="18"/>
          <w:szCs w:val="18"/>
          <w:lang w:val="sr-Latn-ME"/>
        </w:rPr>
        <w:t xml:space="preserve"> u 2024.</w:t>
      </w:r>
      <w:r w:rsidR="00A445B6" w:rsidRPr="0048184E">
        <w:rPr>
          <w:rFonts w:cstheme="minorHAnsi"/>
          <w:bCs/>
          <w:sz w:val="18"/>
          <w:szCs w:val="18"/>
          <w:lang w:val="sr-Latn-ME"/>
        </w:rPr>
        <w:t xml:space="preserve"> </w:t>
      </w:r>
      <w:r w:rsidR="00932C2D" w:rsidRPr="0048184E">
        <w:rPr>
          <w:rFonts w:cstheme="minorHAnsi"/>
          <w:bCs/>
          <w:sz w:val="18"/>
          <w:szCs w:val="18"/>
          <w:lang w:val="sr-Latn-ME"/>
        </w:rPr>
        <w:t>godini</w:t>
      </w:r>
      <w:r w:rsidR="00DB2402" w:rsidRPr="0048184E">
        <w:rPr>
          <w:rFonts w:cstheme="minorHAnsi"/>
          <w:bCs/>
          <w:sz w:val="18"/>
          <w:szCs w:val="18"/>
          <w:lang w:val="sr-Latn-ME"/>
        </w:rPr>
        <w:t xml:space="preserve">, mjereno BDP PPS, što je povećanje </w:t>
      </w:r>
      <w:r w:rsidR="00932C2D" w:rsidRPr="0048184E">
        <w:rPr>
          <w:rFonts w:cstheme="minorHAnsi"/>
          <w:bCs/>
          <w:sz w:val="18"/>
          <w:szCs w:val="18"/>
          <w:lang w:val="sr-Latn-ME"/>
        </w:rPr>
        <w:t>u odnosu na 2023</w:t>
      </w:r>
      <w:r w:rsidR="00DB2402" w:rsidRPr="0048184E">
        <w:rPr>
          <w:rFonts w:cstheme="minorHAnsi"/>
          <w:bCs/>
          <w:sz w:val="18"/>
          <w:szCs w:val="18"/>
          <w:lang w:val="sr-Latn-ME"/>
        </w:rPr>
        <w:t>.</w:t>
      </w:r>
      <w:r w:rsidR="007079B7" w:rsidRPr="0048184E">
        <w:rPr>
          <w:rFonts w:cstheme="minorHAnsi"/>
          <w:bCs/>
          <w:sz w:val="18"/>
          <w:szCs w:val="18"/>
          <w:lang w:val="sr-Latn-ME"/>
        </w:rPr>
        <w:t xml:space="preserve"> </w:t>
      </w:r>
      <w:r w:rsidR="00932C2D" w:rsidRPr="0048184E">
        <w:rPr>
          <w:rFonts w:cstheme="minorHAnsi"/>
          <w:bCs/>
          <w:sz w:val="18"/>
          <w:szCs w:val="18"/>
          <w:lang w:val="sr-Latn-ME"/>
        </w:rPr>
        <w:t>godinu kada je taj parametar iznosio 52</w:t>
      </w:r>
      <w:r w:rsidR="00DB2402" w:rsidRPr="0048184E">
        <w:rPr>
          <w:rFonts w:cstheme="minorHAnsi"/>
          <w:bCs/>
          <w:sz w:val="18"/>
          <w:szCs w:val="18"/>
          <w:lang w:val="sr-Latn-ME"/>
        </w:rPr>
        <w:t>%</w:t>
      </w:r>
      <w:r w:rsidRPr="0048184E">
        <w:rPr>
          <w:rFonts w:cstheme="minorHAnsi"/>
          <w:bCs/>
          <w:sz w:val="18"/>
          <w:szCs w:val="18"/>
          <w:lang w:val="sr-Latn-ME"/>
        </w:rPr>
        <w:t xml:space="preserve">. </w:t>
      </w:r>
      <w:r w:rsidR="00932C2D" w:rsidRPr="0048184E">
        <w:rPr>
          <w:sz w:val="18"/>
          <w:szCs w:val="18"/>
          <w:lang w:val="pl-PL"/>
        </w:rPr>
        <w:t>Kada je riječ o regionu, Hrvatska bilježi najbolji rezultat – 77% prosjeka EU (2024), dok  se Crna Gora nalaz</w:t>
      </w:r>
      <w:r w:rsidR="00A445B6" w:rsidRPr="0048184E">
        <w:rPr>
          <w:sz w:val="18"/>
          <w:szCs w:val="18"/>
          <w:lang w:val="pl-PL"/>
        </w:rPr>
        <w:t>i na drugom mjestu</w:t>
      </w:r>
      <w:r w:rsidR="00932C2D" w:rsidRPr="0048184E">
        <w:rPr>
          <w:sz w:val="18"/>
          <w:szCs w:val="18"/>
          <w:lang w:val="pl-PL"/>
        </w:rPr>
        <w:t xml:space="preserve">. </w:t>
      </w:r>
      <w:r w:rsidRPr="0048184E">
        <w:rPr>
          <w:rFonts w:cstheme="minorHAnsi"/>
          <w:bCs/>
          <w:sz w:val="18"/>
          <w:szCs w:val="18"/>
          <w:lang w:val="sr-Latn-ME"/>
        </w:rPr>
        <w:t xml:space="preserve">Posmatrano po geografskim regionima i </w:t>
      </w:r>
      <w:r w:rsidR="00A445B6" w:rsidRPr="0048184E">
        <w:rPr>
          <w:rFonts w:cstheme="minorHAnsi"/>
          <w:bCs/>
          <w:sz w:val="18"/>
          <w:szCs w:val="18"/>
          <w:lang w:val="sr-Latn-ME"/>
        </w:rPr>
        <w:t>JLS</w:t>
      </w:r>
      <w:r w:rsidRPr="0048184E">
        <w:rPr>
          <w:rFonts w:cstheme="minorHAnsi"/>
          <w:bCs/>
          <w:sz w:val="18"/>
          <w:szCs w:val="18"/>
          <w:lang w:val="sr-Latn-ME"/>
        </w:rPr>
        <w:t xml:space="preserve">, mjereno indeksom razvijenosti, tokom primjene prethodne SRR smanjen je razvojni jaz između najmanje i najviše razvijenih JLS u Crnoj Gori. Ipak, i dalje su evidentne velike razlike u stepenu razvijenosti između tri geografska regiona Crne Gore: Sjevernog sa jedne strane i Središnjeg i Primorskog sa druge. </w:t>
      </w:r>
      <w:r w:rsidRPr="0048184E">
        <w:rPr>
          <w:rFonts w:cstheme="minorHAnsi"/>
          <w:b/>
          <w:bCs/>
          <w:sz w:val="18"/>
          <w:szCs w:val="18"/>
          <w:lang w:val="sr-Latn-ME"/>
        </w:rPr>
        <w:t>Ključni uzroci</w:t>
      </w:r>
      <w:r w:rsidRPr="0048184E">
        <w:rPr>
          <w:rFonts w:cstheme="minorHAnsi"/>
          <w:bCs/>
          <w:sz w:val="18"/>
          <w:szCs w:val="18"/>
          <w:lang w:val="sr-Latn-ME"/>
        </w:rPr>
        <w:t xml:space="preserve"> navedenog su prevashodno nedovoljan ljudski kapital, nerazvijena infrastruktura, neadekvatna iskorišćenost raspoloživih resursa, nizak stepen diverzifikacije privrede. Sa druge strane, </w:t>
      </w:r>
      <w:r w:rsidRPr="0048184E">
        <w:rPr>
          <w:rFonts w:cstheme="minorHAnsi"/>
          <w:b/>
          <w:sz w:val="18"/>
          <w:szCs w:val="18"/>
          <w:lang w:val="sr-Latn-ME"/>
        </w:rPr>
        <w:t>ključne posljedice</w:t>
      </w:r>
      <w:r w:rsidRPr="0048184E">
        <w:rPr>
          <w:rFonts w:cstheme="minorHAnsi"/>
          <w:bCs/>
          <w:sz w:val="18"/>
          <w:szCs w:val="18"/>
          <w:lang w:val="sr-Latn-ME"/>
        </w:rPr>
        <w:t xml:space="preserve">, koje su ujedno i izazovi u implementaciji SRR u narednom periodu su: (i) visoka nezaposlenost, naročito </w:t>
      </w:r>
      <w:r w:rsidR="00087084">
        <w:rPr>
          <w:rFonts w:cstheme="minorHAnsi"/>
          <w:bCs/>
          <w:sz w:val="18"/>
          <w:szCs w:val="18"/>
          <w:lang w:val="sr-Latn-ME"/>
        </w:rPr>
        <w:t xml:space="preserve">na sjaveru, </w:t>
      </w:r>
      <w:r w:rsidRPr="0048184E">
        <w:rPr>
          <w:rFonts w:cstheme="minorHAnsi"/>
          <w:bCs/>
          <w:sz w:val="18"/>
          <w:szCs w:val="18"/>
          <w:lang w:val="sr-Latn-ME"/>
        </w:rPr>
        <w:t xml:space="preserve">žena i mladih; (ii) neujednačeni fiskalni kapaciteti JLS (iii) visoka stopa rizika od siromaštva i (iv) migracije i negativan prirodni priraštaj. Zato je </w:t>
      </w:r>
      <w:r w:rsidR="00A445B6" w:rsidRPr="0048184E">
        <w:rPr>
          <w:rFonts w:cstheme="minorHAnsi"/>
          <w:sz w:val="18"/>
          <w:szCs w:val="18"/>
          <w:lang w:val="sr-Latn-ME"/>
        </w:rPr>
        <w:t>značaj</w:t>
      </w:r>
      <w:r w:rsidRPr="0048184E">
        <w:rPr>
          <w:rFonts w:cstheme="minorHAnsi"/>
          <w:sz w:val="18"/>
          <w:szCs w:val="18"/>
          <w:lang w:val="sr-Latn-ME"/>
        </w:rPr>
        <w:t xml:space="preserve"> </w:t>
      </w:r>
      <w:r w:rsidR="00A445B6" w:rsidRPr="0048184E">
        <w:rPr>
          <w:rFonts w:cstheme="minorHAnsi"/>
          <w:sz w:val="18"/>
          <w:szCs w:val="18"/>
          <w:lang w:val="sr-Latn-ME"/>
        </w:rPr>
        <w:t xml:space="preserve">SRR </w:t>
      </w:r>
      <w:r w:rsidRPr="0048184E">
        <w:rPr>
          <w:rFonts w:cstheme="minorHAnsi"/>
          <w:bCs/>
          <w:sz w:val="18"/>
          <w:szCs w:val="18"/>
          <w:lang w:val="sr-Latn-ME"/>
        </w:rPr>
        <w:t>2023-2027</w:t>
      </w:r>
      <w:r w:rsidR="00A445B6" w:rsidRPr="0048184E">
        <w:rPr>
          <w:rFonts w:cstheme="minorHAnsi"/>
          <w:bCs/>
          <w:sz w:val="18"/>
          <w:szCs w:val="18"/>
          <w:lang w:val="sr-Latn-ME"/>
        </w:rPr>
        <w:t>.</w:t>
      </w:r>
      <w:r w:rsidRPr="0048184E">
        <w:rPr>
          <w:rFonts w:cstheme="minorHAnsi"/>
          <w:bCs/>
          <w:sz w:val="18"/>
          <w:szCs w:val="18"/>
          <w:lang w:val="sr-Latn-ME"/>
        </w:rPr>
        <w:t xml:space="preserve"> prevazilaženje ovih izazova, odnosno smanjenje nezaposlenosti, siromaštva, migracija </w:t>
      </w:r>
      <w:r w:rsidR="00087084">
        <w:rPr>
          <w:rFonts w:cstheme="minorHAnsi"/>
          <w:bCs/>
          <w:sz w:val="18"/>
          <w:szCs w:val="18"/>
          <w:lang w:val="sr-Latn-ME"/>
        </w:rPr>
        <w:t xml:space="preserve">posebno </w:t>
      </w:r>
      <w:r w:rsidRPr="0048184E">
        <w:rPr>
          <w:rFonts w:cstheme="minorHAnsi"/>
          <w:bCs/>
          <w:sz w:val="18"/>
          <w:szCs w:val="18"/>
          <w:lang w:val="sr-Latn-ME"/>
        </w:rPr>
        <w:t>sa Sjevera, i jačanja fiskalnih kapaciteta JLS, što je u funkciji ostvarivanja s</w:t>
      </w:r>
      <w:r w:rsidR="00F947F4" w:rsidRPr="0048184E">
        <w:rPr>
          <w:rFonts w:cstheme="minorHAnsi"/>
          <w:bCs/>
          <w:sz w:val="18"/>
          <w:szCs w:val="18"/>
          <w:lang w:val="sr-Latn-ME"/>
        </w:rPr>
        <w:t xml:space="preserve">trateških ciljeva i vizije </w:t>
      </w:r>
      <w:r w:rsidRPr="0048184E">
        <w:rPr>
          <w:rFonts w:cstheme="minorHAnsi"/>
          <w:bCs/>
          <w:sz w:val="18"/>
          <w:szCs w:val="18"/>
          <w:lang w:val="sr-Latn-ME"/>
        </w:rPr>
        <w:t>Strategije.</w:t>
      </w:r>
    </w:p>
    <w:p w14:paraId="73FE6569" w14:textId="77777777" w:rsidR="00B578C8" w:rsidRPr="0048184E" w:rsidRDefault="00B578C8" w:rsidP="0048184E">
      <w:pPr>
        <w:pStyle w:val="NoSpacing"/>
        <w:jc w:val="both"/>
        <w:rPr>
          <w:rFonts w:asciiTheme="minorHAnsi" w:hAnsiTheme="minorHAnsi" w:cstheme="minorHAnsi"/>
          <w:bCs/>
          <w:sz w:val="18"/>
          <w:szCs w:val="18"/>
          <w:lang w:val="sr-Latn-ME"/>
        </w:rPr>
      </w:pPr>
    </w:p>
    <w:p w14:paraId="018558BF" w14:textId="77777777" w:rsidR="00B578C8" w:rsidRPr="0048184E" w:rsidRDefault="00B578C8" w:rsidP="0048184E">
      <w:pPr>
        <w:pStyle w:val="NoSpacing"/>
        <w:jc w:val="both"/>
        <w:rPr>
          <w:rFonts w:asciiTheme="minorHAnsi" w:hAnsiTheme="minorHAnsi" w:cstheme="minorHAnsi"/>
          <w:bCs/>
          <w:i/>
          <w:iCs/>
          <w:sz w:val="18"/>
          <w:szCs w:val="18"/>
          <w:lang w:val="sr-Latn-ME"/>
        </w:rPr>
      </w:pPr>
      <w:r w:rsidRPr="0048184E">
        <w:rPr>
          <w:rFonts w:asciiTheme="minorHAnsi" w:hAnsiTheme="minorHAnsi" w:cstheme="minorHAnsi"/>
          <w:bCs/>
          <w:sz w:val="18"/>
          <w:szCs w:val="18"/>
          <w:lang w:val="sr-Latn-ME"/>
        </w:rPr>
        <w:lastRenderedPageBreak/>
        <w:t>U prethodnom strateškom okviru, najvažnije mjere u odgovoru na izazove u dostizanju strateškog cilja regionalnog razvoja su se dominantno odnosile na ulaganja u osnovnu infrastrukturu, odnosno na velike  kapitalne investicije, od kojih je najveća bila izgradnja prioritetne dionice autoputa Bar-Boljare, koja je danas potpuno funkcionalna. One su bile praćene mjerama kreditne podrške, subvencija, poreskih olakšica i ostalim mjerama za ravnomjerniji regionalni razvoj, sa ciljem povećanja konkurentnosti, zaposlenosti i smanjenju rizika od siromaštva. Imajući u vidu navedeno, vizija</w:t>
      </w:r>
      <w:r w:rsidR="00F947F4" w:rsidRPr="0048184E">
        <w:rPr>
          <w:rFonts w:asciiTheme="minorHAnsi" w:hAnsiTheme="minorHAnsi" w:cstheme="minorHAnsi"/>
          <w:bCs/>
          <w:sz w:val="18"/>
          <w:szCs w:val="18"/>
          <w:lang w:val="sr-Latn-ME"/>
        </w:rPr>
        <w:t xml:space="preserve"> </w:t>
      </w:r>
      <w:r w:rsidR="00A445B6" w:rsidRPr="0048184E">
        <w:rPr>
          <w:rFonts w:asciiTheme="minorHAnsi" w:hAnsiTheme="minorHAnsi" w:cstheme="minorHAnsi"/>
          <w:bCs/>
          <w:sz w:val="18"/>
          <w:szCs w:val="18"/>
          <w:lang w:val="sr-Latn-ME"/>
        </w:rPr>
        <w:t>SRR</w:t>
      </w:r>
      <w:r w:rsidRPr="0048184E">
        <w:rPr>
          <w:rFonts w:asciiTheme="minorHAnsi" w:hAnsiTheme="minorHAnsi" w:cstheme="minorHAnsi"/>
          <w:bCs/>
          <w:sz w:val="18"/>
          <w:szCs w:val="18"/>
          <w:lang w:val="sr-Latn-ME"/>
        </w:rPr>
        <w:t xml:space="preserve"> 2023-2027, je bolji život po mjeri čovjeka, odnosno bolji životni standard u svim regionima zemlje, zasnovan na konkurentnosti, inovativnosti, unaprjeđenju ljudskog kapitala, digitalizaciji, dekarbonizaciji i socijalnoj inkluziji. </w:t>
      </w:r>
      <w:r w:rsidRPr="0048184E">
        <w:rPr>
          <w:rFonts w:asciiTheme="minorHAnsi" w:hAnsiTheme="minorHAnsi" w:cstheme="minorHAnsi"/>
          <w:sz w:val="18"/>
          <w:szCs w:val="18"/>
          <w:lang w:val="sr-Latn-ME"/>
        </w:rPr>
        <w:t>Strateški i operativni ciljevi koji su definisani u nastavku će takođe kao pririoritet imati ulaganja u osnovnu infrastrukturu, prvenstveno drugu dionicu auto-puta koja prolazi kroz Sjeverni region prema Boljarima</w:t>
      </w:r>
      <w:r w:rsidR="00A445B6" w:rsidRPr="0048184E">
        <w:rPr>
          <w:rFonts w:asciiTheme="minorHAnsi" w:hAnsiTheme="minorHAnsi" w:cstheme="minorHAnsi"/>
          <w:sz w:val="18"/>
          <w:szCs w:val="18"/>
          <w:lang w:val="sr-Latn-ME"/>
        </w:rPr>
        <w:t xml:space="preserve"> (dionica Mateševo- Andrijevica)</w:t>
      </w:r>
      <w:r w:rsidRPr="0048184E">
        <w:rPr>
          <w:rFonts w:asciiTheme="minorHAnsi" w:hAnsiTheme="minorHAnsi" w:cstheme="minorHAnsi"/>
          <w:sz w:val="18"/>
          <w:szCs w:val="18"/>
          <w:lang w:val="sr-Latn-ME"/>
        </w:rPr>
        <w:t>, a koja će biti praćena većom finansijskom podrškom i podsticajima za</w:t>
      </w:r>
      <w:r w:rsidRPr="0048184E">
        <w:rPr>
          <w:rFonts w:asciiTheme="minorHAnsi" w:hAnsiTheme="minorHAnsi" w:cstheme="minorHAnsi"/>
          <w:bCs/>
          <w:sz w:val="18"/>
          <w:szCs w:val="18"/>
          <w:lang w:val="sr-Latn-ME"/>
        </w:rPr>
        <w:t xml:space="preserve"> privredu i poljoprivrednike, kao i snažnijim podsticajima u okviru populacione politike.</w:t>
      </w:r>
      <w:r w:rsidRPr="0048184E">
        <w:rPr>
          <w:rFonts w:asciiTheme="minorHAnsi" w:hAnsiTheme="minorHAnsi" w:cstheme="minorHAnsi"/>
          <w:sz w:val="18"/>
          <w:szCs w:val="18"/>
          <w:lang w:val="sr-Latn-ME"/>
        </w:rPr>
        <w:t xml:space="preserve"> </w:t>
      </w:r>
    </w:p>
    <w:p w14:paraId="73AA4491" w14:textId="77777777" w:rsidR="00B578C8" w:rsidRPr="0048184E" w:rsidRDefault="00B578C8" w:rsidP="0048184E">
      <w:pPr>
        <w:pStyle w:val="NoSpacing"/>
        <w:jc w:val="both"/>
        <w:rPr>
          <w:rFonts w:asciiTheme="minorHAnsi" w:hAnsiTheme="minorHAnsi" w:cstheme="minorHAnsi"/>
          <w:bCs/>
          <w:sz w:val="18"/>
          <w:szCs w:val="18"/>
          <w:lang w:val="sr-Latn-ME"/>
        </w:rPr>
      </w:pPr>
    </w:p>
    <w:p w14:paraId="66155CD2" w14:textId="77777777" w:rsidR="00A0720D" w:rsidRPr="0048184E" w:rsidRDefault="00B578C8" w:rsidP="0048184E">
      <w:pPr>
        <w:pStyle w:val="NoSpacing"/>
        <w:jc w:val="both"/>
        <w:rPr>
          <w:rFonts w:asciiTheme="minorHAnsi" w:hAnsiTheme="minorHAnsi" w:cstheme="minorHAnsi"/>
          <w:bCs/>
          <w:sz w:val="18"/>
          <w:szCs w:val="18"/>
          <w:lang w:val="sr-Latn-ME"/>
        </w:rPr>
      </w:pPr>
      <w:bookmarkStart w:id="3" w:name="_Hlk122199979"/>
      <w:r w:rsidRPr="0048184E">
        <w:rPr>
          <w:rFonts w:asciiTheme="minorHAnsi" w:hAnsiTheme="minorHAnsi" w:cstheme="minorHAnsi"/>
          <w:bCs/>
          <w:sz w:val="18"/>
          <w:szCs w:val="18"/>
          <w:lang w:val="sr-Latn-ME"/>
        </w:rPr>
        <w:t>Naime, neke od konkretnih horizontalnih mjera i aktivnosti koje bi u procesu implementacije SRR 2023-2027 u značajnoj mjeri doprinijele ostvarenju definisane vizije regiona</w:t>
      </w:r>
      <w:r w:rsidR="00087084">
        <w:rPr>
          <w:rFonts w:asciiTheme="minorHAnsi" w:hAnsiTheme="minorHAnsi" w:cstheme="minorHAnsi"/>
          <w:bCs/>
          <w:sz w:val="18"/>
          <w:szCs w:val="18"/>
          <w:lang w:val="sr-Latn-ME"/>
        </w:rPr>
        <w:t xml:space="preserve">lnog razvoja, podrazumijevaju </w:t>
      </w:r>
      <w:r w:rsidRPr="0048184E">
        <w:rPr>
          <w:rFonts w:asciiTheme="minorHAnsi" w:hAnsiTheme="minorHAnsi" w:cstheme="minorHAnsi"/>
          <w:bCs/>
          <w:sz w:val="18"/>
          <w:szCs w:val="18"/>
          <w:lang w:val="sr-Latn-ME"/>
        </w:rPr>
        <w:t xml:space="preserve"> određene izmjene odnosno unaprjeđenje postojećeg </w:t>
      </w:r>
      <w:r w:rsidR="00087084">
        <w:rPr>
          <w:rFonts w:asciiTheme="minorHAnsi" w:hAnsiTheme="minorHAnsi" w:cstheme="minorHAnsi"/>
          <w:bCs/>
          <w:sz w:val="18"/>
          <w:szCs w:val="18"/>
          <w:lang w:val="sr-Latn-ME"/>
        </w:rPr>
        <w:t xml:space="preserve">institucionalnog i </w:t>
      </w:r>
      <w:r w:rsidRPr="0048184E">
        <w:rPr>
          <w:rFonts w:asciiTheme="minorHAnsi" w:hAnsiTheme="minorHAnsi" w:cstheme="minorHAnsi"/>
          <w:bCs/>
          <w:sz w:val="18"/>
          <w:szCs w:val="18"/>
          <w:lang w:val="sr-Latn-ME"/>
        </w:rPr>
        <w:t xml:space="preserve">zakonodavnog okvira posebno u oblastima poreske i socijalne politike. Navedeno je važno sa aspekta daljeg </w:t>
      </w:r>
      <w:r w:rsidR="00A0720D" w:rsidRPr="0048184E">
        <w:rPr>
          <w:rFonts w:asciiTheme="minorHAnsi" w:hAnsiTheme="minorHAnsi" w:cstheme="minorHAnsi"/>
          <w:bCs/>
          <w:sz w:val="18"/>
          <w:szCs w:val="18"/>
          <w:lang w:val="sr-Latn-ME"/>
        </w:rPr>
        <w:t xml:space="preserve">razvoja </w:t>
      </w:r>
      <w:r w:rsidR="00087084">
        <w:rPr>
          <w:rFonts w:asciiTheme="minorHAnsi" w:hAnsiTheme="minorHAnsi" w:cstheme="minorHAnsi"/>
          <w:bCs/>
          <w:sz w:val="18"/>
          <w:szCs w:val="18"/>
          <w:lang w:val="sr-Latn-ME"/>
        </w:rPr>
        <w:t xml:space="preserve">posebno </w:t>
      </w:r>
      <w:r w:rsidR="00A0720D" w:rsidRPr="0048184E">
        <w:rPr>
          <w:rFonts w:asciiTheme="minorHAnsi" w:hAnsiTheme="minorHAnsi" w:cstheme="minorHAnsi"/>
          <w:bCs/>
          <w:sz w:val="18"/>
          <w:szCs w:val="18"/>
          <w:lang w:val="sr-Latn-ME"/>
        </w:rPr>
        <w:t>Sjevernog regiona.</w:t>
      </w:r>
    </w:p>
    <w:p w14:paraId="5C96CA1D" w14:textId="77777777" w:rsidR="00A0720D" w:rsidRPr="0048184E" w:rsidRDefault="00A0720D" w:rsidP="0048184E">
      <w:pPr>
        <w:pStyle w:val="NoSpacing"/>
        <w:jc w:val="both"/>
        <w:rPr>
          <w:rFonts w:asciiTheme="minorHAnsi" w:hAnsiTheme="minorHAnsi" w:cstheme="minorHAnsi"/>
          <w:bCs/>
          <w:sz w:val="18"/>
          <w:szCs w:val="18"/>
          <w:lang w:val="sr-Latn-ME"/>
        </w:rPr>
      </w:pPr>
    </w:p>
    <w:p w14:paraId="1FD4B4F8" w14:textId="77777777" w:rsidR="00B578C8" w:rsidRPr="0048184E" w:rsidRDefault="00B578C8"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 xml:space="preserve">Kao što je prethodno navedeno, za sprovođenje operativnih ciljeva SRR 2023-2027 po regionima, prepoznata je potreba za dalje unaprjeđenje insitucionalnog </w:t>
      </w:r>
      <w:r w:rsidR="00087084">
        <w:rPr>
          <w:rFonts w:asciiTheme="minorHAnsi" w:hAnsiTheme="minorHAnsi" w:cstheme="minorHAnsi"/>
          <w:bCs/>
          <w:sz w:val="18"/>
          <w:szCs w:val="18"/>
          <w:lang w:val="sr-Latn-ME"/>
        </w:rPr>
        <w:t>okvira i to posebno kroz novi Zakon</w:t>
      </w:r>
      <w:r w:rsidRPr="0048184E">
        <w:rPr>
          <w:rFonts w:asciiTheme="minorHAnsi" w:hAnsiTheme="minorHAnsi" w:cstheme="minorHAnsi"/>
          <w:bCs/>
          <w:sz w:val="18"/>
          <w:szCs w:val="18"/>
          <w:lang w:val="sr-Latn-ME"/>
        </w:rPr>
        <w:t xml:space="preserve"> </w:t>
      </w:r>
      <w:r w:rsidR="00087084">
        <w:rPr>
          <w:rFonts w:asciiTheme="minorHAnsi" w:hAnsiTheme="minorHAnsi" w:cstheme="minorHAnsi"/>
          <w:bCs/>
          <w:sz w:val="18"/>
          <w:szCs w:val="18"/>
          <w:lang w:val="sr-Latn-ME"/>
        </w:rPr>
        <w:t>o regionalnom razvoju i njegovim podzakonskih aktima</w:t>
      </w:r>
      <w:r w:rsidRPr="0048184E">
        <w:rPr>
          <w:rFonts w:asciiTheme="minorHAnsi" w:hAnsiTheme="minorHAnsi" w:cstheme="minorHAnsi"/>
          <w:bCs/>
          <w:sz w:val="18"/>
          <w:szCs w:val="18"/>
          <w:lang w:val="sr-Latn-ME"/>
        </w:rPr>
        <w:t>, kao i veće funkcionalnosti rada Partnerskog savjet</w:t>
      </w:r>
      <w:r w:rsidR="00087084">
        <w:rPr>
          <w:rFonts w:asciiTheme="minorHAnsi" w:hAnsiTheme="minorHAnsi" w:cstheme="minorHAnsi"/>
          <w:bCs/>
          <w:sz w:val="18"/>
          <w:szCs w:val="18"/>
          <w:lang w:val="sr-Latn-ME"/>
        </w:rPr>
        <w:t>a za regionalni razvoj. N</w:t>
      </w:r>
      <w:r w:rsidRPr="0048184E">
        <w:rPr>
          <w:rFonts w:asciiTheme="minorHAnsi" w:hAnsiTheme="minorHAnsi" w:cstheme="minorHAnsi"/>
          <w:bCs/>
          <w:sz w:val="18"/>
          <w:szCs w:val="18"/>
          <w:lang w:val="sr-Latn-ME"/>
        </w:rPr>
        <w:t>avedeno</w:t>
      </w:r>
      <w:r w:rsidR="00087084">
        <w:rPr>
          <w:rFonts w:asciiTheme="minorHAnsi" w:hAnsiTheme="minorHAnsi" w:cstheme="minorHAnsi"/>
          <w:bCs/>
          <w:sz w:val="18"/>
          <w:szCs w:val="18"/>
          <w:lang w:val="sr-Latn-ME"/>
        </w:rPr>
        <w:t>, prije svega, podrazumijeva</w:t>
      </w:r>
      <w:r w:rsidRPr="0048184E">
        <w:rPr>
          <w:rFonts w:asciiTheme="minorHAnsi" w:hAnsiTheme="minorHAnsi" w:cstheme="minorHAnsi"/>
          <w:bCs/>
          <w:sz w:val="18"/>
          <w:szCs w:val="18"/>
          <w:lang w:val="sr-Latn-ME"/>
        </w:rPr>
        <w:t xml:space="preserve"> poboljšanje funkcije koordinacije i vršenja nad</w:t>
      </w:r>
      <w:r w:rsidR="00A0720D" w:rsidRPr="0048184E">
        <w:rPr>
          <w:rFonts w:asciiTheme="minorHAnsi" w:hAnsiTheme="minorHAnsi" w:cstheme="minorHAnsi"/>
          <w:bCs/>
          <w:sz w:val="18"/>
          <w:szCs w:val="18"/>
          <w:lang w:val="sr-Latn-ME"/>
        </w:rPr>
        <w:t>zora nad sprovođenjem SRR 2023-2027</w:t>
      </w:r>
      <w:r w:rsidRPr="0048184E">
        <w:rPr>
          <w:rFonts w:asciiTheme="minorHAnsi" w:hAnsiTheme="minorHAnsi" w:cstheme="minorHAnsi"/>
          <w:bCs/>
          <w:sz w:val="18"/>
          <w:szCs w:val="18"/>
          <w:lang w:val="sr-Latn-ME"/>
        </w:rPr>
        <w:t xml:space="preserve"> i politike regionalnog razvoja i moguće objedinjavanje </w:t>
      </w:r>
      <w:r w:rsidR="00B719CC" w:rsidRPr="0048184E">
        <w:rPr>
          <w:rFonts w:asciiTheme="minorHAnsi" w:hAnsiTheme="minorHAnsi" w:cstheme="minorHAnsi"/>
          <w:bCs/>
          <w:sz w:val="18"/>
          <w:szCs w:val="18"/>
          <w:lang w:val="sr-Latn-ME"/>
        </w:rPr>
        <w:t>određenih nadležnosti u vezi sa</w:t>
      </w:r>
      <w:r w:rsidRPr="0048184E">
        <w:rPr>
          <w:rFonts w:asciiTheme="minorHAnsi" w:hAnsiTheme="minorHAnsi" w:cstheme="minorHAnsi"/>
          <w:bCs/>
          <w:sz w:val="18"/>
          <w:szCs w:val="18"/>
          <w:lang w:val="sr-Latn-ME"/>
        </w:rPr>
        <w:t xml:space="preserve"> regionalni</w:t>
      </w:r>
      <w:r w:rsidR="004C5F27">
        <w:rPr>
          <w:rFonts w:asciiTheme="minorHAnsi" w:hAnsiTheme="minorHAnsi" w:cstheme="minorHAnsi"/>
          <w:bCs/>
          <w:sz w:val="18"/>
          <w:szCs w:val="18"/>
          <w:lang w:val="sr-Latn-ME"/>
        </w:rPr>
        <w:t>m</w:t>
      </w:r>
      <w:r w:rsidRPr="0048184E">
        <w:rPr>
          <w:rFonts w:asciiTheme="minorHAnsi" w:hAnsiTheme="minorHAnsi" w:cstheme="minorHAnsi"/>
          <w:bCs/>
          <w:sz w:val="18"/>
          <w:szCs w:val="18"/>
          <w:lang w:val="sr-Latn-ME"/>
        </w:rPr>
        <w:t xml:space="preserve"> razvoj</w:t>
      </w:r>
      <w:r w:rsidR="00B719CC" w:rsidRPr="0048184E">
        <w:rPr>
          <w:rFonts w:asciiTheme="minorHAnsi" w:hAnsiTheme="minorHAnsi" w:cstheme="minorHAnsi"/>
          <w:bCs/>
          <w:sz w:val="18"/>
          <w:szCs w:val="18"/>
          <w:lang w:val="sr-Latn-ME"/>
        </w:rPr>
        <w:t>em</w:t>
      </w:r>
      <w:r w:rsidR="004C5F27">
        <w:rPr>
          <w:rFonts w:asciiTheme="minorHAnsi" w:hAnsiTheme="minorHAnsi" w:cstheme="minorHAnsi"/>
          <w:bCs/>
          <w:sz w:val="18"/>
          <w:szCs w:val="18"/>
          <w:lang w:val="sr-Latn-ME"/>
        </w:rPr>
        <w:t>. Ovo</w:t>
      </w:r>
      <w:r w:rsidRPr="0048184E">
        <w:rPr>
          <w:rFonts w:asciiTheme="minorHAnsi" w:hAnsiTheme="minorHAnsi" w:cstheme="minorHAnsi"/>
          <w:bCs/>
          <w:sz w:val="18"/>
          <w:szCs w:val="18"/>
          <w:lang w:val="sr-Latn-ME"/>
        </w:rPr>
        <w:t xml:space="preserve"> je posebno važno sa aspekta jačanja institucionalnog okvira za efikasniju pripremu i implementaciju projekata regionalnog razvoja.</w:t>
      </w:r>
    </w:p>
    <w:bookmarkEnd w:id="3"/>
    <w:p w14:paraId="3E2F604A" w14:textId="77777777" w:rsidR="00B578C8" w:rsidRPr="0048184E" w:rsidRDefault="00B578C8" w:rsidP="0048184E">
      <w:pPr>
        <w:pStyle w:val="NoSpacing"/>
        <w:jc w:val="both"/>
        <w:rPr>
          <w:rFonts w:asciiTheme="minorHAnsi" w:hAnsiTheme="minorHAnsi" w:cstheme="minorHAnsi"/>
          <w:bCs/>
          <w:sz w:val="18"/>
          <w:szCs w:val="18"/>
          <w:lang w:val="sr-Latn-ME"/>
        </w:rPr>
      </w:pPr>
    </w:p>
    <w:p w14:paraId="3A8DDAB0" w14:textId="77777777" w:rsidR="00B578C8" w:rsidRPr="0048184E" w:rsidRDefault="00B578C8" w:rsidP="0048184E">
      <w:pPr>
        <w:pStyle w:val="NoSpacing"/>
        <w:jc w:val="both"/>
        <w:rPr>
          <w:rFonts w:asciiTheme="minorHAnsi" w:hAnsiTheme="minorHAnsi" w:cstheme="minorHAnsi"/>
          <w:b/>
          <w:bCs/>
          <w:sz w:val="18"/>
          <w:szCs w:val="18"/>
          <w:lang w:val="sr-Latn-ME"/>
        </w:rPr>
      </w:pPr>
      <w:r w:rsidRPr="0048184E">
        <w:rPr>
          <w:rFonts w:asciiTheme="minorHAnsi" w:hAnsiTheme="minorHAnsi" w:cstheme="minorHAnsi"/>
          <w:bCs/>
          <w:sz w:val="18"/>
          <w:szCs w:val="18"/>
          <w:lang w:val="sr-Latn-ME"/>
        </w:rPr>
        <w:t xml:space="preserve">Za praćenje uspješnosti ostvarenja SRR 2023-2027 i strateških ciljeva, na nivou tri regiona definisani su sljedeći </w:t>
      </w:r>
      <w:r w:rsidRPr="0048184E">
        <w:rPr>
          <w:rFonts w:asciiTheme="minorHAnsi" w:hAnsiTheme="minorHAnsi" w:cstheme="minorHAnsi"/>
          <w:b/>
          <w:bCs/>
          <w:sz w:val="18"/>
          <w:szCs w:val="18"/>
          <w:lang w:val="sr-Latn-ME"/>
        </w:rPr>
        <w:t>indikatori</w:t>
      </w:r>
      <w:r w:rsidRPr="0048184E">
        <w:rPr>
          <w:rFonts w:asciiTheme="minorHAnsi" w:hAnsiTheme="minorHAnsi" w:cstheme="minorHAnsi"/>
          <w:bCs/>
          <w:sz w:val="18"/>
          <w:szCs w:val="18"/>
          <w:lang w:val="sr-Latn-ME"/>
        </w:rPr>
        <w:t>:</w:t>
      </w:r>
      <w:r w:rsidRPr="0048184E">
        <w:rPr>
          <w:rFonts w:asciiTheme="minorHAnsi" w:hAnsiTheme="minorHAnsi" w:cstheme="minorHAnsi"/>
          <w:b/>
          <w:bCs/>
          <w:sz w:val="18"/>
          <w:szCs w:val="18"/>
          <w:lang w:val="sr-Latn-ME"/>
        </w:rPr>
        <w:t xml:space="preserve"> </w:t>
      </w:r>
    </w:p>
    <w:p w14:paraId="6F0B69AD"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bookmarkStart w:id="4" w:name="_Hlk126056565"/>
      <w:r w:rsidRPr="0048184E">
        <w:rPr>
          <w:rFonts w:asciiTheme="minorHAnsi" w:hAnsiTheme="minorHAnsi" w:cstheme="minorHAnsi"/>
          <w:bCs/>
          <w:sz w:val="18"/>
          <w:szCs w:val="18"/>
          <w:lang w:val="sr-Latn-ME"/>
        </w:rPr>
        <w:t>stepen razvijenosti JLS i regiona na način da smanji razvojni jaz između najviše i najmanje razvijenih JLS i regiona,</w:t>
      </w:r>
    </w:p>
    <w:p w14:paraId="23E20697"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stopa rizika od siromaštva na nivou regiona,</w:t>
      </w:r>
    </w:p>
    <w:p w14:paraId="31238255"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prirodni priraštaj na nivou Crne Gore i na regionalnom nivou,</w:t>
      </w:r>
    </w:p>
    <w:p w14:paraId="3A4BC88D"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saldo unutrašnjih migracija na nivou regiona,</w:t>
      </w:r>
    </w:p>
    <w:p w14:paraId="0859A29E"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indeks razvoja po mjeri čovjeka za svaki od tri regiona.</w:t>
      </w:r>
      <w:bookmarkEnd w:id="4"/>
    </w:p>
    <w:p w14:paraId="71C02F42" w14:textId="77777777" w:rsidR="00B578C8" w:rsidRPr="0048184E" w:rsidRDefault="00B578C8" w:rsidP="0048184E">
      <w:pPr>
        <w:pStyle w:val="NoSpacing"/>
        <w:jc w:val="both"/>
        <w:rPr>
          <w:rFonts w:asciiTheme="minorHAnsi" w:hAnsiTheme="minorHAnsi" w:cstheme="minorHAnsi"/>
          <w:bCs/>
          <w:sz w:val="18"/>
          <w:szCs w:val="18"/>
          <w:lang w:val="sr-Latn-ME"/>
        </w:rPr>
      </w:pPr>
    </w:p>
    <w:p w14:paraId="74E1E917" w14:textId="77777777" w:rsidR="00D141DA" w:rsidRPr="0048184E" w:rsidRDefault="00B578C8"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Sprovođenje SRR 2023-2027 će se finansirati iz budžeta Crne Gore i budžeta JLS, javnog sektora, EU fondova, donacija i drugih izvora, u skladu sa postojećim zakonskim okvirom.</w:t>
      </w:r>
    </w:p>
    <w:p w14:paraId="19B809C6" w14:textId="77777777" w:rsidR="00B578C8" w:rsidRPr="0048184E" w:rsidRDefault="00B578C8" w:rsidP="0048184E">
      <w:pPr>
        <w:pStyle w:val="ListParagraph"/>
        <w:spacing w:after="0" w:line="240" w:lineRule="auto"/>
        <w:rPr>
          <w:rFonts w:cstheme="minorHAnsi"/>
          <w:sz w:val="18"/>
          <w:szCs w:val="18"/>
          <w:lang w:val="sr-Latn-ME"/>
        </w:rPr>
      </w:pPr>
    </w:p>
    <w:p w14:paraId="445BB27E" w14:textId="77777777" w:rsidR="00884BCF" w:rsidRPr="0048184E" w:rsidRDefault="00884BCF" w:rsidP="0048184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cstheme="minorHAnsi"/>
          <w:b/>
          <w:i/>
          <w:sz w:val="18"/>
          <w:szCs w:val="18"/>
          <w:lang w:val="sr-Latn-ME"/>
        </w:rPr>
      </w:pPr>
      <w:r w:rsidRPr="0048184E">
        <w:rPr>
          <w:rFonts w:cstheme="minorHAnsi"/>
          <w:b/>
          <w:i/>
          <w:sz w:val="18"/>
          <w:szCs w:val="18"/>
          <w:lang w:val="sr-Latn-ME"/>
        </w:rPr>
        <w:t>Rezultati istraživanja iz 2021. godine u vezi sa politikom regionalnog razvoja Crne Gore</w:t>
      </w:r>
    </w:p>
    <w:p w14:paraId="0CDB6325"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i/>
          <w:sz w:val="18"/>
          <w:szCs w:val="18"/>
          <w:lang w:val="sr-Latn-ME"/>
        </w:rPr>
      </w:pPr>
    </w:p>
    <w:p w14:paraId="57772DF9" w14:textId="77777777" w:rsidR="00884BCF" w:rsidRPr="0048184E" w:rsidRDefault="00123FA2"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r w:rsidRPr="0048184E">
        <w:rPr>
          <w:rFonts w:asciiTheme="minorHAnsi" w:hAnsiTheme="minorHAnsi" w:cstheme="minorHAnsi"/>
          <w:i/>
          <w:sz w:val="18"/>
          <w:szCs w:val="18"/>
          <w:lang w:val="sr-Latn-ME"/>
        </w:rPr>
        <w:t xml:space="preserve">U ovom dijelu prezentovano je Istraživanje koje je </w:t>
      </w:r>
      <w:r w:rsidR="00884BCF" w:rsidRPr="0048184E">
        <w:rPr>
          <w:rFonts w:asciiTheme="minorHAnsi" w:hAnsiTheme="minorHAnsi" w:cstheme="minorHAnsi"/>
          <w:i/>
          <w:sz w:val="18"/>
          <w:szCs w:val="18"/>
          <w:lang w:val="sr-Latn-ME"/>
        </w:rPr>
        <w:t xml:space="preserve">sprovedeno u periodu nakon isteka </w:t>
      </w:r>
      <w:r w:rsidRPr="0048184E">
        <w:rPr>
          <w:rFonts w:asciiTheme="minorHAnsi" w:hAnsiTheme="minorHAnsi" w:cstheme="minorHAnsi"/>
          <w:i/>
          <w:sz w:val="18"/>
          <w:szCs w:val="18"/>
          <w:lang w:val="sr-Latn-ME"/>
        </w:rPr>
        <w:t xml:space="preserve">prve </w:t>
      </w:r>
      <w:r w:rsidR="00884BCF" w:rsidRPr="0048184E">
        <w:rPr>
          <w:rFonts w:asciiTheme="minorHAnsi" w:hAnsiTheme="minorHAnsi" w:cstheme="minorHAnsi"/>
          <w:i/>
          <w:sz w:val="18"/>
          <w:szCs w:val="18"/>
          <w:lang w:val="sr-Latn-ME"/>
        </w:rPr>
        <w:t xml:space="preserve">SRR 2014-2020.godine. U analizi ostvarenih rezultata SRR u periodu prije 2021.godine, korišćeno je šest standardnih kriterijuma za ocjenjivanje prema OECD DAC-a (OECD Development Assistance Committee). To su prvenstveno, </w:t>
      </w:r>
      <w:r w:rsidR="00884BCF" w:rsidRPr="0048184E">
        <w:rPr>
          <w:rFonts w:asciiTheme="minorHAnsi" w:hAnsiTheme="minorHAnsi" w:cstheme="minorHAnsi"/>
          <w:bCs/>
          <w:i/>
          <w:sz w:val="18"/>
          <w:szCs w:val="18"/>
          <w:lang w:val="sr-Latn-ME"/>
        </w:rPr>
        <w:t>relevantnost, efektivnost, efikasnost i uticaj</w:t>
      </w:r>
      <w:r w:rsidR="00884BCF" w:rsidRPr="0048184E">
        <w:rPr>
          <w:rFonts w:asciiTheme="minorHAnsi" w:hAnsiTheme="minorHAnsi" w:cstheme="minorHAnsi"/>
          <w:i/>
          <w:sz w:val="18"/>
          <w:szCs w:val="18"/>
          <w:lang w:val="sr-Latn-ME"/>
        </w:rPr>
        <w:t>. Naime, kako je SRR za period 2014-2020 rađena prije usvajanja Metodologije razvijanja politika, izrade i praćenja sprovođenja strateških dokumenata, istom nije bila predviđena evaluacija. Međutim, u sklopu procesa izrade nove strategije, u okviru projekta "Podsticanje saradnje sa akademijom u razvoju Strategije regionalnog razvoja" (MER,UN,GSV), realizovano je istraživanje, odnosno konsultovanje svih JLS. Predmetno istraživanje je sprovedeno u periodu jun-jul 2021. godine i obuhvatilo je 108 ispitanika iz tadašnje 24 crnogorske opštine, o stavovima lokalnih zajednica o dosadašnjoj i budućoj politici regionalnog razvoja Crne Gore, sadrži i naučene lekcije i preporuke za naredni razvojni period, sa osvrtom na relevantnost, efektivnost, efikasnost i uticaj. U nastavku je dat sažetak ocjene u okviru sprovedenog istraživanja što predstavlja svojevrsan vid evaluacije, dok su detaljnije informacije navedene u Završnom izvještaju o realizaciji SRR 2014-2020.</w:t>
      </w:r>
    </w:p>
    <w:p w14:paraId="122B97C1"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p>
    <w:p w14:paraId="2D6988FA"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Cs/>
          <w:i/>
          <w:sz w:val="18"/>
          <w:szCs w:val="18"/>
          <w:lang w:val="sr-Latn-ME"/>
        </w:rPr>
      </w:pPr>
      <w:r w:rsidRPr="0048184E">
        <w:rPr>
          <w:rFonts w:asciiTheme="minorHAnsi" w:hAnsiTheme="minorHAnsi" w:cstheme="minorHAnsi"/>
          <w:bCs/>
          <w:i/>
          <w:sz w:val="18"/>
          <w:szCs w:val="18"/>
          <w:lang w:val="sr-Latn-ME"/>
        </w:rPr>
        <w:t>Relevantnost u ovom istraživanju mogla bi se objasniti kao reakcija mehanizama implementacije na postizanje četiri strateška cilja definisana SRR 2014-2020 na nivou Crne Gore i regiona, uključujući postizanje odgovarajućeg nivoa konkurentnosti crnogorskih preduzeća.</w:t>
      </w:r>
      <w:r w:rsidRPr="0048184E">
        <w:rPr>
          <w:rFonts w:asciiTheme="minorHAnsi" w:hAnsiTheme="minorHAnsi" w:cstheme="minorHAnsi"/>
          <w:bCs/>
          <w:i/>
          <w:iCs/>
          <w:sz w:val="18"/>
          <w:szCs w:val="18"/>
          <w:lang w:val="sr-Latn-ME"/>
        </w:rPr>
        <w:t xml:space="preserve"> </w:t>
      </w:r>
      <w:r w:rsidRPr="0048184E">
        <w:rPr>
          <w:rFonts w:asciiTheme="minorHAnsi" w:hAnsiTheme="minorHAnsi" w:cstheme="minorHAnsi"/>
          <w:i/>
          <w:iCs/>
          <w:sz w:val="18"/>
          <w:szCs w:val="18"/>
          <w:lang w:val="sr-Latn-ME"/>
        </w:rPr>
        <w:t>Istraživanje je pokazalo relativno visok stepen usklađenosti ciljeva SRR sa razvojem JLS, kao i da su</w:t>
      </w:r>
      <w:r w:rsidRPr="0048184E">
        <w:rPr>
          <w:rFonts w:asciiTheme="minorHAnsi" w:hAnsiTheme="minorHAnsi" w:cstheme="minorHAnsi"/>
          <w:i/>
          <w:sz w:val="18"/>
          <w:szCs w:val="18"/>
          <w:lang w:val="sr-Latn-ME"/>
        </w:rPr>
        <w:t xml:space="preserve"> mjere i aktivnosti SRR 2014-2020 u velikoj mjeri usklađene sa postavljenim strateškim ciljevima dokumenta.</w:t>
      </w:r>
      <w:r w:rsidRPr="0048184E">
        <w:rPr>
          <w:rFonts w:asciiTheme="minorHAnsi" w:hAnsiTheme="minorHAnsi" w:cstheme="minorHAnsi"/>
          <w:bCs/>
          <w:i/>
          <w:sz w:val="18"/>
          <w:szCs w:val="18"/>
          <w:lang w:val="sr-Latn-ME"/>
        </w:rPr>
        <w:t xml:space="preserve"> Pri tome je 50% ocijenilo da se indikatori realizacije (ostvarenosti) po pojedinim aktivnostima, mogu koristiti za monitoring i evaluaciju, kao i da je upotreba finansijskih iskaza kod ostvarenih ulaganja - jasan indikator ostvarenosti pojedinih mjera, ali je </w:t>
      </w:r>
      <w:r w:rsidRPr="0048184E">
        <w:rPr>
          <w:rFonts w:asciiTheme="minorHAnsi" w:hAnsiTheme="minorHAnsi" w:cstheme="minorHAnsi"/>
          <w:i/>
          <w:sz w:val="18"/>
          <w:szCs w:val="18"/>
          <w:lang w:val="sr-Latn-ME"/>
        </w:rPr>
        <w:t>blizu polovine ispitanika ocijenilo da navedene indikatore treba unaprijediti.</w:t>
      </w:r>
    </w:p>
    <w:p w14:paraId="44B8ABB2"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Cs/>
          <w:i/>
          <w:sz w:val="18"/>
          <w:szCs w:val="18"/>
          <w:lang w:val="sr-Latn-ME"/>
        </w:rPr>
      </w:pPr>
    </w:p>
    <w:p w14:paraId="7B9FB370"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iCs/>
          <w:sz w:val="18"/>
          <w:szCs w:val="18"/>
          <w:lang w:val="sr-Latn-ME"/>
        </w:rPr>
      </w:pPr>
      <w:r w:rsidRPr="0048184E">
        <w:rPr>
          <w:rFonts w:asciiTheme="minorHAnsi" w:hAnsiTheme="minorHAnsi" w:cstheme="minorHAnsi"/>
          <w:i/>
          <w:sz w:val="18"/>
          <w:szCs w:val="18"/>
          <w:lang w:val="sr-Latn-ME"/>
        </w:rPr>
        <w:t xml:space="preserve">Efektivnost SRR može se definisati kao procjena u kojoj mjeri su se rezultati politike postigli kroz šest akcionih planova za period 2014-2020. godine. </w:t>
      </w:r>
      <w:r w:rsidRPr="0048184E">
        <w:rPr>
          <w:rFonts w:asciiTheme="minorHAnsi" w:hAnsiTheme="minorHAnsi" w:cstheme="minorHAnsi"/>
          <w:bCs/>
          <w:i/>
          <w:sz w:val="18"/>
          <w:szCs w:val="18"/>
          <w:lang w:val="sr-Latn-ME"/>
        </w:rPr>
        <w:t>Prema viđenju predstavnika/ca JLS Središnjeg i Primorskog regiona, aktivnosti SRR 2014-2020 vrlo dobro su doprinijele ostvarivanju  postavljenih strateških ciljeva dok predstavnici Sjevernog regiona smatraju da je taj doprinos bio niži na Sjeveru.</w:t>
      </w:r>
      <w:r w:rsidRPr="0048184E">
        <w:rPr>
          <w:rFonts w:asciiTheme="minorHAnsi" w:hAnsiTheme="minorHAnsi" w:cstheme="minorHAnsi"/>
          <w:i/>
          <w:sz w:val="18"/>
          <w:szCs w:val="18"/>
          <w:lang w:val="sr-Latn-ME"/>
        </w:rPr>
        <w:t xml:space="preserve"> Takođe, istraživanje je pokazalo da su glavni faktori uticaja na ostvarenje strateškog cilja razvoja svakog od regiona: raspoloživi budžet, procedure i mehanizmi upravljanja, administrativni kapaciteti, kvalitet komunikacije i koordinacija i izvještavanje. Pored toga istraživanje je pokazalo da većina predstavnika/ca JLS smatraju da je </w:t>
      </w:r>
      <w:r w:rsidRPr="0048184E">
        <w:rPr>
          <w:rFonts w:asciiTheme="minorHAnsi" w:hAnsiTheme="minorHAnsi" w:cstheme="minorHAnsi"/>
          <w:bCs/>
          <w:i/>
          <w:iCs/>
          <w:sz w:val="18"/>
          <w:szCs w:val="18"/>
          <w:lang w:val="sr-Latn-ME"/>
        </w:rPr>
        <w:t xml:space="preserve">uključenost JLS djelimično ili potpuno doprinijela većoj učinkovitosti u procesu realizacije SRR i da je nivo uključenosti značajan. </w:t>
      </w:r>
    </w:p>
    <w:p w14:paraId="38B3BF7B"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iCs/>
          <w:sz w:val="18"/>
          <w:szCs w:val="18"/>
          <w:lang w:val="sr-Latn-ME"/>
        </w:rPr>
      </w:pPr>
    </w:p>
    <w:p w14:paraId="62C5ABD2"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r w:rsidRPr="0048184E">
        <w:rPr>
          <w:rFonts w:asciiTheme="minorHAnsi" w:hAnsiTheme="minorHAnsi" w:cstheme="minorHAnsi"/>
          <w:bCs/>
          <w:i/>
          <w:iCs/>
          <w:sz w:val="18"/>
          <w:szCs w:val="18"/>
          <w:lang w:val="sr-Latn-ME"/>
        </w:rPr>
        <w:t xml:space="preserve">Efikasnost </w:t>
      </w:r>
      <w:r w:rsidRPr="0048184E">
        <w:rPr>
          <w:rFonts w:asciiTheme="minorHAnsi" w:hAnsiTheme="minorHAnsi" w:cstheme="minorHAnsi"/>
          <w:i/>
          <w:sz w:val="18"/>
          <w:szCs w:val="18"/>
          <w:lang w:val="sr-Latn-ME"/>
        </w:rPr>
        <w:t>SRR 2014-2020 u ovom istraživanju može se objasniti kao procjena mehanizma implementacije kao potencijalno najisplativijeg načina za sprovođenja mjera politike. Neka od pitanja uključila su i faktor pandemije COVID-19, koji je redukovao ulaganja u 2020. godini, pa time i ukupno ostvarene rezutate.</w:t>
      </w:r>
    </w:p>
    <w:p w14:paraId="545D84D5"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Cs/>
          <w:i/>
          <w:sz w:val="18"/>
          <w:szCs w:val="18"/>
          <w:lang w:val="sr-Latn-ME"/>
        </w:rPr>
      </w:pPr>
      <w:r w:rsidRPr="0048184E">
        <w:rPr>
          <w:rFonts w:asciiTheme="minorHAnsi" w:hAnsiTheme="minorHAnsi" w:cstheme="minorHAnsi"/>
          <w:bCs/>
          <w:i/>
          <w:sz w:val="18"/>
          <w:szCs w:val="18"/>
          <w:lang w:val="sr-Latn-ME"/>
        </w:rPr>
        <w:t xml:space="preserve">Istraživanje je pokazalo da su JLS stava da </w:t>
      </w:r>
      <w:r w:rsidRPr="0048184E">
        <w:rPr>
          <w:rFonts w:asciiTheme="minorHAnsi" w:hAnsiTheme="minorHAnsi" w:cstheme="minorHAnsi"/>
          <w:bCs/>
          <w:i/>
          <w:iCs/>
          <w:sz w:val="18"/>
          <w:szCs w:val="18"/>
          <w:lang w:val="sr-Latn-ME"/>
        </w:rPr>
        <w:t xml:space="preserve">troškovi odnosno ulaganja u mjere SRR, do izbijanja pandemije COVID-19, srazmjerni ili djelimično srazmjerni postignutim rezultatima. Dodatno, prosječna ocjena mehanizma sprovođenja SRR sa aspekta troškova i učinaka je 3,2. Istovremeno, </w:t>
      </w:r>
      <w:r w:rsidRPr="0048184E">
        <w:rPr>
          <w:rFonts w:asciiTheme="minorHAnsi" w:hAnsiTheme="minorHAnsi" w:cstheme="minorHAnsi"/>
          <w:i/>
          <w:iCs/>
          <w:sz w:val="18"/>
          <w:szCs w:val="18"/>
          <w:lang w:val="sr-Latn-ME"/>
        </w:rPr>
        <w:t>preko 85% ispitanika cijeni da je mehanizam za sprovođenje SRR bio učinkovit</w:t>
      </w:r>
      <w:r w:rsidRPr="0048184E">
        <w:rPr>
          <w:rFonts w:asciiTheme="minorHAnsi" w:hAnsiTheme="minorHAnsi" w:cstheme="minorHAnsi"/>
          <w:bCs/>
          <w:i/>
          <w:iCs/>
          <w:sz w:val="18"/>
          <w:szCs w:val="18"/>
          <w:lang w:val="sr-Latn-ME"/>
        </w:rPr>
        <w:t xml:space="preserve">, u postojećim okolnostima. Istraživanje je pokazalo da su </w:t>
      </w:r>
      <w:r w:rsidRPr="0048184E">
        <w:rPr>
          <w:rFonts w:asciiTheme="minorHAnsi" w:hAnsiTheme="minorHAnsi" w:cstheme="minorHAnsi"/>
          <w:i/>
          <w:iCs/>
          <w:sz w:val="18"/>
          <w:szCs w:val="18"/>
          <w:lang w:val="sr-Latn-ME"/>
        </w:rPr>
        <w:t>JLS djelimično ili uopšte nijesu upoznate sa podsticajnim mjerama koje nudi Zakon o regionalnom razvoju</w:t>
      </w:r>
      <w:r w:rsidRPr="0048184E">
        <w:rPr>
          <w:rFonts w:asciiTheme="minorHAnsi" w:hAnsiTheme="minorHAnsi" w:cstheme="minorHAnsi"/>
          <w:bCs/>
          <w:i/>
          <w:iCs/>
          <w:sz w:val="18"/>
          <w:szCs w:val="18"/>
          <w:lang w:val="sr-Latn-ME"/>
        </w:rPr>
        <w:t>. Takođe, svega 10% predstavnika/ca JLS smatra da</w:t>
      </w:r>
      <w:r w:rsidRPr="0048184E">
        <w:rPr>
          <w:rFonts w:asciiTheme="minorHAnsi" w:hAnsiTheme="minorHAnsi" w:cstheme="minorHAnsi"/>
          <w:bCs/>
          <w:i/>
          <w:sz w:val="18"/>
          <w:szCs w:val="18"/>
          <w:lang w:val="sr-Latn-ME"/>
        </w:rPr>
        <w:t xml:space="preserve"> je proces implementacije SRR u konkretnoj lokalnoj samoupravi, u periodu pandemije COVID-19 bio efikasan u ostvarivanju postavljenih ciljeva odnosno rezultata.</w:t>
      </w:r>
    </w:p>
    <w:p w14:paraId="22BDCEA6"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p>
    <w:p w14:paraId="66AD8607"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iCs/>
          <w:sz w:val="18"/>
          <w:szCs w:val="18"/>
          <w:lang w:val="sr-Latn-ME"/>
        </w:rPr>
      </w:pPr>
      <w:r w:rsidRPr="0048184E">
        <w:rPr>
          <w:rFonts w:asciiTheme="minorHAnsi" w:hAnsiTheme="minorHAnsi" w:cstheme="minorHAnsi"/>
          <w:i/>
          <w:sz w:val="18"/>
          <w:szCs w:val="18"/>
          <w:lang w:val="sr-Latn-ME"/>
        </w:rPr>
        <w:t xml:space="preserve">Istraživanje je pokazalo da su </w:t>
      </w:r>
      <w:r w:rsidRPr="0048184E">
        <w:rPr>
          <w:rFonts w:asciiTheme="minorHAnsi" w:hAnsiTheme="minorHAnsi" w:cstheme="minorHAnsi"/>
          <w:bCs/>
          <w:i/>
          <w:sz w:val="18"/>
          <w:szCs w:val="18"/>
          <w:lang w:val="sr-Latn-ME"/>
        </w:rPr>
        <w:t>očekivanja predstavnika/ca JLS od SRR i mjera iz akcionih planova bila veća od realizovanih</w:t>
      </w:r>
      <w:r w:rsidRPr="0048184E">
        <w:rPr>
          <w:rFonts w:asciiTheme="minorHAnsi" w:hAnsiTheme="minorHAnsi" w:cstheme="minorHAnsi"/>
          <w:i/>
          <w:sz w:val="18"/>
          <w:szCs w:val="18"/>
          <w:lang w:val="sr-Latn-ME"/>
        </w:rPr>
        <w:t xml:space="preserve">, odnosno njihova percepcija o </w:t>
      </w:r>
      <w:r w:rsidRPr="0048184E">
        <w:rPr>
          <w:rFonts w:asciiTheme="minorHAnsi" w:hAnsiTheme="minorHAnsi" w:cstheme="minorHAnsi"/>
          <w:bCs/>
          <w:i/>
          <w:iCs/>
          <w:sz w:val="18"/>
          <w:szCs w:val="18"/>
          <w:lang w:val="sr-Latn-ME"/>
        </w:rPr>
        <w:t>Uticaju</w:t>
      </w:r>
      <w:r w:rsidRPr="0048184E">
        <w:rPr>
          <w:rFonts w:asciiTheme="minorHAnsi" w:hAnsiTheme="minorHAnsi" w:cstheme="minorHAnsi"/>
          <w:i/>
          <w:sz w:val="18"/>
          <w:szCs w:val="18"/>
          <w:lang w:val="sr-Latn-ME"/>
        </w:rPr>
        <w:t xml:space="preserve"> realizovanih mjera na ukupan razvoj lokalnih zajednica je bila ambicioznija. S druge strane, </w:t>
      </w:r>
      <w:r w:rsidRPr="0048184E">
        <w:rPr>
          <w:rFonts w:asciiTheme="minorHAnsi" w:hAnsiTheme="minorHAnsi" w:cstheme="minorHAnsi"/>
          <w:bCs/>
          <w:i/>
          <w:sz w:val="18"/>
          <w:szCs w:val="18"/>
          <w:lang w:val="sr-Latn-ME"/>
        </w:rPr>
        <w:t xml:space="preserve">značajan procenat predstavnika/ca JLS smatra da su programi i aktivnosti SRR doprinijeli jačanju kapaciteta direktnih korisnika u konkretnoj lokalnoj samoupravi. Dodatno, većina, ili </w:t>
      </w:r>
      <w:r w:rsidRPr="0048184E">
        <w:rPr>
          <w:rFonts w:asciiTheme="minorHAnsi" w:hAnsiTheme="minorHAnsi" w:cstheme="minorHAnsi"/>
          <w:i/>
          <w:sz w:val="18"/>
          <w:szCs w:val="18"/>
          <w:lang w:val="sr-Latn-ME"/>
        </w:rPr>
        <w:t>oko 90% ispitanika veoma pozitivno percipira značaj strateških planova razvoja njihove lokalne samouprave</w:t>
      </w:r>
      <w:r w:rsidRPr="0048184E">
        <w:rPr>
          <w:rFonts w:asciiTheme="minorHAnsi" w:hAnsiTheme="minorHAnsi" w:cstheme="minorHAnsi"/>
          <w:bCs/>
          <w:i/>
          <w:sz w:val="18"/>
          <w:szCs w:val="18"/>
          <w:lang w:val="sr-Latn-ME"/>
        </w:rPr>
        <w:t xml:space="preserve">. Kada je riječ o metodologiji izračunavanja indeksa razvijenosti, </w:t>
      </w:r>
      <w:r w:rsidRPr="0048184E">
        <w:rPr>
          <w:rFonts w:asciiTheme="minorHAnsi" w:hAnsiTheme="minorHAnsi" w:cstheme="minorHAnsi"/>
          <w:i/>
          <w:sz w:val="18"/>
          <w:szCs w:val="18"/>
          <w:lang w:val="sr-Latn-ME"/>
        </w:rPr>
        <w:t xml:space="preserve">preko 80% ispitanika smatra da se njome objektivno ili djelimično objekivno prikazuju razlike u nivou razvijenosti JLS, dok jedan dio njih predlaže nove elemente koje bi trebalo uključiti u metodologiju. Dodatno, dvije trećine ispitanika cijeni da je nivo razvijenosti njihove JLS objektivno rangiran indeksom razvijenosti u odnosu na Crnu Goru i druge JLS, 26% ispitanika cijeni da je njihova JLS na nižem nivou razvijenosti nego što pokazuje indikator razvijenosti, dok svega 7% smatra da je njihova JLS na višem nivou razvijenosti u odnosu na vrijednost indikatora. Takođe, </w:t>
      </w:r>
      <w:r w:rsidRPr="0048184E">
        <w:rPr>
          <w:rFonts w:asciiTheme="minorHAnsi" w:hAnsiTheme="minorHAnsi" w:cstheme="minorHAnsi"/>
          <w:bCs/>
          <w:i/>
          <w:sz w:val="18"/>
          <w:szCs w:val="18"/>
          <w:lang w:val="sr-Latn-ME"/>
        </w:rPr>
        <w:t>preko 85% ispitanika smatra da SRR značajno doprinosi kvalitetu sprovođenja povezanih politika</w:t>
      </w:r>
      <w:r w:rsidRPr="0048184E">
        <w:rPr>
          <w:rFonts w:asciiTheme="minorHAnsi" w:hAnsiTheme="minorHAnsi" w:cstheme="minorHAnsi"/>
          <w:i/>
          <w:sz w:val="18"/>
          <w:szCs w:val="18"/>
          <w:lang w:val="sr-Latn-ME"/>
        </w:rPr>
        <w:t>.</w:t>
      </w:r>
      <w:r w:rsidRPr="0048184E">
        <w:rPr>
          <w:rFonts w:asciiTheme="minorHAnsi" w:hAnsiTheme="minorHAnsi" w:cstheme="minorHAnsi"/>
          <w:i/>
          <w:iCs/>
          <w:sz w:val="18"/>
          <w:szCs w:val="18"/>
          <w:lang w:val="sr-Latn-ME"/>
        </w:rPr>
        <w:t xml:space="preserve"> Značajan broj ispitanika nije imao konkretan predlog po pitanju unaprjeđenja sveukupnog dizajna, mehanizma sprovođenja, kao i mehanizma M&amp;E SRR, što potvrđuje činjenicu da je sistem strateških ciljeva, po stubovima i prioritetnim oblastima veoma razrađen, pa konkretni predlozi zahtijevaju ekspertska znanja u strateškom planiranju.</w:t>
      </w:r>
    </w:p>
    <w:p w14:paraId="29FB9E93" w14:textId="77777777" w:rsidR="00A6631C" w:rsidRPr="0048184E" w:rsidRDefault="00A6631C" w:rsidP="0048184E">
      <w:pPr>
        <w:spacing w:after="0" w:line="240" w:lineRule="auto"/>
        <w:rPr>
          <w:rFonts w:cstheme="minorHAnsi"/>
          <w:sz w:val="18"/>
          <w:szCs w:val="18"/>
          <w:lang w:val="sr-Latn-ME"/>
        </w:rPr>
      </w:pPr>
    </w:p>
    <w:p w14:paraId="34FF33B0" w14:textId="77777777" w:rsidR="007933C1" w:rsidRPr="003C2A72" w:rsidRDefault="00DC7889" w:rsidP="0048184E">
      <w:pPr>
        <w:pStyle w:val="Heading2"/>
        <w:numPr>
          <w:ilvl w:val="0"/>
          <w:numId w:val="26"/>
        </w:numPr>
        <w:spacing w:before="0" w:line="240" w:lineRule="auto"/>
        <w:rPr>
          <w:rFonts w:asciiTheme="minorHAnsi" w:hAnsiTheme="minorHAnsi"/>
        </w:rPr>
      </w:pPr>
      <w:bookmarkStart w:id="5" w:name="_Toc205215823"/>
      <w:r w:rsidRPr="003C2A72">
        <w:rPr>
          <w:rFonts w:asciiTheme="minorHAnsi" w:hAnsiTheme="minorHAnsi"/>
        </w:rPr>
        <w:t>Region</w:t>
      </w:r>
      <w:r w:rsidR="007933C1" w:rsidRPr="003C2A72">
        <w:rPr>
          <w:rFonts w:asciiTheme="minorHAnsi" w:hAnsiTheme="minorHAnsi"/>
        </w:rPr>
        <w:t xml:space="preserve"> u crnogorskom kontekstu</w:t>
      </w:r>
      <w:bookmarkEnd w:id="5"/>
      <w:r w:rsidR="007933C1" w:rsidRPr="003C2A72">
        <w:rPr>
          <w:rFonts w:asciiTheme="minorHAnsi" w:hAnsiTheme="minorHAnsi"/>
        </w:rPr>
        <w:t xml:space="preserve"> </w:t>
      </w:r>
    </w:p>
    <w:p w14:paraId="3D6EA8F3" w14:textId="77777777" w:rsidR="007933C1" w:rsidRPr="0048184E" w:rsidRDefault="007933C1" w:rsidP="0048184E">
      <w:pPr>
        <w:spacing w:after="0" w:line="240" w:lineRule="auto"/>
        <w:rPr>
          <w:rFonts w:cstheme="minorHAnsi"/>
          <w:sz w:val="18"/>
          <w:szCs w:val="18"/>
          <w:lang w:val="sr-Latn-ME"/>
        </w:rPr>
      </w:pPr>
    </w:p>
    <w:p w14:paraId="59544D17" w14:textId="77777777" w:rsidR="007339B6" w:rsidRPr="0048184E" w:rsidRDefault="007339B6" w:rsidP="0048184E">
      <w:pPr>
        <w:spacing w:after="0" w:line="240" w:lineRule="auto"/>
        <w:jc w:val="both"/>
        <w:rPr>
          <w:rFonts w:cstheme="minorHAnsi"/>
          <w:sz w:val="18"/>
          <w:szCs w:val="18"/>
          <w:shd w:val="clear" w:color="auto" w:fill="FFFFFF"/>
          <w:lang w:val="pl-PL"/>
        </w:rPr>
      </w:pPr>
      <w:r w:rsidRPr="0048184E">
        <w:rPr>
          <w:rFonts w:cstheme="minorHAnsi"/>
          <w:sz w:val="18"/>
          <w:szCs w:val="18"/>
          <w:lang w:val="sr-Latn-ME"/>
        </w:rPr>
        <w:t>Zakonom o teritorijalnoj organizaciji</w:t>
      </w:r>
      <w:r w:rsidRPr="0048184E">
        <w:rPr>
          <w:rFonts w:cstheme="minorHAnsi"/>
          <w:sz w:val="18"/>
          <w:szCs w:val="18"/>
          <w:vertAlign w:val="superscript"/>
          <w:lang w:val="sr-Latn-ME"/>
        </w:rPr>
        <w:footnoteReference w:id="3"/>
      </w:r>
      <w:r w:rsidRPr="0048184E">
        <w:rPr>
          <w:rFonts w:cstheme="minorHAnsi"/>
          <w:sz w:val="18"/>
          <w:szCs w:val="18"/>
          <w:lang w:val="sr-Latn-ME"/>
        </w:rPr>
        <w:t>,</w:t>
      </w:r>
      <w:r w:rsidRPr="0048184E">
        <w:rPr>
          <w:rStyle w:val="Strong"/>
          <w:rFonts w:cstheme="minorHAnsi"/>
          <w:b w:val="0"/>
          <w:sz w:val="18"/>
          <w:szCs w:val="18"/>
          <w:lang w:val="pl-PL"/>
        </w:rPr>
        <w:t xml:space="preserve"> uređuje se teritorijalna organizacija Crne Gore</w:t>
      </w:r>
      <w:r w:rsidRPr="0048184E">
        <w:rPr>
          <w:rFonts w:cstheme="minorHAnsi"/>
          <w:sz w:val="18"/>
          <w:szCs w:val="18"/>
          <w:shd w:val="clear" w:color="auto" w:fill="FFFFFF"/>
          <w:lang w:val="pl-PL"/>
        </w:rPr>
        <w:t>, uslovi, način i postupak teritorijalnog organizovanja i druga pitanja od značaja za teritorijalnu organizaciju. Teritorija opštine, Glavnog grada i Prijestoni</w:t>
      </w:r>
      <w:r w:rsidR="00795099">
        <w:rPr>
          <w:rFonts w:cstheme="minorHAnsi"/>
          <w:sz w:val="18"/>
          <w:szCs w:val="18"/>
          <w:shd w:val="clear" w:color="auto" w:fill="FFFFFF"/>
          <w:lang w:val="pl-PL"/>
        </w:rPr>
        <w:t>ce (</w:t>
      </w:r>
      <w:r w:rsidR="00D565CD" w:rsidRPr="0048184E">
        <w:rPr>
          <w:rFonts w:cstheme="minorHAnsi"/>
          <w:sz w:val="18"/>
          <w:szCs w:val="18"/>
          <w:shd w:val="clear" w:color="auto" w:fill="FFFFFF"/>
          <w:lang w:val="pl-PL"/>
        </w:rPr>
        <w:t>JLS</w:t>
      </w:r>
      <w:r w:rsidRPr="0048184E">
        <w:rPr>
          <w:rFonts w:cstheme="minorHAnsi"/>
          <w:sz w:val="18"/>
          <w:szCs w:val="18"/>
          <w:shd w:val="clear" w:color="auto" w:fill="FFFFFF"/>
          <w:lang w:val="pl-PL"/>
        </w:rPr>
        <w:t>) utvrđuje se ovim zakonom.</w:t>
      </w:r>
    </w:p>
    <w:p w14:paraId="121E4AE4" w14:textId="77777777" w:rsidR="004004EB" w:rsidRPr="0048184E" w:rsidRDefault="004004EB" w:rsidP="0048184E">
      <w:pPr>
        <w:spacing w:after="0" w:line="240" w:lineRule="auto"/>
        <w:jc w:val="both"/>
        <w:rPr>
          <w:rFonts w:cstheme="minorHAnsi"/>
          <w:sz w:val="18"/>
          <w:szCs w:val="18"/>
          <w:shd w:val="clear" w:color="auto" w:fill="FFFFFF"/>
          <w:lang w:val="pl-PL"/>
        </w:rPr>
      </w:pPr>
    </w:p>
    <w:p w14:paraId="2F2BD702" w14:textId="77777777" w:rsidR="00FB0461" w:rsidRPr="0048184E" w:rsidRDefault="004004EB" w:rsidP="0048184E">
      <w:pPr>
        <w:tabs>
          <w:tab w:val="left" w:pos="1077"/>
        </w:tabs>
        <w:spacing w:after="0" w:line="240" w:lineRule="auto"/>
        <w:jc w:val="both"/>
        <w:rPr>
          <w:sz w:val="18"/>
          <w:szCs w:val="18"/>
          <w:lang w:val="pl-PL"/>
        </w:rPr>
      </w:pPr>
      <w:r w:rsidRPr="0048184E">
        <w:rPr>
          <w:sz w:val="18"/>
          <w:szCs w:val="18"/>
          <w:lang w:val="pl-PL"/>
        </w:rPr>
        <w:t>Ustav Crne Gore jemči pravo na lokalnu samoupravu, odnosno garantuje građanima</w:t>
      </w:r>
      <w:r w:rsidR="00D565CD" w:rsidRPr="0048184E">
        <w:rPr>
          <w:sz w:val="18"/>
          <w:szCs w:val="18"/>
          <w:lang w:val="pl-PL"/>
        </w:rPr>
        <w:t xml:space="preserve"> i građankama</w:t>
      </w:r>
      <w:r w:rsidRPr="0048184E">
        <w:rPr>
          <w:sz w:val="18"/>
          <w:szCs w:val="18"/>
          <w:lang w:val="pl-PL"/>
        </w:rPr>
        <w:t xml:space="preserve"> da rođenjem stiču pravo na lokalnu samoupravu. Ustav, takođe, jasno uređuje odnose između centralnih i lokalnih vlasti na principu autonomije lokalne samouprave. U Crnoj Gori egzistira jednostepeni, monotipski sistem lokalne samouprave, sa opštinom kao osnovnom jedinicom. </w:t>
      </w:r>
    </w:p>
    <w:p w14:paraId="3FE43AD3" w14:textId="77777777" w:rsidR="00FB0461" w:rsidRPr="0048184E" w:rsidRDefault="00FB0461" w:rsidP="0048184E">
      <w:pPr>
        <w:tabs>
          <w:tab w:val="left" w:pos="1077"/>
        </w:tabs>
        <w:spacing w:after="0" w:line="240" w:lineRule="auto"/>
        <w:jc w:val="both"/>
        <w:rPr>
          <w:sz w:val="18"/>
          <w:szCs w:val="18"/>
          <w:lang w:val="pl-PL"/>
        </w:rPr>
      </w:pPr>
    </w:p>
    <w:p w14:paraId="31B174FD" w14:textId="77777777" w:rsidR="004004EB" w:rsidRPr="0048184E" w:rsidRDefault="00D565CD" w:rsidP="0048184E">
      <w:pPr>
        <w:tabs>
          <w:tab w:val="left" w:pos="1077"/>
        </w:tabs>
        <w:spacing w:after="0" w:line="240" w:lineRule="auto"/>
        <w:jc w:val="both"/>
        <w:rPr>
          <w:sz w:val="18"/>
          <w:szCs w:val="18"/>
          <w:lang w:val="pl-PL"/>
        </w:rPr>
      </w:pPr>
      <w:r w:rsidRPr="0048184E">
        <w:rPr>
          <w:sz w:val="18"/>
          <w:szCs w:val="18"/>
          <w:lang w:val="pl-PL"/>
        </w:rPr>
        <w:t>Dakle, u Crnogorskom</w:t>
      </w:r>
      <w:r w:rsidR="004004EB" w:rsidRPr="0048184E">
        <w:rPr>
          <w:sz w:val="18"/>
          <w:szCs w:val="18"/>
          <w:lang w:val="pl-PL"/>
        </w:rPr>
        <w:t xml:space="preserve"> sistemu nije uspostavljen srednji (regionalni) nivo vlasti, a</w:t>
      </w:r>
      <w:r w:rsidRPr="0048184E">
        <w:rPr>
          <w:sz w:val="18"/>
          <w:szCs w:val="18"/>
          <w:lang w:val="pl-PL"/>
        </w:rPr>
        <w:t xml:space="preserve"> sve JLS</w:t>
      </w:r>
      <w:r w:rsidR="004004EB" w:rsidRPr="0048184E">
        <w:rPr>
          <w:sz w:val="18"/>
          <w:szCs w:val="18"/>
          <w:lang w:val="pl-PL"/>
        </w:rPr>
        <w:t xml:space="preserve"> obavljaju iste nadležnosti, bez obzira na veličinu i broj stanovnika. Osn</w:t>
      </w:r>
      <w:r w:rsidRPr="0048184E">
        <w:rPr>
          <w:sz w:val="18"/>
          <w:szCs w:val="18"/>
          <w:lang w:val="pl-PL"/>
        </w:rPr>
        <w:t>ovna JLS</w:t>
      </w:r>
      <w:r w:rsidR="004004EB" w:rsidRPr="0048184E">
        <w:rPr>
          <w:sz w:val="18"/>
          <w:szCs w:val="18"/>
          <w:lang w:val="pl-PL"/>
        </w:rPr>
        <w:t xml:space="preserve"> je opština, a u sistemu egzistiraju i dvije posebne jedinice Prijestonica Cetinje i Glavni grad Podgorica, koji imaju poseban status, uređen Zakonom o Prijestonici i Zakonom o Glavnom gradu. Ustav Crne Gore pre</w:t>
      </w:r>
      <w:r w:rsidRPr="0048184E">
        <w:rPr>
          <w:sz w:val="18"/>
          <w:szCs w:val="18"/>
          <w:lang w:val="pl-PL"/>
        </w:rPr>
        <w:t>d</w:t>
      </w:r>
      <w:r w:rsidR="004004EB" w:rsidRPr="0048184E">
        <w:rPr>
          <w:sz w:val="18"/>
          <w:szCs w:val="18"/>
          <w:lang w:val="pl-PL"/>
        </w:rPr>
        <w:t>viđa mogućnost uspostavljanja i dr</w:t>
      </w:r>
      <w:r w:rsidRPr="0048184E">
        <w:rPr>
          <w:sz w:val="18"/>
          <w:szCs w:val="18"/>
          <w:lang w:val="pl-PL"/>
        </w:rPr>
        <w:t>ugih JLS</w:t>
      </w:r>
      <w:r w:rsidR="004004EB" w:rsidRPr="0048184E">
        <w:rPr>
          <w:rStyle w:val="FootnoteReference"/>
          <w:sz w:val="18"/>
          <w:szCs w:val="18"/>
          <w:lang w:val="pl-PL"/>
        </w:rPr>
        <w:footnoteReference w:id="4"/>
      </w:r>
      <w:r w:rsidR="004004EB" w:rsidRPr="0048184E">
        <w:rPr>
          <w:sz w:val="18"/>
          <w:szCs w:val="18"/>
          <w:lang w:val="pl-PL"/>
        </w:rPr>
        <w:t xml:space="preserve">. </w:t>
      </w:r>
    </w:p>
    <w:p w14:paraId="7FE1DA8F" w14:textId="77777777" w:rsidR="004004EB" w:rsidRPr="0048184E" w:rsidRDefault="004004EB" w:rsidP="0048184E">
      <w:pPr>
        <w:spacing w:after="0" w:line="240" w:lineRule="auto"/>
        <w:jc w:val="both"/>
        <w:rPr>
          <w:rFonts w:cstheme="minorHAnsi"/>
          <w:sz w:val="18"/>
          <w:szCs w:val="18"/>
          <w:shd w:val="clear" w:color="auto" w:fill="FFFFFF"/>
          <w:lang w:val="pl-PL"/>
        </w:rPr>
      </w:pPr>
    </w:p>
    <w:p w14:paraId="168A9930" w14:textId="77777777" w:rsidR="000B0ADD" w:rsidRDefault="007339B6" w:rsidP="0048184E">
      <w:pPr>
        <w:spacing w:after="0" w:line="240" w:lineRule="auto"/>
        <w:jc w:val="both"/>
        <w:rPr>
          <w:rFonts w:cstheme="minorHAnsi"/>
          <w:sz w:val="18"/>
          <w:szCs w:val="18"/>
          <w:lang w:val="sr-Latn-ME"/>
        </w:rPr>
      </w:pPr>
      <w:r w:rsidRPr="0048184E">
        <w:rPr>
          <w:rFonts w:cstheme="minorHAnsi"/>
          <w:sz w:val="18"/>
          <w:szCs w:val="18"/>
          <w:lang w:val="sr-Latn-ME"/>
        </w:rPr>
        <w:t>Crna Gora je podijeljena n</w:t>
      </w:r>
      <w:r w:rsidR="00D565CD" w:rsidRPr="0048184E">
        <w:rPr>
          <w:rFonts w:cstheme="minorHAnsi"/>
          <w:sz w:val="18"/>
          <w:szCs w:val="18"/>
          <w:lang w:val="sr-Latn-ME"/>
        </w:rPr>
        <w:t>a 25 JLS</w:t>
      </w:r>
      <w:r w:rsidRPr="0048184E">
        <w:rPr>
          <w:rFonts w:cstheme="minorHAnsi"/>
          <w:sz w:val="18"/>
          <w:szCs w:val="18"/>
          <w:lang w:val="sr-Latn-ME"/>
        </w:rPr>
        <w:t xml:space="preserve"> (23 opštine, Glavni grad i Prijestonicu), koje predstavljaju administrativne jedinice. Zakonom o regionalnom razvoju</w:t>
      </w:r>
      <w:r w:rsidRPr="0048184E">
        <w:rPr>
          <w:rFonts w:cstheme="minorHAnsi"/>
          <w:sz w:val="18"/>
          <w:szCs w:val="18"/>
          <w:vertAlign w:val="superscript"/>
          <w:lang w:val="sr-Latn-ME"/>
        </w:rPr>
        <w:footnoteReference w:id="5"/>
      </w:r>
      <w:r w:rsidRPr="0048184E">
        <w:rPr>
          <w:rFonts w:cstheme="minorHAnsi"/>
          <w:sz w:val="18"/>
          <w:szCs w:val="18"/>
          <w:lang w:val="sr-Latn-ME"/>
        </w:rPr>
        <w:t xml:space="preserve"> definisan je region kao </w:t>
      </w:r>
      <w:r w:rsidR="00D565CD" w:rsidRPr="0048184E">
        <w:rPr>
          <w:rFonts w:cstheme="minorHAnsi"/>
          <w:sz w:val="18"/>
          <w:szCs w:val="18"/>
          <w:lang w:val="sr-Latn-ME"/>
        </w:rPr>
        <w:t>više JLS</w:t>
      </w:r>
      <w:r w:rsidRPr="0048184E">
        <w:rPr>
          <w:rFonts w:cstheme="minorHAnsi"/>
          <w:sz w:val="18"/>
          <w:szCs w:val="18"/>
          <w:lang w:val="sr-Latn-ME"/>
        </w:rPr>
        <w:t xml:space="preserve"> geografski povezanih, i kao takav ne predstavlja administrativnu jedinicu, već područje sa sličn</w:t>
      </w:r>
      <w:r w:rsidR="003D643F" w:rsidRPr="0048184E">
        <w:rPr>
          <w:rFonts w:cstheme="minorHAnsi"/>
          <w:sz w:val="18"/>
          <w:szCs w:val="18"/>
          <w:lang w:val="sr-Latn-ME"/>
        </w:rPr>
        <w:t>im geografskim karakteristikam</w:t>
      </w:r>
      <w:r w:rsidR="00F55052" w:rsidRPr="0048184E">
        <w:rPr>
          <w:rFonts w:cstheme="minorHAnsi"/>
          <w:sz w:val="18"/>
          <w:szCs w:val="18"/>
          <w:lang w:val="sr-Latn-ME"/>
        </w:rPr>
        <w:t xml:space="preserve">a. </w:t>
      </w:r>
    </w:p>
    <w:p w14:paraId="5E237604" w14:textId="77777777" w:rsidR="000B0ADD" w:rsidRDefault="000B0ADD" w:rsidP="0048184E">
      <w:pPr>
        <w:spacing w:after="0" w:line="240" w:lineRule="auto"/>
        <w:jc w:val="both"/>
        <w:rPr>
          <w:rFonts w:cstheme="minorHAnsi"/>
          <w:sz w:val="18"/>
          <w:szCs w:val="18"/>
          <w:lang w:val="sr-Latn-ME"/>
        </w:rPr>
      </w:pPr>
    </w:p>
    <w:p w14:paraId="11735E68" w14:textId="77777777" w:rsidR="000B0ADD" w:rsidRDefault="000B0ADD" w:rsidP="0048184E">
      <w:pPr>
        <w:spacing w:after="0" w:line="240" w:lineRule="auto"/>
        <w:jc w:val="both"/>
        <w:rPr>
          <w:rFonts w:cstheme="minorHAnsi"/>
          <w:sz w:val="18"/>
          <w:szCs w:val="18"/>
          <w:lang w:val="sr-Latn-ME"/>
        </w:rPr>
      </w:pPr>
    </w:p>
    <w:p w14:paraId="11F9854A" w14:textId="77777777" w:rsidR="000B0ADD" w:rsidRDefault="000B0ADD" w:rsidP="0048184E">
      <w:pPr>
        <w:spacing w:after="0" w:line="240" w:lineRule="auto"/>
        <w:jc w:val="both"/>
        <w:rPr>
          <w:rFonts w:cstheme="minorHAnsi"/>
          <w:sz w:val="18"/>
          <w:szCs w:val="18"/>
          <w:lang w:val="sr-Latn-ME"/>
        </w:rPr>
      </w:pPr>
    </w:p>
    <w:p w14:paraId="2C7B22A1" w14:textId="77777777" w:rsidR="000B0ADD" w:rsidRDefault="000B0ADD" w:rsidP="0048184E">
      <w:pPr>
        <w:spacing w:after="0" w:line="240" w:lineRule="auto"/>
        <w:jc w:val="both"/>
        <w:rPr>
          <w:rFonts w:cstheme="minorHAnsi"/>
          <w:sz w:val="18"/>
          <w:szCs w:val="18"/>
          <w:lang w:val="sr-Latn-ME"/>
        </w:rPr>
      </w:pPr>
    </w:p>
    <w:p w14:paraId="0AEC3D8D" w14:textId="77777777" w:rsidR="000B0ADD" w:rsidRDefault="000B0ADD" w:rsidP="0048184E">
      <w:pPr>
        <w:spacing w:after="0" w:line="240" w:lineRule="auto"/>
        <w:jc w:val="both"/>
        <w:rPr>
          <w:rFonts w:cstheme="minorHAnsi"/>
          <w:sz w:val="18"/>
          <w:szCs w:val="18"/>
          <w:lang w:val="sr-Latn-ME"/>
        </w:rPr>
      </w:pPr>
    </w:p>
    <w:p w14:paraId="24021381" w14:textId="77777777" w:rsidR="000B0ADD" w:rsidRDefault="000B0ADD" w:rsidP="0048184E">
      <w:pPr>
        <w:spacing w:after="0" w:line="240" w:lineRule="auto"/>
        <w:jc w:val="both"/>
        <w:rPr>
          <w:rFonts w:cstheme="minorHAnsi"/>
          <w:sz w:val="18"/>
          <w:szCs w:val="18"/>
          <w:lang w:val="sr-Latn-ME"/>
        </w:rPr>
      </w:pPr>
    </w:p>
    <w:p w14:paraId="7EB30810" w14:textId="77777777" w:rsidR="000B0ADD" w:rsidRDefault="000B0ADD" w:rsidP="0048184E">
      <w:pPr>
        <w:spacing w:after="0" w:line="240" w:lineRule="auto"/>
        <w:jc w:val="both"/>
        <w:rPr>
          <w:rFonts w:cstheme="minorHAnsi"/>
          <w:sz w:val="18"/>
          <w:szCs w:val="18"/>
          <w:lang w:val="sr-Latn-ME"/>
        </w:rPr>
      </w:pPr>
    </w:p>
    <w:p w14:paraId="3549439A" w14:textId="77777777" w:rsidR="00735803" w:rsidRDefault="00735803" w:rsidP="0048184E">
      <w:pPr>
        <w:spacing w:after="0" w:line="240" w:lineRule="auto"/>
        <w:jc w:val="both"/>
        <w:rPr>
          <w:rFonts w:cstheme="minorHAnsi"/>
          <w:sz w:val="18"/>
          <w:szCs w:val="18"/>
          <w:lang w:val="sr-Latn-ME"/>
        </w:rPr>
      </w:pPr>
    </w:p>
    <w:p w14:paraId="56B3331A" w14:textId="77777777" w:rsidR="00735803" w:rsidRDefault="00735803" w:rsidP="0048184E">
      <w:pPr>
        <w:spacing w:after="0" w:line="240" w:lineRule="auto"/>
        <w:jc w:val="both"/>
        <w:rPr>
          <w:rFonts w:cstheme="minorHAnsi"/>
          <w:sz w:val="18"/>
          <w:szCs w:val="18"/>
          <w:lang w:val="sr-Latn-ME"/>
        </w:rPr>
      </w:pPr>
    </w:p>
    <w:p w14:paraId="33BC4337" w14:textId="77777777" w:rsidR="000B0ADD" w:rsidRDefault="000B0ADD" w:rsidP="0048184E">
      <w:pPr>
        <w:spacing w:after="0" w:line="240" w:lineRule="auto"/>
        <w:jc w:val="both"/>
        <w:rPr>
          <w:rFonts w:cstheme="minorHAnsi"/>
          <w:sz w:val="18"/>
          <w:szCs w:val="18"/>
          <w:lang w:val="sr-Latn-ME"/>
        </w:rPr>
      </w:pPr>
    </w:p>
    <w:p w14:paraId="586B557E" w14:textId="77777777" w:rsidR="000B0ADD" w:rsidRPr="0048184E" w:rsidRDefault="000B0ADD" w:rsidP="0048184E">
      <w:pPr>
        <w:spacing w:after="0" w:line="240" w:lineRule="auto"/>
        <w:jc w:val="both"/>
        <w:rPr>
          <w:rFonts w:cstheme="minorHAnsi"/>
          <w:sz w:val="18"/>
          <w:szCs w:val="18"/>
          <w:lang w:val="sr-Latn-ME"/>
        </w:rPr>
      </w:pPr>
    </w:p>
    <w:p w14:paraId="28BBABAD" w14:textId="77777777" w:rsidR="00594176" w:rsidRPr="0048184E" w:rsidRDefault="008B4D56" w:rsidP="0048184E">
      <w:pPr>
        <w:spacing w:after="0" w:line="240" w:lineRule="auto"/>
        <w:jc w:val="both"/>
        <w:rPr>
          <w:rFonts w:cstheme="minorHAnsi"/>
          <w:sz w:val="18"/>
          <w:szCs w:val="18"/>
          <w:lang w:val="sr-Latn-ME"/>
        </w:rPr>
      </w:pPr>
      <w:r w:rsidRPr="0048184E">
        <w:rPr>
          <w:noProof/>
          <w:sz w:val="18"/>
          <w:szCs w:val="18"/>
        </w:rPr>
        <w:lastRenderedPageBreak/>
        <mc:AlternateContent>
          <mc:Choice Requires="wps">
            <w:drawing>
              <wp:anchor distT="0" distB="0" distL="114300" distR="114300" simplePos="0" relativeHeight="251665408" behindDoc="0" locked="0" layoutInCell="1" allowOverlap="1" wp14:anchorId="2FA50D40" wp14:editId="69FA2A9C">
                <wp:simplePos x="0" y="0"/>
                <wp:positionH relativeFrom="column">
                  <wp:posOffset>460005</wp:posOffset>
                </wp:positionH>
                <wp:positionV relativeFrom="paragraph">
                  <wp:posOffset>8699</wp:posOffset>
                </wp:positionV>
                <wp:extent cx="3797935" cy="207563"/>
                <wp:effectExtent l="0" t="0" r="0" b="2540"/>
                <wp:wrapNone/>
                <wp:docPr id="19" name="Text Box 19"/>
                <wp:cNvGraphicFramePr/>
                <a:graphic xmlns:a="http://schemas.openxmlformats.org/drawingml/2006/main">
                  <a:graphicData uri="http://schemas.microsoft.com/office/word/2010/wordprocessingShape">
                    <wps:wsp>
                      <wps:cNvSpPr txBox="1"/>
                      <wps:spPr>
                        <a:xfrm>
                          <a:off x="0" y="0"/>
                          <a:ext cx="3797935" cy="207563"/>
                        </a:xfrm>
                        <a:prstGeom prst="rect">
                          <a:avLst/>
                        </a:prstGeom>
                        <a:solidFill>
                          <a:prstClr val="white"/>
                        </a:solidFill>
                        <a:ln>
                          <a:noFill/>
                        </a:ln>
                      </wps:spPr>
                      <wps:txbx>
                        <w:txbxContent>
                          <w:p w14:paraId="5162EBC1" w14:textId="65DFFCB5" w:rsidR="00EB06F2" w:rsidRPr="000B0ADD" w:rsidRDefault="00EB06F2" w:rsidP="000B0ADD">
                            <w:pPr>
                              <w:pStyle w:val="Caption"/>
                              <w:jc w:val="center"/>
                              <w:rPr>
                                <w:rFonts w:asciiTheme="minorHAnsi" w:hAnsiTheme="minorHAnsi" w:cstheme="minorHAnsi"/>
                                <w:color w:val="4472C4" w:themeColor="accent5"/>
                              </w:rPr>
                            </w:pPr>
                            <w:r w:rsidRPr="000B0ADD">
                              <w:rPr>
                                <w:rFonts w:asciiTheme="minorHAnsi" w:hAnsiTheme="minorHAnsi" w:cstheme="minorHAnsi"/>
                                <w:color w:val="4472C4" w:themeColor="accent5"/>
                              </w:rPr>
                              <w:t xml:space="preserve">Slika </w:t>
                            </w:r>
                            <w:r w:rsidRPr="000B0ADD">
                              <w:rPr>
                                <w:rFonts w:asciiTheme="minorHAnsi" w:hAnsiTheme="minorHAnsi" w:cstheme="minorHAnsi"/>
                                <w:color w:val="4472C4" w:themeColor="accent5"/>
                              </w:rPr>
                              <w:fldChar w:fldCharType="begin"/>
                            </w:r>
                            <w:r w:rsidRPr="000B0ADD">
                              <w:rPr>
                                <w:rFonts w:asciiTheme="minorHAnsi" w:hAnsiTheme="minorHAnsi" w:cstheme="minorHAnsi"/>
                                <w:color w:val="4472C4" w:themeColor="accent5"/>
                              </w:rPr>
                              <w:instrText xml:space="preserve"> SEQ Slika \* ARABIC </w:instrText>
                            </w:r>
                            <w:r w:rsidRPr="000B0ADD">
                              <w:rPr>
                                <w:rFonts w:asciiTheme="minorHAnsi" w:hAnsiTheme="minorHAnsi" w:cstheme="minorHAnsi"/>
                                <w:color w:val="4472C4" w:themeColor="accent5"/>
                              </w:rPr>
                              <w:fldChar w:fldCharType="separate"/>
                            </w:r>
                            <w:r>
                              <w:rPr>
                                <w:rFonts w:asciiTheme="minorHAnsi" w:hAnsiTheme="minorHAnsi" w:cstheme="minorHAnsi"/>
                                <w:noProof/>
                                <w:color w:val="4472C4" w:themeColor="accent5"/>
                              </w:rPr>
                              <w:t>1</w:t>
                            </w:r>
                            <w:r w:rsidRPr="000B0ADD">
                              <w:rPr>
                                <w:rFonts w:asciiTheme="minorHAnsi" w:hAnsiTheme="minorHAnsi" w:cstheme="minorHAnsi"/>
                                <w:color w:val="4472C4" w:themeColor="accent5"/>
                              </w:rPr>
                              <w:fldChar w:fldCharType="end"/>
                            </w:r>
                            <w:r w:rsidRPr="000B0ADD">
                              <w:rPr>
                                <w:rFonts w:asciiTheme="minorHAnsi" w:hAnsiTheme="minorHAnsi" w:cstheme="minorHAnsi"/>
                                <w:color w:val="4472C4" w:themeColor="accent5"/>
                              </w:rPr>
                              <w:t>. JLS u Crnoj Gori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A50D40" id="_x0000_t202" coordsize="21600,21600" o:spt="202" path="m,l,21600r21600,l21600,xe">
                <v:stroke joinstyle="miter"/>
                <v:path gradientshapeok="t" o:connecttype="rect"/>
              </v:shapetype>
              <v:shape id="Text Box 19" o:spid="_x0000_s1026" type="#_x0000_t202" style="position:absolute;left:0;text-align:left;margin-left:36.2pt;margin-top:.7pt;width:299.05pt;height:16.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" stroked="f">
                <v:textbox inset="0,0,0,0">
                  <w:txbxContent>
                    <w:p w14:paraId="5162EBC1" w14:textId="65DFFCB5" w:rsidR="00EB06F2" w:rsidRPr="000B0ADD" w:rsidRDefault="00EB06F2" w:rsidP="000B0ADD">
                      <w:pPr>
                        <w:pStyle w:val="Caption"/>
                        <w:jc w:val="center"/>
                        <w:rPr>
                          <w:rFonts w:asciiTheme="minorHAnsi" w:hAnsiTheme="minorHAnsi" w:cstheme="minorHAnsi"/>
                          <w:color w:val="4472C4" w:themeColor="accent5"/>
                        </w:rPr>
                      </w:pPr>
                      <w:r w:rsidRPr="000B0ADD">
                        <w:rPr>
                          <w:rFonts w:asciiTheme="minorHAnsi" w:hAnsiTheme="minorHAnsi" w:cstheme="minorHAnsi"/>
                          <w:color w:val="4472C4" w:themeColor="accent5"/>
                        </w:rPr>
                        <w:t xml:space="preserve">Slika </w:t>
                      </w:r>
                      <w:r w:rsidRPr="000B0ADD">
                        <w:rPr>
                          <w:rFonts w:asciiTheme="minorHAnsi" w:hAnsiTheme="minorHAnsi" w:cstheme="minorHAnsi"/>
                          <w:color w:val="4472C4" w:themeColor="accent5"/>
                        </w:rPr>
                        <w:fldChar w:fldCharType="begin"/>
                      </w:r>
                      <w:r w:rsidRPr="000B0ADD">
                        <w:rPr>
                          <w:rFonts w:asciiTheme="minorHAnsi" w:hAnsiTheme="minorHAnsi" w:cstheme="minorHAnsi"/>
                          <w:color w:val="4472C4" w:themeColor="accent5"/>
                        </w:rPr>
                        <w:instrText xml:space="preserve"> SEQ Slika \* ARABIC </w:instrText>
                      </w:r>
                      <w:r w:rsidRPr="000B0ADD">
                        <w:rPr>
                          <w:rFonts w:asciiTheme="minorHAnsi" w:hAnsiTheme="minorHAnsi" w:cstheme="minorHAnsi"/>
                          <w:color w:val="4472C4" w:themeColor="accent5"/>
                        </w:rPr>
                        <w:fldChar w:fldCharType="separate"/>
                      </w:r>
                      <w:r>
                        <w:rPr>
                          <w:rFonts w:asciiTheme="minorHAnsi" w:hAnsiTheme="minorHAnsi" w:cstheme="minorHAnsi"/>
                          <w:noProof/>
                          <w:color w:val="4472C4" w:themeColor="accent5"/>
                        </w:rPr>
                        <w:t>1</w:t>
                      </w:r>
                      <w:r w:rsidRPr="000B0ADD">
                        <w:rPr>
                          <w:rFonts w:asciiTheme="minorHAnsi" w:hAnsiTheme="minorHAnsi" w:cstheme="minorHAnsi"/>
                          <w:color w:val="4472C4" w:themeColor="accent5"/>
                        </w:rPr>
                        <w:fldChar w:fldCharType="end"/>
                      </w:r>
                      <w:r w:rsidRPr="000B0ADD">
                        <w:rPr>
                          <w:rFonts w:asciiTheme="minorHAnsi" w:hAnsiTheme="minorHAnsi" w:cstheme="minorHAnsi"/>
                          <w:color w:val="4472C4" w:themeColor="accent5"/>
                        </w:rPr>
                        <w:t>. JLS u Crnoj Gori</w:t>
                      </w:r>
                    </w:p>
                  </w:txbxContent>
                </v:textbox>
              </v:shape>
            </w:pict>
          </mc:Fallback>
        </mc:AlternateContent>
      </w:r>
    </w:p>
    <w:p w14:paraId="42B5CAB6" w14:textId="77777777" w:rsidR="00594176" w:rsidRPr="0048184E" w:rsidRDefault="00F55052" w:rsidP="0048184E">
      <w:pPr>
        <w:spacing w:after="0" w:line="240" w:lineRule="auto"/>
        <w:rPr>
          <w:rFonts w:cstheme="minorHAnsi"/>
          <w:sz w:val="18"/>
          <w:szCs w:val="18"/>
          <w:lang w:val="sr-Latn-ME"/>
        </w:rPr>
      </w:pPr>
      <w:r w:rsidRPr="0048184E">
        <w:rPr>
          <w:noProof/>
          <w:sz w:val="18"/>
          <w:szCs w:val="18"/>
        </w:rPr>
        <w:drawing>
          <wp:anchor distT="0" distB="0" distL="114300" distR="114300" simplePos="0" relativeHeight="251663360" behindDoc="0" locked="0" layoutInCell="1" allowOverlap="1" wp14:anchorId="3D41A51F" wp14:editId="1A68792B">
            <wp:simplePos x="0" y="0"/>
            <wp:positionH relativeFrom="column">
              <wp:posOffset>462753</wp:posOffset>
            </wp:positionH>
            <wp:positionV relativeFrom="paragraph">
              <wp:posOffset>184692</wp:posOffset>
            </wp:positionV>
            <wp:extent cx="3798277" cy="2132366"/>
            <wp:effectExtent l="0" t="0" r="0" b="127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829579" cy="2149939"/>
                    </a:xfrm>
                    <a:prstGeom prst="rect">
                      <a:avLst/>
                    </a:prstGeom>
                  </pic:spPr>
                </pic:pic>
              </a:graphicData>
            </a:graphic>
            <wp14:sizeRelH relativeFrom="margin">
              <wp14:pctWidth>0</wp14:pctWidth>
            </wp14:sizeRelH>
            <wp14:sizeRelV relativeFrom="margin">
              <wp14:pctHeight>0</wp14:pctHeight>
            </wp14:sizeRelV>
          </wp:anchor>
        </w:drawing>
      </w:r>
    </w:p>
    <w:p w14:paraId="532E912A" w14:textId="77777777" w:rsidR="00594176" w:rsidRPr="0048184E" w:rsidRDefault="00594176" w:rsidP="0048184E">
      <w:pPr>
        <w:spacing w:after="0" w:line="240" w:lineRule="auto"/>
        <w:rPr>
          <w:rFonts w:cstheme="minorHAnsi"/>
          <w:sz w:val="18"/>
          <w:szCs w:val="18"/>
          <w:lang w:val="sr-Latn-ME"/>
        </w:rPr>
      </w:pPr>
    </w:p>
    <w:p w14:paraId="3C83EB6C" w14:textId="77777777" w:rsidR="00594176" w:rsidRPr="0048184E" w:rsidRDefault="00594176" w:rsidP="0048184E">
      <w:pPr>
        <w:spacing w:after="0" w:line="240" w:lineRule="auto"/>
        <w:rPr>
          <w:rFonts w:cstheme="minorHAnsi"/>
          <w:sz w:val="18"/>
          <w:szCs w:val="18"/>
          <w:lang w:val="sr-Latn-ME"/>
        </w:rPr>
      </w:pPr>
    </w:p>
    <w:p w14:paraId="2BEB6F0B" w14:textId="77777777" w:rsidR="00594176" w:rsidRPr="0048184E" w:rsidRDefault="00594176" w:rsidP="0048184E">
      <w:pPr>
        <w:spacing w:after="0" w:line="240" w:lineRule="auto"/>
        <w:rPr>
          <w:rFonts w:cstheme="minorHAnsi"/>
          <w:sz w:val="18"/>
          <w:szCs w:val="18"/>
          <w:lang w:val="sr-Latn-ME"/>
        </w:rPr>
      </w:pPr>
    </w:p>
    <w:p w14:paraId="020FC68D" w14:textId="77777777" w:rsidR="00594176" w:rsidRPr="0048184E" w:rsidRDefault="00594176" w:rsidP="0048184E">
      <w:pPr>
        <w:spacing w:after="0" w:line="240" w:lineRule="auto"/>
        <w:rPr>
          <w:rFonts w:cstheme="minorHAnsi"/>
          <w:sz w:val="18"/>
          <w:szCs w:val="18"/>
          <w:lang w:val="sr-Latn-ME"/>
        </w:rPr>
      </w:pPr>
    </w:p>
    <w:p w14:paraId="3240C2A0" w14:textId="77777777" w:rsidR="00594176" w:rsidRPr="0048184E" w:rsidRDefault="00594176" w:rsidP="0048184E">
      <w:pPr>
        <w:spacing w:after="0" w:line="240" w:lineRule="auto"/>
        <w:rPr>
          <w:rFonts w:cstheme="minorHAnsi"/>
          <w:sz w:val="18"/>
          <w:szCs w:val="18"/>
          <w:lang w:val="sr-Latn-ME"/>
        </w:rPr>
      </w:pPr>
    </w:p>
    <w:p w14:paraId="79773ED4" w14:textId="77777777" w:rsidR="00594176" w:rsidRPr="0048184E" w:rsidRDefault="00594176" w:rsidP="0048184E">
      <w:pPr>
        <w:spacing w:after="0" w:line="240" w:lineRule="auto"/>
        <w:rPr>
          <w:rFonts w:cstheme="minorHAnsi"/>
          <w:sz w:val="18"/>
          <w:szCs w:val="18"/>
          <w:lang w:val="sr-Latn-ME"/>
        </w:rPr>
      </w:pPr>
    </w:p>
    <w:p w14:paraId="6EB23F87" w14:textId="77777777" w:rsidR="00594176" w:rsidRPr="0048184E" w:rsidRDefault="00594176" w:rsidP="0048184E">
      <w:pPr>
        <w:spacing w:after="0" w:line="240" w:lineRule="auto"/>
        <w:rPr>
          <w:rFonts w:cstheme="minorHAnsi"/>
          <w:sz w:val="18"/>
          <w:szCs w:val="18"/>
          <w:lang w:val="sr-Latn-ME"/>
        </w:rPr>
      </w:pPr>
    </w:p>
    <w:p w14:paraId="473C0944" w14:textId="77777777" w:rsidR="000B0ADD" w:rsidRDefault="00D74104" w:rsidP="0048184E">
      <w:pPr>
        <w:tabs>
          <w:tab w:val="left" w:pos="1077"/>
        </w:tabs>
        <w:spacing w:after="0" w:line="240" w:lineRule="auto"/>
        <w:rPr>
          <w:rFonts w:cstheme="minorHAnsi"/>
          <w:sz w:val="18"/>
          <w:szCs w:val="18"/>
          <w:lang w:val="sr-Latn-ME"/>
        </w:rPr>
      </w:pPr>
      <w:r w:rsidRPr="0048184E">
        <w:rPr>
          <w:rFonts w:cstheme="minorHAnsi"/>
          <w:sz w:val="18"/>
          <w:szCs w:val="18"/>
          <w:lang w:val="sr-Latn-ME"/>
        </w:rPr>
        <w:t xml:space="preserve">   </w:t>
      </w:r>
    </w:p>
    <w:p w14:paraId="653C4CD8" w14:textId="77777777" w:rsidR="000B0ADD" w:rsidRDefault="000B0ADD" w:rsidP="0048184E">
      <w:pPr>
        <w:tabs>
          <w:tab w:val="left" w:pos="1077"/>
        </w:tabs>
        <w:spacing w:after="0" w:line="240" w:lineRule="auto"/>
        <w:rPr>
          <w:rFonts w:cstheme="minorHAnsi"/>
          <w:sz w:val="18"/>
          <w:szCs w:val="18"/>
          <w:lang w:val="sr-Latn-ME"/>
        </w:rPr>
      </w:pPr>
    </w:p>
    <w:p w14:paraId="555CDDD3" w14:textId="77777777" w:rsidR="000B0ADD" w:rsidRDefault="000B0ADD" w:rsidP="0048184E">
      <w:pPr>
        <w:tabs>
          <w:tab w:val="left" w:pos="1077"/>
        </w:tabs>
        <w:spacing w:after="0" w:line="240" w:lineRule="auto"/>
        <w:rPr>
          <w:rFonts w:cstheme="minorHAnsi"/>
          <w:sz w:val="18"/>
          <w:szCs w:val="18"/>
          <w:lang w:val="sr-Latn-ME"/>
        </w:rPr>
      </w:pPr>
    </w:p>
    <w:p w14:paraId="66B6BBF2" w14:textId="77777777" w:rsidR="000B0ADD" w:rsidRDefault="000B0ADD" w:rsidP="0048184E">
      <w:pPr>
        <w:tabs>
          <w:tab w:val="left" w:pos="1077"/>
        </w:tabs>
        <w:spacing w:after="0" w:line="240" w:lineRule="auto"/>
        <w:rPr>
          <w:rFonts w:cstheme="minorHAnsi"/>
          <w:sz w:val="18"/>
          <w:szCs w:val="18"/>
          <w:lang w:val="sr-Latn-ME"/>
        </w:rPr>
      </w:pPr>
    </w:p>
    <w:p w14:paraId="0B551A05" w14:textId="77777777" w:rsidR="000B0ADD" w:rsidRDefault="000B0ADD" w:rsidP="0048184E">
      <w:pPr>
        <w:tabs>
          <w:tab w:val="left" w:pos="1077"/>
        </w:tabs>
        <w:spacing w:after="0" w:line="240" w:lineRule="auto"/>
        <w:rPr>
          <w:rFonts w:cstheme="minorHAnsi"/>
          <w:sz w:val="18"/>
          <w:szCs w:val="18"/>
          <w:lang w:val="sr-Latn-ME"/>
        </w:rPr>
      </w:pPr>
    </w:p>
    <w:p w14:paraId="5AD3E2E5" w14:textId="77777777" w:rsidR="000B0ADD" w:rsidRDefault="000B0ADD" w:rsidP="0048184E">
      <w:pPr>
        <w:tabs>
          <w:tab w:val="left" w:pos="1077"/>
        </w:tabs>
        <w:spacing w:after="0" w:line="240" w:lineRule="auto"/>
        <w:rPr>
          <w:rFonts w:cstheme="minorHAnsi"/>
          <w:sz w:val="18"/>
          <w:szCs w:val="18"/>
          <w:lang w:val="sr-Latn-ME"/>
        </w:rPr>
      </w:pPr>
    </w:p>
    <w:p w14:paraId="0DB4440F" w14:textId="77777777" w:rsidR="000B0ADD" w:rsidRDefault="000B0ADD" w:rsidP="0048184E">
      <w:pPr>
        <w:tabs>
          <w:tab w:val="left" w:pos="1077"/>
        </w:tabs>
        <w:spacing w:after="0" w:line="240" w:lineRule="auto"/>
        <w:rPr>
          <w:rFonts w:cstheme="minorHAnsi"/>
          <w:sz w:val="18"/>
          <w:szCs w:val="18"/>
          <w:lang w:val="sr-Latn-ME"/>
        </w:rPr>
      </w:pPr>
    </w:p>
    <w:p w14:paraId="57A3B742" w14:textId="77777777" w:rsidR="000B0ADD" w:rsidRDefault="000B0ADD" w:rsidP="0048184E">
      <w:pPr>
        <w:tabs>
          <w:tab w:val="left" w:pos="1077"/>
        </w:tabs>
        <w:spacing w:after="0" w:line="240" w:lineRule="auto"/>
        <w:rPr>
          <w:rFonts w:cstheme="minorHAnsi"/>
          <w:sz w:val="18"/>
          <w:szCs w:val="18"/>
          <w:lang w:val="sr-Latn-ME"/>
        </w:rPr>
      </w:pPr>
    </w:p>
    <w:p w14:paraId="3EBA4794" w14:textId="77777777" w:rsidR="000B0ADD" w:rsidRDefault="000B0ADD" w:rsidP="0048184E">
      <w:pPr>
        <w:tabs>
          <w:tab w:val="left" w:pos="1077"/>
        </w:tabs>
        <w:spacing w:after="0" w:line="240" w:lineRule="auto"/>
        <w:rPr>
          <w:rFonts w:cstheme="minorHAnsi"/>
          <w:sz w:val="18"/>
          <w:szCs w:val="18"/>
          <w:lang w:val="sr-Latn-ME"/>
        </w:rPr>
      </w:pPr>
    </w:p>
    <w:p w14:paraId="0B58C220" w14:textId="77777777" w:rsidR="00594176" w:rsidRPr="0048184E" w:rsidRDefault="000B0ADD" w:rsidP="0048184E">
      <w:pPr>
        <w:tabs>
          <w:tab w:val="left" w:pos="1077"/>
        </w:tabs>
        <w:spacing w:after="0" w:line="240" w:lineRule="auto"/>
        <w:rPr>
          <w:rFonts w:cstheme="minorHAnsi"/>
          <w:sz w:val="18"/>
          <w:szCs w:val="18"/>
          <w:lang w:val="sr-Latn-ME"/>
        </w:rPr>
      </w:pPr>
      <w:r>
        <w:rPr>
          <w:rFonts w:cstheme="minorHAnsi"/>
          <w:sz w:val="18"/>
          <w:szCs w:val="18"/>
          <w:lang w:val="sr-Latn-ME"/>
        </w:rPr>
        <w:t xml:space="preserve">                   </w:t>
      </w:r>
      <w:r w:rsidR="00D74104" w:rsidRPr="0048184E">
        <w:rPr>
          <w:rFonts w:cstheme="minorHAnsi"/>
          <w:sz w:val="18"/>
          <w:szCs w:val="18"/>
          <w:lang w:val="pl-PL"/>
        </w:rPr>
        <w:t>Izvor</w:t>
      </w:r>
      <w:r w:rsidR="00D74104" w:rsidRPr="0048184E">
        <w:rPr>
          <w:rFonts w:cstheme="minorHAnsi"/>
          <w:sz w:val="18"/>
          <w:szCs w:val="18"/>
          <w:lang w:val="sr-Latn-ME"/>
        </w:rPr>
        <w:t xml:space="preserve">: </w:t>
      </w:r>
      <w:r w:rsidR="00D74104" w:rsidRPr="0048184E">
        <w:rPr>
          <w:rFonts w:cstheme="minorHAnsi"/>
          <w:sz w:val="18"/>
          <w:szCs w:val="18"/>
          <w:lang w:val="pl-PL"/>
        </w:rPr>
        <w:t>PPCG</w:t>
      </w:r>
      <w:r w:rsidR="00D74104" w:rsidRPr="0048184E">
        <w:rPr>
          <w:rFonts w:cstheme="minorHAnsi"/>
          <w:sz w:val="18"/>
          <w:szCs w:val="18"/>
          <w:lang w:val="sr-Latn-ME"/>
        </w:rPr>
        <w:t xml:space="preserve"> </w:t>
      </w:r>
      <w:r w:rsidR="00D74104" w:rsidRPr="0048184E">
        <w:rPr>
          <w:rFonts w:cstheme="minorHAnsi"/>
          <w:sz w:val="18"/>
          <w:szCs w:val="18"/>
          <w:lang w:val="pl-PL"/>
        </w:rPr>
        <w:t>do</w:t>
      </w:r>
      <w:r w:rsidR="00D74104" w:rsidRPr="0048184E">
        <w:rPr>
          <w:rFonts w:cstheme="minorHAnsi"/>
          <w:sz w:val="18"/>
          <w:szCs w:val="18"/>
          <w:lang w:val="sr-Latn-ME"/>
        </w:rPr>
        <w:t xml:space="preserve"> 2040.</w:t>
      </w:r>
      <w:r w:rsidR="00D74104" w:rsidRPr="0048184E">
        <w:rPr>
          <w:rFonts w:cstheme="minorHAnsi"/>
          <w:sz w:val="18"/>
          <w:szCs w:val="18"/>
          <w:lang w:val="pl-PL"/>
        </w:rPr>
        <w:t>godine</w:t>
      </w:r>
    </w:p>
    <w:p w14:paraId="671BF26E" w14:textId="77777777" w:rsidR="000B0ADD" w:rsidRPr="003C2A72" w:rsidRDefault="000B0ADD" w:rsidP="0048184E">
      <w:pPr>
        <w:tabs>
          <w:tab w:val="left" w:pos="1077"/>
        </w:tabs>
        <w:spacing w:after="0" w:line="240" w:lineRule="auto"/>
        <w:jc w:val="both"/>
        <w:rPr>
          <w:sz w:val="18"/>
          <w:szCs w:val="18"/>
          <w:lang w:val="sr-Latn-ME"/>
        </w:rPr>
      </w:pPr>
    </w:p>
    <w:p w14:paraId="363057A1" w14:textId="77777777" w:rsidR="007339B6" w:rsidRPr="0048184E" w:rsidRDefault="004004EB" w:rsidP="0048184E">
      <w:pPr>
        <w:tabs>
          <w:tab w:val="left" w:pos="1077"/>
        </w:tabs>
        <w:spacing w:after="0" w:line="240" w:lineRule="auto"/>
        <w:jc w:val="both"/>
        <w:rPr>
          <w:sz w:val="18"/>
          <w:szCs w:val="18"/>
          <w:lang w:val="sr-Latn-ME"/>
        </w:rPr>
      </w:pPr>
      <w:r w:rsidRPr="0048184E">
        <w:rPr>
          <w:sz w:val="18"/>
          <w:szCs w:val="18"/>
          <w:lang w:val="pl-PL"/>
        </w:rPr>
        <w:t>Iako</w:t>
      </w:r>
      <w:r w:rsidRPr="0048184E">
        <w:rPr>
          <w:sz w:val="18"/>
          <w:szCs w:val="18"/>
          <w:lang w:val="sr-Latn-ME"/>
        </w:rPr>
        <w:t xml:space="preserve"> </w:t>
      </w:r>
      <w:r w:rsidRPr="0048184E">
        <w:rPr>
          <w:sz w:val="18"/>
          <w:szCs w:val="18"/>
          <w:lang w:val="pl-PL"/>
        </w:rPr>
        <w:t>Crna</w:t>
      </w:r>
      <w:r w:rsidRPr="0048184E">
        <w:rPr>
          <w:sz w:val="18"/>
          <w:szCs w:val="18"/>
          <w:lang w:val="sr-Latn-ME"/>
        </w:rPr>
        <w:t xml:space="preserve"> </w:t>
      </w:r>
      <w:r w:rsidRPr="0048184E">
        <w:rPr>
          <w:sz w:val="18"/>
          <w:szCs w:val="18"/>
          <w:lang w:val="pl-PL"/>
        </w:rPr>
        <w:t>Gora</w:t>
      </w:r>
      <w:r w:rsidRPr="0048184E">
        <w:rPr>
          <w:sz w:val="18"/>
          <w:szCs w:val="18"/>
          <w:lang w:val="sr-Latn-ME"/>
        </w:rPr>
        <w:t xml:space="preserve"> </w:t>
      </w:r>
      <w:r w:rsidRPr="0048184E">
        <w:rPr>
          <w:sz w:val="18"/>
          <w:szCs w:val="18"/>
          <w:lang w:val="pl-PL"/>
        </w:rPr>
        <w:t>nema</w:t>
      </w:r>
      <w:r w:rsidRPr="0048184E">
        <w:rPr>
          <w:sz w:val="18"/>
          <w:szCs w:val="18"/>
          <w:lang w:val="sr-Latn-ME"/>
        </w:rPr>
        <w:t xml:space="preserve"> </w:t>
      </w:r>
      <w:r w:rsidRPr="0048184E">
        <w:rPr>
          <w:sz w:val="18"/>
          <w:szCs w:val="18"/>
          <w:lang w:val="pl-PL"/>
        </w:rPr>
        <w:t>uspostavljen</w:t>
      </w:r>
      <w:r w:rsidRPr="0048184E">
        <w:rPr>
          <w:sz w:val="18"/>
          <w:szCs w:val="18"/>
          <w:lang w:val="sr-Latn-ME"/>
        </w:rPr>
        <w:t xml:space="preserve"> </w:t>
      </w:r>
      <w:r w:rsidRPr="0048184E">
        <w:rPr>
          <w:sz w:val="18"/>
          <w:szCs w:val="18"/>
          <w:lang w:val="pl-PL"/>
        </w:rPr>
        <w:t>dvostepeni</w:t>
      </w:r>
      <w:r w:rsidRPr="0048184E">
        <w:rPr>
          <w:sz w:val="18"/>
          <w:szCs w:val="18"/>
          <w:lang w:val="sr-Latn-ME"/>
        </w:rPr>
        <w:t xml:space="preserve"> </w:t>
      </w:r>
      <w:r w:rsidRPr="0048184E">
        <w:rPr>
          <w:sz w:val="18"/>
          <w:szCs w:val="18"/>
          <w:lang w:val="pl-PL"/>
        </w:rPr>
        <w:t>sistem</w:t>
      </w:r>
      <w:r w:rsidRPr="0048184E">
        <w:rPr>
          <w:sz w:val="18"/>
          <w:szCs w:val="18"/>
          <w:lang w:val="sr-Latn-ME"/>
        </w:rPr>
        <w:t xml:space="preserve"> </w:t>
      </w:r>
      <w:r w:rsidRPr="0048184E">
        <w:rPr>
          <w:sz w:val="18"/>
          <w:szCs w:val="18"/>
          <w:lang w:val="pl-PL"/>
        </w:rPr>
        <w:t>lokalne</w:t>
      </w:r>
      <w:r w:rsidRPr="0048184E">
        <w:rPr>
          <w:sz w:val="18"/>
          <w:szCs w:val="18"/>
          <w:lang w:val="sr-Latn-ME"/>
        </w:rPr>
        <w:t xml:space="preserve"> </w:t>
      </w:r>
      <w:r w:rsidRPr="0048184E">
        <w:rPr>
          <w:sz w:val="18"/>
          <w:szCs w:val="18"/>
          <w:lang w:val="pl-PL"/>
        </w:rPr>
        <w:t>samouprave</w:t>
      </w:r>
      <w:r w:rsidRPr="0048184E">
        <w:rPr>
          <w:sz w:val="18"/>
          <w:szCs w:val="18"/>
          <w:lang w:val="sr-Latn-ME"/>
        </w:rPr>
        <w:t xml:space="preserve">, </w:t>
      </w:r>
      <w:r w:rsidRPr="0048184E">
        <w:rPr>
          <w:sz w:val="18"/>
          <w:szCs w:val="18"/>
          <w:lang w:val="pl-PL"/>
        </w:rPr>
        <w:t>regioni</w:t>
      </w:r>
      <w:r w:rsidRPr="0048184E">
        <w:rPr>
          <w:sz w:val="18"/>
          <w:szCs w:val="18"/>
          <w:lang w:val="sr-Latn-ME"/>
        </w:rPr>
        <w:t xml:space="preserve"> </w:t>
      </w:r>
      <w:r w:rsidRPr="0048184E">
        <w:rPr>
          <w:sz w:val="18"/>
          <w:szCs w:val="18"/>
          <w:lang w:val="pl-PL"/>
        </w:rPr>
        <w:t>egzistiraju</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pravnom</w:t>
      </w:r>
      <w:r w:rsidRPr="0048184E">
        <w:rPr>
          <w:sz w:val="18"/>
          <w:szCs w:val="18"/>
          <w:lang w:val="sr-Latn-ME"/>
        </w:rPr>
        <w:t xml:space="preserve"> </w:t>
      </w:r>
      <w:r w:rsidRPr="0048184E">
        <w:rPr>
          <w:sz w:val="18"/>
          <w:szCs w:val="18"/>
          <w:lang w:val="pl-PL"/>
        </w:rPr>
        <w:t>sistemu</w:t>
      </w:r>
      <w:r w:rsidRPr="0048184E">
        <w:rPr>
          <w:sz w:val="18"/>
          <w:szCs w:val="18"/>
          <w:lang w:val="sr-Latn-ME"/>
        </w:rPr>
        <w:t xml:space="preserve"> </w:t>
      </w:r>
      <w:r w:rsidRPr="0048184E">
        <w:rPr>
          <w:sz w:val="18"/>
          <w:szCs w:val="18"/>
          <w:lang w:val="pl-PL"/>
        </w:rPr>
        <w:t>samo</w:t>
      </w:r>
      <w:r w:rsidRPr="0048184E">
        <w:rPr>
          <w:sz w:val="18"/>
          <w:szCs w:val="18"/>
          <w:lang w:val="sr-Latn-ME"/>
        </w:rPr>
        <w:t xml:space="preserve"> </w:t>
      </w:r>
      <w:r w:rsidRPr="0048184E">
        <w:rPr>
          <w:sz w:val="18"/>
          <w:szCs w:val="18"/>
          <w:lang w:val="pl-PL"/>
        </w:rPr>
        <w:t>sa</w:t>
      </w:r>
      <w:r w:rsidRPr="0048184E">
        <w:rPr>
          <w:sz w:val="18"/>
          <w:szCs w:val="18"/>
          <w:lang w:val="sr-Latn-ME"/>
        </w:rPr>
        <w:t xml:space="preserve"> </w:t>
      </w:r>
      <w:r w:rsidRPr="0048184E">
        <w:rPr>
          <w:sz w:val="18"/>
          <w:szCs w:val="18"/>
          <w:lang w:val="pl-PL"/>
        </w:rPr>
        <w:t>aspekta</w:t>
      </w:r>
      <w:r w:rsidRPr="0048184E">
        <w:rPr>
          <w:sz w:val="18"/>
          <w:szCs w:val="18"/>
          <w:lang w:val="sr-Latn-ME"/>
        </w:rPr>
        <w:t xml:space="preserve"> </w:t>
      </w:r>
      <w:r w:rsidRPr="0048184E">
        <w:rPr>
          <w:sz w:val="18"/>
          <w:szCs w:val="18"/>
          <w:lang w:val="pl-PL"/>
        </w:rPr>
        <w:t>politike</w:t>
      </w:r>
      <w:r w:rsidRPr="0048184E">
        <w:rPr>
          <w:sz w:val="18"/>
          <w:szCs w:val="18"/>
          <w:lang w:val="sr-Latn-ME"/>
        </w:rPr>
        <w:t xml:space="preserve"> </w:t>
      </w:r>
      <w:r w:rsidRPr="0048184E">
        <w:rPr>
          <w:sz w:val="18"/>
          <w:szCs w:val="18"/>
          <w:lang w:val="pl-PL"/>
        </w:rPr>
        <w:t>regionalnog</w:t>
      </w:r>
      <w:r w:rsidRPr="0048184E">
        <w:rPr>
          <w:sz w:val="18"/>
          <w:szCs w:val="18"/>
          <w:lang w:val="sr-Latn-ME"/>
        </w:rPr>
        <w:t xml:space="preserve"> </w:t>
      </w:r>
      <w:r w:rsidRPr="0048184E">
        <w:rPr>
          <w:sz w:val="18"/>
          <w:szCs w:val="18"/>
          <w:lang w:val="pl-PL"/>
        </w:rPr>
        <w:t>razvoja</w:t>
      </w:r>
      <w:r w:rsidRPr="0048184E">
        <w:rPr>
          <w:sz w:val="18"/>
          <w:szCs w:val="18"/>
          <w:lang w:val="sr-Latn-ME"/>
        </w:rPr>
        <w:t xml:space="preserve">. </w:t>
      </w:r>
      <w:r w:rsidR="007339B6" w:rsidRPr="0048184E">
        <w:rPr>
          <w:rFonts w:cstheme="minorHAnsi"/>
          <w:sz w:val="18"/>
          <w:szCs w:val="18"/>
          <w:lang w:val="sr-Latn-ME"/>
        </w:rPr>
        <w:t>Polazeći od potrebe planiranja razvojnih prioriteta i sprovođenja i praćenja politike regionalnog razvoja u Crnoj Gori, definisana su tri regiona</w:t>
      </w:r>
      <w:r w:rsidR="00F55052" w:rsidRPr="0048184E">
        <w:rPr>
          <w:rStyle w:val="FootnoteReference"/>
          <w:rFonts w:cstheme="minorHAnsi"/>
          <w:sz w:val="18"/>
          <w:szCs w:val="18"/>
          <w:lang w:val="sr-Latn-ME"/>
        </w:rPr>
        <w:footnoteReference w:id="6"/>
      </w:r>
      <w:r w:rsidR="007339B6" w:rsidRPr="0048184E">
        <w:rPr>
          <w:rFonts w:cstheme="minorHAnsi"/>
          <w:sz w:val="18"/>
          <w:szCs w:val="18"/>
          <w:lang w:val="sr-Latn-ME"/>
        </w:rPr>
        <w:t xml:space="preserve">: Primorski, Središnji i Sjeverni. </w:t>
      </w:r>
    </w:p>
    <w:p w14:paraId="779E8404" w14:textId="77777777" w:rsidR="007339B6" w:rsidRPr="0048184E" w:rsidRDefault="007339B6" w:rsidP="0048184E">
      <w:pPr>
        <w:pStyle w:val="ListParagraph"/>
        <w:numPr>
          <w:ilvl w:val="0"/>
          <w:numId w:val="18"/>
        </w:numPr>
        <w:spacing w:after="0" w:line="240" w:lineRule="auto"/>
        <w:jc w:val="both"/>
        <w:rPr>
          <w:rFonts w:cstheme="minorHAnsi"/>
          <w:sz w:val="18"/>
          <w:szCs w:val="18"/>
          <w:lang w:val="sr-Latn-ME"/>
        </w:rPr>
      </w:pPr>
      <w:r w:rsidRPr="0048184E">
        <w:rPr>
          <w:rFonts w:cstheme="minorHAnsi"/>
          <w:sz w:val="18"/>
          <w:szCs w:val="18"/>
          <w:lang w:val="sr-Latn-RS"/>
        </w:rPr>
        <w:t>Primorski region čine: Bar, Budva, Herceg-Novi, Kotor, Tivat i Ulcinj.</w:t>
      </w:r>
    </w:p>
    <w:p w14:paraId="173B8711" w14:textId="77777777" w:rsidR="007339B6" w:rsidRPr="0048184E" w:rsidRDefault="007339B6" w:rsidP="0048184E">
      <w:pPr>
        <w:pStyle w:val="T30X"/>
        <w:numPr>
          <w:ilvl w:val="0"/>
          <w:numId w:val="18"/>
        </w:numPr>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RS"/>
        </w:rPr>
        <w:t>Središnji region čine: Glavni grad Podgorica, Prijestonica Cetinje i opštine Danilovgrad, Tuzi, Zeta i Nikšić.</w:t>
      </w:r>
    </w:p>
    <w:p w14:paraId="61B94328" w14:textId="77777777" w:rsidR="007339B6" w:rsidRPr="0048184E" w:rsidRDefault="007339B6" w:rsidP="0048184E">
      <w:pPr>
        <w:pStyle w:val="T30X"/>
        <w:numPr>
          <w:ilvl w:val="0"/>
          <w:numId w:val="18"/>
        </w:numPr>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RS"/>
        </w:rPr>
        <w:t>Sjeverni region čine: Andrijevica, Berane, Bijelo Polje, Gusinje, Kolašin, Mojkovac, Petnjica, Plav, Plužine, Pljevlja, Rožaje, Šavnik i Žabljak.</w:t>
      </w:r>
    </w:p>
    <w:p w14:paraId="1B524746" w14:textId="77777777" w:rsidR="00FB0461" w:rsidRPr="0048184E" w:rsidRDefault="00FB0461" w:rsidP="0048184E">
      <w:pPr>
        <w:spacing w:after="0" w:line="240" w:lineRule="auto"/>
        <w:jc w:val="both"/>
        <w:rPr>
          <w:rFonts w:cstheme="minorHAnsi"/>
          <w:sz w:val="18"/>
          <w:szCs w:val="18"/>
          <w:lang w:val="sr-Latn-RS"/>
        </w:rPr>
      </w:pPr>
    </w:p>
    <w:p w14:paraId="3E8517EE" w14:textId="77777777" w:rsidR="007339B6" w:rsidRPr="0048184E" w:rsidRDefault="007339B6" w:rsidP="0048184E">
      <w:pPr>
        <w:spacing w:after="0" w:line="240" w:lineRule="auto"/>
        <w:jc w:val="both"/>
        <w:rPr>
          <w:rFonts w:cstheme="minorHAnsi"/>
          <w:sz w:val="18"/>
          <w:szCs w:val="18"/>
          <w:lang w:val="sr-Latn-ME"/>
        </w:rPr>
      </w:pPr>
      <w:r w:rsidRPr="0048184E">
        <w:rPr>
          <w:rFonts w:cstheme="minorHAnsi"/>
          <w:sz w:val="18"/>
          <w:szCs w:val="18"/>
          <w:lang w:val="sr-Latn-RS"/>
        </w:rPr>
        <w:t xml:space="preserve">Kako je regionalna politika dio politike koja se usaglašava sa politikom EU </w:t>
      </w:r>
      <w:r w:rsidRPr="0048184E">
        <w:rPr>
          <w:rFonts w:cstheme="minorHAnsi"/>
          <w:sz w:val="18"/>
          <w:szCs w:val="18"/>
          <w:lang w:val="sr-Latn-ME"/>
        </w:rPr>
        <w:t xml:space="preserve">kroz proces pregovora o pristupanju, u skladu </w:t>
      </w:r>
      <w:r w:rsidR="00795099">
        <w:rPr>
          <w:rFonts w:cstheme="minorHAnsi"/>
          <w:sz w:val="18"/>
          <w:szCs w:val="18"/>
          <w:lang w:val="sr-Latn-ME"/>
        </w:rPr>
        <w:t>sa regulativom EK</w:t>
      </w:r>
      <w:r w:rsidRPr="0048184E">
        <w:rPr>
          <w:rFonts w:cstheme="minorHAnsi"/>
          <w:sz w:val="18"/>
          <w:szCs w:val="18"/>
          <w:lang w:val="sr-Latn-ME"/>
        </w:rPr>
        <w:t xml:space="preserve">, Crna Gora je bila u obavezi da definiše statistički region. </w:t>
      </w:r>
      <w:r w:rsidRPr="0048184E">
        <w:rPr>
          <w:rFonts w:cstheme="minorHAnsi"/>
          <w:sz w:val="18"/>
          <w:szCs w:val="18"/>
          <w:lang w:val="sr-Latn-RS"/>
        </w:rPr>
        <w:t xml:space="preserve">Ustanovljavanje statističkih regiona u skladu sa EU nomenklaturom (Nomenklatura teritorijalnih jedinica za statistiku - NUTS) je dio EU pravnog okvira koji se zahtijeva od države kandidata da ga prihvati prije ulaska u EU. U skladu sa obavezama iz Sporazuma o stabilizaciji i pridruživanju (SSP), koji je važeći između Crne Gore i EU, i potrebama za davanjem uporedivih statističkih </w:t>
      </w:r>
      <w:r w:rsidR="00D565CD" w:rsidRPr="0048184E">
        <w:rPr>
          <w:rFonts w:cstheme="minorHAnsi"/>
          <w:sz w:val="18"/>
          <w:szCs w:val="18"/>
          <w:lang w:val="sr-Latn-RS"/>
        </w:rPr>
        <w:t>podataka na nivou EU</w:t>
      </w:r>
      <w:r w:rsidRPr="0048184E">
        <w:rPr>
          <w:rFonts w:cstheme="minorHAnsi"/>
          <w:sz w:val="18"/>
          <w:szCs w:val="18"/>
          <w:lang w:val="sr-Latn-RS"/>
        </w:rPr>
        <w:t>, MONSTAT je predložio definisanje statističkih regiona koji je u skladu sa evropskim statističkim standardima NUTS-a. Na osnovu veličine stanovništva, teritorije koju pokriva stanovništvo, stope rasta stanovništva, konstantnosti strukture stanovništva i mnogih dr</w:t>
      </w:r>
      <w:r w:rsidR="00D565CD" w:rsidRPr="0048184E">
        <w:rPr>
          <w:rFonts w:cstheme="minorHAnsi"/>
          <w:sz w:val="18"/>
          <w:szCs w:val="18"/>
          <w:lang w:val="sr-Latn-RS"/>
        </w:rPr>
        <w:t>ugih faktora koji su analizirani</w:t>
      </w:r>
      <w:r w:rsidRPr="0048184E">
        <w:rPr>
          <w:rFonts w:cstheme="minorHAnsi"/>
          <w:sz w:val="18"/>
          <w:szCs w:val="18"/>
          <w:lang w:val="sr-Latn-RS"/>
        </w:rPr>
        <w:t xml:space="preserve">, odlučeno je da se Crna Gora predstavi kao jedan statistički region na sva tri </w:t>
      </w:r>
      <w:r w:rsidRPr="0048184E">
        <w:rPr>
          <w:rFonts w:cstheme="minorHAnsi"/>
          <w:sz w:val="18"/>
          <w:szCs w:val="18"/>
          <w:lang w:val="sr-Latn-ME"/>
        </w:rPr>
        <w:t>NUTS nivoa (NUTS 1=NUTS 2=NUTS 3),</w:t>
      </w:r>
      <w:r w:rsidRPr="0048184E">
        <w:rPr>
          <w:rFonts w:cstheme="minorHAnsi"/>
          <w:sz w:val="18"/>
          <w:szCs w:val="18"/>
          <w:lang w:val="sr-Latn-RS"/>
        </w:rPr>
        <w:t xml:space="preserve"> u skladu sa odredbama NUTS regulative, LAU 1 (opštine) i LAU 2 (naselja) .</w:t>
      </w:r>
    </w:p>
    <w:p w14:paraId="12F3D497" w14:textId="77777777" w:rsidR="007339B6" w:rsidRPr="0048184E" w:rsidRDefault="007339B6" w:rsidP="0048184E">
      <w:pPr>
        <w:spacing w:after="0" w:line="240" w:lineRule="auto"/>
        <w:jc w:val="both"/>
        <w:rPr>
          <w:rFonts w:cstheme="minorHAnsi"/>
          <w:sz w:val="18"/>
          <w:szCs w:val="18"/>
          <w:lang w:val="sr-Latn-RS"/>
        </w:rPr>
      </w:pPr>
    </w:p>
    <w:p w14:paraId="2F2F5124" w14:textId="77777777" w:rsidR="007339B6" w:rsidRPr="0048184E" w:rsidRDefault="007339B6" w:rsidP="0048184E">
      <w:pPr>
        <w:spacing w:after="0" w:line="240" w:lineRule="auto"/>
        <w:jc w:val="both"/>
        <w:rPr>
          <w:rFonts w:cstheme="minorHAnsi"/>
          <w:sz w:val="18"/>
          <w:szCs w:val="18"/>
          <w:lang w:val="sr-Latn-RS"/>
        </w:rPr>
      </w:pPr>
      <w:r w:rsidRPr="0048184E">
        <w:rPr>
          <w:rFonts w:cstheme="minorHAnsi"/>
          <w:sz w:val="18"/>
          <w:szCs w:val="18"/>
          <w:lang w:val="sr-Latn-RS"/>
        </w:rPr>
        <w:t xml:space="preserve">U periodu donošenja odluke o statističkom regionu, u skladu sa tada važećom pravnom regulativom u Crnoj Gori nije postojala </w:t>
      </w:r>
      <w:r w:rsidRPr="0048184E">
        <w:rPr>
          <w:rFonts w:cstheme="minorHAnsi"/>
          <w:sz w:val="18"/>
          <w:szCs w:val="18"/>
          <w:lang w:val="pl-PL"/>
        </w:rPr>
        <w:t>administrativna podjela regiona u Crnoj Gori. Tada važeći Zakon o teritorij</w:t>
      </w:r>
      <w:r w:rsidR="00D565CD" w:rsidRPr="0048184E">
        <w:rPr>
          <w:rFonts w:cstheme="minorHAnsi"/>
          <w:sz w:val="18"/>
          <w:szCs w:val="18"/>
          <w:lang w:val="pl-PL"/>
        </w:rPr>
        <w:t xml:space="preserve">alnoj organizaciji Crne Gore </w:t>
      </w:r>
      <w:r w:rsidRPr="0048184E">
        <w:rPr>
          <w:rFonts w:cstheme="minorHAnsi"/>
          <w:sz w:val="18"/>
          <w:szCs w:val="18"/>
          <w:lang w:val="pl-PL"/>
        </w:rPr>
        <w:t xml:space="preserve">bio </w:t>
      </w:r>
      <w:r w:rsidR="00D565CD" w:rsidRPr="0048184E">
        <w:rPr>
          <w:rFonts w:cstheme="minorHAnsi"/>
          <w:sz w:val="18"/>
          <w:szCs w:val="18"/>
          <w:lang w:val="pl-PL"/>
        </w:rPr>
        <w:t xml:space="preserve">je </w:t>
      </w:r>
      <w:r w:rsidRPr="0048184E">
        <w:rPr>
          <w:rFonts w:cstheme="minorHAnsi"/>
          <w:sz w:val="18"/>
          <w:szCs w:val="18"/>
          <w:lang w:val="pl-PL"/>
        </w:rPr>
        <w:t xml:space="preserve">na snazi od 1960. godine, sa izmjenama zakona u 1965, 1970 i 1990. godini, („Službeni list” br. 10/60, 6/65, 6/70, i 45/90), prema kojima se teritorija Crne Gore dijeli na dvadeset i jednu opštinu. </w:t>
      </w:r>
      <w:r w:rsidRPr="0048184E">
        <w:rPr>
          <w:rFonts w:cstheme="minorHAnsi"/>
          <w:sz w:val="18"/>
          <w:szCs w:val="18"/>
          <w:lang w:val="sr-Latn-RS"/>
        </w:rPr>
        <w:t>Prvi Zakon o regionalnom razvoju koji je definisano regione, usvojen je 2011. godine, a stupio je na snagu 22.aprila 201</w:t>
      </w:r>
      <w:r w:rsidR="00D565CD" w:rsidRPr="0048184E">
        <w:rPr>
          <w:rFonts w:cstheme="minorHAnsi"/>
          <w:sz w:val="18"/>
          <w:szCs w:val="18"/>
          <w:lang w:val="sr-Latn-RS"/>
        </w:rPr>
        <w:t>1.godine, godinu nakon donošenja odluke</w:t>
      </w:r>
      <w:r w:rsidRPr="0048184E">
        <w:rPr>
          <w:rFonts w:cstheme="minorHAnsi"/>
          <w:sz w:val="18"/>
          <w:szCs w:val="18"/>
          <w:lang w:val="sr-Latn-RS"/>
        </w:rPr>
        <w:t xml:space="preserve"> o definisanju statističkog regiona.</w:t>
      </w:r>
    </w:p>
    <w:p w14:paraId="454892F7" w14:textId="77777777" w:rsidR="00F55052" w:rsidRPr="0048184E" w:rsidRDefault="00F55052" w:rsidP="0048184E">
      <w:pPr>
        <w:spacing w:after="0" w:line="240" w:lineRule="auto"/>
        <w:jc w:val="both"/>
        <w:rPr>
          <w:rFonts w:cstheme="minorHAnsi"/>
          <w:sz w:val="18"/>
          <w:szCs w:val="18"/>
          <w:lang w:val="sr-Latn-ME"/>
        </w:rPr>
      </w:pPr>
    </w:p>
    <w:p w14:paraId="0C3AF31D" w14:textId="77777777" w:rsidR="007933C1" w:rsidRPr="0048184E" w:rsidRDefault="007933C1" w:rsidP="0048184E">
      <w:pPr>
        <w:spacing w:after="0" w:line="240" w:lineRule="auto"/>
        <w:rPr>
          <w:rFonts w:cstheme="minorHAnsi"/>
          <w:sz w:val="18"/>
          <w:szCs w:val="18"/>
          <w:lang w:val="sr-Latn-ME"/>
        </w:rPr>
      </w:pPr>
    </w:p>
    <w:p w14:paraId="4C8D49CB" w14:textId="77777777" w:rsidR="00ED768F" w:rsidRPr="003C2A72" w:rsidRDefault="00047530" w:rsidP="0048184E">
      <w:pPr>
        <w:pStyle w:val="Heading2"/>
        <w:numPr>
          <w:ilvl w:val="0"/>
          <w:numId w:val="26"/>
        </w:numPr>
        <w:spacing w:before="0" w:line="240" w:lineRule="auto"/>
        <w:rPr>
          <w:rFonts w:asciiTheme="minorHAnsi" w:hAnsiTheme="minorHAnsi"/>
        </w:rPr>
      </w:pPr>
      <w:bookmarkStart w:id="6" w:name="_Toc205215824"/>
      <w:r w:rsidRPr="003C2A72">
        <w:rPr>
          <w:rFonts w:asciiTheme="minorHAnsi" w:hAnsiTheme="minorHAnsi"/>
        </w:rPr>
        <w:t>Razlozi</w:t>
      </w:r>
      <w:r w:rsidR="00B578C8" w:rsidRPr="003C2A72">
        <w:rPr>
          <w:rFonts w:asciiTheme="minorHAnsi" w:hAnsiTheme="minorHAnsi"/>
        </w:rPr>
        <w:t xml:space="preserve"> </w:t>
      </w:r>
      <w:r w:rsidR="00123FA2" w:rsidRPr="003C2A72">
        <w:rPr>
          <w:rFonts w:asciiTheme="minorHAnsi" w:hAnsiTheme="minorHAnsi"/>
        </w:rPr>
        <w:t>za reviziju</w:t>
      </w:r>
      <w:r w:rsidRPr="003C2A72">
        <w:rPr>
          <w:rFonts w:asciiTheme="minorHAnsi" w:hAnsiTheme="minorHAnsi"/>
        </w:rPr>
        <w:t xml:space="preserve"> </w:t>
      </w:r>
      <w:r w:rsidR="009438C5" w:rsidRPr="003C2A72">
        <w:rPr>
          <w:rFonts w:asciiTheme="minorHAnsi" w:hAnsiTheme="minorHAnsi"/>
        </w:rPr>
        <w:t>SRR 2023-2027.</w:t>
      </w:r>
      <w:bookmarkEnd w:id="6"/>
    </w:p>
    <w:p w14:paraId="6354DBAB" w14:textId="77777777" w:rsidR="008F48D1" w:rsidRPr="0048184E" w:rsidRDefault="008F48D1" w:rsidP="0048184E">
      <w:pPr>
        <w:spacing w:after="0" w:line="240" w:lineRule="auto"/>
        <w:rPr>
          <w:sz w:val="18"/>
          <w:szCs w:val="18"/>
          <w:lang w:val="sr-Latn-ME"/>
        </w:rPr>
      </w:pPr>
    </w:p>
    <w:p w14:paraId="497C10AD" w14:textId="6D34161E" w:rsidR="002401DC" w:rsidRPr="0048184E" w:rsidRDefault="002401DC" w:rsidP="0048184E">
      <w:pPr>
        <w:spacing w:after="0" w:line="240" w:lineRule="auto"/>
        <w:jc w:val="both"/>
        <w:rPr>
          <w:rFonts w:cstheme="minorHAnsi"/>
          <w:sz w:val="18"/>
          <w:szCs w:val="18"/>
          <w:lang w:val="sr-Latn-ME"/>
        </w:rPr>
      </w:pPr>
      <w:r w:rsidRPr="0048184E">
        <w:rPr>
          <w:rFonts w:cstheme="minorHAnsi"/>
          <w:sz w:val="18"/>
          <w:szCs w:val="18"/>
          <w:lang w:val="sr-Latn-ME"/>
        </w:rPr>
        <w:t xml:space="preserve">Sagledavjući postojeći strateški dokument </w:t>
      </w:r>
      <w:r w:rsidR="00723D39" w:rsidRPr="0048184E">
        <w:rPr>
          <w:rFonts w:cstheme="minorHAnsi"/>
          <w:sz w:val="18"/>
          <w:szCs w:val="18"/>
          <w:lang w:val="sr-Latn-ME"/>
        </w:rPr>
        <w:t>(</w:t>
      </w:r>
      <w:r w:rsidR="00BD2D1E" w:rsidRPr="0048184E">
        <w:rPr>
          <w:rFonts w:cstheme="minorHAnsi"/>
          <w:sz w:val="18"/>
          <w:szCs w:val="18"/>
          <w:lang w:val="sr-Latn-ME"/>
        </w:rPr>
        <w:t>okvir) konstatovano</w:t>
      </w:r>
      <w:r w:rsidR="00DD3D77" w:rsidRPr="0048184E">
        <w:rPr>
          <w:rFonts w:cstheme="minorHAnsi"/>
          <w:sz w:val="18"/>
          <w:szCs w:val="18"/>
          <w:lang w:val="sr-Latn-ME"/>
        </w:rPr>
        <w:t xml:space="preserve"> je da neka pitanja nijesu na adekvata</w:t>
      </w:r>
      <w:r w:rsidR="00866016" w:rsidRPr="0048184E">
        <w:rPr>
          <w:rFonts w:cstheme="minorHAnsi"/>
          <w:sz w:val="18"/>
          <w:szCs w:val="18"/>
          <w:lang w:val="sr-Latn-ME"/>
        </w:rPr>
        <w:t>n</w:t>
      </w:r>
      <w:r w:rsidR="00795099">
        <w:rPr>
          <w:rFonts w:cstheme="minorHAnsi"/>
          <w:sz w:val="18"/>
          <w:szCs w:val="18"/>
          <w:lang w:val="sr-Latn-ME"/>
        </w:rPr>
        <w:t xml:space="preserve"> način adresirana SRR 2023-2027,</w:t>
      </w:r>
      <w:r w:rsidR="00E63F00" w:rsidRPr="0048184E">
        <w:rPr>
          <w:rFonts w:cstheme="minorHAnsi"/>
          <w:sz w:val="18"/>
          <w:szCs w:val="18"/>
          <w:lang w:val="sr-Latn-ME"/>
        </w:rPr>
        <w:t xml:space="preserve"> kao i da novonastale okolnosti za</w:t>
      </w:r>
      <w:r w:rsidR="00795099">
        <w:rPr>
          <w:rFonts w:cstheme="minorHAnsi"/>
          <w:sz w:val="18"/>
          <w:szCs w:val="18"/>
          <w:lang w:val="sr-Latn-ME"/>
        </w:rPr>
        <w:t>htijevaju drugačiji pristup</w:t>
      </w:r>
      <w:r w:rsidR="00E63F00" w:rsidRPr="0048184E">
        <w:rPr>
          <w:rFonts w:cstheme="minorHAnsi"/>
          <w:sz w:val="18"/>
          <w:szCs w:val="18"/>
          <w:lang w:val="sr-Latn-ME"/>
        </w:rPr>
        <w:t xml:space="preserve"> politici</w:t>
      </w:r>
      <w:r w:rsidR="00795099">
        <w:rPr>
          <w:rFonts w:cstheme="minorHAnsi"/>
          <w:sz w:val="18"/>
          <w:szCs w:val="18"/>
          <w:lang w:val="sr-Latn-ME"/>
        </w:rPr>
        <w:t xml:space="preserve"> regionalnog razvoja</w:t>
      </w:r>
      <w:r w:rsidR="00E63F00" w:rsidRPr="0048184E">
        <w:rPr>
          <w:rFonts w:cstheme="minorHAnsi"/>
          <w:sz w:val="18"/>
          <w:szCs w:val="18"/>
          <w:lang w:val="sr-Latn-ME"/>
        </w:rPr>
        <w:t xml:space="preserve">. To </w:t>
      </w:r>
      <w:r w:rsidR="00BD2D1E" w:rsidRPr="0048184E">
        <w:rPr>
          <w:rFonts w:cstheme="minorHAnsi"/>
          <w:sz w:val="18"/>
          <w:szCs w:val="18"/>
          <w:lang w:val="sr-Latn-ME"/>
        </w:rPr>
        <w:t>ne znači da postoji potreba za radikalnim promjenana,</w:t>
      </w:r>
      <w:r w:rsidR="00E63F00" w:rsidRPr="0048184E">
        <w:rPr>
          <w:rFonts w:cstheme="minorHAnsi"/>
          <w:sz w:val="18"/>
          <w:szCs w:val="18"/>
          <w:lang w:val="sr-Latn-ME"/>
        </w:rPr>
        <w:t xml:space="preserve"> naročito u definisanju strateških</w:t>
      </w:r>
      <w:r w:rsidR="00866016" w:rsidRPr="0048184E">
        <w:rPr>
          <w:rFonts w:cstheme="minorHAnsi"/>
          <w:sz w:val="18"/>
          <w:szCs w:val="18"/>
          <w:lang w:val="sr-Latn-ME"/>
        </w:rPr>
        <w:t xml:space="preserve"> i operativnih</w:t>
      </w:r>
      <w:r w:rsidR="00E63F00" w:rsidRPr="0048184E">
        <w:rPr>
          <w:rFonts w:cstheme="minorHAnsi"/>
          <w:sz w:val="18"/>
          <w:szCs w:val="18"/>
          <w:lang w:val="sr-Latn-ME"/>
        </w:rPr>
        <w:t xml:space="preserve"> cilj</w:t>
      </w:r>
      <w:r w:rsidR="00350148" w:rsidRPr="0048184E">
        <w:rPr>
          <w:rFonts w:cstheme="minorHAnsi"/>
          <w:sz w:val="18"/>
          <w:szCs w:val="18"/>
          <w:lang w:val="sr-Latn-ME"/>
        </w:rPr>
        <w:t xml:space="preserve">eva, već </w:t>
      </w:r>
      <w:r w:rsidR="00BD2D1E" w:rsidRPr="0048184E">
        <w:rPr>
          <w:rFonts w:cstheme="minorHAnsi"/>
          <w:sz w:val="18"/>
          <w:szCs w:val="18"/>
          <w:lang w:val="sr-Latn-ME"/>
        </w:rPr>
        <w:t xml:space="preserve"> prilagođ</w:t>
      </w:r>
      <w:r w:rsidR="00122DAF" w:rsidRPr="0048184E">
        <w:rPr>
          <w:rFonts w:cstheme="minorHAnsi"/>
          <w:sz w:val="18"/>
          <w:szCs w:val="18"/>
          <w:lang w:val="sr-Latn-ME"/>
        </w:rPr>
        <w:t>avanje</w:t>
      </w:r>
      <w:r w:rsidR="00E63F00" w:rsidRPr="0048184E">
        <w:rPr>
          <w:rFonts w:cstheme="minorHAnsi"/>
          <w:sz w:val="18"/>
          <w:szCs w:val="18"/>
          <w:lang w:val="sr-Latn-ME"/>
        </w:rPr>
        <w:t xml:space="preserve"> </w:t>
      </w:r>
      <w:r w:rsidR="00866016" w:rsidRPr="0048184E">
        <w:rPr>
          <w:rFonts w:cstheme="minorHAnsi"/>
          <w:sz w:val="18"/>
          <w:szCs w:val="18"/>
          <w:lang w:val="sr-Latn-ME"/>
        </w:rPr>
        <w:t>(</w:t>
      </w:r>
      <w:r w:rsidR="00350148" w:rsidRPr="0048184E">
        <w:rPr>
          <w:rFonts w:cstheme="minorHAnsi"/>
          <w:sz w:val="18"/>
          <w:szCs w:val="18"/>
          <w:lang w:val="sr-Latn-ME"/>
        </w:rPr>
        <w:t xml:space="preserve">naročito aktivnosti i indikatora) </w:t>
      </w:r>
      <w:r w:rsidR="00E63F00" w:rsidRPr="0048184E">
        <w:rPr>
          <w:rFonts w:cstheme="minorHAnsi"/>
          <w:sz w:val="18"/>
          <w:szCs w:val="18"/>
          <w:lang w:val="sr-Latn-ME"/>
        </w:rPr>
        <w:t>novim okolnostima, kao i srednjoročnim i dugoročnim ciljevima</w:t>
      </w:r>
      <w:r w:rsidR="00866016" w:rsidRPr="0048184E">
        <w:rPr>
          <w:rFonts w:cstheme="minorHAnsi"/>
          <w:sz w:val="18"/>
          <w:szCs w:val="18"/>
          <w:lang w:val="sr-Latn-ME"/>
        </w:rPr>
        <w:t xml:space="preserve"> VCG. </w:t>
      </w:r>
      <w:r w:rsidR="00E63F00" w:rsidRPr="0048184E">
        <w:rPr>
          <w:rFonts w:cstheme="minorHAnsi"/>
          <w:sz w:val="18"/>
          <w:szCs w:val="18"/>
          <w:lang w:val="sr-Latn-ME"/>
        </w:rPr>
        <w:t xml:space="preserve"> </w:t>
      </w:r>
      <w:r w:rsidR="00122DAF" w:rsidRPr="0048184E">
        <w:rPr>
          <w:rFonts w:cstheme="minorHAnsi"/>
          <w:sz w:val="18"/>
          <w:szCs w:val="18"/>
          <w:lang w:val="sr-Latn-ME"/>
        </w:rPr>
        <w:t>Predlozi za reviziju (</w:t>
      </w:r>
      <w:r w:rsidR="00866016" w:rsidRPr="0048184E">
        <w:rPr>
          <w:rFonts w:cstheme="minorHAnsi"/>
          <w:sz w:val="18"/>
          <w:szCs w:val="18"/>
          <w:lang w:val="sr-Latn-ME"/>
        </w:rPr>
        <w:t>modifikaciju) SRR 2023-2027.</w:t>
      </w:r>
      <w:r w:rsidR="004C605A" w:rsidRPr="0048184E">
        <w:rPr>
          <w:rFonts w:cstheme="minorHAnsi"/>
          <w:sz w:val="18"/>
          <w:szCs w:val="18"/>
          <w:lang w:val="sr-Latn-ME"/>
        </w:rPr>
        <w:t xml:space="preserve"> idu u pravcu pobolj</w:t>
      </w:r>
      <w:r w:rsidR="00122DAF" w:rsidRPr="0048184E">
        <w:rPr>
          <w:rFonts w:cstheme="minorHAnsi"/>
          <w:sz w:val="18"/>
          <w:szCs w:val="18"/>
          <w:lang w:val="sr-Latn-ME"/>
        </w:rPr>
        <w:t>šanja njene implementacije, prać</w:t>
      </w:r>
      <w:r w:rsidR="004C605A" w:rsidRPr="0048184E">
        <w:rPr>
          <w:rFonts w:cstheme="minorHAnsi"/>
          <w:sz w:val="18"/>
          <w:szCs w:val="18"/>
          <w:lang w:val="sr-Latn-ME"/>
        </w:rPr>
        <w:t xml:space="preserve">enja ali i </w:t>
      </w:r>
      <w:r w:rsidR="00122DAF" w:rsidRPr="0048184E">
        <w:rPr>
          <w:rFonts w:cstheme="minorHAnsi"/>
          <w:sz w:val="18"/>
          <w:szCs w:val="18"/>
          <w:lang w:val="sr-Latn-ME"/>
        </w:rPr>
        <w:t xml:space="preserve">generalno </w:t>
      </w:r>
      <w:r w:rsidR="004C605A" w:rsidRPr="0048184E">
        <w:rPr>
          <w:rFonts w:cstheme="minorHAnsi"/>
          <w:sz w:val="18"/>
          <w:szCs w:val="18"/>
          <w:lang w:val="sr-Latn-ME"/>
        </w:rPr>
        <w:t xml:space="preserve">unapređenja stanja u oblasti regionalnog razvoja. </w:t>
      </w:r>
    </w:p>
    <w:p w14:paraId="3798A9B8" w14:textId="77777777" w:rsidR="007B58CA" w:rsidRPr="0048184E" w:rsidRDefault="007B58CA" w:rsidP="0048184E">
      <w:pPr>
        <w:spacing w:after="0" w:line="240" w:lineRule="auto"/>
        <w:jc w:val="both"/>
        <w:rPr>
          <w:rFonts w:cstheme="minorHAnsi"/>
          <w:sz w:val="18"/>
          <w:szCs w:val="18"/>
          <w:lang w:val="sr-Latn-ME"/>
        </w:rPr>
      </w:pPr>
      <w:r w:rsidRPr="0048184E">
        <w:rPr>
          <w:rFonts w:cstheme="minorHAnsi"/>
          <w:sz w:val="18"/>
          <w:szCs w:val="18"/>
          <w:lang w:val="sr-Latn-ME"/>
        </w:rPr>
        <w:t>Nekoliko je ključni</w:t>
      </w:r>
      <w:r w:rsidR="00866016" w:rsidRPr="0048184E">
        <w:rPr>
          <w:rFonts w:cstheme="minorHAnsi"/>
          <w:sz w:val="18"/>
          <w:szCs w:val="18"/>
          <w:lang w:val="sr-Latn-ME"/>
        </w:rPr>
        <w:t>h razloga za reviziju SRR 2023-2027.</w:t>
      </w:r>
      <w:r w:rsidRPr="0048184E">
        <w:rPr>
          <w:rFonts w:cstheme="minorHAnsi"/>
          <w:sz w:val="18"/>
          <w:szCs w:val="18"/>
          <w:lang w:val="sr-Latn-ME"/>
        </w:rPr>
        <w:t>:</w:t>
      </w:r>
    </w:p>
    <w:p w14:paraId="76B3CEC2" w14:textId="77777777" w:rsidR="00866016" w:rsidRPr="0048184E" w:rsidRDefault="00866016" w:rsidP="0048184E">
      <w:pPr>
        <w:spacing w:after="0" w:line="240" w:lineRule="auto"/>
        <w:jc w:val="both"/>
        <w:rPr>
          <w:rFonts w:cstheme="minorHAnsi"/>
          <w:sz w:val="18"/>
          <w:szCs w:val="18"/>
          <w:lang w:val="sr-Latn-ME"/>
        </w:rPr>
      </w:pPr>
    </w:p>
    <w:p w14:paraId="6B0FDD4A" w14:textId="77777777" w:rsidR="00BD2D1E" w:rsidRPr="0048184E" w:rsidRDefault="00A912EF"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sr-Latn-ME"/>
        </w:rPr>
        <w:t>o</w:t>
      </w:r>
      <w:r w:rsidR="00350148" w:rsidRPr="0048184E">
        <w:rPr>
          <w:rFonts w:cstheme="minorHAnsi"/>
          <w:sz w:val="18"/>
          <w:szCs w:val="18"/>
          <w:lang w:val="sr-Latn-ME"/>
        </w:rPr>
        <w:t>bjavljeni rezultati</w:t>
      </w:r>
      <w:r w:rsidR="00BD2D1E" w:rsidRPr="0048184E">
        <w:rPr>
          <w:rFonts w:cstheme="minorHAnsi"/>
          <w:sz w:val="18"/>
          <w:szCs w:val="18"/>
          <w:lang w:val="sr-Latn-ME"/>
        </w:rPr>
        <w:t xml:space="preserve"> Popisa stanovništva, domaćinstava i stanova 2023</w:t>
      </w:r>
      <w:r w:rsidR="00866016" w:rsidRPr="0048184E">
        <w:rPr>
          <w:rFonts w:cstheme="minorHAnsi"/>
          <w:sz w:val="18"/>
          <w:szCs w:val="18"/>
          <w:lang w:val="sr-Latn-ME"/>
        </w:rPr>
        <w:t>. godine</w:t>
      </w:r>
      <w:r w:rsidR="00BD2D1E" w:rsidRPr="0048184E">
        <w:rPr>
          <w:rFonts w:cstheme="minorHAnsi"/>
          <w:sz w:val="18"/>
          <w:szCs w:val="18"/>
          <w:lang w:val="sr-Latn-ME"/>
        </w:rPr>
        <w:t xml:space="preserve"> </w:t>
      </w:r>
      <w:r w:rsidR="00BD2D1E" w:rsidRPr="0048184E">
        <w:rPr>
          <w:rFonts w:cstheme="minorHAnsi"/>
          <w:sz w:val="18"/>
          <w:szCs w:val="18"/>
          <w:lang w:val="pl-PL"/>
        </w:rPr>
        <w:t>pokazali</w:t>
      </w:r>
      <w:r w:rsidR="00BD2D1E" w:rsidRPr="0048184E">
        <w:rPr>
          <w:rFonts w:cstheme="minorHAnsi"/>
          <w:sz w:val="18"/>
          <w:szCs w:val="18"/>
          <w:lang w:val="sr-Latn-ME"/>
        </w:rPr>
        <w:t xml:space="preserve"> </w:t>
      </w:r>
      <w:r w:rsidR="00BD2D1E" w:rsidRPr="0048184E">
        <w:rPr>
          <w:rFonts w:cstheme="minorHAnsi"/>
          <w:sz w:val="18"/>
          <w:szCs w:val="18"/>
          <w:lang w:val="pl-PL"/>
        </w:rPr>
        <w:t>su</w:t>
      </w:r>
      <w:r w:rsidR="00BD2D1E" w:rsidRPr="0048184E">
        <w:rPr>
          <w:rFonts w:cstheme="minorHAnsi"/>
          <w:sz w:val="18"/>
          <w:szCs w:val="18"/>
          <w:lang w:val="sr-Latn-ME"/>
        </w:rPr>
        <w:t xml:space="preserve"> </w:t>
      </w:r>
      <w:r w:rsidR="00BD2D1E" w:rsidRPr="0048184E">
        <w:rPr>
          <w:rFonts w:cstheme="minorHAnsi"/>
          <w:sz w:val="18"/>
          <w:szCs w:val="18"/>
          <w:lang w:val="pl-PL"/>
        </w:rPr>
        <w:t>zabrinjavaju</w:t>
      </w:r>
      <w:r w:rsidR="00BD2D1E" w:rsidRPr="0048184E">
        <w:rPr>
          <w:rFonts w:cstheme="minorHAnsi"/>
          <w:sz w:val="18"/>
          <w:szCs w:val="18"/>
          <w:lang w:val="sr-Latn-ME"/>
        </w:rPr>
        <w:t>ć</w:t>
      </w:r>
      <w:r w:rsidR="00BD2D1E" w:rsidRPr="0048184E">
        <w:rPr>
          <w:rFonts w:cstheme="minorHAnsi"/>
          <w:sz w:val="18"/>
          <w:szCs w:val="18"/>
          <w:lang w:val="pl-PL"/>
        </w:rPr>
        <w:t>e</w:t>
      </w:r>
      <w:r w:rsidR="00BD2D1E" w:rsidRPr="0048184E">
        <w:rPr>
          <w:rFonts w:cstheme="minorHAnsi"/>
          <w:sz w:val="18"/>
          <w:szCs w:val="18"/>
          <w:lang w:val="sr-Latn-ME"/>
        </w:rPr>
        <w:t xml:space="preserve"> </w:t>
      </w:r>
      <w:r w:rsidR="00BD2D1E" w:rsidRPr="0048184E">
        <w:rPr>
          <w:rFonts w:cstheme="minorHAnsi"/>
          <w:sz w:val="18"/>
          <w:szCs w:val="18"/>
          <w:lang w:val="pl-PL"/>
        </w:rPr>
        <w:t>podatke</w:t>
      </w:r>
      <w:r w:rsidR="00BD2D1E" w:rsidRPr="0048184E">
        <w:rPr>
          <w:rFonts w:cstheme="minorHAnsi"/>
          <w:sz w:val="18"/>
          <w:szCs w:val="18"/>
          <w:lang w:val="sr-Latn-ME"/>
        </w:rPr>
        <w:t xml:space="preserve"> </w:t>
      </w:r>
      <w:r w:rsidR="00BD2D1E" w:rsidRPr="0048184E">
        <w:rPr>
          <w:rFonts w:cstheme="minorHAnsi"/>
          <w:sz w:val="18"/>
          <w:szCs w:val="18"/>
          <w:lang w:val="pl-PL"/>
        </w:rPr>
        <w:t>posebno</w:t>
      </w:r>
      <w:r w:rsidR="00BD2D1E" w:rsidRPr="0048184E">
        <w:rPr>
          <w:rFonts w:cstheme="minorHAnsi"/>
          <w:sz w:val="18"/>
          <w:szCs w:val="18"/>
          <w:lang w:val="sr-Latn-ME"/>
        </w:rPr>
        <w:t xml:space="preserve"> </w:t>
      </w:r>
      <w:r w:rsidR="00BD2D1E" w:rsidRPr="0048184E">
        <w:rPr>
          <w:rFonts w:cstheme="minorHAnsi"/>
          <w:sz w:val="18"/>
          <w:szCs w:val="18"/>
          <w:lang w:val="pl-PL"/>
        </w:rPr>
        <w:t>u</w:t>
      </w:r>
      <w:r w:rsidR="00BD2D1E" w:rsidRPr="0048184E">
        <w:rPr>
          <w:rFonts w:cstheme="minorHAnsi"/>
          <w:sz w:val="18"/>
          <w:szCs w:val="18"/>
          <w:lang w:val="sr-Latn-ME"/>
        </w:rPr>
        <w:t xml:space="preserve"> </w:t>
      </w:r>
      <w:r w:rsidR="00BD2D1E" w:rsidRPr="0048184E">
        <w:rPr>
          <w:rFonts w:cstheme="minorHAnsi"/>
          <w:sz w:val="18"/>
          <w:szCs w:val="18"/>
          <w:lang w:val="pl-PL"/>
        </w:rPr>
        <w:t>domenu</w:t>
      </w:r>
      <w:r w:rsidR="00866016" w:rsidRPr="0048184E">
        <w:rPr>
          <w:rFonts w:cstheme="minorHAnsi"/>
          <w:sz w:val="18"/>
          <w:szCs w:val="18"/>
          <w:lang w:val="sr-Latn-ME"/>
        </w:rPr>
        <w:t xml:space="preserve"> </w:t>
      </w:r>
      <w:r w:rsidR="00BD2D1E" w:rsidRPr="0048184E">
        <w:rPr>
          <w:rFonts w:cstheme="minorHAnsi"/>
          <w:sz w:val="18"/>
          <w:szCs w:val="18"/>
          <w:lang w:val="pl-PL"/>
        </w:rPr>
        <w:t>migracija</w:t>
      </w:r>
      <w:r w:rsidR="00BD2D1E" w:rsidRPr="0048184E">
        <w:rPr>
          <w:rFonts w:cstheme="minorHAnsi"/>
          <w:sz w:val="18"/>
          <w:szCs w:val="18"/>
          <w:lang w:val="sr-Latn-ME"/>
        </w:rPr>
        <w:t xml:space="preserve"> </w:t>
      </w:r>
      <w:r w:rsidR="00BD2D1E" w:rsidRPr="0048184E">
        <w:rPr>
          <w:rFonts w:cstheme="minorHAnsi"/>
          <w:sz w:val="18"/>
          <w:szCs w:val="18"/>
          <w:lang w:val="pl-PL"/>
        </w:rPr>
        <w:t>i</w:t>
      </w:r>
      <w:r w:rsidR="00866016" w:rsidRPr="0048184E">
        <w:rPr>
          <w:rFonts w:cstheme="minorHAnsi"/>
          <w:sz w:val="18"/>
          <w:szCs w:val="18"/>
          <w:lang w:val="sr-Latn-ME"/>
        </w:rPr>
        <w:t xml:space="preserve"> s</w:t>
      </w:r>
      <w:r w:rsidR="00BD2D1E" w:rsidRPr="0048184E">
        <w:rPr>
          <w:rFonts w:cstheme="minorHAnsi"/>
          <w:sz w:val="18"/>
          <w:szCs w:val="18"/>
          <w:lang w:val="pl-PL"/>
        </w:rPr>
        <w:t>tarenja</w:t>
      </w:r>
      <w:r w:rsidR="00BD2D1E" w:rsidRPr="0048184E">
        <w:rPr>
          <w:rFonts w:cstheme="minorHAnsi"/>
          <w:sz w:val="18"/>
          <w:szCs w:val="18"/>
          <w:lang w:val="sr-Latn-ME"/>
        </w:rPr>
        <w:t xml:space="preserve"> </w:t>
      </w:r>
      <w:r w:rsidR="00BD2D1E" w:rsidRPr="0048184E">
        <w:rPr>
          <w:rFonts w:cstheme="minorHAnsi"/>
          <w:sz w:val="18"/>
          <w:szCs w:val="18"/>
          <w:lang w:val="pl-PL"/>
        </w:rPr>
        <w:t>stanovni</w:t>
      </w:r>
      <w:r w:rsidR="00BD2D1E" w:rsidRPr="0048184E">
        <w:rPr>
          <w:rFonts w:cstheme="minorHAnsi"/>
          <w:sz w:val="18"/>
          <w:szCs w:val="18"/>
          <w:lang w:val="sr-Latn-ME"/>
        </w:rPr>
        <w:t>š</w:t>
      </w:r>
      <w:r w:rsidR="00BD2D1E" w:rsidRPr="0048184E">
        <w:rPr>
          <w:rFonts w:cstheme="minorHAnsi"/>
          <w:sz w:val="18"/>
          <w:szCs w:val="18"/>
          <w:lang w:val="pl-PL"/>
        </w:rPr>
        <w:t>tva</w:t>
      </w:r>
      <w:r w:rsidR="00BD2D1E" w:rsidRPr="0048184E">
        <w:rPr>
          <w:rFonts w:cstheme="minorHAnsi"/>
          <w:sz w:val="18"/>
          <w:szCs w:val="18"/>
          <w:lang w:val="sr-Latn-ME"/>
        </w:rPr>
        <w:t xml:space="preserve">. </w:t>
      </w:r>
      <w:r w:rsidR="00350148" w:rsidRPr="0048184E">
        <w:rPr>
          <w:rFonts w:cstheme="minorHAnsi"/>
          <w:sz w:val="18"/>
          <w:szCs w:val="18"/>
          <w:lang w:val="pl-PL"/>
        </w:rPr>
        <w:t>R</w:t>
      </w:r>
      <w:r w:rsidR="00BD2D1E" w:rsidRPr="0048184E">
        <w:rPr>
          <w:rFonts w:cstheme="minorHAnsi"/>
          <w:sz w:val="18"/>
          <w:szCs w:val="18"/>
          <w:lang w:val="pl-PL"/>
        </w:rPr>
        <w:t>azlike</w:t>
      </w:r>
      <w:r w:rsidR="00BD2D1E" w:rsidRPr="0048184E">
        <w:rPr>
          <w:rFonts w:cstheme="minorHAnsi"/>
          <w:sz w:val="18"/>
          <w:szCs w:val="18"/>
          <w:lang w:val="sr-Latn-ME"/>
        </w:rPr>
        <w:t xml:space="preserve"> </w:t>
      </w:r>
      <w:r w:rsidR="00BD2D1E" w:rsidRPr="0048184E">
        <w:rPr>
          <w:rFonts w:cstheme="minorHAnsi"/>
          <w:sz w:val="18"/>
          <w:szCs w:val="18"/>
          <w:lang w:val="pl-PL"/>
        </w:rPr>
        <w:t>u</w:t>
      </w:r>
      <w:r w:rsidR="00BD2D1E" w:rsidRPr="0048184E">
        <w:rPr>
          <w:rFonts w:cstheme="minorHAnsi"/>
          <w:sz w:val="18"/>
          <w:szCs w:val="18"/>
          <w:lang w:val="sr-Latn-ME"/>
        </w:rPr>
        <w:t xml:space="preserve"> </w:t>
      </w:r>
      <w:r w:rsidR="00BD2D1E" w:rsidRPr="0048184E">
        <w:rPr>
          <w:rFonts w:cstheme="minorHAnsi"/>
          <w:sz w:val="18"/>
          <w:szCs w:val="18"/>
          <w:lang w:val="pl-PL"/>
        </w:rPr>
        <w:t>nivou</w:t>
      </w:r>
      <w:r w:rsidR="00BD2D1E" w:rsidRPr="0048184E">
        <w:rPr>
          <w:rFonts w:cstheme="minorHAnsi"/>
          <w:sz w:val="18"/>
          <w:szCs w:val="18"/>
          <w:lang w:val="sr-Latn-ME"/>
        </w:rPr>
        <w:t xml:space="preserve"> </w:t>
      </w:r>
      <w:r w:rsidR="00BD2D1E" w:rsidRPr="0048184E">
        <w:rPr>
          <w:rFonts w:cstheme="minorHAnsi"/>
          <w:sz w:val="18"/>
          <w:szCs w:val="18"/>
          <w:lang w:val="pl-PL"/>
        </w:rPr>
        <w:t>regionalne</w:t>
      </w:r>
      <w:r w:rsidR="00BD2D1E" w:rsidRPr="0048184E">
        <w:rPr>
          <w:rFonts w:cstheme="minorHAnsi"/>
          <w:sz w:val="18"/>
          <w:szCs w:val="18"/>
          <w:lang w:val="sr-Latn-ME"/>
        </w:rPr>
        <w:t xml:space="preserve"> </w:t>
      </w:r>
      <w:r w:rsidR="00BD2D1E" w:rsidRPr="0048184E">
        <w:rPr>
          <w:rFonts w:cstheme="minorHAnsi"/>
          <w:sz w:val="18"/>
          <w:szCs w:val="18"/>
          <w:lang w:val="pl-PL"/>
        </w:rPr>
        <w:t>razvijenosti</w:t>
      </w:r>
      <w:r w:rsidR="00BD2D1E" w:rsidRPr="0048184E">
        <w:rPr>
          <w:rFonts w:cstheme="minorHAnsi"/>
          <w:sz w:val="18"/>
          <w:szCs w:val="18"/>
          <w:lang w:val="sr-Latn-ME"/>
        </w:rPr>
        <w:t xml:space="preserve"> </w:t>
      </w:r>
      <w:r w:rsidR="00BD2D1E" w:rsidRPr="0048184E">
        <w:rPr>
          <w:rFonts w:cstheme="minorHAnsi"/>
          <w:sz w:val="18"/>
          <w:szCs w:val="18"/>
          <w:lang w:val="pl-PL"/>
        </w:rPr>
        <w:t>uticale</w:t>
      </w:r>
      <w:r w:rsidR="00BD2D1E" w:rsidRPr="0048184E">
        <w:rPr>
          <w:rFonts w:cstheme="minorHAnsi"/>
          <w:sz w:val="18"/>
          <w:szCs w:val="18"/>
          <w:lang w:val="sr-Latn-ME"/>
        </w:rPr>
        <w:t xml:space="preserve"> </w:t>
      </w:r>
      <w:r w:rsidR="00350148" w:rsidRPr="0048184E">
        <w:rPr>
          <w:rFonts w:cstheme="minorHAnsi"/>
          <w:sz w:val="18"/>
          <w:szCs w:val="18"/>
          <w:lang w:val="sr-Latn-ME"/>
        </w:rPr>
        <w:t xml:space="preserve">su </w:t>
      </w:r>
      <w:r w:rsidR="00BD2D1E" w:rsidRPr="0048184E">
        <w:rPr>
          <w:rFonts w:cstheme="minorHAnsi"/>
          <w:sz w:val="18"/>
          <w:szCs w:val="18"/>
          <w:lang w:val="pl-PL"/>
        </w:rPr>
        <w:t>na</w:t>
      </w:r>
      <w:r w:rsidR="00BD2D1E" w:rsidRPr="0048184E">
        <w:rPr>
          <w:rFonts w:cstheme="minorHAnsi"/>
          <w:sz w:val="18"/>
          <w:szCs w:val="18"/>
          <w:lang w:val="sr-Latn-ME"/>
        </w:rPr>
        <w:t xml:space="preserve"> </w:t>
      </w:r>
      <w:r w:rsidR="00BD2D1E" w:rsidRPr="0048184E">
        <w:rPr>
          <w:rFonts w:cstheme="minorHAnsi"/>
          <w:sz w:val="18"/>
          <w:szCs w:val="18"/>
          <w:lang w:val="pl-PL"/>
        </w:rPr>
        <w:t>migracije</w:t>
      </w:r>
      <w:r w:rsidR="00BD2D1E" w:rsidRPr="0048184E">
        <w:rPr>
          <w:rFonts w:cstheme="minorHAnsi"/>
          <w:sz w:val="18"/>
          <w:szCs w:val="18"/>
          <w:lang w:val="sr-Latn-ME"/>
        </w:rPr>
        <w:t xml:space="preserve"> </w:t>
      </w:r>
      <w:r w:rsidR="00BD2D1E" w:rsidRPr="0048184E">
        <w:rPr>
          <w:rFonts w:cstheme="minorHAnsi"/>
          <w:sz w:val="18"/>
          <w:szCs w:val="18"/>
          <w:lang w:val="pl-PL"/>
        </w:rPr>
        <w:t>stanovni</w:t>
      </w:r>
      <w:r w:rsidR="00BD2D1E" w:rsidRPr="0048184E">
        <w:rPr>
          <w:rFonts w:cstheme="minorHAnsi"/>
          <w:sz w:val="18"/>
          <w:szCs w:val="18"/>
          <w:lang w:val="sr-Latn-ME"/>
        </w:rPr>
        <w:t>š</w:t>
      </w:r>
      <w:r w:rsidR="00BD2D1E" w:rsidRPr="0048184E">
        <w:rPr>
          <w:rFonts w:cstheme="minorHAnsi"/>
          <w:sz w:val="18"/>
          <w:szCs w:val="18"/>
          <w:lang w:val="pl-PL"/>
        </w:rPr>
        <w:t>ta</w:t>
      </w:r>
      <w:r w:rsidR="00BD2D1E" w:rsidRPr="0048184E">
        <w:rPr>
          <w:rFonts w:cstheme="minorHAnsi"/>
          <w:sz w:val="18"/>
          <w:szCs w:val="18"/>
          <w:lang w:val="sr-Latn-ME"/>
        </w:rPr>
        <w:t xml:space="preserve">, </w:t>
      </w:r>
      <w:r w:rsidR="00BD2D1E" w:rsidRPr="0048184E">
        <w:rPr>
          <w:rFonts w:cstheme="minorHAnsi"/>
          <w:sz w:val="18"/>
          <w:szCs w:val="18"/>
          <w:lang w:val="pl-PL"/>
        </w:rPr>
        <w:t>pa</w:t>
      </w:r>
      <w:r w:rsidR="00BD2D1E" w:rsidRPr="0048184E">
        <w:rPr>
          <w:rFonts w:cstheme="minorHAnsi"/>
          <w:sz w:val="18"/>
          <w:szCs w:val="18"/>
          <w:lang w:val="sr-Latn-ME"/>
        </w:rPr>
        <w:t xml:space="preserve"> </w:t>
      </w:r>
      <w:r w:rsidR="00BD2D1E" w:rsidRPr="0048184E">
        <w:rPr>
          <w:rFonts w:cstheme="minorHAnsi"/>
          <w:sz w:val="18"/>
          <w:szCs w:val="18"/>
          <w:lang w:val="pl-PL"/>
        </w:rPr>
        <w:t>je</w:t>
      </w:r>
      <w:r w:rsidR="00BD2D1E" w:rsidRPr="0048184E">
        <w:rPr>
          <w:rFonts w:cstheme="minorHAnsi"/>
          <w:sz w:val="18"/>
          <w:szCs w:val="18"/>
          <w:lang w:val="sr-Latn-ME"/>
        </w:rPr>
        <w:t xml:space="preserve"> </w:t>
      </w:r>
      <w:r w:rsidR="00BD2D1E" w:rsidRPr="0048184E">
        <w:rPr>
          <w:rFonts w:cstheme="minorHAnsi"/>
          <w:sz w:val="18"/>
          <w:szCs w:val="18"/>
          <w:lang w:val="pl-PL"/>
        </w:rPr>
        <w:t>tako</w:t>
      </w:r>
      <w:r w:rsidR="00866016" w:rsidRPr="0048184E">
        <w:rPr>
          <w:rFonts w:cstheme="minorHAnsi"/>
          <w:sz w:val="18"/>
          <w:szCs w:val="18"/>
          <w:lang w:val="pl-PL"/>
        </w:rPr>
        <w:t xml:space="preserve"> Popis pokazao da je</w:t>
      </w:r>
      <w:r w:rsidR="00BD2D1E" w:rsidRPr="0048184E">
        <w:rPr>
          <w:rFonts w:cstheme="minorHAnsi"/>
          <w:sz w:val="18"/>
          <w:szCs w:val="18"/>
          <w:lang w:val="sr-Latn-ME"/>
        </w:rPr>
        <w:t xml:space="preserve"> </w:t>
      </w:r>
      <w:r w:rsidR="00866016" w:rsidRPr="0048184E">
        <w:rPr>
          <w:rFonts w:cstheme="minorHAnsi"/>
          <w:sz w:val="18"/>
          <w:szCs w:val="18"/>
          <w:lang w:val="pl-PL"/>
        </w:rPr>
        <w:t>S</w:t>
      </w:r>
      <w:r w:rsidR="00BD2D1E" w:rsidRPr="0048184E">
        <w:rPr>
          <w:rFonts w:cstheme="minorHAnsi"/>
          <w:sz w:val="18"/>
          <w:szCs w:val="18"/>
          <w:lang w:val="pl-PL"/>
        </w:rPr>
        <w:t>jeverni</w:t>
      </w:r>
      <w:r w:rsidR="00BD2D1E" w:rsidRPr="0048184E">
        <w:rPr>
          <w:rFonts w:cstheme="minorHAnsi"/>
          <w:sz w:val="18"/>
          <w:szCs w:val="18"/>
          <w:lang w:val="sr-Latn-ME"/>
        </w:rPr>
        <w:t xml:space="preserve">, </w:t>
      </w:r>
      <w:r w:rsidR="00BD2D1E" w:rsidRPr="0048184E">
        <w:rPr>
          <w:rFonts w:cstheme="minorHAnsi"/>
          <w:sz w:val="18"/>
          <w:szCs w:val="18"/>
          <w:lang w:val="pl-PL"/>
        </w:rPr>
        <w:t>najnerazvijeniji</w:t>
      </w:r>
      <w:r w:rsidR="00BD2D1E" w:rsidRPr="0048184E">
        <w:rPr>
          <w:rFonts w:cstheme="minorHAnsi"/>
          <w:sz w:val="18"/>
          <w:szCs w:val="18"/>
          <w:lang w:val="sr-Latn-ME"/>
        </w:rPr>
        <w:t xml:space="preserve"> </w:t>
      </w:r>
      <w:r w:rsidR="00BD2D1E" w:rsidRPr="0048184E">
        <w:rPr>
          <w:rFonts w:cstheme="minorHAnsi"/>
          <w:sz w:val="18"/>
          <w:szCs w:val="18"/>
          <w:lang w:val="pl-PL"/>
        </w:rPr>
        <w:t>region</w:t>
      </w:r>
      <w:r w:rsidR="00866016" w:rsidRPr="0048184E">
        <w:rPr>
          <w:rFonts w:cstheme="minorHAnsi"/>
          <w:sz w:val="18"/>
          <w:szCs w:val="18"/>
          <w:lang w:val="pl-PL"/>
        </w:rPr>
        <w:t>,</w:t>
      </w:r>
      <w:r w:rsidR="00BD2D1E" w:rsidRPr="0048184E">
        <w:rPr>
          <w:rFonts w:cstheme="minorHAnsi"/>
          <w:sz w:val="18"/>
          <w:szCs w:val="18"/>
          <w:lang w:val="sr-Latn-ME"/>
        </w:rPr>
        <w:t xml:space="preserve"> </w:t>
      </w:r>
      <w:r w:rsidR="00BD2D1E" w:rsidRPr="0048184E">
        <w:rPr>
          <w:rFonts w:cstheme="minorHAnsi"/>
          <w:sz w:val="18"/>
          <w:szCs w:val="18"/>
          <w:lang w:val="pl-PL"/>
        </w:rPr>
        <w:t>bio</w:t>
      </w:r>
      <w:r w:rsidR="00BD2D1E" w:rsidRPr="0048184E">
        <w:rPr>
          <w:rFonts w:cstheme="minorHAnsi"/>
          <w:sz w:val="18"/>
          <w:szCs w:val="18"/>
          <w:lang w:val="sr-Latn-ME"/>
        </w:rPr>
        <w:t xml:space="preserve"> </w:t>
      </w:r>
      <w:r w:rsidR="00BD2D1E" w:rsidRPr="0048184E">
        <w:rPr>
          <w:rFonts w:cstheme="minorHAnsi"/>
          <w:sz w:val="18"/>
          <w:szCs w:val="18"/>
          <w:lang w:val="pl-PL"/>
        </w:rPr>
        <w:t>izrazito</w:t>
      </w:r>
      <w:r w:rsidR="00BD2D1E" w:rsidRPr="0048184E">
        <w:rPr>
          <w:rFonts w:cstheme="minorHAnsi"/>
          <w:sz w:val="18"/>
          <w:szCs w:val="18"/>
          <w:lang w:val="sr-Latn-ME"/>
        </w:rPr>
        <w:t xml:space="preserve"> </w:t>
      </w:r>
      <w:r w:rsidR="00BD2D1E" w:rsidRPr="0048184E">
        <w:rPr>
          <w:rFonts w:cstheme="minorHAnsi"/>
          <w:sz w:val="18"/>
          <w:szCs w:val="18"/>
          <w:lang w:val="pl-PL"/>
        </w:rPr>
        <w:t>emigraciono</w:t>
      </w:r>
      <w:r w:rsidR="00BD2D1E" w:rsidRPr="0048184E">
        <w:rPr>
          <w:rFonts w:cstheme="minorHAnsi"/>
          <w:sz w:val="18"/>
          <w:szCs w:val="18"/>
          <w:lang w:val="sr-Latn-ME"/>
        </w:rPr>
        <w:t xml:space="preserve"> </w:t>
      </w:r>
      <w:r w:rsidR="00BD2D1E" w:rsidRPr="0048184E">
        <w:rPr>
          <w:rFonts w:cstheme="minorHAnsi"/>
          <w:sz w:val="18"/>
          <w:szCs w:val="18"/>
          <w:lang w:val="pl-PL"/>
        </w:rPr>
        <w:t>podru</w:t>
      </w:r>
      <w:r w:rsidR="00BD2D1E" w:rsidRPr="0048184E">
        <w:rPr>
          <w:rFonts w:cstheme="minorHAnsi"/>
          <w:sz w:val="18"/>
          <w:szCs w:val="18"/>
          <w:lang w:val="sr-Latn-ME"/>
        </w:rPr>
        <w:t>č</w:t>
      </w:r>
      <w:r w:rsidR="00BD2D1E" w:rsidRPr="0048184E">
        <w:rPr>
          <w:rFonts w:cstheme="minorHAnsi"/>
          <w:sz w:val="18"/>
          <w:szCs w:val="18"/>
          <w:lang w:val="pl-PL"/>
        </w:rPr>
        <w:t>je</w:t>
      </w:r>
      <w:r w:rsidR="00866016" w:rsidRPr="0048184E">
        <w:rPr>
          <w:rFonts w:cstheme="minorHAnsi"/>
          <w:sz w:val="18"/>
          <w:szCs w:val="18"/>
          <w:lang w:val="pl-PL"/>
        </w:rPr>
        <w:t xml:space="preserve">, </w:t>
      </w:r>
    </w:p>
    <w:p w14:paraId="5AA9409D" w14:textId="77777777" w:rsidR="007B58CA" w:rsidRPr="0048184E" w:rsidRDefault="00A912EF"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pl-PL"/>
        </w:rPr>
        <w:lastRenderedPageBreak/>
        <w:t>p</w:t>
      </w:r>
      <w:r w:rsidR="008732E9" w:rsidRPr="0048184E">
        <w:rPr>
          <w:rFonts w:cstheme="minorHAnsi"/>
          <w:sz w:val="18"/>
          <w:szCs w:val="18"/>
          <w:lang w:val="pl-PL"/>
        </w:rPr>
        <w:t>o</w:t>
      </w:r>
      <w:r w:rsidR="008732E9" w:rsidRPr="0048184E">
        <w:rPr>
          <w:rFonts w:cstheme="minorHAnsi"/>
          <w:sz w:val="18"/>
          <w:szCs w:val="18"/>
          <w:lang w:val="sr-Latn-ME"/>
        </w:rPr>
        <w:t xml:space="preserve"> </w:t>
      </w:r>
      <w:r w:rsidR="008732E9" w:rsidRPr="0048184E">
        <w:rPr>
          <w:rFonts w:cstheme="minorHAnsi"/>
          <w:sz w:val="18"/>
          <w:szCs w:val="18"/>
          <w:lang w:val="pl-PL"/>
        </w:rPr>
        <w:t>prvi</w:t>
      </w:r>
      <w:r w:rsidR="008732E9" w:rsidRPr="0048184E">
        <w:rPr>
          <w:rFonts w:cstheme="minorHAnsi"/>
          <w:sz w:val="18"/>
          <w:szCs w:val="18"/>
          <w:lang w:val="sr-Latn-ME"/>
        </w:rPr>
        <w:t xml:space="preserve"> </w:t>
      </w:r>
      <w:r w:rsidR="008732E9" w:rsidRPr="0048184E">
        <w:rPr>
          <w:rFonts w:cstheme="minorHAnsi"/>
          <w:sz w:val="18"/>
          <w:szCs w:val="18"/>
          <w:lang w:val="pl-PL"/>
        </w:rPr>
        <w:t>put</w:t>
      </w:r>
      <w:r w:rsidR="008732E9" w:rsidRPr="0048184E">
        <w:rPr>
          <w:rFonts w:cstheme="minorHAnsi"/>
          <w:sz w:val="18"/>
          <w:szCs w:val="18"/>
          <w:lang w:val="sr-Latn-ME"/>
        </w:rPr>
        <w:t xml:space="preserve"> </w:t>
      </w:r>
      <w:r w:rsidR="008732E9" w:rsidRPr="0048184E">
        <w:rPr>
          <w:rFonts w:cstheme="minorHAnsi"/>
          <w:sz w:val="18"/>
          <w:szCs w:val="18"/>
          <w:lang w:val="pl-PL"/>
        </w:rPr>
        <w:t>u</w:t>
      </w:r>
      <w:r w:rsidR="008732E9" w:rsidRPr="0048184E">
        <w:rPr>
          <w:rFonts w:cstheme="minorHAnsi"/>
          <w:sz w:val="18"/>
          <w:szCs w:val="18"/>
          <w:lang w:val="sr-Latn-ME"/>
        </w:rPr>
        <w:t xml:space="preserve"> </w:t>
      </w:r>
      <w:r w:rsidR="008732E9" w:rsidRPr="0048184E">
        <w:rPr>
          <w:rFonts w:cstheme="minorHAnsi"/>
          <w:sz w:val="18"/>
          <w:szCs w:val="18"/>
          <w:lang w:val="pl-PL"/>
        </w:rPr>
        <w:t>Crnoj</w:t>
      </w:r>
      <w:r w:rsidR="008732E9" w:rsidRPr="0048184E">
        <w:rPr>
          <w:rFonts w:cstheme="minorHAnsi"/>
          <w:sz w:val="18"/>
          <w:szCs w:val="18"/>
          <w:lang w:val="sr-Latn-ME"/>
        </w:rPr>
        <w:t xml:space="preserve"> </w:t>
      </w:r>
      <w:r w:rsidR="008732E9" w:rsidRPr="0048184E">
        <w:rPr>
          <w:rFonts w:cstheme="minorHAnsi"/>
          <w:sz w:val="18"/>
          <w:szCs w:val="18"/>
          <w:lang w:val="pl-PL"/>
        </w:rPr>
        <w:t>Go</w:t>
      </w:r>
      <w:r w:rsidR="00866016" w:rsidRPr="0048184E">
        <w:rPr>
          <w:rFonts w:cstheme="minorHAnsi"/>
          <w:sz w:val="18"/>
          <w:szCs w:val="18"/>
          <w:lang w:val="pl-PL"/>
        </w:rPr>
        <w:t>ri</w:t>
      </w:r>
      <w:r w:rsidR="00866016" w:rsidRPr="0048184E">
        <w:rPr>
          <w:rFonts w:cstheme="minorHAnsi"/>
          <w:sz w:val="18"/>
          <w:szCs w:val="18"/>
          <w:lang w:val="sr-Latn-ME"/>
        </w:rPr>
        <w:t xml:space="preserve">, </w:t>
      </w:r>
      <w:r w:rsidR="008732E9" w:rsidRPr="0048184E">
        <w:rPr>
          <w:rFonts w:cstheme="minorHAnsi"/>
          <w:sz w:val="18"/>
          <w:szCs w:val="18"/>
          <w:lang w:val="pl-PL"/>
        </w:rPr>
        <w:t>osnovano</w:t>
      </w:r>
      <w:r w:rsidR="008732E9" w:rsidRPr="0048184E">
        <w:rPr>
          <w:rFonts w:cstheme="minorHAnsi"/>
          <w:sz w:val="18"/>
          <w:szCs w:val="18"/>
          <w:lang w:val="sr-Latn-ME"/>
        </w:rPr>
        <w:t xml:space="preserve"> </w:t>
      </w:r>
      <w:r w:rsidR="00866016" w:rsidRPr="0048184E">
        <w:rPr>
          <w:rFonts w:cstheme="minorHAnsi"/>
          <w:sz w:val="18"/>
          <w:szCs w:val="18"/>
          <w:lang w:val="sr-Latn-ME"/>
        </w:rPr>
        <w:t xml:space="preserve">je </w:t>
      </w:r>
      <w:r w:rsidR="008732E9" w:rsidRPr="0048184E">
        <w:rPr>
          <w:rFonts w:cstheme="minorHAnsi"/>
          <w:sz w:val="18"/>
          <w:szCs w:val="18"/>
          <w:lang w:val="pl-PL"/>
        </w:rPr>
        <w:t>Ministarstvo</w:t>
      </w:r>
      <w:r w:rsidR="008732E9" w:rsidRPr="0048184E">
        <w:rPr>
          <w:rFonts w:cstheme="minorHAnsi"/>
          <w:sz w:val="18"/>
          <w:szCs w:val="18"/>
          <w:lang w:val="sr-Latn-ME"/>
        </w:rPr>
        <w:t xml:space="preserve"> </w:t>
      </w:r>
      <w:r w:rsidR="008732E9" w:rsidRPr="0048184E">
        <w:rPr>
          <w:rFonts w:cstheme="minorHAnsi"/>
          <w:sz w:val="18"/>
          <w:szCs w:val="18"/>
          <w:lang w:val="pl-PL"/>
        </w:rPr>
        <w:t>regionalno</w:t>
      </w:r>
      <w:r w:rsidR="008732E9" w:rsidRPr="0048184E">
        <w:rPr>
          <w:rFonts w:cstheme="minorHAnsi"/>
          <w:sz w:val="18"/>
          <w:szCs w:val="18"/>
          <w:lang w:val="sr-Latn-ME"/>
        </w:rPr>
        <w:t>-</w:t>
      </w:r>
      <w:r w:rsidR="008732E9" w:rsidRPr="0048184E">
        <w:rPr>
          <w:rFonts w:cstheme="minorHAnsi"/>
          <w:sz w:val="18"/>
          <w:szCs w:val="18"/>
          <w:lang w:val="pl-PL"/>
        </w:rPr>
        <w:t>investicionog</w:t>
      </w:r>
      <w:r w:rsidR="008732E9" w:rsidRPr="0048184E">
        <w:rPr>
          <w:rFonts w:cstheme="minorHAnsi"/>
          <w:sz w:val="18"/>
          <w:szCs w:val="18"/>
          <w:lang w:val="sr-Latn-ME"/>
        </w:rPr>
        <w:t xml:space="preserve"> </w:t>
      </w:r>
      <w:r w:rsidR="008732E9" w:rsidRPr="0048184E">
        <w:rPr>
          <w:rFonts w:cstheme="minorHAnsi"/>
          <w:sz w:val="18"/>
          <w:szCs w:val="18"/>
          <w:lang w:val="pl-PL"/>
        </w:rPr>
        <w:t>razvoja</w:t>
      </w:r>
      <w:r w:rsidR="008732E9" w:rsidRPr="0048184E">
        <w:rPr>
          <w:rFonts w:cstheme="minorHAnsi"/>
          <w:sz w:val="18"/>
          <w:szCs w:val="18"/>
          <w:lang w:val="sr-Latn-ME"/>
        </w:rPr>
        <w:t xml:space="preserve"> </w:t>
      </w:r>
      <w:r w:rsidR="008732E9" w:rsidRPr="0048184E">
        <w:rPr>
          <w:rFonts w:cstheme="minorHAnsi"/>
          <w:sz w:val="18"/>
          <w:szCs w:val="18"/>
          <w:lang w:val="pl-PL"/>
        </w:rPr>
        <w:t>i</w:t>
      </w:r>
      <w:r w:rsidR="008732E9" w:rsidRPr="0048184E">
        <w:rPr>
          <w:rFonts w:cstheme="minorHAnsi"/>
          <w:sz w:val="18"/>
          <w:szCs w:val="18"/>
          <w:lang w:val="sr-Latn-ME"/>
        </w:rPr>
        <w:t xml:space="preserve"> </w:t>
      </w:r>
      <w:r w:rsidR="008732E9" w:rsidRPr="0048184E">
        <w:rPr>
          <w:rFonts w:cstheme="minorHAnsi"/>
          <w:sz w:val="18"/>
          <w:szCs w:val="18"/>
          <w:lang w:val="pl-PL"/>
        </w:rPr>
        <w:t>saradnj</w:t>
      </w:r>
      <w:r w:rsidR="00350148" w:rsidRPr="0048184E">
        <w:rPr>
          <w:rFonts w:cstheme="minorHAnsi"/>
          <w:sz w:val="18"/>
          <w:szCs w:val="18"/>
          <w:lang w:val="pl-PL"/>
        </w:rPr>
        <w:t>e</w:t>
      </w:r>
      <w:r w:rsidR="00350148" w:rsidRPr="0048184E">
        <w:rPr>
          <w:rFonts w:cstheme="minorHAnsi"/>
          <w:sz w:val="18"/>
          <w:szCs w:val="18"/>
          <w:lang w:val="sr-Latn-ME"/>
        </w:rPr>
        <w:t xml:space="preserve"> </w:t>
      </w:r>
      <w:r w:rsidR="00350148" w:rsidRPr="0048184E">
        <w:rPr>
          <w:rFonts w:cstheme="minorHAnsi"/>
          <w:sz w:val="18"/>
          <w:szCs w:val="18"/>
          <w:lang w:val="pl-PL"/>
        </w:rPr>
        <w:t>sa</w:t>
      </w:r>
      <w:r w:rsidR="00350148" w:rsidRPr="0048184E">
        <w:rPr>
          <w:rFonts w:cstheme="minorHAnsi"/>
          <w:sz w:val="18"/>
          <w:szCs w:val="18"/>
          <w:lang w:val="sr-Latn-ME"/>
        </w:rPr>
        <w:t xml:space="preserve"> </w:t>
      </w:r>
      <w:r w:rsidR="00350148" w:rsidRPr="0048184E">
        <w:rPr>
          <w:rFonts w:cstheme="minorHAnsi"/>
          <w:sz w:val="18"/>
          <w:szCs w:val="18"/>
          <w:lang w:val="pl-PL"/>
        </w:rPr>
        <w:t>nevladinim</w:t>
      </w:r>
      <w:r w:rsidR="00350148" w:rsidRPr="0048184E">
        <w:rPr>
          <w:rFonts w:cstheme="minorHAnsi"/>
          <w:sz w:val="18"/>
          <w:szCs w:val="18"/>
          <w:lang w:val="sr-Latn-ME"/>
        </w:rPr>
        <w:t xml:space="preserve"> </w:t>
      </w:r>
      <w:r w:rsidR="00350148" w:rsidRPr="0048184E">
        <w:rPr>
          <w:rFonts w:cstheme="minorHAnsi"/>
          <w:sz w:val="18"/>
          <w:szCs w:val="18"/>
          <w:lang w:val="pl-PL"/>
        </w:rPr>
        <w:t>organizacijama</w:t>
      </w:r>
      <w:r w:rsidR="00350148" w:rsidRPr="0048184E">
        <w:rPr>
          <w:rFonts w:cstheme="minorHAnsi"/>
          <w:sz w:val="18"/>
          <w:szCs w:val="18"/>
          <w:lang w:val="sr-Latn-ME"/>
        </w:rPr>
        <w:t xml:space="preserve"> </w:t>
      </w:r>
      <w:r w:rsidR="00350148" w:rsidRPr="0048184E">
        <w:rPr>
          <w:rFonts w:cstheme="minorHAnsi"/>
          <w:sz w:val="18"/>
          <w:szCs w:val="18"/>
          <w:lang w:val="pl-PL"/>
        </w:rPr>
        <w:t>ko</w:t>
      </w:r>
      <w:r w:rsidR="00866016" w:rsidRPr="0048184E">
        <w:rPr>
          <w:rFonts w:cstheme="minorHAnsi"/>
          <w:sz w:val="18"/>
          <w:szCs w:val="18"/>
          <w:lang w:val="sr-Latn-ME"/>
        </w:rPr>
        <w:t xml:space="preserve">je je </w:t>
      </w:r>
      <w:r w:rsidR="00350148" w:rsidRPr="0048184E">
        <w:rPr>
          <w:rFonts w:cstheme="minorHAnsi"/>
          <w:sz w:val="18"/>
          <w:szCs w:val="18"/>
          <w:lang w:val="pl-PL"/>
        </w:rPr>
        <w:t>unaprijedilo</w:t>
      </w:r>
      <w:r w:rsidR="00350148" w:rsidRPr="0048184E">
        <w:rPr>
          <w:rFonts w:cstheme="minorHAnsi"/>
          <w:b/>
          <w:bCs/>
          <w:sz w:val="18"/>
          <w:szCs w:val="18"/>
          <w:lang w:val="sr-Latn-ME"/>
        </w:rPr>
        <w:t xml:space="preserve"> </w:t>
      </w:r>
      <w:r w:rsidR="00350148" w:rsidRPr="0048184E">
        <w:rPr>
          <w:rFonts w:cstheme="minorHAnsi"/>
          <w:bCs/>
          <w:sz w:val="18"/>
          <w:szCs w:val="18"/>
          <w:lang w:val="sr-Latn-ME"/>
        </w:rPr>
        <w:t>funkciju koordinacije i vršenja nad</w:t>
      </w:r>
      <w:r w:rsidR="00866016" w:rsidRPr="0048184E">
        <w:rPr>
          <w:rFonts w:cstheme="minorHAnsi"/>
          <w:bCs/>
          <w:sz w:val="18"/>
          <w:szCs w:val="18"/>
          <w:lang w:val="sr-Latn-ME"/>
        </w:rPr>
        <w:t>zora nad sprovođenjem SRR 2023-2027.</w:t>
      </w:r>
      <w:r w:rsidR="00350148" w:rsidRPr="0048184E">
        <w:rPr>
          <w:rFonts w:cstheme="minorHAnsi"/>
          <w:bCs/>
          <w:sz w:val="18"/>
          <w:szCs w:val="18"/>
          <w:lang w:val="sr-Latn-ME"/>
        </w:rPr>
        <w:t xml:space="preserve"> i </w:t>
      </w:r>
      <w:r w:rsidR="00866016" w:rsidRPr="0048184E">
        <w:rPr>
          <w:rFonts w:cstheme="minorHAnsi"/>
          <w:bCs/>
          <w:sz w:val="18"/>
          <w:szCs w:val="18"/>
          <w:lang w:val="sr-Latn-ME"/>
        </w:rPr>
        <w:t xml:space="preserve">generalno </w:t>
      </w:r>
      <w:r w:rsidR="00350148" w:rsidRPr="0048184E">
        <w:rPr>
          <w:rFonts w:cstheme="minorHAnsi"/>
          <w:bCs/>
          <w:sz w:val="18"/>
          <w:szCs w:val="18"/>
          <w:lang w:val="sr-Latn-ME"/>
        </w:rPr>
        <w:t xml:space="preserve">politike regionalnog razvoja, </w:t>
      </w:r>
    </w:p>
    <w:p w14:paraId="2A20B40F" w14:textId="77777777" w:rsidR="00866016" w:rsidRPr="0048184E" w:rsidRDefault="00A912EF" w:rsidP="0048184E">
      <w:pPr>
        <w:pStyle w:val="ListParagraph"/>
        <w:numPr>
          <w:ilvl w:val="0"/>
          <w:numId w:val="3"/>
        </w:numPr>
        <w:spacing w:after="0" w:line="240" w:lineRule="auto"/>
        <w:jc w:val="both"/>
        <w:rPr>
          <w:rFonts w:cstheme="minorHAnsi"/>
          <w:sz w:val="18"/>
          <w:szCs w:val="18"/>
          <w:lang w:val="sr-Latn-CS"/>
        </w:rPr>
      </w:pPr>
      <w:r w:rsidRPr="0048184E">
        <w:rPr>
          <w:rFonts w:cstheme="minorHAnsi"/>
          <w:sz w:val="18"/>
          <w:szCs w:val="18"/>
          <w:lang w:val="sr-Latn-ME"/>
        </w:rPr>
        <w:t>d</w:t>
      </w:r>
      <w:r w:rsidR="00866016" w:rsidRPr="0048184E">
        <w:rPr>
          <w:rFonts w:cstheme="minorHAnsi"/>
          <w:sz w:val="18"/>
          <w:szCs w:val="18"/>
          <w:lang w:val="sr-Latn-CS"/>
        </w:rPr>
        <w:t>ones</w:t>
      </w:r>
      <w:r w:rsidR="00350148" w:rsidRPr="0048184E">
        <w:rPr>
          <w:rFonts w:cstheme="minorHAnsi"/>
          <w:sz w:val="18"/>
          <w:szCs w:val="18"/>
          <w:lang w:val="sr-Latn-CS"/>
        </w:rPr>
        <w:t xml:space="preserve">en </w:t>
      </w:r>
      <w:r w:rsidR="00866016" w:rsidRPr="0048184E">
        <w:rPr>
          <w:rFonts w:cstheme="minorHAnsi"/>
          <w:sz w:val="18"/>
          <w:szCs w:val="18"/>
          <w:lang w:val="sr-Latn-CS"/>
        </w:rPr>
        <w:t>Prostorni plan Crne Gore do 2040. godine,</w:t>
      </w:r>
      <w:r w:rsidR="00795099">
        <w:rPr>
          <w:rFonts w:cstheme="minorHAnsi"/>
          <w:sz w:val="18"/>
          <w:szCs w:val="18"/>
          <w:lang w:val="sr-Latn-CS"/>
        </w:rPr>
        <w:t>a</w:t>
      </w:r>
      <w:r w:rsidR="00866016" w:rsidRPr="0048184E">
        <w:rPr>
          <w:rFonts w:cstheme="minorHAnsi"/>
          <w:sz w:val="18"/>
          <w:szCs w:val="18"/>
          <w:lang w:val="sr-Latn-CS"/>
        </w:rPr>
        <w:t xml:space="preserve"> </w:t>
      </w:r>
      <w:r w:rsidR="00C020DE" w:rsidRPr="0048184E">
        <w:rPr>
          <w:rFonts w:cstheme="minorHAnsi"/>
          <w:sz w:val="18"/>
          <w:szCs w:val="18"/>
          <w:lang w:val="sr-Latn-CS"/>
        </w:rPr>
        <w:t>u skladu sa Zakonom regionalnom razvoju (član 6, stav 3),</w:t>
      </w:r>
      <w:r w:rsidR="00866016" w:rsidRPr="0048184E">
        <w:rPr>
          <w:rFonts w:cstheme="minorHAnsi"/>
          <w:sz w:val="18"/>
          <w:szCs w:val="18"/>
          <w:lang w:val="sr-Latn-CS"/>
        </w:rPr>
        <w:t xml:space="preserve">potrebno je usaglasiti aktivnosti između ova dva strateška dokumenta, </w:t>
      </w:r>
    </w:p>
    <w:p w14:paraId="43A861F1" w14:textId="77777777" w:rsidR="00866016" w:rsidRPr="0048184E" w:rsidRDefault="00866016"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sr-Latn-CS"/>
        </w:rPr>
        <w:t>VCG je usvojila</w:t>
      </w:r>
      <w:r w:rsidR="00C020DE" w:rsidRPr="0048184E">
        <w:rPr>
          <w:rFonts w:cstheme="minorHAnsi"/>
          <w:sz w:val="18"/>
          <w:szCs w:val="18"/>
          <w:lang w:val="sr-Latn-CS"/>
        </w:rPr>
        <w:t xml:space="preserve"> </w:t>
      </w:r>
      <w:r w:rsidRPr="0048184E">
        <w:rPr>
          <w:rFonts w:cstheme="minorHAnsi"/>
          <w:sz w:val="18"/>
          <w:szCs w:val="18"/>
          <w:lang w:val="sr-Latn-CS"/>
        </w:rPr>
        <w:t>Reformsku agendu</w:t>
      </w:r>
      <w:r w:rsidR="00BD2D1E" w:rsidRPr="0048184E">
        <w:rPr>
          <w:rFonts w:cstheme="minorHAnsi"/>
          <w:sz w:val="18"/>
          <w:szCs w:val="18"/>
          <w:lang w:val="sr-Latn-CS"/>
        </w:rPr>
        <w:t xml:space="preserve"> Crne Gore 2024-2028, </w:t>
      </w:r>
      <w:r w:rsidRPr="0048184E">
        <w:rPr>
          <w:rFonts w:cstheme="minorHAnsi"/>
          <w:sz w:val="18"/>
          <w:szCs w:val="18"/>
          <w:lang w:val="sr-Latn-CS"/>
        </w:rPr>
        <w:t xml:space="preserve">kao važan dokument u procesu evropskih integracija, </w:t>
      </w:r>
    </w:p>
    <w:p w14:paraId="2DC220C3" w14:textId="77777777" w:rsidR="00BD2D1E" w:rsidRPr="0048184E" w:rsidRDefault="00A912EF"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sr-Latn-CS"/>
        </w:rPr>
        <w:t>p</w:t>
      </w:r>
      <w:r w:rsidR="00350148" w:rsidRPr="0048184E">
        <w:rPr>
          <w:rFonts w:cstheme="minorHAnsi"/>
          <w:sz w:val="18"/>
          <w:szCs w:val="18"/>
          <w:lang w:val="sr-Latn-CS"/>
        </w:rPr>
        <w:t>otreba za usklađivanjem indikatora uspjeha, indikatora učinka i indikatora</w:t>
      </w:r>
      <w:r w:rsidR="00BD2D1E" w:rsidRPr="0048184E">
        <w:rPr>
          <w:rFonts w:cstheme="minorHAnsi"/>
          <w:sz w:val="18"/>
          <w:szCs w:val="18"/>
          <w:lang w:val="sr-Latn-CS"/>
        </w:rPr>
        <w:t xml:space="preserve"> rezultata sa ključnim indikatorima performansi EU i dostupnim međunarodnim indikatorima i bazama, a u skladu sa Metodolgijom razvijanja politika, izrade i praćenja sprovo</w:t>
      </w:r>
      <w:r w:rsidR="0078066A" w:rsidRPr="0048184E">
        <w:rPr>
          <w:rFonts w:cstheme="minorHAnsi"/>
          <w:sz w:val="18"/>
          <w:szCs w:val="18"/>
          <w:lang w:val="sr-Latn-CS"/>
        </w:rPr>
        <w:t>đenja strateških dokumenata GSV.</w:t>
      </w:r>
    </w:p>
    <w:p w14:paraId="0B6F93E3" w14:textId="77777777" w:rsidR="00285803" w:rsidRPr="003C2A72" w:rsidRDefault="00285803" w:rsidP="0048184E">
      <w:pPr>
        <w:spacing w:after="0" w:line="240" w:lineRule="auto"/>
        <w:jc w:val="both"/>
        <w:rPr>
          <w:rFonts w:cstheme="minorHAnsi"/>
          <w:color w:val="4472C4" w:themeColor="accent5"/>
          <w:sz w:val="26"/>
          <w:szCs w:val="26"/>
          <w:lang w:val="sr-Latn-ME"/>
        </w:rPr>
      </w:pPr>
    </w:p>
    <w:p w14:paraId="52892409" w14:textId="77777777" w:rsidR="001838F3" w:rsidRPr="003C2A72" w:rsidRDefault="00BC60DD" w:rsidP="0048184E">
      <w:pPr>
        <w:pStyle w:val="Heading2"/>
        <w:numPr>
          <w:ilvl w:val="0"/>
          <w:numId w:val="26"/>
        </w:numPr>
        <w:spacing w:before="0" w:line="240" w:lineRule="auto"/>
        <w:rPr>
          <w:rFonts w:asciiTheme="minorHAnsi" w:hAnsiTheme="minorHAnsi"/>
        </w:rPr>
      </w:pPr>
      <w:bookmarkStart w:id="7" w:name="_Toc205215825"/>
      <w:r w:rsidRPr="003C2A72">
        <w:rPr>
          <w:rFonts w:asciiTheme="minorHAnsi" w:hAnsiTheme="minorHAnsi"/>
        </w:rPr>
        <w:t xml:space="preserve">Usklađenost </w:t>
      </w:r>
      <w:r w:rsidR="00D51BFB" w:rsidRPr="003C2A72">
        <w:rPr>
          <w:rFonts w:asciiTheme="minorHAnsi" w:hAnsiTheme="minorHAnsi"/>
        </w:rPr>
        <w:t xml:space="preserve">revidirane </w:t>
      </w:r>
      <w:r w:rsidR="0078066A" w:rsidRPr="003C2A72">
        <w:rPr>
          <w:rFonts w:asciiTheme="minorHAnsi" w:hAnsiTheme="minorHAnsi"/>
        </w:rPr>
        <w:t>SRR 2023-2027.</w:t>
      </w:r>
      <w:r w:rsidRPr="003C2A72">
        <w:rPr>
          <w:rFonts w:asciiTheme="minorHAnsi" w:hAnsiTheme="minorHAnsi"/>
        </w:rPr>
        <w:t xml:space="preserve"> sa postojećim strateškim okvirom</w:t>
      </w:r>
      <w:bookmarkEnd w:id="7"/>
      <w:r w:rsidRPr="003C2A72">
        <w:rPr>
          <w:rFonts w:asciiTheme="minorHAnsi" w:hAnsiTheme="minorHAnsi"/>
        </w:rPr>
        <w:t xml:space="preserve"> </w:t>
      </w:r>
    </w:p>
    <w:p w14:paraId="72384C6D" w14:textId="77777777" w:rsidR="00ED768F" w:rsidRPr="0048184E" w:rsidRDefault="00ED768F" w:rsidP="0048184E">
      <w:pPr>
        <w:pStyle w:val="ListParagraph"/>
        <w:spacing w:after="0" w:line="240" w:lineRule="auto"/>
        <w:jc w:val="both"/>
        <w:rPr>
          <w:rFonts w:cstheme="minorHAnsi"/>
          <w:b/>
          <w:sz w:val="18"/>
          <w:szCs w:val="18"/>
          <w:lang w:val="sr-Latn-ME"/>
        </w:rPr>
      </w:pPr>
    </w:p>
    <w:p w14:paraId="74D8E5A9" w14:textId="77777777" w:rsidR="00D94AD6" w:rsidRPr="0048184E" w:rsidRDefault="00C73AE3" w:rsidP="0048184E">
      <w:pPr>
        <w:spacing w:after="0" w:line="240" w:lineRule="auto"/>
        <w:jc w:val="both"/>
        <w:rPr>
          <w:rFonts w:cstheme="minorHAnsi"/>
          <w:sz w:val="18"/>
          <w:szCs w:val="18"/>
          <w:lang w:val="sr-Latn-ME"/>
        </w:rPr>
      </w:pPr>
      <w:r w:rsidRPr="0048184E">
        <w:rPr>
          <w:rFonts w:cstheme="minorHAnsi"/>
          <w:sz w:val="18"/>
          <w:szCs w:val="18"/>
          <w:lang w:val="sr-Latn-ME"/>
        </w:rPr>
        <w:t>Imajući u vidu da je</w:t>
      </w:r>
      <w:r w:rsidR="00037A2B" w:rsidRPr="0048184E">
        <w:rPr>
          <w:rFonts w:cstheme="minorHAnsi"/>
          <w:sz w:val="18"/>
          <w:szCs w:val="18"/>
          <w:lang w:val="sr-Latn-ME"/>
        </w:rPr>
        <w:t xml:space="preserve"> od perioda donošenja SRR</w:t>
      </w:r>
      <w:r w:rsidRPr="0048184E">
        <w:rPr>
          <w:rFonts w:cstheme="minorHAnsi"/>
          <w:sz w:val="18"/>
          <w:szCs w:val="18"/>
          <w:lang w:val="sr-Latn-ME"/>
        </w:rPr>
        <w:t xml:space="preserve"> </w:t>
      </w:r>
      <w:r w:rsidR="0078066A" w:rsidRPr="0048184E">
        <w:rPr>
          <w:rFonts w:cstheme="minorHAnsi"/>
          <w:sz w:val="18"/>
          <w:szCs w:val="18"/>
          <w:lang w:val="sr-Latn-ME"/>
        </w:rPr>
        <w:t xml:space="preserve">2023-2027. </w:t>
      </w:r>
      <w:r w:rsidRPr="0048184E">
        <w:rPr>
          <w:rFonts w:cstheme="minorHAnsi"/>
          <w:sz w:val="18"/>
          <w:szCs w:val="18"/>
          <w:lang w:val="sr-Latn-ME"/>
        </w:rPr>
        <w:t>( jul 2023.</w:t>
      </w:r>
      <w:r w:rsidR="0078066A" w:rsidRPr="0048184E">
        <w:rPr>
          <w:rFonts w:cstheme="minorHAnsi"/>
          <w:sz w:val="18"/>
          <w:szCs w:val="18"/>
          <w:lang w:val="sr-Latn-ME"/>
        </w:rPr>
        <w:t xml:space="preserve"> </w:t>
      </w:r>
      <w:r w:rsidR="00795099">
        <w:rPr>
          <w:rFonts w:cstheme="minorHAnsi"/>
          <w:sz w:val="18"/>
          <w:szCs w:val="18"/>
          <w:lang w:val="sr-Latn-ME"/>
        </w:rPr>
        <w:t>godine) došlo do izmjena i dopuna ili</w:t>
      </w:r>
      <w:r w:rsidR="0078066A" w:rsidRPr="0048184E">
        <w:rPr>
          <w:rFonts w:cstheme="minorHAnsi"/>
          <w:sz w:val="18"/>
          <w:szCs w:val="18"/>
          <w:lang w:val="sr-Latn-ME"/>
        </w:rPr>
        <w:t xml:space="preserve"> prestanka važenja, </w:t>
      </w:r>
      <w:r w:rsidRPr="0048184E">
        <w:rPr>
          <w:rFonts w:cstheme="minorHAnsi"/>
          <w:sz w:val="18"/>
          <w:szCs w:val="18"/>
          <w:lang w:val="sr-Latn-ME"/>
        </w:rPr>
        <w:t>jednog broja strateških dokumenta,</w:t>
      </w:r>
      <w:r w:rsidR="00394B5A" w:rsidRPr="0048184E">
        <w:rPr>
          <w:rFonts w:cstheme="minorHAnsi"/>
          <w:sz w:val="18"/>
          <w:szCs w:val="18"/>
          <w:lang w:val="sr-Latn-ME"/>
        </w:rPr>
        <w:t xml:space="preserve"> kao i da su neka</w:t>
      </w:r>
      <w:r w:rsidR="0078066A" w:rsidRPr="0048184E">
        <w:rPr>
          <w:rFonts w:cstheme="minorHAnsi"/>
          <w:sz w:val="18"/>
          <w:szCs w:val="18"/>
          <w:lang w:val="sr-Latn-ME"/>
        </w:rPr>
        <w:t xml:space="preserve"> nova d</w:t>
      </w:r>
      <w:r w:rsidR="00795099">
        <w:rPr>
          <w:rFonts w:cstheme="minorHAnsi"/>
          <w:sz w:val="18"/>
          <w:szCs w:val="18"/>
          <w:lang w:val="sr-Latn-ME"/>
        </w:rPr>
        <w:t>oneš</w:t>
      </w:r>
      <w:r w:rsidR="0078066A" w:rsidRPr="0048184E">
        <w:rPr>
          <w:rFonts w:cstheme="minorHAnsi"/>
          <w:sz w:val="18"/>
          <w:szCs w:val="18"/>
          <w:lang w:val="sr-Latn-ME"/>
        </w:rPr>
        <w:t>ena</w:t>
      </w:r>
      <w:r w:rsidR="00394B5A" w:rsidRPr="0048184E">
        <w:rPr>
          <w:rFonts w:cstheme="minorHAnsi"/>
          <w:sz w:val="18"/>
          <w:szCs w:val="18"/>
          <w:lang w:val="sr-Latn-ME"/>
        </w:rPr>
        <w:t>,</w:t>
      </w:r>
      <w:r w:rsidRPr="0048184E">
        <w:rPr>
          <w:rFonts w:cstheme="minorHAnsi"/>
          <w:sz w:val="18"/>
          <w:szCs w:val="18"/>
          <w:lang w:val="sr-Latn-ME"/>
        </w:rPr>
        <w:t xml:space="preserve"> uključujući i Prostorni plan Crne Gore</w:t>
      </w:r>
      <w:r w:rsidR="00037A2B" w:rsidRPr="0048184E">
        <w:rPr>
          <w:rFonts w:cstheme="minorHAnsi"/>
          <w:sz w:val="18"/>
          <w:szCs w:val="18"/>
          <w:lang w:val="sr-Latn-ME"/>
        </w:rPr>
        <w:t xml:space="preserve"> do 2040.godine</w:t>
      </w:r>
      <w:r w:rsidRPr="0048184E">
        <w:rPr>
          <w:rFonts w:cstheme="minorHAnsi"/>
          <w:sz w:val="18"/>
          <w:szCs w:val="18"/>
          <w:lang w:val="sr-Latn-ME"/>
        </w:rPr>
        <w:t>, kao jedan od klj</w:t>
      </w:r>
      <w:r w:rsidR="00D94AD6" w:rsidRPr="0048184E">
        <w:rPr>
          <w:rFonts w:cstheme="minorHAnsi"/>
          <w:sz w:val="18"/>
          <w:szCs w:val="18"/>
          <w:lang w:val="sr-Latn-ME"/>
        </w:rPr>
        <w:t>u</w:t>
      </w:r>
      <w:r w:rsidRPr="0048184E">
        <w:rPr>
          <w:rFonts w:cstheme="minorHAnsi"/>
          <w:sz w:val="18"/>
          <w:szCs w:val="18"/>
          <w:lang w:val="sr-Latn-ME"/>
        </w:rPr>
        <w:t>čnih krovnih dokumenta, pr</w:t>
      </w:r>
      <w:r w:rsidR="00D94AD6" w:rsidRPr="0048184E">
        <w:rPr>
          <w:rFonts w:cstheme="minorHAnsi"/>
          <w:sz w:val="18"/>
          <w:szCs w:val="18"/>
          <w:lang w:val="sr-Latn-ME"/>
        </w:rPr>
        <w:t>epoz</w:t>
      </w:r>
      <w:r w:rsidR="00037A2B" w:rsidRPr="0048184E">
        <w:rPr>
          <w:rFonts w:cstheme="minorHAnsi"/>
          <w:sz w:val="18"/>
          <w:szCs w:val="18"/>
          <w:lang w:val="sr-Latn-ME"/>
        </w:rPr>
        <w:t>natim</w:t>
      </w:r>
      <w:r w:rsidRPr="0048184E">
        <w:rPr>
          <w:rFonts w:cstheme="minorHAnsi"/>
          <w:sz w:val="18"/>
          <w:szCs w:val="18"/>
          <w:lang w:val="sr-Latn-ME"/>
        </w:rPr>
        <w:t xml:space="preserve"> i Ustavom Crne Gore, u pripremi ovog </w:t>
      </w:r>
      <w:r w:rsidR="00482071" w:rsidRPr="0048184E">
        <w:rPr>
          <w:rFonts w:cstheme="minorHAnsi"/>
          <w:sz w:val="18"/>
          <w:szCs w:val="18"/>
          <w:lang w:val="sr-Latn-ME"/>
        </w:rPr>
        <w:t>dokum</w:t>
      </w:r>
      <w:r w:rsidR="00D94AD6" w:rsidRPr="0048184E">
        <w:rPr>
          <w:rFonts w:cstheme="minorHAnsi"/>
          <w:sz w:val="18"/>
          <w:szCs w:val="18"/>
          <w:lang w:val="sr-Latn-ME"/>
        </w:rPr>
        <w:t>en</w:t>
      </w:r>
      <w:r w:rsidR="00394B5A" w:rsidRPr="0048184E">
        <w:rPr>
          <w:rFonts w:cstheme="minorHAnsi"/>
          <w:sz w:val="18"/>
          <w:szCs w:val="18"/>
          <w:lang w:val="sr-Latn-ME"/>
        </w:rPr>
        <w:t>ta sprovedena je detaljna analiza</w:t>
      </w:r>
      <w:r w:rsidR="0078066A" w:rsidRPr="0048184E">
        <w:rPr>
          <w:rFonts w:cstheme="minorHAnsi"/>
          <w:sz w:val="18"/>
          <w:szCs w:val="18"/>
          <w:lang w:val="sr-Latn-ME"/>
        </w:rPr>
        <w:t xml:space="preserve"> trenutno</w:t>
      </w:r>
      <w:r w:rsidR="00394B5A" w:rsidRPr="0048184E">
        <w:rPr>
          <w:rFonts w:cstheme="minorHAnsi"/>
          <w:sz w:val="18"/>
          <w:szCs w:val="18"/>
          <w:lang w:val="sr-Latn-ME"/>
        </w:rPr>
        <w:t xml:space="preserve"> važećih relevantnih dokumenta za ovu oblast</w:t>
      </w:r>
      <w:r w:rsidR="00037A2B" w:rsidRPr="0048184E">
        <w:rPr>
          <w:rFonts w:cstheme="minorHAnsi"/>
          <w:sz w:val="18"/>
          <w:szCs w:val="18"/>
          <w:lang w:val="sr-Latn-ME"/>
        </w:rPr>
        <w:t>. Nakon analize</w:t>
      </w:r>
      <w:r w:rsidR="0078066A" w:rsidRPr="0048184E">
        <w:rPr>
          <w:rFonts w:cstheme="minorHAnsi"/>
          <w:sz w:val="18"/>
          <w:szCs w:val="18"/>
          <w:lang w:val="sr-Latn-ME"/>
        </w:rPr>
        <w:t>,</w:t>
      </w:r>
      <w:r w:rsidR="00482071" w:rsidRPr="0048184E">
        <w:rPr>
          <w:rFonts w:cstheme="minorHAnsi"/>
          <w:sz w:val="18"/>
          <w:szCs w:val="18"/>
          <w:lang w:val="sr-Latn-ME"/>
        </w:rPr>
        <w:t xml:space="preserve"> može se zaključ</w:t>
      </w:r>
      <w:r w:rsidR="00037A2B" w:rsidRPr="0048184E">
        <w:rPr>
          <w:rFonts w:cstheme="minorHAnsi"/>
          <w:sz w:val="18"/>
          <w:szCs w:val="18"/>
          <w:lang w:val="sr-Latn-ME"/>
        </w:rPr>
        <w:t xml:space="preserve">iti da su predloženi ciljevi </w:t>
      </w:r>
      <w:r w:rsidR="0078066A" w:rsidRPr="0048184E">
        <w:rPr>
          <w:rFonts w:cstheme="minorHAnsi"/>
          <w:sz w:val="18"/>
          <w:szCs w:val="18"/>
          <w:lang w:val="sr-Latn-ME"/>
        </w:rPr>
        <w:t xml:space="preserve">revidirane </w:t>
      </w:r>
      <w:r w:rsidR="00037A2B" w:rsidRPr="0048184E">
        <w:rPr>
          <w:rFonts w:cstheme="minorHAnsi"/>
          <w:sz w:val="18"/>
          <w:szCs w:val="18"/>
          <w:lang w:val="sr-Latn-ME"/>
        </w:rPr>
        <w:t>SRR</w:t>
      </w:r>
      <w:r w:rsidR="0078066A" w:rsidRPr="0048184E">
        <w:rPr>
          <w:rFonts w:cstheme="minorHAnsi"/>
          <w:sz w:val="18"/>
          <w:szCs w:val="18"/>
          <w:lang w:val="sr-Latn-ME"/>
        </w:rPr>
        <w:t xml:space="preserve"> 2023-2027</w:t>
      </w:r>
      <w:r w:rsidR="007834B1" w:rsidRPr="0048184E">
        <w:rPr>
          <w:rStyle w:val="FootnoteReference"/>
          <w:rFonts w:cstheme="minorHAnsi"/>
          <w:sz w:val="18"/>
          <w:szCs w:val="18"/>
          <w:lang w:val="sr-Latn-ME"/>
        </w:rPr>
        <w:footnoteReference w:id="7"/>
      </w:r>
      <w:r w:rsidR="0078066A" w:rsidRPr="0048184E">
        <w:rPr>
          <w:rFonts w:cstheme="minorHAnsi"/>
          <w:sz w:val="18"/>
          <w:szCs w:val="18"/>
          <w:lang w:val="sr-Latn-ME"/>
        </w:rPr>
        <w:t>.</w:t>
      </w:r>
      <w:r w:rsidR="00037A2B" w:rsidRPr="0048184E">
        <w:rPr>
          <w:rFonts w:cstheme="minorHAnsi"/>
          <w:sz w:val="18"/>
          <w:szCs w:val="18"/>
          <w:lang w:val="sr-Latn-ME"/>
        </w:rPr>
        <w:t xml:space="preserve"> u potpunosti</w:t>
      </w:r>
      <w:r w:rsidR="00482071" w:rsidRPr="0048184E">
        <w:rPr>
          <w:rFonts w:cstheme="minorHAnsi"/>
          <w:sz w:val="18"/>
          <w:szCs w:val="18"/>
          <w:lang w:val="sr-Latn-ME"/>
        </w:rPr>
        <w:t xml:space="preserve"> usaglašeni </w:t>
      </w:r>
      <w:r w:rsidRPr="0048184E">
        <w:rPr>
          <w:rFonts w:cstheme="minorHAnsi"/>
          <w:sz w:val="18"/>
          <w:szCs w:val="18"/>
          <w:lang w:val="sr-Latn-ME"/>
        </w:rPr>
        <w:t xml:space="preserve">sa </w:t>
      </w:r>
      <w:r w:rsidR="00482071" w:rsidRPr="0048184E">
        <w:rPr>
          <w:rFonts w:cstheme="minorHAnsi"/>
          <w:sz w:val="18"/>
          <w:szCs w:val="18"/>
          <w:lang w:val="sr-Latn-ME"/>
        </w:rPr>
        <w:t xml:space="preserve">relevantnim </w:t>
      </w:r>
      <w:r w:rsidRPr="0048184E">
        <w:rPr>
          <w:rFonts w:cstheme="minorHAnsi"/>
          <w:sz w:val="18"/>
          <w:szCs w:val="18"/>
          <w:lang w:val="sr-Latn-ME"/>
        </w:rPr>
        <w:t>vertikalnim i horizo</w:t>
      </w:r>
      <w:r w:rsidR="00B02710" w:rsidRPr="0048184E">
        <w:rPr>
          <w:rFonts w:cstheme="minorHAnsi"/>
          <w:sz w:val="18"/>
          <w:szCs w:val="18"/>
          <w:lang w:val="sr-Latn-ME"/>
        </w:rPr>
        <w:t xml:space="preserve">ntalnim strateškim dokumentima, što se može vidjeti i u nastavku. </w:t>
      </w:r>
    </w:p>
    <w:p w14:paraId="3FEF6C2C" w14:textId="77777777" w:rsidR="00FD5794" w:rsidRPr="0048184E" w:rsidRDefault="00FD5794" w:rsidP="0048184E">
      <w:pPr>
        <w:pStyle w:val="NoSpacing"/>
        <w:jc w:val="both"/>
        <w:rPr>
          <w:rFonts w:asciiTheme="minorHAnsi" w:hAnsiTheme="minorHAnsi" w:cstheme="minorHAnsi"/>
          <w:sz w:val="18"/>
          <w:szCs w:val="18"/>
          <w:lang w:val="sr-Latn-ME"/>
        </w:rPr>
      </w:pPr>
    </w:p>
    <w:p w14:paraId="5F159D7D" w14:textId="2DFCE9CB" w:rsidR="00D20F86" w:rsidRPr="003C2A72" w:rsidRDefault="00285803" w:rsidP="0048184E">
      <w:pPr>
        <w:pStyle w:val="ListParagraph"/>
        <w:numPr>
          <w:ilvl w:val="1"/>
          <w:numId w:val="26"/>
        </w:numPr>
        <w:spacing w:after="0" w:line="240" w:lineRule="auto"/>
        <w:jc w:val="both"/>
        <w:rPr>
          <w:rFonts w:cstheme="minorHAnsi"/>
          <w:b/>
          <w:color w:val="4472C4" w:themeColor="accent5"/>
          <w:lang w:val="sr-Latn-ME"/>
        </w:rPr>
      </w:pPr>
      <w:r w:rsidRPr="003C2A72">
        <w:rPr>
          <w:rFonts w:cstheme="minorHAnsi"/>
          <w:b/>
          <w:color w:val="4472C4" w:themeColor="accent5"/>
          <w:lang w:val="sr-Latn-ME"/>
        </w:rPr>
        <w:t>Usklađenost sa krovnim strateškim dokumentima</w:t>
      </w:r>
      <w:r w:rsidR="00DC08F3" w:rsidRPr="003C2A72">
        <w:rPr>
          <w:rFonts w:cstheme="minorHAnsi"/>
          <w:b/>
          <w:color w:val="4472C4" w:themeColor="accent5"/>
          <w:lang w:val="sr-Latn-ME"/>
        </w:rPr>
        <w:t xml:space="preserve"> (vertikalna usklađenost) </w:t>
      </w:r>
      <w:r w:rsidR="006C6D5F" w:rsidRPr="003C2A72">
        <w:rPr>
          <w:rFonts w:cstheme="minorHAnsi"/>
          <w:b/>
          <w:color w:val="4472C4" w:themeColor="accent5"/>
          <w:lang w:val="sr-Latn-ME"/>
        </w:rPr>
        <w:t xml:space="preserve"> </w:t>
      </w:r>
    </w:p>
    <w:p w14:paraId="5B47A584" w14:textId="77777777" w:rsidR="00ED768F" w:rsidRPr="0048184E" w:rsidRDefault="00ED768F" w:rsidP="0048184E">
      <w:pPr>
        <w:spacing w:after="0" w:line="240" w:lineRule="auto"/>
        <w:jc w:val="both"/>
        <w:rPr>
          <w:rFonts w:cstheme="minorHAnsi"/>
          <w:b/>
          <w:sz w:val="18"/>
          <w:szCs w:val="18"/>
          <w:lang w:val="sr-Latn-ME"/>
        </w:rPr>
      </w:pPr>
    </w:p>
    <w:p w14:paraId="66A5A260" w14:textId="77777777" w:rsidR="00307704" w:rsidRPr="0048184E" w:rsidRDefault="00307704" w:rsidP="0048184E">
      <w:pPr>
        <w:spacing w:after="0" w:line="240" w:lineRule="auto"/>
        <w:jc w:val="both"/>
        <w:rPr>
          <w:sz w:val="18"/>
          <w:szCs w:val="18"/>
          <w:lang w:val="sr-Latn-ME"/>
        </w:rPr>
      </w:pPr>
      <w:r w:rsidRPr="0048184E">
        <w:rPr>
          <w:b/>
          <w:sz w:val="18"/>
          <w:szCs w:val="18"/>
          <w:lang w:val="pl-PL"/>
        </w:rPr>
        <w:t>Ekspoze mandatara (Program rada 44. Vlade Crne Gore</w:t>
      </w:r>
      <w:r w:rsidRPr="0048184E">
        <w:rPr>
          <w:sz w:val="18"/>
          <w:szCs w:val="18"/>
          <w:lang w:val="pl-PL"/>
        </w:rPr>
        <w:t>)-jedan od prioriteta 44. Vlade je i obezbjeđivanje ravnomjernog regionalnog razvoja.  “Osim</w:t>
      </w:r>
      <w:r w:rsidRPr="0048184E">
        <w:rPr>
          <w:sz w:val="18"/>
          <w:szCs w:val="18"/>
          <w:lang w:val="sr-Latn-ME"/>
        </w:rPr>
        <w:t xml:space="preserve"> </w:t>
      </w:r>
      <w:r w:rsidRPr="0048184E">
        <w:rPr>
          <w:sz w:val="18"/>
          <w:szCs w:val="18"/>
          <w:lang w:val="pl-PL"/>
        </w:rPr>
        <w:t>odr</w:t>
      </w:r>
      <w:r w:rsidRPr="0048184E">
        <w:rPr>
          <w:sz w:val="18"/>
          <w:szCs w:val="18"/>
          <w:lang w:val="sr-Latn-ME"/>
        </w:rPr>
        <w:t>ž</w:t>
      </w:r>
      <w:r w:rsidRPr="0048184E">
        <w:rPr>
          <w:sz w:val="18"/>
          <w:szCs w:val="18"/>
          <w:lang w:val="pl-PL"/>
        </w:rPr>
        <w:t>ivog</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fokusu</w:t>
      </w:r>
      <w:r w:rsidRPr="0048184E">
        <w:rPr>
          <w:sz w:val="18"/>
          <w:szCs w:val="18"/>
          <w:lang w:val="sr-Latn-ME"/>
        </w:rPr>
        <w:t xml:space="preserve"> 44. </w:t>
      </w:r>
      <w:r w:rsidRPr="0048184E">
        <w:rPr>
          <w:sz w:val="18"/>
          <w:szCs w:val="18"/>
        </w:rPr>
        <w:t>Vlade</w:t>
      </w:r>
      <w:r w:rsidRPr="0048184E">
        <w:rPr>
          <w:sz w:val="18"/>
          <w:szCs w:val="18"/>
          <w:lang w:val="sr-Latn-ME"/>
        </w:rPr>
        <w:t xml:space="preserve"> ć</w:t>
      </w:r>
      <w:r w:rsidRPr="0048184E">
        <w:rPr>
          <w:sz w:val="18"/>
          <w:szCs w:val="18"/>
        </w:rPr>
        <w:t>e</w:t>
      </w:r>
      <w:r w:rsidRPr="0048184E">
        <w:rPr>
          <w:sz w:val="18"/>
          <w:szCs w:val="18"/>
          <w:lang w:val="sr-Latn-ME"/>
        </w:rPr>
        <w:t xml:space="preserve"> </w:t>
      </w:r>
      <w:r w:rsidRPr="0048184E">
        <w:rPr>
          <w:sz w:val="18"/>
          <w:szCs w:val="18"/>
        </w:rPr>
        <w:t>biti</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podsticanje</w:t>
      </w:r>
      <w:r w:rsidRPr="0048184E">
        <w:rPr>
          <w:sz w:val="18"/>
          <w:szCs w:val="18"/>
          <w:lang w:val="sr-Latn-ME"/>
        </w:rPr>
        <w:t xml:space="preserve"> </w:t>
      </w:r>
      <w:r w:rsidRPr="0048184E">
        <w:rPr>
          <w:sz w:val="18"/>
          <w:szCs w:val="18"/>
        </w:rPr>
        <w:t>ravnomjernijeg</w:t>
      </w:r>
      <w:r w:rsidRPr="0048184E">
        <w:rPr>
          <w:sz w:val="18"/>
          <w:szCs w:val="18"/>
          <w:lang w:val="sr-Latn-ME"/>
        </w:rPr>
        <w:t xml:space="preserve"> </w:t>
      </w:r>
      <w:r w:rsidRPr="0048184E">
        <w:rPr>
          <w:sz w:val="18"/>
          <w:szCs w:val="18"/>
        </w:rPr>
        <w:t>regionalnog</w:t>
      </w:r>
      <w:r w:rsidRPr="0048184E">
        <w:rPr>
          <w:sz w:val="18"/>
          <w:szCs w:val="18"/>
          <w:lang w:val="sr-Latn-ME"/>
        </w:rPr>
        <w:t xml:space="preserve"> </w:t>
      </w:r>
      <w:r w:rsidRPr="0048184E">
        <w:rPr>
          <w:sz w:val="18"/>
          <w:szCs w:val="18"/>
        </w:rPr>
        <w:t>razvoja</w:t>
      </w:r>
      <w:r w:rsidRPr="0048184E">
        <w:rPr>
          <w:sz w:val="18"/>
          <w:szCs w:val="18"/>
          <w:lang w:val="sr-Latn-ME"/>
        </w:rPr>
        <w:t xml:space="preserve"> </w:t>
      </w:r>
      <w:r w:rsidRPr="0048184E">
        <w:rPr>
          <w:sz w:val="18"/>
          <w:szCs w:val="18"/>
        </w:rPr>
        <w:t>Crne</w:t>
      </w:r>
      <w:r w:rsidRPr="0048184E">
        <w:rPr>
          <w:sz w:val="18"/>
          <w:szCs w:val="18"/>
          <w:lang w:val="sr-Latn-ME"/>
        </w:rPr>
        <w:t xml:space="preserve"> </w:t>
      </w:r>
      <w:r w:rsidRPr="0048184E">
        <w:rPr>
          <w:sz w:val="18"/>
          <w:szCs w:val="18"/>
        </w:rPr>
        <w:t>Gore</w:t>
      </w:r>
      <w:r w:rsidRPr="0048184E">
        <w:rPr>
          <w:sz w:val="18"/>
          <w:szCs w:val="18"/>
          <w:lang w:val="sr-Latn-ME"/>
        </w:rPr>
        <w:t xml:space="preserve"> </w:t>
      </w:r>
      <w:r w:rsidRPr="0048184E">
        <w:rPr>
          <w:sz w:val="18"/>
          <w:szCs w:val="18"/>
        </w:rPr>
        <w:t>kroz</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sjevernog</w:t>
      </w:r>
      <w:r w:rsidRPr="0048184E">
        <w:rPr>
          <w:sz w:val="18"/>
          <w:szCs w:val="18"/>
          <w:lang w:val="sr-Latn-ME"/>
        </w:rPr>
        <w:t xml:space="preserve"> </w:t>
      </w:r>
      <w:r w:rsidRPr="0048184E">
        <w:rPr>
          <w:sz w:val="18"/>
          <w:szCs w:val="18"/>
        </w:rPr>
        <w:t>regiona</w:t>
      </w:r>
      <w:r w:rsidRPr="0048184E">
        <w:rPr>
          <w:sz w:val="18"/>
          <w:szCs w:val="18"/>
          <w:lang w:val="sr-Latn-ME"/>
        </w:rPr>
        <w:t xml:space="preserve">, </w:t>
      </w:r>
      <w:r w:rsidRPr="0048184E">
        <w:rPr>
          <w:sz w:val="18"/>
          <w:szCs w:val="18"/>
        </w:rPr>
        <w:t>koji</w:t>
      </w:r>
      <w:r w:rsidRPr="0048184E">
        <w:rPr>
          <w:sz w:val="18"/>
          <w:szCs w:val="18"/>
          <w:lang w:val="sr-Latn-ME"/>
        </w:rPr>
        <w:t xml:space="preserve"> </w:t>
      </w:r>
      <w:r w:rsidRPr="0048184E">
        <w:rPr>
          <w:sz w:val="18"/>
          <w:szCs w:val="18"/>
        </w:rPr>
        <w:t>je</w:t>
      </w:r>
      <w:r w:rsidRPr="0048184E">
        <w:rPr>
          <w:sz w:val="18"/>
          <w:szCs w:val="18"/>
          <w:lang w:val="sr-Latn-ME"/>
        </w:rPr>
        <w:t xml:space="preserve"> </w:t>
      </w:r>
      <w:r w:rsidRPr="0048184E">
        <w:rPr>
          <w:sz w:val="18"/>
          <w:szCs w:val="18"/>
        </w:rPr>
        <w:t>dugo</w:t>
      </w:r>
      <w:r w:rsidRPr="0048184E">
        <w:rPr>
          <w:sz w:val="18"/>
          <w:szCs w:val="18"/>
          <w:lang w:val="sr-Latn-ME"/>
        </w:rPr>
        <w:t xml:space="preserve"> </w:t>
      </w:r>
      <w:r w:rsidRPr="0048184E">
        <w:rPr>
          <w:sz w:val="18"/>
          <w:szCs w:val="18"/>
        </w:rPr>
        <w:t>bio</w:t>
      </w:r>
      <w:r w:rsidRPr="0048184E">
        <w:rPr>
          <w:sz w:val="18"/>
          <w:szCs w:val="18"/>
          <w:lang w:val="sr-Latn-ME"/>
        </w:rPr>
        <w:t xml:space="preserve"> </w:t>
      </w:r>
      <w:r w:rsidRPr="0048184E">
        <w:rPr>
          <w:sz w:val="18"/>
          <w:szCs w:val="18"/>
        </w:rPr>
        <w:t>nepravedno</w:t>
      </w:r>
      <w:r w:rsidRPr="0048184E">
        <w:rPr>
          <w:sz w:val="18"/>
          <w:szCs w:val="18"/>
          <w:lang w:val="sr-Latn-ME"/>
        </w:rPr>
        <w:t xml:space="preserve"> </w:t>
      </w:r>
      <w:r w:rsidRPr="0048184E">
        <w:rPr>
          <w:sz w:val="18"/>
          <w:szCs w:val="18"/>
        </w:rPr>
        <w:t>izostavljen</w:t>
      </w:r>
      <w:r w:rsidRPr="0048184E">
        <w:rPr>
          <w:sz w:val="18"/>
          <w:szCs w:val="18"/>
          <w:lang w:val="sr-Latn-ME"/>
        </w:rPr>
        <w:t xml:space="preserve">, </w:t>
      </w:r>
      <w:r w:rsidRPr="0048184E">
        <w:rPr>
          <w:sz w:val="18"/>
          <w:szCs w:val="18"/>
        </w:rPr>
        <w:t>a</w:t>
      </w:r>
      <w:r w:rsidRPr="0048184E">
        <w:rPr>
          <w:sz w:val="18"/>
          <w:szCs w:val="18"/>
          <w:lang w:val="sr-Latn-ME"/>
        </w:rPr>
        <w:t xml:space="preserve"> </w:t>
      </w:r>
      <w:r w:rsidRPr="0048184E">
        <w:rPr>
          <w:sz w:val="18"/>
          <w:szCs w:val="18"/>
        </w:rPr>
        <w:t>brojne</w:t>
      </w:r>
      <w:r w:rsidRPr="0048184E">
        <w:rPr>
          <w:sz w:val="18"/>
          <w:szCs w:val="18"/>
          <w:lang w:val="sr-Latn-ME"/>
        </w:rPr>
        <w:t xml:space="preserve"> </w:t>
      </w:r>
      <w:r w:rsidRPr="0048184E">
        <w:rPr>
          <w:sz w:val="18"/>
          <w:szCs w:val="18"/>
        </w:rPr>
        <w:t>op</w:t>
      </w:r>
      <w:r w:rsidRPr="0048184E">
        <w:rPr>
          <w:sz w:val="18"/>
          <w:szCs w:val="18"/>
          <w:lang w:val="sr-Latn-ME"/>
        </w:rPr>
        <w:t>š</w:t>
      </w:r>
      <w:r w:rsidRPr="0048184E">
        <w:rPr>
          <w:sz w:val="18"/>
          <w:szCs w:val="18"/>
        </w:rPr>
        <w:t>tine</w:t>
      </w:r>
      <w:r w:rsidRPr="0048184E">
        <w:rPr>
          <w:sz w:val="18"/>
          <w:szCs w:val="18"/>
          <w:lang w:val="sr-Latn-ME"/>
        </w:rPr>
        <w:t xml:space="preserve"> </w:t>
      </w:r>
      <w:r w:rsidRPr="0048184E">
        <w:rPr>
          <w:sz w:val="18"/>
          <w:szCs w:val="18"/>
        </w:rPr>
        <w:t>na</w:t>
      </w:r>
      <w:r w:rsidRPr="0048184E">
        <w:rPr>
          <w:sz w:val="18"/>
          <w:szCs w:val="18"/>
          <w:lang w:val="sr-Latn-ME"/>
        </w:rPr>
        <w:t xml:space="preserve"> </w:t>
      </w:r>
      <w:r w:rsidRPr="0048184E">
        <w:rPr>
          <w:sz w:val="18"/>
          <w:szCs w:val="18"/>
        </w:rPr>
        <w:t>sjeveru</w:t>
      </w:r>
      <w:r w:rsidRPr="0048184E">
        <w:rPr>
          <w:sz w:val="18"/>
          <w:szCs w:val="18"/>
          <w:lang w:val="sr-Latn-ME"/>
        </w:rPr>
        <w:t xml:space="preserve">, </w:t>
      </w:r>
      <w:r w:rsidRPr="0048184E">
        <w:rPr>
          <w:sz w:val="18"/>
          <w:szCs w:val="18"/>
        </w:rPr>
        <w:t>uprkos</w:t>
      </w:r>
      <w:r w:rsidRPr="0048184E">
        <w:rPr>
          <w:sz w:val="18"/>
          <w:szCs w:val="18"/>
          <w:lang w:val="sr-Latn-ME"/>
        </w:rPr>
        <w:t xml:space="preserve"> </w:t>
      </w:r>
      <w:r w:rsidRPr="0048184E">
        <w:rPr>
          <w:sz w:val="18"/>
          <w:szCs w:val="18"/>
        </w:rPr>
        <w:t>izuzetnim</w:t>
      </w:r>
      <w:r w:rsidRPr="0048184E">
        <w:rPr>
          <w:sz w:val="18"/>
          <w:szCs w:val="18"/>
          <w:lang w:val="sr-Latn-ME"/>
        </w:rPr>
        <w:t xml:space="preserve"> </w:t>
      </w:r>
      <w:r w:rsidRPr="0048184E">
        <w:rPr>
          <w:sz w:val="18"/>
          <w:szCs w:val="18"/>
        </w:rPr>
        <w:t>potencijalima</w:t>
      </w:r>
      <w:r w:rsidRPr="0048184E">
        <w:rPr>
          <w:sz w:val="18"/>
          <w:szCs w:val="18"/>
          <w:lang w:val="sr-Latn-ME"/>
        </w:rPr>
        <w:t xml:space="preserve">, </w:t>
      </w:r>
      <w:r w:rsidRPr="0048184E">
        <w:rPr>
          <w:sz w:val="18"/>
          <w:szCs w:val="18"/>
        </w:rPr>
        <w:t>spadaju</w:t>
      </w:r>
      <w:r w:rsidRPr="0048184E">
        <w:rPr>
          <w:sz w:val="18"/>
          <w:szCs w:val="18"/>
          <w:lang w:val="sr-Latn-ME"/>
        </w:rPr>
        <w:t xml:space="preserve"> </w:t>
      </w:r>
      <w:r w:rsidRPr="0048184E">
        <w:rPr>
          <w:sz w:val="18"/>
          <w:szCs w:val="18"/>
        </w:rPr>
        <w:t>u</w:t>
      </w:r>
      <w:r w:rsidRPr="0048184E">
        <w:rPr>
          <w:sz w:val="18"/>
          <w:szCs w:val="18"/>
          <w:lang w:val="sr-Latn-ME"/>
        </w:rPr>
        <w:t xml:space="preserve"> </w:t>
      </w:r>
      <w:r w:rsidRPr="0048184E">
        <w:rPr>
          <w:sz w:val="18"/>
          <w:szCs w:val="18"/>
        </w:rPr>
        <w:t>red</w:t>
      </w:r>
      <w:r w:rsidRPr="0048184E">
        <w:rPr>
          <w:sz w:val="18"/>
          <w:szCs w:val="18"/>
          <w:lang w:val="sr-Latn-ME"/>
        </w:rPr>
        <w:t xml:space="preserve"> </w:t>
      </w:r>
      <w:r w:rsidRPr="0048184E">
        <w:rPr>
          <w:sz w:val="18"/>
          <w:szCs w:val="18"/>
        </w:rPr>
        <w:t>nerazvijenih</w:t>
      </w:r>
      <w:r w:rsidRPr="0048184E">
        <w:rPr>
          <w:sz w:val="18"/>
          <w:szCs w:val="18"/>
          <w:lang w:val="sr-Latn-ME"/>
        </w:rPr>
        <w:t xml:space="preserve"> </w:t>
      </w:r>
      <w:r w:rsidRPr="0048184E">
        <w:rPr>
          <w:sz w:val="18"/>
          <w:szCs w:val="18"/>
        </w:rPr>
        <w:t>op</w:t>
      </w:r>
      <w:r w:rsidRPr="0048184E">
        <w:rPr>
          <w:sz w:val="18"/>
          <w:szCs w:val="18"/>
          <w:lang w:val="sr-Latn-ME"/>
        </w:rPr>
        <w:t>š</w:t>
      </w:r>
      <w:r w:rsidRPr="0048184E">
        <w:rPr>
          <w:sz w:val="18"/>
          <w:szCs w:val="18"/>
        </w:rPr>
        <w:t>tina</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korisnici</w:t>
      </w:r>
      <w:r w:rsidRPr="0048184E">
        <w:rPr>
          <w:sz w:val="18"/>
          <w:szCs w:val="18"/>
          <w:lang w:val="sr-Latn-ME"/>
        </w:rPr>
        <w:t xml:space="preserve"> </w:t>
      </w:r>
      <w:r w:rsidRPr="0048184E">
        <w:rPr>
          <w:sz w:val="18"/>
          <w:szCs w:val="18"/>
        </w:rPr>
        <w:t>su</w:t>
      </w:r>
      <w:r w:rsidRPr="0048184E">
        <w:rPr>
          <w:sz w:val="18"/>
          <w:szCs w:val="18"/>
          <w:lang w:val="sr-Latn-ME"/>
        </w:rPr>
        <w:t xml:space="preserve"> </w:t>
      </w:r>
      <w:r w:rsidRPr="0048184E">
        <w:rPr>
          <w:sz w:val="18"/>
          <w:szCs w:val="18"/>
        </w:rPr>
        <w:t>egalizacionog</w:t>
      </w:r>
      <w:r w:rsidRPr="0048184E">
        <w:rPr>
          <w:sz w:val="18"/>
          <w:szCs w:val="18"/>
          <w:lang w:val="sr-Latn-ME"/>
        </w:rPr>
        <w:t xml:space="preserve"> </w:t>
      </w:r>
      <w:r w:rsidRPr="0048184E">
        <w:rPr>
          <w:sz w:val="18"/>
          <w:szCs w:val="18"/>
        </w:rPr>
        <w:t>fonda</w:t>
      </w:r>
      <w:r w:rsidRPr="0048184E">
        <w:rPr>
          <w:sz w:val="18"/>
          <w:szCs w:val="18"/>
          <w:lang w:val="sr-Latn-ME"/>
        </w:rPr>
        <w:t xml:space="preserve">. </w:t>
      </w:r>
      <w:r w:rsidRPr="0048184E">
        <w:rPr>
          <w:sz w:val="18"/>
          <w:szCs w:val="18"/>
        </w:rPr>
        <w:t>Zato</w:t>
      </w:r>
      <w:r w:rsidRPr="0048184E">
        <w:rPr>
          <w:sz w:val="18"/>
          <w:szCs w:val="18"/>
          <w:lang w:val="sr-Latn-ME"/>
        </w:rPr>
        <w:t xml:space="preserve"> ć</w:t>
      </w:r>
      <w:r w:rsidRPr="0048184E">
        <w:rPr>
          <w:sz w:val="18"/>
          <w:szCs w:val="18"/>
        </w:rPr>
        <w:t>emo</w:t>
      </w:r>
      <w:r w:rsidRPr="0048184E">
        <w:rPr>
          <w:sz w:val="18"/>
          <w:szCs w:val="18"/>
          <w:lang w:val="sr-Latn-ME"/>
        </w:rPr>
        <w:t xml:space="preserve"> </w:t>
      </w:r>
      <w:r w:rsidRPr="0048184E">
        <w:rPr>
          <w:sz w:val="18"/>
          <w:szCs w:val="18"/>
        </w:rPr>
        <w:t>se</w:t>
      </w:r>
      <w:r w:rsidRPr="0048184E">
        <w:rPr>
          <w:sz w:val="18"/>
          <w:szCs w:val="18"/>
          <w:lang w:val="sr-Latn-ME"/>
        </w:rPr>
        <w:t xml:space="preserve"> </w:t>
      </w:r>
      <w:r w:rsidRPr="0048184E">
        <w:rPr>
          <w:sz w:val="18"/>
          <w:szCs w:val="18"/>
        </w:rPr>
        <w:t>posvetiti</w:t>
      </w:r>
      <w:r w:rsidRPr="0048184E">
        <w:rPr>
          <w:sz w:val="18"/>
          <w:szCs w:val="18"/>
          <w:lang w:val="sr-Latn-ME"/>
        </w:rPr>
        <w:t xml:space="preserve"> </w:t>
      </w:r>
      <w:r w:rsidRPr="0048184E">
        <w:rPr>
          <w:sz w:val="18"/>
          <w:szCs w:val="18"/>
        </w:rPr>
        <w:t>planiranju</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projektovanju</w:t>
      </w:r>
      <w:r w:rsidRPr="0048184E">
        <w:rPr>
          <w:sz w:val="18"/>
          <w:szCs w:val="18"/>
          <w:lang w:val="sr-Latn-ME"/>
        </w:rPr>
        <w:t xml:space="preserve"> </w:t>
      </w:r>
      <w:r w:rsidRPr="0048184E">
        <w:rPr>
          <w:sz w:val="18"/>
          <w:szCs w:val="18"/>
        </w:rPr>
        <w:t>saobra</w:t>
      </w:r>
      <w:r w:rsidRPr="0048184E">
        <w:rPr>
          <w:sz w:val="18"/>
          <w:szCs w:val="18"/>
          <w:lang w:val="sr-Latn-ME"/>
        </w:rPr>
        <w:t>ć</w:t>
      </w:r>
      <w:r w:rsidRPr="0048184E">
        <w:rPr>
          <w:sz w:val="18"/>
          <w:szCs w:val="18"/>
        </w:rPr>
        <w:t>ajne</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komunalne</w:t>
      </w:r>
      <w:r w:rsidRPr="0048184E">
        <w:rPr>
          <w:sz w:val="18"/>
          <w:szCs w:val="18"/>
          <w:lang w:val="sr-Latn-ME"/>
        </w:rPr>
        <w:t xml:space="preserve"> </w:t>
      </w:r>
      <w:r w:rsidRPr="0048184E">
        <w:rPr>
          <w:sz w:val="18"/>
          <w:szCs w:val="18"/>
        </w:rPr>
        <w:t>infrastrukture</w:t>
      </w:r>
      <w:r w:rsidRPr="0048184E">
        <w:rPr>
          <w:sz w:val="18"/>
          <w:szCs w:val="18"/>
          <w:lang w:val="sr-Latn-ME"/>
        </w:rPr>
        <w:t xml:space="preserve">, </w:t>
      </w:r>
      <w:r w:rsidRPr="0048184E">
        <w:rPr>
          <w:sz w:val="18"/>
          <w:szCs w:val="18"/>
        </w:rPr>
        <w:t>kao</w:t>
      </w:r>
      <w:r w:rsidRPr="0048184E">
        <w:rPr>
          <w:sz w:val="18"/>
          <w:szCs w:val="18"/>
          <w:lang w:val="sr-Latn-ME"/>
        </w:rPr>
        <w:t xml:space="preserve"> </w:t>
      </w:r>
      <w:r w:rsidRPr="0048184E">
        <w:rPr>
          <w:sz w:val="18"/>
          <w:szCs w:val="18"/>
        </w:rPr>
        <w:t>nu</w:t>
      </w:r>
      <w:r w:rsidRPr="0048184E">
        <w:rPr>
          <w:sz w:val="18"/>
          <w:szCs w:val="18"/>
          <w:lang w:val="sr-Latn-ME"/>
        </w:rPr>
        <w:t>ž</w:t>
      </w:r>
      <w:r w:rsidRPr="0048184E">
        <w:rPr>
          <w:sz w:val="18"/>
          <w:szCs w:val="18"/>
        </w:rPr>
        <w:t>nog</w:t>
      </w:r>
      <w:r w:rsidRPr="0048184E">
        <w:rPr>
          <w:sz w:val="18"/>
          <w:szCs w:val="18"/>
          <w:lang w:val="sr-Latn-ME"/>
        </w:rPr>
        <w:t xml:space="preserve"> </w:t>
      </w:r>
      <w:r w:rsidRPr="0048184E">
        <w:rPr>
          <w:sz w:val="18"/>
          <w:szCs w:val="18"/>
        </w:rPr>
        <w:t>preduslova</w:t>
      </w:r>
      <w:r w:rsidRPr="0048184E">
        <w:rPr>
          <w:sz w:val="18"/>
          <w:szCs w:val="18"/>
          <w:lang w:val="sr-Latn-ME"/>
        </w:rPr>
        <w:t xml:space="preserve"> </w:t>
      </w:r>
      <w:r w:rsidRPr="0048184E">
        <w:rPr>
          <w:sz w:val="18"/>
          <w:szCs w:val="18"/>
        </w:rPr>
        <w:t>za</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sjevera</w:t>
      </w:r>
      <w:r w:rsidRPr="0048184E">
        <w:rPr>
          <w:sz w:val="18"/>
          <w:szCs w:val="18"/>
          <w:lang w:val="sr-Latn-ME"/>
        </w:rPr>
        <w:t xml:space="preserve">. </w:t>
      </w:r>
      <w:r w:rsidRPr="0048184E">
        <w:rPr>
          <w:sz w:val="18"/>
          <w:szCs w:val="18"/>
        </w:rPr>
        <w:t>Uradi</w:t>
      </w:r>
      <w:r w:rsidRPr="0048184E">
        <w:rPr>
          <w:sz w:val="18"/>
          <w:szCs w:val="18"/>
          <w:lang w:val="sr-Latn-ME"/>
        </w:rPr>
        <w:t>ć</w:t>
      </w:r>
      <w:r w:rsidRPr="0048184E">
        <w:rPr>
          <w:sz w:val="18"/>
          <w:szCs w:val="18"/>
        </w:rPr>
        <w:t>emo</w:t>
      </w:r>
      <w:r w:rsidRPr="0048184E">
        <w:rPr>
          <w:sz w:val="18"/>
          <w:szCs w:val="18"/>
          <w:lang w:val="sr-Latn-ME"/>
        </w:rPr>
        <w:t xml:space="preserve"> </w:t>
      </w:r>
      <w:r w:rsidRPr="0048184E">
        <w:rPr>
          <w:sz w:val="18"/>
          <w:szCs w:val="18"/>
        </w:rPr>
        <w:t>temeljnu</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studioznu</w:t>
      </w:r>
      <w:r w:rsidRPr="0048184E">
        <w:rPr>
          <w:sz w:val="18"/>
          <w:szCs w:val="18"/>
          <w:lang w:val="sr-Latn-ME"/>
        </w:rPr>
        <w:t xml:space="preserve"> </w:t>
      </w:r>
      <w:r w:rsidRPr="0048184E">
        <w:rPr>
          <w:sz w:val="18"/>
          <w:szCs w:val="18"/>
        </w:rPr>
        <w:t>analizu</w:t>
      </w:r>
      <w:r w:rsidRPr="0048184E">
        <w:rPr>
          <w:sz w:val="18"/>
          <w:szCs w:val="18"/>
          <w:lang w:val="sr-Latn-ME"/>
        </w:rPr>
        <w:t xml:space="preserve"> </w:t>
      </w:r>
      <w:r w:rsidRPr="0048184E">
        <w:rPr>
          <w:sz w:val="18"/>
          <w:szCs w:val="18"/>
        </w:rPr>
        <w:t>prirodnih</w:t>
      </w:r>
      <w:r w:rsidRPr="0048184E">
        <w:rPr>
          <w:sz w:val="18"/>
          <w:szCs w:val="18"/>
          <w:lang w:val="sr-Latn-ME"/>
        </w:rPr>
        <w:t xml:space="preserve">, </w:t>
      </w:r>
      <w:r w:rsidRPr="0048184E">
        <w:rPr>
          <w:sz w:val="18"/>
          <w:szCs w:val="18"/>
        </w:rPr>
        <w:t>ekonomskih</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privrednih</w:t>
      </w:r>
      <w:r w:rsidRPr="0048184E">
        <w:rPr>
          <w:sz w:val="18"/>
          <w:szCs w:val="18"/>
          <w:lang w:val="sr-Latn-ME"/>
        </w:rPr>
        <w:t xml:space="preserve"> </w:t>
      </w:r>
      <w:r w:rsidRPr="0048184E">
        <w:rPr>
          <w:sz w:val="18"/>
          <w:szCs w:val="18"/>
        </w:rPr>
        <w:t>resursa</w:t>
      </w:r>
      <w:r w:rsidRPr="0048184E">
        <w:rPr>
          <w:sz w:val="18"/>
          <w:szCs w:val="18"/>
          <w:lang w:val="sr-Latn-ME"/>
        </w:rPr>
        <w:t xml:space="preserve"> </w:t>
      </w:r>
      <w:r w:rsidRPr="0048184E">
        <w:rPr>
          <w:sz w:val="18"/>
          <w:szCs w:val="18"/>
        </w:rPr>
        <w:t>kojima</w:t>
      </w:r>
      <w:r w:rsidRPr="0048184E">
        <w:rPr>
          <w:sz w:val="18"/>
          <w:szCs w:val="18"/>
          <w:lang w:val="sr-Latn-ME"/>
        </w:rPr>
        <w:t xml:space="preserve"> </w:t>
      </w:r>
      <w:r w:rsidRPr="0048184E">
        <w:rPr>
          <w:sz w:val="18"/>
          <w:szCs w:val="18"/>
        </w:rPr>
        <w:t>ovaj</w:t>
      </w:r>
      <w:r w:rsidRPr="0048184E">
        <w:rPr>
          <w:sz w:val="18"/>
          <w:szCs w:val="18"/>
          <w:lang w:val="sr-Latn-ME"/>
        </w:rPr>
        <w:t xml:space="preserve"> </w:t>
      </w:r>
      <w:r w:rsidRPr="0048184E">
        <w:rPr>
          <w:sz w:val="18"/>
          <w:szCs w:val="18"/>
        </w:rPr>
        <w:t>region</w:t>
      </w:r>
      <w:r w:rsidRPr="0048184E">
        <w:rPr>
          <w:sz w:val="18"/>
          <w:szCs w:val="18"/>
          <w:lang w:val="sr-Latn-ME"/>
        </w:rPr>
        <w:t xml:space="preserve"> </w:t>
      </w:r>
      <w:r w:rsidRPr="0048184E">
        <w:rPr>
          <w:sz w:val="18"/>
          <w:szCs w:val="18"/>
        </w:rPr>
        <w:t>raspola</w:t>
      </w:r>
      <w:r w:rsidRPr="0048184E">
        <w:rPr>
          <w:sz w:val="18"/>
          <w:szCs w:val="18"/>
          <w:lang w:val="sr-Latn-ME"/>
        </w:rPr>
        <w:t>ž</w:t>
      </w:r>
      <w:r w:rsidRPr="0048184E">
        <w:rPr>
          <w:sz w:val="18"/>
          <w:szCs w:val="18"/>
        </w:rPr>
        <w:t>e</w:t>
      </w:r>
      <w:r w:rsidRPr="0048184E">
        <w:rPr>
          <w:sz w:val="18"/>
          <w:szCs w:val="18"/>
          <w:lang w:val="sr-Latn-ME"/>
        </w:rPr>
        <w:t xml:space="preserve">, </w:t>
      </w:r>
      <w:r w:rsidRPr="0048184E">
        <w:rPr>
          <w:sz w:val="18"/>
          <w:szCs w:val="18"/>
        </w:rPr>
        <w:t>ali</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izraditi</w:t>
      </w:r>
      <w:r w:rsidRPr="0048184E">
        <w:rPr>
          <w:sz w:val="18"/>
          <w:szCs w:val="18"/>
          <w:lang w:val="sr-Latn-ME"/>
        </w:rPr>
        <w:t xml:space="preserve"> </w:t>
      </w:r>
      <w:r w:rsidRPr="0048184E">
        <w:rPr>
          <w:sz w:val="18"/>
          <w:szCs w:val="18"/>
        </w:rPr>
        <w:t>strategiju</w:t>
      </w:r>
      <w:r w:rsidRPr="0048184E">
        <w:rPr>
          <w:sz w:val="18"/>
          <w:szCs w:val="18"/>
          <w:lang w:val="sr-Latn-ME"/>
        </w:rPr>
        <w:t xml:space="preserve"> </w:t>
      </w:r>
      <w:r w:rsidRPr="0048184E">
        <w:rPr>
          <w:sz w:val="18"/>
          <w:szCs w:val="18"/>
        </w:rPr>
        <w:t>upravljanja</w:t>
      </w:r>
      <w:r w:rsidRPr="0048184E">
        <w:rPr>
          <w:sz w:val="18"/>
          <w:szCs w:val="18"/>
          <w:lang w:val="sr-Latn-ME"/>
        </w:rPr>
        <w:t xml:space="preserve"> </w:t>
      </w:r>
      <w:r w:rsidRPr="0048184E">
        <w:rPr>
          <w:sz w:val="18"/>
          <w:szCs w:val="18"/>
        </w:rPr>
        <w:t>resursima</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njihove</w:t>
      </w:r>
      <w:r w:rsidRPr="0048184E">
        <w:rPr>
          <w:sz w:val="18"/>
          <w:szCs w:val="18"/>
          <w:lang w:val="sr-Latn-ME"/>
        </w:rPr>
        <w:t xml:space="preserve"> </w:t>
      </w:r>
      <w:r w:rsidRPr="0048184E">
        <w:rPr>
          <w:sz w:val="18"/>
          <w:szCs w:val="18"/>
        </w:rPr>
        <w:t>adekvatne</w:t>
      </w:r>
      <w:r w:rsidRPr="0048184E">
        <w:rPr>
          <w:sz w:val="18"/>
          <w:szCs w:val="18"/>
          <w:lang w:val="sr-Latn-ME"/>
        </w:rPr>
        <w:t xml:space="preserve"> </w:t>
      </w:r>
      <w:r w:rsidRPr="0048184E">
        <w:rPr>
          <w:sz w:val="18"/>
          <w:szCs w:val="18"/>
        </w:rPr>
        <w:t>valorizacije</w:t>
      </w:r>
      <w:r w:rsidRPr="0048184E">
        <w:rPr>
          <w:sz w:val="18"/>
          <w:szCs w:val="18"/>
          <w:lang w:val="sr-Latn-ME"/>
        </w:rPr>
        <w:t xml:space="preserve">. </w:t>
      </w:r>
      <w:r w:rsidRPr="0048184E">
        <w:rPr>
          <w:sz w:val="18"/>
          <w:szCs w:val="18"/>
        </w:rPr>
        <w:t>Fokus</w:t>
      </w:r>
      <w:r w:rsidRPr="0048184E">
        <w:rPr>
          <w:sz w:val="18"/>
          <w:szCs w:val="18"/>
          <w:lang w:val="sr-Latn-ME"/>
        </w:rPr>
        <w:t xml:space="preserve"> ć</w:t>
      </w:r>
      <w:r w:rsidRPr="0048184E">
        <w:rPr>
          <w:sz w:val="18"/>
          <w:szCs w:val="18"/>
        </w:rPr>
        <w:t>emo</w:t>
      </w:r>
      <w:r w:rsidRPr="0048184E">
        <w:rPr>
          <w:sz w:val="18"/>
          <w:szCs w:val="18"/>
          <w:lang w:val="sr-Latn-ME"/>
        </w:rPr>
        <w:t xml:space="preserve"> </w:t>
      </w:r>
      <w:r w:rsidRPr="0048184E">
        <w:rPr>
          <w:sz w:val="18"/>
          <w:szCs w:val="18"/>
        </w:rPr>
        <w:t>staviti</w:t>
      </w:r>
      <w:r w:rsidRPr="0048184E">
        <w:rPr>
          <w:sz w:val="18"/>
          <w:szCs w:val="18"/>
          <w:lang w:val="sr-Latn-ME"/>
        </w:rPr>
        <w:t xml:space="preserve"> </w:t>
      </w:r>
      <w:r w:rsidRPr="0048184E">
        <w:rPr>
          <w:sz w:val="18"/>
          <w:szCs w:val="18"/>
        </w:rPr>
        <w:t>na</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turizma</w:t>
      </w:r>
      <w:r w:rsidRPr="0048184E">
        <w:rPr>
          <w:sz w:val="18"/>
          <w:szCs w:val="18"/>
          <w:lang w:val="sr-Latn-ME"/>
        </w:rPr>
        <w:t xml:space="preserve">, </w:t>
      </w:r>
      <w:r w:rsidRPr="0048184E">
        <w:rPr>
          <w:sz w:val="18"/>
          <w:szCs w:val="18"/>
        </w:rPr>
        <w:t>industrijske</w:t>
      </w:r>
      <w:r w:rsidRPr="0048184E">
        <w:rPr>
          <w:sz w:val="18"/>
          <w:szCs w:val="18"/>
          <w:lang w:val="sr-Latn-ME"/>
        </w:rPr>
        <w:t xml:space="preserve"> </w:t>
      </w:r>
      <w:r w:rsidRPr="0048184E">
        <w:rPr>
          <w:sz w:val="18"/>
          <w:szCs w:val="18"/>
        </w:rPr>
        <w:t>proizvodnje</w:t>
      </w:r>
      <w:r w:rsidRPr="0048184E">
        <w:rPr>
          <w:sz w:val="18"/>
          <w:szCs w:val="18"/>
          <w:lang w:val="sr-Latn-ME"/>
        </w:rPr>
        <w:t xml:space="preserve"> </w:t>
      </w:r>
      <w:r w:rsidRPr="0048184E">
        <w:rPr>
          <w:sz w:val="18"/>
          <w:szCs w:val="18"/>
        </w:rPr>
        <w:t>poljoprivrede</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sto</w:t>
      </w:r>
      <w:r w:rsidRPr="0048184E">
        <w:rPr>
          <w:sz w:val="18"/>
          <w:szCs w:val="18"/>
          <w:lang w:val="sr-Latn-ME"/>
        </w:rPr>
        <w:t>č</w:t>
      </w:r>
      <w:r w:rsidRPr="0048184E">
        <w:rPr>
          <w:sz w:val="18"/>
          <w:szCs w:val="18"/>
        </w:rPr>
        <w:t>arstva</w:t>
      </w:r>
      <w:r w:rsidRPr="0048184E">
        <w:rPr>
          <w:sz w:val="18"/>
          <w:szCs w:val="18"/>
          <w:lang w:val="sr-Latn-ME"/>
        </w:rPr>
        <w:t xml:space="preserve"> </w:t>
      </w:r>
      <w:r w:rsidRPr="0048184E">
        <w:rPr>
          <w:sz w:val="18"/>
          <w:szCs w:val="18"/>
        </w:rPr>
        <w:t>kao</w:t>
      </w:r>
      <w:r w:rsidRPr="0048184E">
        <w:rPr>
          <w:sz w:val="18"/>
          <w:szCs w:val="18"/>
          <w:lang w:val="sr-Latn-ME"/>
        </w:rPr>
        <w:t xml:space="preserve"> </w:t>
      </w:r>
      <w:r w:rsidRPr="0048184E">
        <w:rPr>
          <w:sz w:val="18"/>
          <w:szCs w:val="18"/>
        </w:rPr>
        <w:t>klju</w:t>
      </w:r>
      <w:r w:rsidRPr="0048184E">
        <w:rPr>
          <w:sz w:val="18"/>
          <w:szCs w:val="18"/>
          <w:lang w:val="sr-Latn-ME"/>
        </w:rPr>
        <w:t>č</w:t>
      </w:r>
      <w:r w:rsidRPr="0048184E">
        <w:rPr>
          <w:sz w:val="18"/>
          <w:szCs w:val="18"/>
        </w:rPr>
        <w:t>nih</w:t>
      </w:r>
      <w:r w:rsidRPr="0048184E">
        <w:rPr>
          <w:sz w:val="18"/>
          <w:szCs w:val="18"/>
          <w:lang w:val="sr-Latn-ME"/>
        </w:rPr>
        <w:t xml:space="preserve"> </w:t>
      </w:r>
      <w:r w:rsidRPr="0048184E">
        <w:rPr>
          <w:sz w:val="18"/>
          <w:szCs w:val="18"/>
        </w:rPr>
        <w:t>grana</w:t>
      </w:r>
      <w:r w:rsidRPr="0048184E">
        <w:rPr>
          <w:sz w:val="18"/>
          <w:szCs w:val="18"/>
          <w:lang w:val="sr-Latn-ME"/>
        </w:rPr>
        <w:t xml:space="preserve"> </w:t>
      </w:r>
      <w:r w:rsidRPr="0048184E">
        <w:rPr>
          <w:sz w:val="18"/>
          <w:szCs w:val="18"/>
        </w:rPr>
        <w:t>na</w:t>
      </w:r>
      <w:r w:rsidRPr="0048184E">
        <w:rPr>
          <w:sz w:val="18"/>
          <w:szCs w:val="18"/>
          <w:lang w:val="sr-Latn-ME"/>
        </w:rPr>
        <w:t xml:space="preserve"> </w:t>
      </w:r>
      <w:r w:rsidRPr="0048184E">
        <w:rPr>
          <w:sz w:val="18"/>
          <w:szCs w:val="18"/>
        </w:rPr>
        <w:t>kojima</w:t>
      </w:r>
      <w:r w:rsidRPr="0048184E">
        <w:rPr>
          <w:sz w:val="18"/>
          <w:szCs w:val="18"/>
          <w:lang w:val="sr-Latn-ME"/>
        </w:rPr>
        <w:t xml:space="preserve"> </w:t>
      </w:r>
      <w:r w:rsidRPr="0048184E">
        <w:rPr>
          <w:sz w:val="18"/>
          <w:szCs w:val="18"/>
        </w:rPr>
        <w:t>treba</w:t>
      </w:r>
      <w:r w:rsidRPr="0048184E">
        <w:rPr>
          <w:sz w:val="18"/>
          <w:szCs w:val="18"/>
          <w:lang w:val="sr-Latn-ME"/>
        </w:rPr>
        <w:t xml:space="preserve"> </w:t>
      </w:r>
      <w:r w:rsidRPr="0048184E">
        <w:rPr>
          <w:sz w:val="18"/>
          <w:szCs w:val="18"/>
        </w:rPr>
        <w:t>da</w:t>
      </w:r>
      <w:r w:rsidRPr="0048184E">
        <w:rPr>
          <w:sz w:val="18"/>
          <w:szCs w:val="18"/>
          <w:lang w:val="sr-Latn-ME"/>
        </w:rPr>
        <w:t xml:space="preserve"> </w:t>
      </w:r>
      <w:r w:rsidRPr="0048184E">
        <w:rPr>
          <w:sz w:val="18"/>
          <w:szCs w:val="18"/>
        </w:rPr>
        <w:t>se</w:t>
      </w:r>
      <w:r w:rsidRPr="0048184E">
        <w:rPr>
          <w:sz w:val="18"/>
          <w:szCs w:val="18"/>
          <w:lang w:val="sr-Latn-ME"/>
        </w:rPr>
        <w:t xml:space="preserve"> </w:t>
      </w:r>
      <w:r w:rsidRPr="0048184E">
        <w:rPr>
          <w:sz w:val="18"/>
          <w:szCs w:val="18"/>
        </w:rPr>
        <w:t>temelji</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sjevernog</w:t>
      </w:r>
      <w:r w:rsidRPr="0048184E">
        <w:rPr>
          <w:sz w:val="18"/>
          <w:szCs w:val="18"/>
          <w:lang w:val="sr-Latn-ME"/>
        </w:rPr>
        <w:t xml:space="preserve"> </w:t>
      </w:r>
      <w:r w:rsidRPr="0048184E">
        <w:rPr>
          <w:sz w:val="18"/>
          <w:szCs w:val="18"/>
        </w:rPr>
        <w:t>regiona</w:t>
      </w:r>
      <w:r w:rsidRPr="0048184E">
        <w:rPr>
          <w:sz w:val="18"/>
          <w:szCs w:val="18"/>
          <w:lang w:val="sr-Latn-ME"/>
        </w:rPr>
        <w:t xml:space="preserve">, </w:t>
      </w:r>
      <w:r w:rsidRPr="0048184E">
        <w:rPr>
          <w:sz w:val="18"/>
          <w:szCs w:val="18"/>
        </w:rPr>
        <w:t>a</w:t>
      </w:r>
      <w:r w:rsidRPr="0048184E">
        <w:rPr>
          <w:sz w:val="18"/>
          <w:szCs w:val="18"/>
          <w:lang w:val="sr-Latn-ME"/>
        </w:rPr>
        <w:t xml:space="preserve"> </w:t>
      </w:r>
      <w:r w:rsidRPr="0048184E">
        <w:rPr>
          <w:sz w:val="18"/>
          <w:szCs w:val="18"/>
        </w:rPr>
        <w:t>koji</w:t>
      </w:r>
      <w:r w:rsidRPr="0048184E">
        <w:rPr>
          <w:sz w:val="18"/>
          <w:szCs w:val="18"/>
          <w:lang w:val="sr-Latn-ME"/>
        </w:rPr>
        <w:t xml:space="preserve"> </w:t>
      </w:r>
      <w:r w:rsidRPr="0048184E">
        <w:rPr>
          <w:sz w:val="18"/>
          <w:szCs w:val="18"/>
        </w:rPr>
        <w:t>u</w:t>
      </w:r>
      <w:r w:rsidRPr="0048184E">
        <w:rPr>
          <w:sz w:val="18"/>
          <w:szCs w:val="18"/>
          <w:lang w:val="sr-Latn-ME"/>
        </w:rPr>
        <w:t xml:space="preserve"> </w:t>
      </w:r>
      <w:r w:rsidRPr="0048184E">
        <w:rPr>
          <w:sz w:val="18"/>
          <w:szCs w:val="18"/>
        </w:rPr>
        <w:t>budu</w:t>
      </w:r>
      <w:r w:rsidRPr="0048184E">
        <w:rPr>
          <w:sz w:val="18"/>
          <w:szCs w:val="18"/>
          <w:lang w:val="sr-Latn-ME"/>
        </w:rPr>
        <w:t>ć</w:t>
      </w:r>
      <w:r w:rsidRPr="0048184E">
        <w:rPr>
          <w:sz w:val="18"/>
          <w:szCs w:val="18"/>
        </w:rPr>
        <w:t>nosti</w:t>
      </w:r>
      <w:r w:rsidRPr="0048184E">
        <w:rPr>
          <w:sz w:val="18"/>
          <w:szCs w:val="18"/>
          <w:lang w:val="sr-Latn-ME"/>
        </w:rPr>
        <w:t xml:space="preserve"> </w:t>
      </w:r>
      <w:r w:rsidRPr="0048184E">
        <w:rPr>
          <w:sz w:val="18"/>
          <w:szCs w:val="18"/>
        </w:rPr>
        <w:t>mo</w:t>
      </w:r>
      <w:r w:rsidRPr="0048184E">
        <w:rPr>
          <w:sz w:val="18"/>
          <w:szCs w:val="18"/>
          <w:lang w:val="sr-Latn-ME"/>
        </w:rPr>
        <w:t>ž</w:t>
      </w:r>
      <w:r w:rsidRPr="0048184E">
        <w:rPr>
          <w:sz w:val="18"/>
          <w:szCs w:val="18"/>
        </w:rPr>
        <w:t>e</w:t>
      </w:r>
      <w:r w:rsidRPr="0048184E">
        <w:rPr>
          <w:sz w:val="18"/>
          <w:szCs w:val="18"/>
          <w:lang w:val="sr-Latn-ME"/>
        </w:rPr>
        <w:t xml:space="preserve"> </w:t>
      </w:r>
      <w:r w:rsidRPr="0048184E">
        <w:rPr>
          <w:sz w:val="18"/>
          <w:szCs w:val="18"/>
        </w:rPr>
        <w:t>da</w:t>
      </w:r>
      <w:r w:rsidRPr="0048184E">
        <w:rPr>
          <w:sz w:val="18"/>
          <w:szCs w:val="18"/>
          <w:lang w:val="sr-Latn-ME"/>
        </w:rPr>
        <w:t xml:space="preserve"> </w:t>
      </w:r>
      <w:r w:rsidRPr="0048184E">
        <w:rPr>
          <w:sz w:val="18"/>
          <w:szCs w:val="18"/>
        </w:rPr>
        <w:t>postane</w:t>
      </w:r>
      <w:r w:rsidRPr="0048184E">
        <w:rPr>
          <w:sz w:val="18"/>
          <w:szCs w:val="18"/>
          <w:lang w:val="sr-Latn-ME"/>
        </w:rPr>
        <w:t xml:space="preserve"> </w:t>
      </w:r>
      <w:r w:rsidRPr="0048184E">
        <w:rPr>
          <w:sz w:val="18"/>
          <w:szCs w:val="18"/>
        </w:rPr>
        <w:t>okosnica</w:t>
      </w:r>
      <w:r w:rsidRPr="0048184E">
        <w:rPr>
          <w:sz w:val="18"/>
          <w:szCs w:val="18"/>
          <w:lang w:val="sr-Latn-ME"/>
        </w:rPr>
        <w:t xml:space="preserve"> </w:t>
      </w:r>
      <w:r w:rsidRPr="0048184E">
        <w:rPr>
          <w:sz w:val="18"/>
          <w:szCs w:val="18"/>
        </w:rPr>
        <w:t>privrednog</w:t>
      </w:r>
      <w:r w:rsidRPr="0048184E">
        <w:rPr>
          <w:sz w:val="18"/>
          <w:szCs w:val="18"/>
          <w:lang w:val="sr-Latn-ME"/>
        </w:rPr>
        <w:t xml:space="preserve"> </w:t>
      </w:r>
      <w:r w:rsidRPr="0048184E">
        <w:rPr>
          <w:sz w:val="18"/>
          <w:szCs w:val="18"/>
        </w:rPr>
        <w:t>razvoja</w:t>
      </w:r>
      <w:r w:rsidRPr="0048184E">
        <w:rPr>
          <w:sz w:val="18"/>
          <w:szCs w:val="18"/>
          <w:lang w:val="sr-Latn-ME"/>
        </w:rPr>
        <w:t xml:space="preserve"> </w:t>
      </w:r>
      <w:r w:rsidRPr="0048184E">
        <w:rPr>
          <w:sz w:val="18"/>
          <w:szCs w:val="18"/>
        </w:rPr>
        <w:t>Crne</w:t>
      </w:r>
      <w:r w:rsidRPr="0048184E">
        <w:rPr>
          <w:sz w:val="18"/>
          <w:szCs w:val="18"/>
          <w:lang w:val="sr-Latn-ME"/>
        </w:rPr>
        <w:t xml:space="preserve"> </w:t>
      </w:r>
      <w:r w:rsidRPr="0048184E">
        <w:rPr>
          <w:sz w:val="18"/>
          <w:szCs w:val="18"/>
        </w:rPr>
        <w:t>Gore</w:t>
      </w:r>
      <w:r w:rsidR="007834B1" w:rsidRPr="0048184E">
        <w:rPr>
          <w:sz w:val="18"/>
          <w:szCs w:val="18"/>
          <w:lang w:val="sr-Latn-ME"/>
        </w:rPr>
        <w:t xml:space="preserve">“, navodi se u Ekspozeu. </w:t>
      </w:r>
    </w:p>
    <w:p w14:paraId="7B532C84" w14:textId="77777777" w:rsidR="00307704" w:rsidRPr="0048184E" w:rsidRDefault="00307704" w:rsidP="0048184E">
      <w:pPr>
        <w:spacing w:after="0" w:line="240" w:lineRule="auto"/>
        <w:jc w:val="both"/>
        <w:rPr>
          <w:sz w:val="18"/>
          <w:szCs w:val="18"/>
          <w:lang w:val="sr-Latn-ME"/>
        </w:rPr>
      </w:pPr>
    </w:p>
    <w:p w14:paraId="40DFB685" w14:textId="77777777" w:rsidR="006C6D5F" w:rsidRPr="0048184E" w:rsidRDefault="00C73AE3" w:rsidP="0048184E">
      <w:pPr>
        <w:spacing w:after="0" w:line="240" w:lineRule="auto"/>
        <w:jc w:val="both"/>
        <w:rPr>
          <w:rFonts w:cstheme="minorHAnsi"/>
          <w:sz w:val="18"/>
          <w:szCs w:val="18"/>
          <w:lang w:val="pl-PL"/>
        </w:rPr>
      </w:pPr>
      <w:r w:rsidRPr="0048184E">
        <w:rPr>
          <w:rFonts w:cstheme="minorHAnsi"/>
          <w:b/>
          <w:sz w:val="18"/>
          <w:szCs w:val="18"/>
          <w:lang w:val="pl-PL"/>
        </w:rPr>
        <w:t>Prostorni</w:t>
      </w:r>
      <w:r w:rsidRPr="0048184E">
        <w:rPr>
          <w:rFonts w:cstheme="minorHAnsi"/>
          <w:b/>
          <w:spacing w:val="-8"/>
          <w:sz w:val="18"/>
          <w:szCs w:val="18"/>
          <w:lang w:val="sr-Latn-ME"/>
        </w:rPr>
        <w:t xml:space="preserve"> </w:t>
      </w:r>
      <w:r w:rsidRPr="0048184E">
        <w:rPr>
          <w:rFonts w:cstheme="minorHAnsi"/>
          <w:b/>
          <w:sz w:val="18"/>
          <w:szCs w:val="18"/>
          <w:lang w:val="pl-PL"/>
        </w:rPr>
        <w:t>plan</w:t>
      </w:r>
      <w:r w:rsidRPr="0048184E">
        <w:rPr>
          <w:rFonts w:cstheme="minorHAnsi"/>
          <w:b/>
          <w:spacing w:val="-8"/>
          <w:sz w:val="18"/>
          <w:szCs w:val="18"/>
          <w:lang w:val="sr-Latn-ME"/>
        </w:rPr>
        <w:t xml:space="preserve"> </w:t>
      </w:r>
      <w:r w:rsidRPr="0048184E">
        <w:rPr>
          <w:rFonts w:cstheme="minorHAnsi"/>
          <w:b/>
          <w:sz w:val="18"/>
          <w:szCs w:val="18"/>
          <w:lang w:val="pl-PL"/>
        </w:rPr>
        <w:t>Crne</w:t>
      </w:r>
      <w:r w:rsidRPr="0048184E">
        <w:rPr>
          <w:rFonts w:cstheme="minorHAnsi"/>
          <w:b/>
          <w:spacing w:val="-9"/>
          <w:sz w:val="18"/>
          <w:szCs w:val="18"/>
          <w:lang w:val="sr-Latn-ME"/>
        </w:rPr>
        <w:t xml:space="preserve"> </w:t>
      </w:r>
      <w:r w:rsidRPr="0048184E">
        <w:rPr>
          <w:rFonts w:cstheme="minorHAnsi"/>
          <w:b/>
          <w:sz w:val="18"/>
          <w:szCs w:val="18"/>
          <w:lang w:val="pl-PL"/>
        </w:rPr>
        <w:t>Gore</w:t>
      </w:r>
      <w:r w:rsidR="00907A97" w:rsidRPr="0048184E">
        <w:rPr>
          <w:rFonts w:cstheme="minorHAnsi"/>
          <w:b/>
          <w:sz w:val="18"/>
          <w:szCs w:val="18"/>
          <w:lang w:val="sr-Latn-ME"/>
        </w:rPr>
        <w:t xml:space="preserve"> </w:t>
      </w:r>
      <w:r w:rsidR="00907A97" w:rsidRPr="0048184E">
        <w:rPr>
          <w:rFonts w:cstheme="minorHAnsi"/>
          <w:b/>
          <w:sz w:val="18"/>
          <w:szCs w:val="18"/>
          <w:lang w:val="pl-PL"/>
        </w:rPr>
        <w:t>do</w:t>
      </w:r>
      <w:r w:rsidR="00907A97" w:rsidRPr="0048184E">
        <w:rPr>
          <w:rFonts w:cstheme="minorHAnsi"/>
          <w:b/>
          <w:sz w:val="18"/>
          <w:szCs w:val="18"/>
          <w:lang w:val="sr-Latn-ME"/>
        </w:rPr>
        <w:t xml:space="preserve"> 2040. </w:t>
      </w:r>
      <w:r w:rsidR="00907A97" w:rsidRPr="0048184E">
        <w:rPr>
          <w:rFonts w:cstheme="minorHAnsi"/>
          <w:b/>
          <w:sz w:val="18"/>
          <w:szCs w:val="18"/>
          <w:lang w:val="pl-PL"/>
        </w:rPr>
        <w:t>godine</w:t>
      </w:r>
      <w:r w:rsidRPr="0048184E">
        <w:rPr>
          <w:rFonts w:cstheme="minorHAnsi"/>
          <w:b/>
          <w:sz w:val="18"/>
          <w:szCs w:val="18"/>
          <w:lang w:val="sr-Latn-ME"/>
        </w:rPr>
        <w:t>,</w:t>
      </w:r>
      <w:r w:rsidRPr="0048184E">
        <w:rPr>
          <w:rFonts w:cstheme="minorHAnsi"/>
          <w:b/>
          <w:spacing w:val="-9"/>
          <w:sz w:val="18"/>
          <w:szCs w:val="18"/>
          <w:lang w:val="sr-Latn-ME"/>
        </w:rPr>
        <w:t xml:space="preserve"> </w:t>
      </w:r>
      <w:r w:rsidR="00907A97" w:rsidRPr="0048184E">
        <w:rPr>
          <w:rFonts w:cstheme="minorHAnsi"/>
          <w:sz w:val="18"/>
          <w:szCs w:val="18"/>
          <w:lang w:val="pl-PL"/>
        </w:rPr>
        <w:t>je</w:t>
      </w:r>
      <w:r w:rsidR="00907A97" w:rsidRPr="0048184E">
        <w:rPr>
          <w:rFonts w:cstheme="minorHAnsi"/>
          <w:sz w:val="18"/>
          <w:szCs w:val="18"/>
          <w:lang w:val="sr-Latn-ME"/>
        </w:rPr>
        <w:t xml:space="preserve"> </w:t>
      </w:r>
      <w:r w:rsidR="00907A97" w:rsidRPr="0048184E">
        <w:rPr>
          <w:rFonts w:cstheme="minorHAnsi"/>
          <w:sz w:val="18"/>
          <w:szCs w:val="18"/>
          <w:lang w:val="pl-PL"/>
        </w:rPr>
        <w:t>dokument</w:t>
      </w:r>
      <w:r w:rsidR="00907A97" w:rsidRPr="0048184E">
        <w:rPr>
          <w:rFonts w:cstheme="minorHAnsi"/>
          <w:sz w:val="18"/>
          <w:szCs w:val="18"/>
          <w:lang w:val="sr-Latn-ME"/>
        </w:rPr>
        <w:t xml:space="preserve"> </w:t>
      </w:r>
      <w:r w:rsidR="00907A97" w:rsidRPr="0048184E">
        <w:rPr>
          <w:rFonts w:cstheme="minorHAnsi"/>
          <w:sz w:val="18"/>
          <w:szCs w:val="18"/>
          <w:lang w:val="pl-PL"/>
        </w:rPr>
        <w:t>kojim</w:t>
      </w:r>
      <w:r w:rsidRPr="0048184E">
        <w:rPr>
          <w:rFonts w:cstheme="minorHAnsi"/>
          <w:spacing w:val="-6"/>
          <w:sz w:val="18"/>
          <w:szCs w:val="18"/>
          <w:lang w:val="sr-Latn-ME"/>
        </w:rPr>
        <w:t xml:space="preserve"> </w:t>
      </w:r>
      <w:r w:rsidRPr="0048184E">
        <w:rPr>
          <w:rFonts w:cstheme="minorHAnsi"/>
          <w:sz w:val="18"/>
          <w:szCs w:val="18"/>
          <w:lang w:val="pl-PL"/>
        </w:rPr>
        <w:t>se</w:t>
      </w:r>
      <w:r w:rsidRPr="0048184E">
        <w:rPr>
          <w:rFonts w:cstheme="minorHAnsi"/>
          <w:spacing w:val="-6"/>
          <w:sz w:val="18"/>
          <w:szCs w:val="18"/>
          <w:lang w:val="sr-Latn-ME"/>
        </w:rPr>
        <w:t xml:space="preserve"> </w:t>
      </w:r>
      <w:r w:rsidR="00907A97" w:rsidRPr="0048184E">
        <w:rPr>
          <w:rFonts w:cstheme="minorHAnsi"/>
          <w:sz w:val="18"/>
          <w:szCs w:val="18"/>
          <w:lang w:val="pl-PL"/>
        </w:rPr>
        <w:t>utvr</w:t>
      </w:r>
      <w:r w:rsidR="00907A97" w:rsidRPr="0048184E">
        <w:rPr>
          <w:rFonts w:cstheme="minorHAnsi"/>
          <w:sz w:val="18"/>
          <w:szCs w:val="18"/>
          <w:lang w:val="sr-Latn-ME"/>
        </w:rPr>
        <w:t>đ</w:t>
      </w:r>
      <w:r w:rsidR="00907A97" w:rsidRPr="0048184E">
        <w:rPr>
          <w:rFonts w:cstheme="minorHAnsi"/>
          <w:sz w:val="18"/>
          <w:szCs w:val="18"/>
          <w:lang w:val="pl-PL"/>
        </w:rPr>
        <w:t>uje</w:t>
      </w:r>
      <w:r w:rsidR="00907A97" w:rsidRPr="0048184E">
        <w:rPr>
          <w:rFonts w:cstheme="minorHAnsi"/>
          <w:sz w:val="18"/>
          <w:szCs w:val="18"/>
          <w:lang w:val="sr-Latn-ME"/>
        </w:rPr>
        <w:t xml:space="preserve"> </w:t>
      </w:r>
      <w:r w:rsidR="00907A97" w:rsidRPr="0048184E">
        <w:rPr>
          <w:rFonts w:cstheme="minorHAnsi"/>
          <w:sz w:val="18"/>
          <w:szCs w:val="18"/>
          <w:lang w:val="pl-PL"/>
        </w:rPr>
        <w:t>op</w:t>
      </w:r>
      <w:r w:rsidR="00907A97" w:rsidRPr="0048184E">
        <w:rPr>
          <w:rFonts w:cstheme="minorHAnsi"/>
          <w:sz w:val="18"/>
          <w:szCs w:val="18"/>
          <w:lang w:val="sr-Latn-ME"/>
        </w:rPr>
        <w:t>š</w:t>
      </w:r>
      <w:r w:rsidR="00907A97" w:rsidRPr="0048184E">
        <w:rPr>
          <w:rFonts w:cstheme="minorHAnsi"/>
          <w:sz w:val="18"/>
          <w:szCs w:val="18"/>
          <w:lang w:val="pl-PL"/>
        </w:rPr>
        <w:t>te</w:t>
      </w:r>
      <w:r w:rsidR="00907A97" w:rsidRPr="0048184E">
        <w:rPr>
          <w:rFonts w:cstheme="minorHAnsi"/>
          <w:sz w:val="18"/>
          <w:szCs w:val="18"/>
          <w:lang w:val="sr-Latn-ME"/>
        </w:rPr>
        <w:t xml:space="preserve"> </w:t>
      </w:r>
      <w:r w:rsidR="00907A97" w:rsidRPr="0048184E">
        <w:rPr>
          <w:rFonts w:cstheme="minorHAnsi"/>
          <w:sz w:val="18"/>
          <w:szCs w:val="18"/>
          <w:lang w:val="pl-PL"/>
        </w:rPr>
        <w:t>osnove</w:t>
      </w:r>
      <w:r w:rsidR="00907A97" w:rsidRPr="0048184E">
        <w:rPr>
          <w:rFonts w:cstheme="minorHAnsi"/>
          <w:sz w:val="18"/>
          <w:szCs w:val="18"/>
          <w:lang w:val="sr-Latn-ME"/>
        </w:rPr>
        <w:t xml:space="preserve"> </w:t>
      </w:r>
      <w:r w:rsidR="00907A97" w:rsidRPr="0048184E">
        <w:rPr>
          <w:rFonts w:cstheme="minorHAnsi"/>
          <w:sz w:val="18"/>
          <w:szCs w:val="18"/>
          <w:lang w:val="pl-PL"/>
        </w:rPr>
        <w:t>organizacije</w:t>
      </w:r>
      <w:r w:rsidR="00907A97" w:rsidRPr="0048184E">
        <w:rPr>
          <w:rFonts w:cstheme="minorHAnsi"/>
          <w:sz w:val="18"/>
          <w:szCs w:val="18"/>
          <w:lang w:val="sr-Latn-ME"/>
        </w:rPr>
        <w:t xml:space="preserve"> </w:t>
      </w:r>
      <w:r w:rsidR="00907A97" w:rsidRPr="0048184E">
        <w:rPr>
          <w:rFonts w:cstheme="minorHAnsi"/>
          <w:sz w:val="18"/>
          <w:szCs w:val="18"/>
          <w:lang w:val="pl-PL"/>
        </w:rPr>
        <w:t>prostora</w:t>
      </w:r>
      <w:r w:rsidR="00907A97" w:rsidRPr="0048184E">
        <w:rPr>
          <w:rFonts w:cstheme="minorHAnsi"/>
          <w:sz w:val="18"/>
          <w:szCs w:val="18"/>
          <w:lang w:val="sr-Latn-ME"/>
        </w:rPr>
        <w:t xml:space="preserve"> </w:t>
      </w:r>
      <w:r w:rsidR="00907A97" w:rsidRPr="0048184E">
        <w:rPr>
          <w:rFonts w:cstheme="minorHAnsi"/>
          <w:sz w:val="18"/>
          <w:szCs w:val="18"/>
          <w:lang w:val="pl-PL"/>
        </w:rPr>
        <w:t>u</w:t>
      </w:r>
      <w:r w:rsidR="00907A97" w:rsidRPr="0048184E">
        <w:rPr>
          <w:rFonts w:cstheme="minorHAnsi"/>
          <w:sz w:val="18"/>
          <w:szCs w:val="18"/>
          <w:lang w:val="sr-Latn-ME"/>
        </w:rPr>
        <w:t xml:space="preserve"> </w:t>
      </w:r>
      <w:r w:rsidR="00907A97" w:rsidRPr="0048184E">
        <w:rPr>
          <w:rFonts w:cstheme="minorHAnsi"/>
          <w:sz w:val="18"/>
          <w:szCs w:val="18"/>
          <w:lang w:val="pl-PL"/>
        </w:rPr>
        <w:t>Crnoj</w:t>
      </w:r>
      <w:r w:rsidR="00907A97" w:rsidRPr="0048184E">
        <w:rPr>
          <w:rFonts w:cstheme="minorHAnsi"/>
          <w:sz w:val="18"/>
          <w:szCs w:val="18"/>
          <w:lang w:val="sr-Latn-ME"/>
        </w:rPr>
        <w:t xml:space="preserve"> </w:t>
      </w:r>
      <w:r w:rsidR="00907A97" w:rsidRPr="0048184E">
        <w:rPr>
          <w:rFonts w:cstheme="minorHAnsi"/>
          <w:sz w:val="18"/>
          <w:szCs w:val="18"/>
          <w:lang w:val="pl-PL"/>
        </w:rPr>
        <w:t>Gori</w:t>
      </w:r>
      <w:r w:rsidR="00907A97" w:rsidRPr="0048184E">
        <w:rPr>
          <w:rFonts w:cstheme="minorHAnsi"/>
          <w:sz w:val="18"/>
          <w:szCs w:val="18"/>
          <w:lang w:val="sr-Latn-ME"/>
        </w:rPr>
        <w:t xml:space="preserve">, </w:t>
      </w:r>
      <w:r w:rsidR="00907A97" w:rsidRPr="0048184E">
        <w:rPr>
          <w:rFonts w:cstheme="minorHAnsi"/>
          <w:sz w:val="18"/>
          <w:szCs w:val="18"/>
          <w:lang w:val="pl-PL"/>
        </w:rPr>
        <w:t>uklju</w:t>
      </w:r>
      <w:r w:rsidR="00907A97" w:rsidRPr="0048184E">
        <w:rPr>
          <w:rFonts w:cstheme="minorHAnsi"/>
          <w:sz w:val="18"/>
          <w:szCs w:val="18"/>
          <w:lang w:val="sr-Latn-ME"/>
        </w:rPr>
        <w:t>č</w:t>
      </w:r>
      <w:r w:rsidR="00907A97" w:rsidRPr="0048184E">
        <w:rPr>
          <w:rFonts w:cstheme="minorHAnsi"/>
          <w:sz w:val="18"/>
          <w:szCs w:val="18"/>
          <w:lang w:val="pl-PL"/>
        </w:rPr>
        <w:t>uju</w:t>
      </w:r>
      <w:r w:rsidR="00907A97" w:rsidRPr="0048184E">
        <w:rPr>
          <w:rFonts w:cstheme="minorHAnsi"/>
          <w:sz w:val="18"/>
          <w:szCs w:val="18"/>
          <w:lang w:val="sr-Latn-ME"/>
        </w:rPr>
        <w:t>ć</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ciljeve</w:t>
      </w:r>
      <w:r w:rsidR="00907A97" w:rsidRPr="0048184E">
        <w:rPr>
          <w:rFonts w:cstheme="minorHAnsi"/>
          <w:sz w:val="18"/>
          <w:szCs w:val="18"/>
          <w:lang w:val="sr-Latn-ME"/>
        </w:rPr>
        <w:t xml:space="preserve">, </w:t>
      </w:r>
      <w:r w:rsidR="00907A97" w:rsidRPr="0048184E">
        <w:rPr>
          <w:rFonts w:cstheme="minorHAnsi"/>
          <w:sz w:val="18"/>
          <w:szCs w:val="18"/>
          <w:lang w:val="pl-PL"/>
        </w:rPr>
        <w:t>pravila</w:t>
      </w:r>
      <w:r w:rsidR="00907A97" w:rsidRPr="0048184E">
        <w:rPr>
          <w:rFonts w:cstheme="minorHAnsi"/>
          <w:sz w:val="18"/>
          <w:szCs w:val="18"/>
          <w:lang w:val="sr-Latn-ME"/>
        </w:rPr>
        <w:t xml:space="preserve"> </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mjere</w:t>
      </w:r>
      <w:r w:rsidR="00907A97" w:rsidRPr="0048184E">
        <w:rPr>
          <w:rFonts w:cstheme="minorHAnsi"/>
          <w:sz w:val="18"/>
          <w:szCs w:val="18"/>
          <w:lang w:val="sr-Latn-ME"/>
        </w:rPr>
        <w:t xml:space="preserve"> </w:t>
      </w:r>
      <w:r w:rsidR="00907A97" w:rsidRPr="0048184E">
        <w:rPr>
          <w:rFonts w:cstheme="minorHAnsi"/>
          <w:sz w:val="18"/>
          <w:szCs w:val="18"/>
          <w:lang w:val="pl-PL"/>
        </w:rPr>
        <w:t>prostornog</w:t>
      </w:r>
      <w:r w:rsidR="00907A97" w:rsidRPr="0048184E">
        <w:rPr>
          <w:rFonts w:cstheme="minorHAnsi"/>
          <w:sz w:val="18"/>
          <w:szCs w:val="18"/>
          <w:lang w:val="sr-Latn-ME"/>
        </w:rPr>
        <w:t xml:space="preserve">, </w:t>
      </w:r>
      <w:r w:rsidR="00907A97" w:rsidRPr="0048184E">
        <w:rPr>
          <w:rFonts w:cstheme="minorHAnsi"/>
          <w:sz w:val="18"/>
          <w:szCs w:val="18"/>
          <w:lang w:val="pl-PL"/>
        </w:rPr>
        <w:t>ekonomskog</w:t>
      </w:r>
      <w:r w:rsidR="00907A97" w:rsidRPr="0048184E">
        <w:rPr>
          <w:rFonts w:cstheme="minorHAnsi"/>
          <w:sz w:val="18"/>
          <w:szCs w:val="18"/>
          <w:lang w:val="sr-Latn-ME"/>
        </w:rPr>
        <w:t xml:space="preserve">, </w:t>
      </w:r>
      <w:r w:rsidR="00907A97" w:rsidRPr="0048184E">
        <w:rPr>
          <w:rFonts w:cstheme="minorHAnsi"/>
          <w:sz w:val="18"/>
          <w:szCs w:val="18"/>
          <w:lang w:val="pl-PL"/>
        </w:rPr>
        <w:t>dru</w:t>
      </w:r>
      <w:r w:rsidR="00907A97" w:rsidRPr="0048184E">
        <w:rPr>
          <w:rFonts w:cstheme="minorHAnsi"/>
          <w:sz w:val="18"/>
          <w:szCs w:val="18"/>
          <w:lang w:val="sr-Latn-ME"/>
        </w:rPr>
        <w:t>š</w:t>
      </w:r>
      <w:r w:rsidR="00907A97" w:rsidRPr="0048184E">
        <w:rPr>
          <w:rFonts w:cstheme="minorHAnsi"/>
          <w:sz w:val="18"/>
          <w:szCs w:val="18"/>
          <w:lang w:val="pl-PL"/>
        </w:rPr>
        <w:t>tvenog</w:t>
      </w:r>
      <w:r w:rsidR="00907A97" w:rsidRPr="0048184E">
        <w:rPr>
          <w:rFonts w:cstheme="minorHAnsi"/>
          <w:sz w:val="18"/>
          <w:szCs w:val="18"/>
          <w:lang w:val="sr-Latn-ME"/>
        </w:rPr>
        <w:t xml:space="preserve">, </w:t>
      </w:r>
      <w:r w:rsidR="00907A97" w:rsidRPr="0048184E">
        <w:rPr>
          <w:rFonts w:cstheme="minorHAnsi"/>
          <w:sz w:val="18"/>
          <w:szCs w:val="18"/>
          <w:lang w:val="pl-PL"/>
        </w:rPr>
        <w:t>ekolo</w:t>
      </w:r>
      <w:r w:rsidR="00907A97" w:rsidRPr="0048184E">
        <w:rPr>
          <w:rFonts w:cstheme="minorHAnsi"/>
          <w:sz w:val="18"/>
          <w:szCs w:val="18"/>
          <w:lang w:val="sr-Latn-ME"/>
        </w:rPr>
        <w:t>š</w:t>
      </w:r>
      <w:r w:rsidR="00907A97" w:rsidRPr="0048184E">
        <w:rPr>
          <w:rFonts w:cstheme="minorHAnsi"/>
          <w:sz w:val="18"/>
          <w:szCs w:val="18"/>
          <w:lang w:val="pl-PL"/>
        </w:rPr>
        <w:t>kog</w:t>
      </w:r>
      <w:r w:rsidR="00907A97" w:rsidRPr="0048184E">
        <w:rPr>
          <w:rFonts w:cstheme="minorHAnsi"/>
          <w:sz w:val="18"/>
          <w:szCs w:val="18"/>
          <w:lang w:val="sr-Latn-ME"/>
        </w:rPr>
        <w:t xml:space="preserve">, </w:t>
      </w:r>
      <w:r w:rsidR="00907A97" w:rsidRPr="0048184E">
        <w:rPr>
          <w:rFonts w:cstheme="minorHAnsi"/>
          <w:sz w:val="18"/>
          <w:szCs w:val="18"/>
          <w:lang w:val="pl-PL"/>
        </w:rPr>
        <w:t>infrastrukturnog</w:t>
      </w:r>
      <w:r w:rsidR="00907A97" w:rsidRPr="0048184E">
        <w:rPr>
          <w:rFonts w:cstheme="minorHAnsi"/>
          <w:sz w:val="18"/>
          <w:szCs w:val="18"/>
          <w:lang w:val="sr-Latn-ME"/>
        </w:rPr>
        <w:t xml:space="preserve"> </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kulturno</w:t>
      </w:r>
      <w:r w:rsidR="00907A97" w:rsidRPr="0048184E">
        <w:rPr>
          <w:rFonts w:cstheme="minorHAnsi"/>
          <w:sz w:val="18"/>
          <w:szCs w:val="18"/>
          <w:lang w:val="sr-Latn-ME"/>
        </w:rPr>
        <w:t>-</w:t>
      </w:r>
      <w:r w:rsidR="00907A97" w:rsidRPr="0048184E">
        <w:rPr>
          <w:rFonts w:cstheme="minorHAnsi"/>
          <w:sz w:val="18"/>
          <w:szCs w:val="18"/>
          <w:lang w:val="pl-PL"/>
        </w:rPr>
        <w:t>istorijskog</w:t>
      </w:r>
      <w:r w:rsidR="00907A97" w:rsidRPr="0048184E">
        <w:rPr>
          <w:rFonts w:cstheme="minorHAnsi"/>
          <w:sz w:val="18"/>
          <w:szCs w:val="18"/>
          <w:lang w:val="sr-Latn-ME"/>
        </w:rPr>
        <w:t xml:space="preserve"> </w:t>
      </w:r>
      <w:r w:rsidR="00907A97" w:rsidRPr="0048184E">
        <w:rPr>
          <w:rFonts w:cstheme="minorHAnsi"/>
          <w:sz w:val="18"/>
          <w:szCs w:val="18"/>
          <w:lang w:val="pl-PL"/>
        </w:rPr>
        <w:t>razvoja</w:t>
      </w:r>
      <w:r w:rsidR="00907A97" w:rsidRPr="0048184E">
        <w:rPr>
          <w:rFonts w:cstheme="minorHAnsi"/>
          <w:sz w:val="18"/>
          <w:szCs w:val="18"/>
          <w:lang w:val="sr-Latn-ME"/>
        </w:rPr>
        <w:t xml:space="preserve"> </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uspostavlja</w:t>
      </w:r>
      <w:r w:rsidR="00907A97" w:rsidRPr="0048184E">
        <w:rPr>
          <w:rFonts w:cstheme="minorHAnsi"/>
          <w:sz w:val="18"/>
          <w:szCs w:val="18"/>
          <w:lang w:val="sr-Latn-ME"/>
        </w:rPr>
        <w:t xml:space="preserve"> </w:t>
      </w:r>
      <w:r w:rsidR="00907A97" w:rsidRPr="0048184E">
        <w:rPr>
          <w:rFonts w:cstheme="minorHAnsi"/>
          <w:sz w:val="18"/>
          <w:szCs w:val="18"/>
          <w:lang w:val="pl-PL"/>
        </w:rPr>
        <w:t>dugoro</w:t>
      </w:r>
      <w:r w:rsidR="00907A97" w:rsidRPr="0048184E">
        <w:rPr>
          <w:rFonts w:cstheme="minorHAnsi"/>
          <w:sz w:val="18"/>
          <w:szCs w:val="18"/>
          <w:lang w:val="sr-Latn-ME"/>
        </w:rPr>
        <w:t>č</w:t>
      </w:r>
      <w:r w:rsidR="00907A97" w:rsidRPr="0048184E">
        <w:rPr>
          <w:rFonts w:cstheme="minorHAnsi"/>
          <w:sz w:val="18"/>
          <w:szCs w:val="18"/>
          <w:lang w:val="pl-PL"/>
        </w:rPr>
        <w:t>nu</w:t>
      </w:r>
      <w:r w:rsidR="00907A97" w:rsidRPr="0048184E">
        <w:rPr>
          <w:rFonts w:cstheme="minorHAnsi"/>
          <w:sz w:val="18"/>
          <w:szCs w:val="18"/>
          <w:lang w:val="sr-Latn-ME"/>
        </w:rPr>
        <w:t xml:space="preserve"> </w:t>
      </w:r>
      <w:r w:rsidR="00907A97" w:rsidRPr="0048184E">
        <w:rPr>
          <w:rFonts w:cstheme="minorHAnsi"/>
          <w:sz w:val="18"/>
          <w:szCs w:val="18"/>
          <w:lang w:val="pl-PL"/>
        </w:rPr>
        <w:t>politiku</w:t>
      </w:r>
      <w:r w:rsidR="00907A97" w:rsidRPr="0048184E">
        <w:rPr>
          <w:rFonts w:cstheme="minorHAnsi"/>
          <w:sz w:val="18"/>
          <w:szCs w:val="18"/>
          <w:lang w:val="sr-Latn-ME"/>
        </w:rPr>
        <w:t xml:space="preserve"> </w:t>
      </w:r>
      <w:r w:rsidR="00907A97" w:rsidRPr="0048184E">
        <w:rPr>
          <w:rFonts w:cstheme="minorHAnsi"/>
          <w:sz w:val="18"/>
          <w:szCs w:val="18"/>
          <w:lang w:val="pl-PL"/>
        </w:rPr>
        <w:t>racionalnog</w:t>
      </w:r>
      <w:r w:rsidR="00907A97" w:rsidRPr="0048184E">
        <w:rPr>
          <w:rFonts w:cstheme="minorHAnsi"/>
          <w:sz w:val="18"/>
          <w:szCs w:val="18"/>
          <w:lang w:val="sr-Latn-ME"/>
        </w:rPr>
        <w:t xml:space="preserve"> </w:t>
      </w:r>
      <w:r w:rsidR="00907A97" w:rsidRPr="0048184E">
        <w:rPr>
          <w:rFonts w:cstheme="minorHAnsi"/>
          <w:sz w:val="18"/>
          <w:szCs w:val="18"/>
          <w:lang w:val="pl-PL"/>
        </w:rPr>
        <w:t>kori</w:t>
      </w:r>
      <w:r w:rsidR="00907A97" w:rsidRPr="0048184E">
        <w:rPr>
          <w:rFonts w:cstheme="minorHAnsi"/>
          <w:sz w:val="18"/>
          <w:szCs w:val="18"/>
          <w:lang w:val="sr-Latn-ME"/>
        </w:rPr>
        <w:t>š</w:t>
      </w:r>
      <w:r w:rsidR="00907A97" w:rsidRPr="0048184E">
        <w:rPr>
          <w:rFonts w:cstheme="minorHAnsi"/>
          <w:sz w:val="18"/>
          <w:szCs w:val="18"/>
          <w:lang w:val="pl-PL"/>
        </w:rPr>
        <w:t>tenja</w:t>
      </w:r>
      <w:r w:rsidR="00907A97" w:rsidRPr="0048184E">
        <w:rPr>
          <w:rFonts w:cstheme="minorHAnsi"/>
          <w:sz w:val="18"/>
          <w:szCs w:val="18"/>
          <w:lang w:val="sr-Latn-ME"/>
        </w:rPr>
        <w:t xml:space="preserve"> </w:t>
      </w:r>
      <w:r w:rsidR="00907A97" w:rsidRPr="0048184E">
        <w:rPr>
          <w:rFonts w:cstheme="minorHAnsi"/>
          <w:sz w:val="18"/>
          <w:szCs w:val="18"/>
          <w:lang w:val="pl-PL"/>
        </w:rPr>
        <w:t>prostora</w:t>
      </w:r>
      <w:r w:rsidR="00907A97" w:rsidRPr="0048184E">
        <w:rPr>
          <w:rFonts w:cstheme="minorHAnsi"/>
          <w:sz w:val="18"/>
          <w:szCs w:val="18"/>
          <w:lang w:val="sr-Latn-ME"/>
        </w:rPr>
        <w:t xml:space="preserve">. </w:t>
      </w:r>
      <w:r w:rsidR="00907A97" w:rsidRPr="0048184E">
        <w:rPr>
          <w:rFonts w:cstheme="minorHAnsi"/>
          <w:sz w:val="18"/>
          <w:szCs w:val="18"/>
          <w:lang w:val="pl-PL"/>
        </w:rPr>
        <w:t>Novi</w:t>
      </w:r>
      <w:r w:rsidR="00907A97" w:rsidRPr="0048184E">
        <w:rPr>
          <w:rFonts w:cstheme="minorHAnsi"/>
          <w:sz w:val="18"/>
          <w:szCs w:val="18"/>
          <w:lang w:val="sr-Latn-ME"/>
        </w:rPr>
        <w:t xml:space="preserve"> </w:t>
      </w:r>
      <w:r w:rsidR="00907A97" w:rsidRPr="0048184E">
        <w:rPr>
          <w:rFonts w:cstheme="minorHAnsi"/>
          <w:sz w:val="18"/>
          <w:szCs w:val="18"/>
          <w:lang w:val="pl-PL"/>
        </w:rPr>
        <w:t>Prostorni</w:t>
      </w:r>
      <w:r w:rsidR="00907A97" w:rsidRPr="0048184E">
        <w:rPr>
          <w:rFonts w:cstheme="minorHAnsi"/>
          <w:sz w:val="18"/>
          <w:szCs w:val="18"/>
          <w:lang w:val="sr-Latn-ME"/>
        </w:rPr>
        <w:t xml:space="preserve"> </w:t>
      </w:r>
      <w:r w:rsidR="00907A97" w:rsidRPr="0048184E">
        <w:rPr>
          <w:rFonts w:cstheme="minorHAnsi"/>
          <w:sz w:val="18"/>
          <w:szCs w:val="18"/>
          <w:lang w:val="pl-PL"/>
        </w:rPr>
        <w:t>plan</w:t>
      </w:r>
      <w:r w:rsidR="00907A97" w:rsidRPr="0048184E">
        <w:rPr>
          <w:rFonts w:cstheme="minorHAnsi"/>
          <w:sz w:val="18"/>
          <w:szCs w:val="18"/>
          <w:lang w:val="sr-Latn-ME"/>
        </w:rPr>
        <w:t xml:space="preserve"> </w:t>
      </w:r>
      <w:r w:rsidR="00907A97" w:rsidRPr="0048184E">
        <w:rPr>
          <w:rFonts w:cstheme="minorHAnsi"/>
          <w:sz w:val="18"/>
          <w:szCs w:val="18"/>
          <w:lang w:val="pl-PL"/>
        </w:rPr>
        <w:t>Crne</w:t>
      </w:r>
      <w:r w:rsidR="00907A97" w:rsidRPr="0048184E">
        <w:rPr>
          <w:rFonts w:cstheme="minorHAnsi"/>
          <w:sz w:val="18"/>
          <w:szCs w:val="18"/>
          <w:lang w:val="sr-Latn-ME"/>
        </w:rPr>
        <w:t xml:space="preserve"> </w:t>
      </w:r>
      <w:r w:rsidR="00907A97" w:rsidRPr="0048184E">
        <w:rPr>
          <w:rFonts w:cstheme="minorHAnsi"/>
          <w:sz w:val="18"/>
          <w:szCs w:val="18"/>
          <w:lang w:val="pl-PL"/>
        </w:rPr>
        <w:t>Gore</w:t>
      </w:r>
      <w:r w:rsidR="00907A97" w:rsidRPr="0048184E">
        <w:rPr>
          <w:rFonts w:cstheme="minorHAnsi"/>
          <w:sz w:val="18"/>
          <w:szCs w:val="18"/>
          <w:lang w:val="sr-Latn-ME"/>
        </w:rPr>
        <w:t xml:space="preserve"> </w:t>
      </w:r>
      <w:r w:rsidR="00907A97" w:rsidRPr="0048184E">
        <w:rPr>
          <w:rFonts w:cstheme="minorHAnsi"/>
          <w:sz w:val="18"/>
          <w:szCs w:val="18"/>
          <w:lang w:val="pl-PL"/>
        </w:rPr>
        <w:t>usvojen</w:t>
      </w:r>
      <w:r w:rsidR="00907A97" w:rsidRPr="0048184E">
        <w:rPr>
          <w:rFonts w:cstheme="minorHAnsi"/>
          <w:sz w:val="18"/>
          <w:szCs w:val="18"/>
          <w:lang w:val="sr-Latn-ME"/>
        </w:rPr>
        <w:t xml:space="preserve"> </w:t>
      </w:r>
      <w:r w:rsidR="00907A97" w:rsidRPr="0048184E">
        <w:rPr>
          <w:rFonts w:cstheme="minorHAnsi"/>
          <w:sz w:val="18"/>
          <w:szCs w:val="18"/>
          <w:lang w:val="pl-PL"/>
        </w:rPr>
        <w:t>je</w:t>
      </w:r>
      <w:r w:rsidR="00907A97" w:rsidRPr="0048184E">
        <w:rPr>
          <w:rFonts w:cstheme="minorHAnsi"/>
          <w:sz w:val="18"/>
          <w:szCs w:val="18"/>
          <w:lang w:val="sr-Latn-ME"/>
        </w:rPr>
        <w:t xml:space="preserve"> </w:t>
      </w:r>
      <w:r w:rsidR="00907A97" w:rsidRPr="0048184E">
        <w:rPr>
          <w:rFonts w:cstheme="minorHAnsi"/>
          <w:sz w:val="18"/>
          <w:szCs w:val="18"/>
          <w:lang w:val="pl-PL"/>
        </w:rPr>
        <w:t>u</w:t>
      </w:r>
      <w:r w:rsidR="00907A97" w:rsidRPr="0048184E">
        <w:rPr>
          <w:rFonts w:cstheme="minorHAnsi"/>
          <w:sz w:val="18"/>
          <w:szCs w:val="18"/>
          <w:lang w:val="sr-Latn-ME"/>
        </w:rPr>
        <w:t xml:space="preserve"> </w:t>
      </w:r>
      <w:r w:rsidR="00907A97" w:rsidRPr="0048184E">
        <w:rPr>
          <w:rFonts w:cstheme="minorHAnsi"/>
          <w:sz w:val="18"/>
          <w:szCs w:val="18"/>
          <w:lang w:val="pl-PL"/>
        </w:rPr>
        <w:t>Skup</w:t>
      </w:r>
      <w:r w:rsidR="00907A97" w:rsidRPr="0048184E">
        <w:rPr>
          <w:rFonts w:cstheme="minorHAnsi"/>
          <w:sz w:val="18"/>
          <w:szCs w:val="18"/>
          <w:lang w:val="sr-Latn-ME"/>
        </w:rPr>
        <w:t>š</w:t>
      </w:r>
      <w:r w:rsidR="00907A97" w:rsidRPr="0048184E">
        <w:rPr>
          <w:rFonts w:cstheme="minorHAnsi"/>
          <w:sz w:val="18"/>
          <w:szCs w:val="18"/>
          <w:lang w:val="pl-PL"/>
        </w:rPr>
        <w:t>tini</w:t>
      </w:r>
      <w:r w:rsidR="00907A97" w:rsidRPr="0048184E">
        <w:rPr>
          <w:rFonts w:cstheme="minorHAnsi"/>
          <w:sz w:val="18"/>
          <w:szCs w:val="18"/>
          <w:lang w:val="sr-Latn-ME"/>
        </w:rPr>
        <w:t xml:space="preserve"> </w:t>
      </w:r>
      <w:r w:rsidR="00907A97" w:rsidRPr="0048184E">
        <w:rPr>
          <w:rFonts w:cstheme="minorHAnsi"/>
          <w:sz w:val="18"/>
          <w:szCs w:val="18"/>
          <w:lang w:val="pl-PL"/>
        </w:rPr>
        <w:t>Crne</w:t>
      </w:r>
      <w:r w:rsidR="00907A97" w:rsidRPr="0048184E">
        <w:rPr>
          <w:rFonts w:cstheme="minorHAnsi"/>
          <w:sz w:val="18"/>
          <w:szCs w:val="18"/>
          <w:lang w:val="sr-Latn-ME"/>
        </w:rPr>
        <w:t xml:space="preserve"> </w:t>
      </w:r>
      <w:r w:rsidR="00907A97" w:rsidRPr="0048184E">
        <w:rPr>
          <w:rFonts w:cstheme="minorHAnsi"/>
          <w:sz w:val="18"/>
          <w:szCs w:val="18"/>
          <w:lang w:val="pl-PL"/>
        </w:rPr>
        <w:t>Gore</w:t>
      </w:r>
      <w:r w:rsidR="00907A97" w:rsidRPr="0048184E">
        <w:rPr>
          <w:rFonts w:cstheme="minorHAnsi"/>
          <w:sz w:val="18"/>
          <w:szCs w:val="18"/>
          <w:lang w:val="sr-Latn-ME"/>
        </w:rPr>
        <w:t xml:space="preserve"> 2025. </w:t>
      </w:r>
      <w:r w:rsidR="00907A97" w:rsidRPr="0048184E">
        <w:rPr>
          <w:rFonts w:cstheme="minorHAnsi"/>
          <w:sz w:val="18"/>
          <w:szCs w:val="18"/>
          <w:lang w:val="pl-PL"/>
        </w:rPr>
        <w:t>godine</w:t>
      </w:r>
      <w:r w:rsidR="00907A97" w:rsidRPr="0048184E">
        <w:rPr>
          <w:rFonts w:cstheme="minorHAnsi"/>
          <w:sz w:val="18"/>
          <w:szCs w:val="18"/>
          <w:lang w:val="sr-Latn-ME"/>
        </w:rPr>
        <w:t xml:space="preserve">. </w:t>
      </w:r>
      <w:r w:rsidR="002811D8" w:rsidRPr="0048184E">
        <w:rPr>
          <w:rFonts w:cstheme="minorHAnsi"/>
          <w:sz w:val="18"/>
          <w:szCs w:val="18"/>
          <w:lang w:val="pl-PL"/>
        </w:rPr>
        <w:t>Jedan</w:t>
      </w:r>
      <w:r w:rsidR="002811D8" w:rsidRPr="0048184E">
        <w:rPr>
          <w:rFonts w:cstheme="minorHAnsi"/>
          <w:sz w:val="18"/>
          <w:szCs w:val="18"/>
          <w:lang w:val="sr-Latn-ME"/>
        </w:rPr>
        <w:t xml:space="preserve"> </w:t>
      </w:r>
      <w:r w:rsidR="002811D8" w:rsidRPr="0048184E">
        <w:rPr>
          <w:rFonts w:cstheme="minorHAnsi"/>
          <w:sz w:val="18"/>
          <w:szCs w:val="18"/>
          <w:lang w:val="pl-PL"/>
        </w:rPr>
        <w:t>od</w:t>
      </w:r>
      <w:r w:rsidR="002811D8" w:rsidRPr="0048184E">
        <w:rPr>
          <w:rFonts w:cstheme="minorHAnsi"/>
          <w:sz w:val="18"/>
          <w:szCs w:val="18"/>
          <w:lang w:val="sr-Latn-ME"/>
        </w:rPr>
        <w:t xml:space="preserve"> </w:t>
      </w:r>
      <w:r w:rsidR="002811D8" w:rsidRPr="0048184E">
        <w:rPr>
          <w:rFonts w:cstheme="minorHAnsi"/>
          <w:sz w:val="18"/>
          <w:szCs w:val="18"/>
          <w:lang w:val="pl-PL"/>
        </w:rPr>
        <w:t>glavnih</w:t>
      </w:r>
      <w:r w:rsidR="002811D8" w:rsidRPr="0048184E">
        <w:rPr>
          <w:rFonts w:cstheme="minorHAnsi"/>
          <w:sz w:val="18"/>
          <w:szCs w:val="18"/>
          <w:lang w:val="sr-Latn-ME"/>
        </w:rPr>
        <w:t xml:space="preserve"> </w:t>
      </w:r>
      <w:r w:rsidR="002811D8" w:rsidRPr="0048184E">
        <w:rPr>
          <w:rFonts w:cstheme="minorHAnsi"/>
          <w:sz w:val="18"/>
          <w:szCs w:val="18"/>
          <w:lang w:val="pl-PL"/>
        </w:rPr>
        <w:t>ciljeva</w:t>
      </w:r>
      <w:r w:rsidR="00907A97" w:rsidRPr="0048184E">
        <w:rPr>
          <w:rFonts w:cstheme="minorHAnsi"/>
          <w:sz w:val="18"/>
          <w:szCs w:val="18"/>
          <w:lang w:val="sr-Latn-ME"/>
        </w:rPr>
        <w:t xml:space="preserve"> ovog dokumenta </w:t>
      </w:r>
      <w:r w:rsidR="002811D8" w:rsidRPr="0048184E">
        <w:rPr>
          <w:rFonts w:cstheme="minorHAnsi"/>
          <w:sz w:val="18"/>
          <w:szCs w:val="18"/>
          <w:lang w:val="pl-PL"/>
        </w:rPr>
        <w:t>je</w:t>
      </w:r>
      <w:r w:rsidR="002811D8" w:rsidRPr="0048184E">
        <w:rPr>
          <w:rFonts w:cstheme="minorHAnsi"/>
          <w:sz w:val="18"/>
          <w:szCs w:val="18"/>
          <w:lang w:val="sr-Latn-ME"/>
        </w:rPr>
        <w:t xml:space="preserve"> </w:t>
      </w:r>
      <w:r w:rsidR="002811D8" w:rsidRPr="0048184E">
        <w:rPr>
          <w:rFonts w:cstheme="minorHAnsi"/>
          <w:sz w:val="18"/>
          <w:szCs w:val="18"/>
          <w:lang w:val="pl-PL"/>
        </w:rPr>
        <w:t>ubla</w:t>
      </w:r>
      <w:r w:rsidR="002811D8" w:rsidRPr="0048184E">
        <w:rPr>
          <w:rFonts w:cstheme="minorHAnsi"/>
          <w:sz w:val="18"/>
          <w:szCs w:val="18"/>
          <w:lang w:val="sr-Latn-ME"/>
        </w:rPr>
        <w:t>ž</w:t>
      </w:r>
      <w:r w:rsidR="002811D8" w:rsidRPr="0048184E">
        <w:rPr>
          <w:rFonts w:cstheme="minorHAnsi"/>
          <w:sz w:val="18"/>
          <w:szCs w:val="18"/>
          <w:lang w:val="pl-PL"/>
        </w:rPr>
        <w:t>avanje</w:t>
      </w:r>
      <w:r w:rsidR="002811D8" w:rsidRPr="0048184E">
        <w:rPr>
          <w:rFonts w:cstheme="minorHAnsi"/>
          <w:sz w:val="18"/>
          <w:szCs w:val="18"/>
          <w:lang w:val="sr-Latn-ME"/>
        </w:rPr>
        <w:t xml:space="preserve"> </w:t>
      </w:r>
      <w:r w:rsidR="002811D8" w:rsidRPr="0048184E">
        <w:rPr>
          <w:rFonts w:cstheme="minorHAnsi"/>
          <w:sz w:val="18"/>
          <w:szCs w:val="18"/>
          <w:lang w:val="pl-PL"/>
        </w:rPr>
        <w:t>regionalnih</w:t>
      </w:r>
      <w:r w:rsidR="002811D8" w:rsidRPr="0048184E">
        <w:rPr>
          <w:rFonts w:cstheme="minorHAnsi"/>
          <w:sz w:val="18"/>
          <w:szCs w:val="18"/>
          <w:lang w:val="sr-Latn-ME"/>
        </w:rPr>
        <w:t xml:space="preserve"> </w:t>
      </w:r>
      <w:r w:rsidR="002811D8" w:rsidRPr="0048184E">
        <w:rPr>
          <w:rFonts w:cstheme="minorHAnsi"/>
          <w:sz w:val="18"/>
          <w:szCs w:val="18"/>
          <w:lang w:val="pl-PL"/>
        </w:rPr>
        <w:t>nejednakosti</w:t>
      </w:r>
      <w:r w:rsidR="002811D8" w:rsidRPr="0048184E">
        <w:rPr>
          <w:rFonts w:cstheme="minorHAnsi"/>
          <w:sz w:val="18"/>
          <w:szCs w:val="18"/>
          <w:lang w:val="sr-Latn-ME"/>
        </w:rPr>
        <w:t xml:space="preserve">: </w:t>
      </w:r>
      <w:r w:rsidR="002811D8" w:rsidRPr="0048184E">
        <w:rPr>
          <w:rFonts w:cstheme="minorHAnsi"/>
          <w:sz w:val="18"/>
          <w:szCs w:val="18"/>
          <w:lang w:val="pl-PL"/>
        </w:rPr>
        <w:t>uravnote</w:t>
      </w:r>
      <w:r w:rsidR="002811D8" w:rsidRPr="0048184E">
        <w:rPr>
          <w:rFonts w:cstheme="minorHAnsi"/>
          <w:sz w:val="18"/>
          <w:szCs w:val="18"/>
          <w:lang w:val="sr-Latn-ME"/>
        </w:rPr>
        <w:t>ž</w:t>
      </w:r>
      <w:r w:rsidR="002811D8" w:rsidRPr="0048184E">
        <w:rPr>
          <w:rFonts w:cstheme="minorHAnsi"/>
          <w:sz w:val="18"/>
          <w:szCs w:val="18"/>
          <w:lang w:val="pl-PL"/>
        </w:rPr>
        <w:t>en</w:t>
      </w:r>
      <w:r w:rsidR="002811D8" w:rsidRPr="0048184E">
        <w:rPr>
          <w:rFonts w:cstheme="minorHAnsi"/>
          <w:sz w:val="18"/>
          <w:szCs w:val="18"/>
          <w:lang w:val="sr-Latn-ME"/>
        </w:rPr>
        <w:t xml:space="preserve"> </w:t>
      </w:r>
      <w:r w:rsidR="002811D8" w:rsidRPr="0048184E">
        <w:rPr>
          <w:rFonts w:cstheme="minorHAnsi"/>
          <w:sz w:val="18"/>
          <w:szCs w:val="18"/>
          <w:lang w:val="pl-PL"/>
        </w:rPr>
        <w:t>regionalni</w:t>
      </w:r>
      <w:r w:rsidR="002811D8" w:rsidRPr="0048184E">
        <w:rPr>
          <w:rFonts w:cstheme="minorHAnsi"/>
          <w:sz w:val="18"/>
          <w:szCs w:val="18"/>
          <w:lang w:val="sr-Latn-ME"/>
        </w:rPr>
        <w:t xml:space="preserve"> </w:t>
      </w:r>
      <w:r w:rsidR="002811D8" w:rsidRPr="0048184E">
        <w:rPr>
          <w:rFonts w:cstheme="minorHAnsi"/>
          <w:sz w:val="18"/>
          <w:szCs w:val="18"/>
          <w:lang w:val="pl-PL"/>
        </w:rPr>
        <w:t>razvoj</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podsticanje</w:t>
      </w:r>
      <w:r w:rsidR="002811D8" w:rsidRPr="0048184E">
        <w:rPr>
          <w:rFonts w:cstheme="minorHAnsi"/>
          <w:sz w:val="18"/>
          <w:szCs w:val="18"/>
          <w:lang w:val="sr-Latn-ME"/>
        </w:rPr>
        <w:t xml:space="preserve"> </w:t>
      </w:r>
      <w:r w:rsidR="002811D8" w:rsidRPr="0048184E">
        <w:rPr>
          <w:rFonts w:cstheme="minorHAnsi"/>
          <w:sz w:val="18"/>
          <w:szCs w:val="18"/>
          <w:lang w:val="pl-PL"/>
        </w:rPr>
        <w:t>razvoja</w:t>
      </w:r>
      <w:r w:rsidR="002811D8" w:rsidRPr="0048184E">
        <w:rPr>
          <w:rFonts w:cstheme="minorHAnsi"/>
          <w:sz w:val="18"/>
          <w:szCs w:val="18"/>
          <w:lang w:val="sr-Latn-ME"/>
        </w:rPr>
        <w:t xml:space="preserve"> </w:t>
      </w:r>
      <w:r w:rsidR="002811D8" w:rsidRPr="0048184E">
        <w:rPr>
          <w:rFonts w:cstheme="minorHAnsi"/>
          <w:sz w:val="18"/>
          <w:szCs w:val="18"/>
          <w:lang w:val="pl-PL"/>
        </w:rPr>
        <w:t>svih</w:t>
      </w:r>
      <w:r w:rsidR="002811D8" w:rsidRPr="0048184E">
        <w:rPr>
          <w:rFonts w:cstheme="minorHAnsi"/>
          <w:sz w:val="18"/>
          <w:szCs w:val="18"/>
          <w:lang w:val="sr-Latn-ME"/>
        </w:rPr>
        <w:t xml:space="preserve"> </w:t>
      </w:r>
      <w:r w:rsidR="002811D8" w:rsidRPr="0048184E">
        <w:rPr>
          <w:rFonts w:cstheme="minorHAnsi"/>
          <w:sz w:val="18"/>
          <w:szCs w:val="18"/>
          <w:lang w:val="pl-PL"/>
        </w:rPr>
        <w:t>lokalnih</w:t>
      </w:r>
      <w:r w:rsidR="002811D8" w:rsidRPr="0048184E">
        <w:rPr>
          <w:rFonts w:cstheme="minorHAnsi"/>
          <w:sz w:val="18"/>
          <w:szCs w:val="18"/>
          <w:lang w:val="sr-Latn-ME"/>
        </w:rPr>
        <w:t xml:space="preserve"> </w:t>
      </w:r>
      <w:r w:rsidR="002811D8" w:rsidRPr="0048184E">
        <w:rPr>
          <w:rFonts w:cstheme="minorHAnsi"/>
          <w:sz w:val="18"/>
          <w:szCs w:val="18"/>
          <w:lang w:val="pl-PL"/>
        </w:rPr>
        <w:t>zajednica</w:t>
      </w:r>
      <w:r w:rsidR="002811D8" w:rsidRPr="0048184E">
        <w:rPr>
          <w:rFonts w:cstheme="minorHAnsi"/>
          <w:sz w:val="18"/>
          <w:szCs w:val="18"/>
          <w:lang w:val="sr-Latn-ME"/>
        </w:rPr>
        <w:t xml:space="preserve">, </w:t>
      </w:r>
      <w:r w:rsidR="002811D8" w:rsidRPr="0048184E">
        <w:rPr>
          <w:rFonts w:cstheme="minorHAnsi"/>
          <w:sz w:val="18"/>
          <w:szCs w:val="18"/>
          <w:lang w:val="pl-PL"/>
        </w:rPr>
        <w:t>na</w:t>
      </w:r>
      <w:r w:rsidR="002811D8" w:rsidRPr="0048184E">
        <w:rPr>
          <w:rFonts w:cstheme="minorHAnsi"/>
          <w:sz w:val="18"/>
          <w:szCs w:val="18"/>
          <w:lang w:val="sr-Latn-ME"/>
        </w:rPr>
        <w:t xml:space="preserve"> </w:t>
      </w:r>
      <w:r w:rsidR="002811D8" w:rsidRPr="0048184E">
        <w:rPr>
          <w:rFonts w:cstheme="minorHAnsi"/>
          <w:sz w:val="18"/>
          <w:szCs w:val="18"/>
          <w:lang w:val="pl-PL"/>
        </w:rPr>
        <w:t>osnovu</w:t>
      </w:r>
      <w:r w:rsidR="002811D8" w:rsidRPr="0048184E">
        <w:rPr>
          <w:rFonts w:cstheme="minorHAnsi"/>
          <w:sz w:val="18"/>
          <w:szCs w:val="18"/>
          <w:lang w:val="sr-Latn-ME"/>
        </w:rPr>
        <w:t xml:space="preserve"> </w:t>
      </w:r>
      <w:r w:rsidR="002811D8" w:rsidRPr="0048184E">
        <w:rPr>
          <w:rFonts w:cstheme="minorHAnsi"/>
          <w:sz w:val="18"/>
          <w:szCs w:val="18"/>
          <w:lang w:val="pl-PL"/>
        </w:rPr>
        <w:t>njihovog</w:t>
      </w:r>
      <w:r w:rsidR="002811D8" w:rsidRPr="0048184E">
        <w:rPr>
          <w:rFonts w:cstheme="minorHAnsi"/>
          <w:sz w:val="18"/>
          <w:szCs w:val="18"/>
          <w:lang w:val="sr-Latn-ME"/>
        </w:rPr>
        <w:t xml:space="preserve"> </w:t>
      </w:r>
      <w:r w:rsidR="002811D8" w:rsidRPr="0048184E">
        <w:rPr>
          <w:rFonts w:cstheme="minorHAnsi"/>
          <w:sz w:val="18"/>
          <w:szCs w:val="18"/>
          <w:lang w:val="pl-PL"/>
        </w:rPr>
        <w:t>vlastitog</w:t>
      </w:r>
      <w:r w:rsidR="002811D8" w:rsidRPr="0048184E">
        <w:rPr>
          <w:rFonts w:cstheme="minorHAnsi"/>
          <w:sz w:val="18"/>
          <w:szCs w:val="18"/>
          <w:lang w:val="sr-Latn-ME"/>
        </w:rPr>
        <w:t xml:space="preserve"> </w:t>
      </w:r>
      <w:r w:rsidR="002811D8" w:rsidRPr="0048184E">
        <w:rPr>
          <w:rFonts w:cstheme="minorHAnsi"/>
          <w:sz w:val="18"/>
          <w:szCs w:val="18"/>
          <w:lang w:val="pl-PL"/>
        </w:rPr>
        <w:t>razvojnog</w:t>
      </w:r>
      <w:r w:rsidR="002811D8" w:rsidRPr="0048184E">
        <w:rPr>
          <w:rFonts w:cstheme="minorHAnsi"/>
          <w:sz w:val="18"/>
          <w:szCs w:val="18"/>
          <w:lang w:val="sr-Latn-ME"/>
        </w:rPr>
        <w:t xml:space="preserve"> </w:t>
      </w:r>
      <w:r w:rsidR="002811D8" w:rsidRPr="0048184E">
        <w:rPr>
          <w:rFonts w:cstheme="minorHAnsi"/>
          <w:sz w:val="18"/>
          <w:szCs w:val="18"/>
          <w:lang w:val="pl-PL"/>
        </w:rPr>
        <w:t>potencijala</w:t>
      </w:r>
      <w:r w:rsidR="002811D8" w:rsidRPr="0048184E">
        <w:rPr>
          <w:rFonts w:cstheme="minorHAnsi"/>
          <w:sz w:val="18"/>
          <w:szCs w:val="18"/>
          <w:lang w:val="sr-Latn-ME"/>
        </w:rPr>
        <w:t xml:space="preserve">, </w:t>
      </w:r>
      <w:r w:rsidR="002811D8" w:rsidRPr="0048184E">
        <w:rPr>
          <w:rFonts w:cstheme="minorHAnsi"/>
          <w:sz w:val="18"/>
          <w:szCs w:val="18"/>
          <w:lang w:val="pl-PL"/>
        </w:rPr>
        <w:t>rje</w:t>
      </w:r>
      <w:r w:rsidR="002811D8" w:rsidRPr="0048184E">
        <w:rPr>
          <w:rFonts w:cstheme="minorHAnsi"/>
          <w:sz w:val="18"/>
          <w:szCs w:val="18"/>
          <w:lang w:val="sr-Latn-ME"/>
        </w:rPr>
        <w:t>š</w:t>
      </w:r>
      <w:r w:rsidR="002811D8" w:rsidRPr="0048184E">
        <w:rPr>
          <w:rFonts w:cstheme="minorHAnsi"/>
          <w:sz w:val="18"/>
          <w:szCs w:val="18"/>
          <w:lang w:val="pl-PL"/>
        </w:rPr>
        <w:t>avaju</w:t>
      </w:r>
      <w:r w:rsidR="002811D8" w:rsidRPr="0048184E">
        <w:rPr>
          <w:rFonts w:cstheme="minorHAnsi"/>
          <w:sz w:val="18"/>
          <w:szCs w:val="18"/>
          <w:lang w:val="sr-Latn-ME"/>
        </w:rPr>
        <w:t>ć</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razvojne</w:t>
      </w:r>
      <w:r w:rsidR="002811D8" w:rsidRPr="0048184E">
        <w:rPr>
          <w:rFonts w:cstheme="minorHAnsi"/>
          <w:sz w:val="18"/>
          <w:szCs w:val="18"/>
          <w:lang w:val="sr-Latn-ME"/>
        </w:rPr>
        <w:t xml:space="preserve"> </w:t>
      </w:r>
      <w:r w:rsidR="002811D8" w:rsidRPr="0048184E">
        <w:rPr>
          <w:rFonts w:cstheme="minorHAnsi"/>
          <w:sz w:val="18"/>
          <w:szCs w:val="18"/>
          <w:lang w:val="pl-PL"/>
        </w:rPr>
        <w:t>pragove</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ograni</w:t>
      </w:r>
      <w:r w:rsidR="002811D8" w:rsidRPr="0048184E">
        <w:rPr>
          <w:rFonts w:cstheme="minorHAnsi"/>
          <w:sz w:val="18"/>
          <w:szCs w:val="18"/>
          <w:lang w:val="sr-Latn-ME"/>
        </w:rPr>
        <w:t>č</w:t>
      </w:r>
      <w:r w:rsidR="002811D8" w:rsidRPr="0048184E">
        <w:rPr>
          <w:rFonts w:cstheme="minorHAnsi"/>
          <w:sz w:val="18"/>
          <w:szCs w:val="18"/>
          <w:lang w:val="pl-PL"/>
        </w:rPr>
        <w:t>enja</w:t>
      </w:r>
      <w:r w:rsidR="002811D8" w:rsidRPr="0048184E">
        <w:rPr>
          <w:rFonts w:cstheme="minorHAnsi"/>
          <w:sz w:val="18"/>
          <w:szCs w:val="18"/>
          <w:lang w:val="sr-Latn-ME"/>
        </w:rPr>
        <w:t xml:space="preserve">. </w:t>
      </w:r>
      <w:r w:rsidR="002811D8" w:rsidRPr="0048184E">
        <w:rPr>
          <w:rFonts w:cstheme="minorHAnsi"/>
          <w:sz w:val="18"/>
          <w:szCs w:val="18"/>
          <w:lang w:val="pl-PL"/>
        </w:rPr>
        <w:t>Povezani</w:t>
      </w:r>
      <w:r w:rsidR="002811D8" w:rsidRPr="0048184E">
        <w:rPr>
          <w:rFonts w:cstheme="minorHAnsi"/>
          <w:sz w:val="18"/>
          <w:szCs w:val="18"/>
          <w:lang w:val="sr-Latn-ME"/>
        </w:rPr>
        <w:t xml:space="preserve"> </w:t>
      </w:r>
      <w:r w:rsidR="002811D8" w:rsidRPr="0048184E">
        <w:rPr>
          <w:rFonts w:cstheme="minorHAnsi"/>
          <w:sz w:val="18"/>
          <w:szCs w:val="18"/>
          <w:lang w:val="pl-PL"/>
        </w:rPr>
        <w:t>cilj</w:t>
      </w:r>
      <w:r w:rsidR="002811D8" w:rsidRPr="0048184E">
        <w:rPr>
          <w:rFonts w:cstheme="minorHAnsi"/>
          <w:sz w:val="18"/>
          <w:szCs w:val="18"/>
          <w:lang w:val="sr-Latn-ME"/>
        </w:rPr>
        <w:t xml:space="preserve"> </w:t>
      </w:r>
      <w:r w:rsidR="002811D8" w:rsidRPr="0048184E">
        <w:rPr>
          <w:rFonts w:cstheme="minorHAnsi"/>
          <w:sz w:val="18"/>
          <w:szCs w:val="18"/>
          <w:lang w:val="pl-PL"/>
        </w:rPr>
        <w:t>je</w:t>
      </w:r>
      <w:r w:rsidR="002811D8" w:rsidRPr="0048184E">
        <w:rPr>
          <w:rFonts w:cstheme="minorHAnsi"/>
          <w:sz w:val="18"/>
          <w:szCs w:val="18"/>
          <w:lang w:val="sr-Latn-ME"/>
        </w:rPr>
        <w:t xml:space="preserve"> </w:t>
      </w:r>
      <w:r w:rsidR="002811D8" w:rsidRPr="0048184E">
        <w:rPr>
          <w:rFonts w:cstheme="minorHAnsi"/>
          <w:sz w:val="18"/>
          <w:szCs w:val="18"/>
          <w:lang w:val="pl-PL"/>
        </w:rPr>
        <w:t>osiguranje</w:t>
      </w:r>
      <w:r w:rsidR="002811D8" w:rsidRPr="0048184E">
        <w:rPr>
          <w:rFonts w:cstheme="minorHAnsi"/>
          <w:sz w:val="18"/>
          <w:szCs w:val="18"/>
          <w:lang w:val="sr-Latn-ME"/>
        </w:rPr>
        <w:t xml:space="preserve"> </w:t>
      </w:r>
      <w:r w:rsidR="002811D8" w:rsidRPr="0048184E">
        <w:rPr>
          <w:rFonts w:cstheme="minorHAnsi"/>
          <w:sz w:val="18"/>
          <w:szCs w:val="18"/>
          <w:lang w:val="pl-PL"/>
        </w:rPr>
        <w:t>kvaliteta</w:t>
      </w:r>
      <w:r w:rsidR="002811D8" w:rsidRPr="0048184E">
        <w:rPr>
          <w:rFonts w:cstheme="minorHAnsi"/>
          <w:sz w:val="18"/>
          <w:szCs w:val="18"/>
          <w:lang w:val="sr-Latn-ME"/>
        </w:rPr>
        <w:t xml:space="preserve"> ž</w:t>
      </w:r>
      <w:r w:rsidR="002811D8" w:rsidRPr="0048184E">
        <w:rPr>
          <w:rFonts w:cstheme="minorHAnsi"/>
          <w:sz w:val="18"/>
          <w:szCs w:val="18"/>
          <w:lang w:val="pl-PL"/>
        </w:rPr>
        <w:t>ivota</w:t>
      </w:r>
      <w:r w:rsidR="002811D8" w:rsidRPr="0048184E">
        <w:rPr>
          <w:rFonts w:cstheme="minorHAnsi"/>
          <w:sz w:val="18"/>
          <w:szCs w:val="18"/>
          <w:lang w:val="sr-Latn-ME"/>
        </w:rPr>
        <w:t xml:space="preserve"> </w:t>
      </w:r>
      <w:r w:rsidR="002811D8" w:rsidRPr="0048184E">
        <w:rPr>
          <w:rFonts w:cstheme="minorHAnsi"/>
          <w:sz w:val="18"/>
          <w:szCs w:val="18"/>
          <w:lang w:val="pl-PL"/>
        </w:rPr>
        <w:t>u</w:t>
      </w:r>
      <w:r w:rsidR="002811D8" w:rsidRPr="0048184E">
        <w:rPr>
          <w:rFonts w:cstheme="minorHAnsi"/>
          <w:sz w:val="18"/>
          <w:szCs w:val="18"/>
          <w:lang w:val="sr-Latn-ME"/>
        </w:rPr>
        <w:t xml:space="preserve"> </w:t>
      </w:r>
      <w:r w:rsidR="002811D8" w:rsidRPr="0048184E">
        <w:rPr>
          <w:rFonts w:cstheme="minorHAnsi"/>
          <w:sz w:val="18"/>
          <w:szCs w:val="18"/>
          <w:lang w:val="pl-PL"/>
        </w:rPr>
        <w:t>svim</w:t>
      </w:r>
      <w:r w:rsidR="002811D8" w:rsidRPr="0048184E">
        <w:rPr>
          <w:rFonts w:cstheme="minorHAnsi"/>
          <w:sz w:val="18"/>
          <w:szCs w:val="18"/>
          <w:lang w:val="sr-Latn-ME"/>
        </w:rPr>
        <w:t xml:space="preserve"> </w:t>
      </w:r>
      <w:r w:rsidR="002811D8" w:rsidRPr="0048184E">
        <w:rPr>
          <w:rFonts w:cstheme="minorHAnsi"/>
          <w:sz w:val="18"/>
          <w:szCs w:val="18"/>
          <w:lang w:val="pl-PL"/>
        </w:rPr>
        <w:t>dijelovima</w:t>
      </w:r>
      <w:r w:rsidR="002811D8" w:rsidRPr="0048184E">
        <w:rPr>
          <w:rFonts w:cstheme="minorHAnsi"/>
          <w:sz w:val="18"/>
          <w:szCs w:val="18"/>
          <w:lang w:val="sr-Latn-ME"/>
        </w:rPr>
        <w:t xml:space="preserve"> </w:t>
      </w:r>
      <w:r w:rsidR="002811D8" w:rsidRPr="0048184E">
        <w:rPr>
          <w:rFonts w:cstheme="minorHAnsi"/>
          <w:sz w:val="18"/>
          <w:szCs w:val="18"/>
          <w:lang w:val="pl-PL"/>
        </w:rPr>
        <w:t>Crne</w:t>
      </w:r>
      <w:r w:rsidR="002811D8" w:rsidRPr="0048184E">
        <w:rPr>
          <w:rFonts w:cstheme="minorHAnsi"/>
          <w:sz w:val="18"/>
          <w:szCs w:val="18"/>
          <w:lang w:val="sr-Latn-ME"/>
        </w:rPr>
        <w:t xml:space="preserve"> </w:t>
      </w:r>
      <w:r w:rsidR="002811D8" w:rsidRPr="0048184E">
        <w:rPr>
          <w:rFonts w:cstheme="minorHAnsi"/>
          <w:sz w:val="18"/>
          <w:szCs w:val="18"/>
          <w:lang w:val="pl-PL"/>
        </w:rPr>
        <w:t>Gore</w:t>
      </w:r>
      <w:r w:rsidR="002811D8" w:rsidRPr="0048184E">
        <w:rPr>
          <w:rFonts w:cstheme="minorHAnsi"/>
          <w:sz w:val="18"/>
          <w:szCs w:val="18"/>
          <w:lang w:val="sr-Latn-ME"/>
        </w:rPr>
        <w:t xml:space="preserve"> </w:t>
      </w:r>
      <w:r w:rsidR="002811D8" w:rsidRPr="0048184E">
        <w:rPr>
          <w:rFonts w:cstheme="minorHAnsi"/>
          <w:sz w:val="18"/>
          <w:szCs w:val="18"/>
          <w:lang w:val="pl-PL"/>
        </w:rPr>
        <w:t>kroz</w:t>
      </w:r>
      <w:r w:rsidR="002811D8" w:rsidRPr="0048184E">
        <w:rPr>
          <w:rFonts w:cstheme="minorHAnsi"/>
          <w:sz w:val="18"/>
          <w:szCs w:val="18"/>
          <w:lang w:val="sr-Latn-ME"/>
        </w:rPr>
        <w:t xml:space="preserve"> </w:t>
      </w:r>
      <w:r w:rsidR="002811D8" w:rsidRPr="0048184E">
        <w:rPr>
          <w:rFonts w:cstheme="minorHAnsi"/>
          <w:sz w:val="18"/>
          <w:szCs w:val="18"/>
          <w:lang w:val="pl-PL"/>
        </w:rPr>
        <w:t>razvoj</w:t>
      </w:r>
      <w:r w:rsidR="002811D8" w:rsidRPr="0048184E">
        <w:rPr>
          <w:rFonts w:cstheme="minorHAnsi"/>
          <w:sz w:val="18"/>
          <w:szCs w:val="18"/>
          <w:lang w:val="sr-Latn-ME"/>
        </w:rPr>
        <w:t xml:space="preserve"> </w:t>
      </w:r>
      <w:r w:rsidR="002811D8" w:rsidRPr="0048184E">
        <w:rPr>
          <w:rFonts w:cstheme="minorHAnsi"/>
          <w:sz w:val="18"/>
          <w:szCs w:val="18"/>
          <w:lang w:val="pl-PL"/>
        </w:rPr>
        <w:t>ekonomskih</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dru</w:t>
      </w:r>
      <w:r w:rsidR="002811D8" w:rsidRPr="0048184E">
        <w:rPr>
          <w:rFonts w:cstheme="minorHAnsi"/>
          <w:sz w:val="18"/>
          <w:szCs w:val="18"/>
          <w:lang w:val="sr-Latn-ME"/>
        </w:rPr>
        <w:t>š</w:t>
      </w:r>
      <w:r w:rsidR="002811D8" w:rsidRPr="0048184E">
        <w:rPr>
          <w:rFonts w:cstheme="minorHAnsi"/>
          <w:sz w:val="18"/>
          <w:szCs w:val="18"/>
          <w:lang w:val="pl-PL"/>
        </w:rPr>
        <w:t>tvenih</w:t>
      </w:r>
      <w:r w:rsidR="002811D8" w:rsidRPr="0048184E">
        <w:rPr>
          <w:rFonts w:cstheme="minorHAnsi"/>
          <w:sz w:val="18"/>
          <w:szCs w:val="18"/>
          <w:lang w:val="sr-Latn-ME"/>
        </w:rPr>
        <w:t xml:space="preserve"> </w:t>
      </w:r>
      <w:r w:rsidR="002811D8" w:rsidRPr="0048184E">
        <w:rPr>
          <w:rFonts w:cstheme="minorHAnsi"/>
          <w:sz w:val="18"/>
          <w:szCs w:val="18"/>
          <w:lang w:val="pl-PL"/>
        </w:rPr>
        <w:t>aktivnosti</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razvoj</w:t>
      </w:r>
      <w:r w:rsidR="002811D8" w:rsidRPr="0048184E">
        <w:rPr>
          <w:rFonts w:cstheme="minorHAnsi"/>
          <w:sz w:val="18"/>
          <w:szCs w:val="18"/>
          <w:lang w:val="sr-Latn-ME"/>
        </w:rPr>
        <w:t xml:space="preserve"> </w:t>
      </w:r>
      <w:r w:rsidR="002811D8" w:rsidRPr="0048184E">
        <w:rPr>
          <w:rFonts w:cstheme="minorHAnsi"/>
          <w:sz w:val="18"/>
          <w:szCs w:val="18"/>
          <w:lang w:val="pl-PL"/>
        </w:rPr>
        <w:t>infrastrukture</w:t>
      </w:r>
      <w:r w:rsidR="002811D8" w:rsidRPr="0048184E">
        <w:rPr>
          <w:rFonts w:cstheme="minorHAnsi"/>
          <w:sz w:val="18"/>
          <w:szCs w:val="18"/>
          <w:lang w:val="sr-Latn-ME"/>
        </w:rPr>
        <w:t xml:space="preserve">, </w:t>
      </w:r>
      <w:r w:rsidR="002811D8" w:rsidRPr="0048184E">
        <w:rPr>
          <w:rFonts w:cstheme="minorHAnsi"/>
          <w:sz w:val="18"/>
          <w:szCs w:val="18"/>
          <w:lang w:val="pl-PL"/>
        </w:rPr>
        <w:t>posebno</w:t>
      </w:r>
      <w:r w:rsidR="002811D8" w:rsidRPr="0048184E">
        <w:rPr>
          <w:rFonts w:cstheme="minorHAnsi"/>
          <w:sz w:val="18"/>
          <w:szCs w:val="18"/>
          <w:lang w:val="sr-Latn-ME"/>
        </w:rPr>
        <w:t xml:space="preserve"> </w:t>
      </w:r>
      <w:r w:rsidR="002811D8" w:rsidRPr="0048184E">
        <w:rPr>
          <w:rFonts w:cstheme="minorHAnsi"/>
          <w:sz w:val="18"/>
          <w:szCs w:val="18"/>
          <w:lang w:val="pl-PL"/>
        </w:rPr>
        <w:t>u</w:t>
      </w:r>
      <w:r w:rsidR="002811D8" w:rsidRPr="0048184E">
        <w:rPr>
          <w:rFonts w:cstheme="minorHAnsi"/>
          <w:sz w:val="18"/>
          <w:szCs w:val="18"/>
          <w:lang w:val="sr-Latn-ME"/>
        </w:rPr>
        <w:t xml:space="preserve"> </w:t>
      </w:r>
      <w:r w:rsidR="002811D8" w:rsidRPr="0048184E">
        <w:rPr>
          <w:rFonts w:cstheme="minorHAnsi"/>
          <w:sz w:val="18"/>
          <w:szCs w:val="18"/>
          <w:lang w:val="pl-PL"/>
        </w:rPr>
        <w:t>podru</w:t>
      </w:r>
      <w:r w:rsidR="002811D8" w:rsidRPr="0048184E">
        <w:rPr>
          <w:rFonts w:cstheme="minorHAnsi"/>
          <w:sz w:val="18"/>
          <w:szCs w:val="18"/>
          <w:lang w:val="sr-Latn-ME"/>
        </w:rPr>
        <w:t>č</w:t>
      </w:r>
      <w:r w:rsidR="002811D8" w:rsidRPr="0048184E">
        <w:rPr>
          <w:rFonts w:cstheme="minorHAnsi"/>
          <w:sz w:val="18"/>
          <w:szCs w:val="18"/>
          <w:lang w:val="pl-PL"/>
        </w:rPr>
        <w:t>jima</w:t>
      </w:r>
      <w:r w:rsidR="002811D8" w:rsidRPr="0048184E">
        <w:rPr>
          <w:rFonts w:cstheme="minorHAnsi"/>
          <w:sz w:val="18"/>
          <w:szCs w:val="18"/>
          <w:lang w:val="sr-Latn-ME"/>
        </w:rPr>
        <w:t xml:space="preserve"> </w:t>
      </w:r>
      <w:r w:rsidR="002811D8" w:rsidRPr="0048184E">
        <w:rPr>
          <w:rFonts w:cstheme="minorHAnsi"/>
          <w:sz w:val="18"/>
          <w:szCs w:val="18"/>
          <w:lang w:val="pl-PL"/>
        </w:rPr>
        <w:t>sa</w:t>
      </w:r>
      <w:r w:rsidR="002811D8" w:rsidRPr="0048184E">
        <w:rPr>
          <w:rFonts w:cstheme="minorHAnsi"/>
          <w:sz w:val="18"/>
          <w:szCs w:val="18"/>
          <w:lang w:val="sr-Latn-ME"/>
        </w:rPr>
        <w:t xml:space="preserve"> </w:t>
      </w:r>
      <w:r w:rsidR="002811D8" w:rsidRPr="0048184E">
        <w:rPr>
          <w:rFonts w:cstheme="minorHAnsi"/>
          <w:sz w:val="18"/>
          <w:szCs w:val="18"/>
          <w:lang w:val="pl-PL"/>
        </w:rPr>
        <w:t>zabilje</w:t>
      </w:r>
      <w:r w:rsidR="002811D8" w:rsidRPr="0048184E">
        <w:rPr>
          <w:rFonts w:cstheme="minorHAnsi"/>
          <w:sz w:val="18"/>
          <w:szCs w:val="18"/>
          <w:lang w:val="sr-Latn-ME"/>
        </w:rPr>
        <w:t>ž</w:t>
      </w:r>
      <w:r w:rsidR="002811D8" w:rsidRPr="0048184E">
        <w:rPr>
          <w:rFonts w:cstheme="minorHAnsi"/>
          <w:sz w:val="18"/>
          <w:szCs w:val="18"/>
          <w:lang w:val="pl-PL"/>
        </w:rPr>
        <w:t>enim</w:t>
      </w:r>
      <w:r w:rsidR="002811D8" w:rsidRPr="0048184E">
        <w:rPr>
          <w:rFonts w:cstheme="minorHAnsi"/>
          <w:sz w:val="18"/>
          <w:szCs w:val="18"/>
          <w:lang w:val="sr-Latn-ME"/>
        </w:rPr>
        <w:t xml:space="preserve"> </w:t>
      </w:r>
      <w:r w:rsidR="002811D8" w:rsidRPr="0048184E">
        <w:rPr>
          <w:rFonts w:cstheme="minorHAnsi"/>
          <w:sz w:val="18"/>
          <w:szCs w:val="18"/>
          <w:lang w:val="pl-PL"/>
        </w:rPr>
        <w:t>ni</w:t>
      </w:r>
      <w:r w:rsidR="002811D8" w:rsidRPr="0048184E">
        <w:rPr>
          <w:rFonts w:cstheme="minorHAnsi"/>
          <w:sz w:val="18"/>
          <w:szCs w:val="18"/>
          <w:lang w:val="sr-Latn-ME"/>
        </w:rPr>
        <w:t>ž</w:t>
      </w:r>
      <w:r w:rsidR="002811D8" w:rsidRPr="0048184E">
        <w:rPr>
          <w:rFonts w:cstheme="minorHAnsi"/>
          <w:sz w:val="18"/>
          <w:szCs w:val="18"/>
          <w:lang w:val="pl-PL"/>
        </w:rPr>
        <w:t>im</w:t>
      </w:r>
      <w:r w:rsidR="002811D8" w:rsidRPr="0048184E">
        <w:rPr>
          <w:rFonts w:cstheme="minorHAnsi"/>
          <w:sz w:val="18"/>
          <w:szCs w:val="18"/>
          <w:lang w:val="sr-Latn-ME"/>
        </w:rPr>
        <w:t xml:space="preserve"> </w:t>
      </w:r>
      <w:r w:rsidR="002811D8" w:rsidRPr="0048184E">
        <w:rPr>
          <w:rFonts w:cstheme="minorHAnsi"/>
          <w:sz w:val="18"/>
          <w:szCs w:val="18"/>
          <w:lang w:val="pl-PL"/>
        </w:rPr>
        <w:t>nivoom</w:t>
      </w:r>
      <w:r w:rsidR="002811D8" w:rsidRPr="0048184E">
        <w:rPr>
          <w:rFonts w:cstheme="minorHAnsi"/>
          <w:sz w:val="18"/>
          <w:szCs w:val="18"/>
          <w:lang w:val="sr-Latn-ME"/>
        </w:rPr>
        <w:t xml:space="preserve"> </w:t>
      </w:r>
      <w:r w:rsidR="002811D8" w:rsidRPr="0048184E">
        <w:rPr>
          <w:rFonts w:cstheme="minorHAnsi"/>
          <w:sz w:val="18"/>
          <w:szCs w:val="18"/>
          <w:lang w:val="pl-PL"/>
        </w:rPr>
        <w:t>razvoja</w:t>
      </w:r>
      <w:r w:rsidR="002811D8" w:rsidRPr="0048184E">
        <w:rPr>
          <w:rFonts w:cstheme="minorHAnsi"/>
          <w:sz w:val="18"/>
          <w:szCs w:val="18"/>
          <w:lang w:val="sr-Latn-ME"/>
        </w:rPr>
        <w:t>.</w:t>
      </w:r>
      <w:r w:rsidR="00907A97" w:rsidRPr="0048184E">
        <w:rPr>
          <w:rFonts w:cstheme="minorHAnsi"/>
          <w:sz w:val="18"/>
          <w:szCs w:val="18"/>
          <w:lang w:val="sr-Latn-ME"/>
        </w:rPr>
        <w:t xml:space="preserve"> </w:t>
      </w:r>
      <w:r w:rsidR="002811D8" w:rsidRPr="0048184E">
        <w:rPr>
          <w:rFonts w:cstheme="minorHAnsi"/>
          <w:sz w:val="18"/>
          <w:szCs w:val="18"/>
          <w:lang w:val="pl-PL"/>
        </w:rPr>
        <w:t>Plan predviđa razvoj transportnih koridora u različitim dijelovima zemlje kako bi se omogućila veća prostorna integracija i ekonomski razvoj. Jedna od ključnih prostornih organizacija za razvoj su razvojne zone koje predstavljaju šire zone ekonomske specijalizacije koje bi trebale aktivirati potencijal u svim regijama i opštin</w:t>
      </w:r>
      <w:r w:rsidR="00B87FD5" w:rsidRPr="0048184E">
        <w:rPr>
          <w:rFonts w:cstheme="minorHAnsi"/>
          <w:sz w:val="18"/>
          <w:szCs w:val="18"/>
          <w:lang w:val="pl-PL"/>
        </w:rPr>
        <w:t>ama.</w:t>
      </w:r>
    </w:p>
    <w:p w14:paraId="6169DBD0" w14:textId="77777777" w:rsidR="00B87FD5" w:rsidRPr="0048184E" w:rsidRDefault="00B87FD5" w:rsidP="0048184E">
      <w:pPr>
        <w:spacing w:after="0" w:line="240" w:lineRule="auto"/>
        <w:jc w:val="both"/>
        <w:rPr>
          <w:rFonts w:cstheme="minorHAnsi"/>
          <w:sz w:val="18"/>
          <w:szCs w:val="18"/>
          <w:lang w:val="pl-PL"/>
        </w:rPr>
      </w:pPr>
    </w:p>
    <w:p w14:paraId="3522B00D" w14:textId="77777777" w:rsidR="00ED69A2" w:rsidRPr="0048184E" w:rsidRDefault="00ED69A2" w:rsidP="0048184E">
      <w:pPr>
        <w:spacing w:after="0" w:line="240" w:lineRule="auto"/>
        <w:jc w:val="both"/>
        <w:rPr>
          <w:rFonts w:cstheme="minorHAnsi"/>
          <w:noProof/>
          <w:sz w:val="18"/>
          <w:szCs w:val="18"/>
          <w:lang w:val="pl-PL"/>
        </w:rPr>
      </w:pPr>
      <w:r w:rsidRPr="0048184E">
        <w:rPr>
          <w:rFonts w:cstheme="minorHAnsi"/>
          <w:b/>
          <w:sz w:val="18"/>
          <w:szCs w:val="18"/>
          <w:lang w:val="sr-Latn-RS"/>
        </w:rPr>
        <w:t>Reformska agenda Crne Gore 2024-2027. godine</w:t>
      </w:r>
      <w:r w:rsidRPr="0048184E">
        <w:rPr>
          <w:rFonts w:cstheme="minorHAnsi"/>
          <w:sz w:val="18"/>
          <w:szCs w:val="18"/>
          <w:lang w:val="sr-Latn-RS"/>
        </w:rPr>
        <w:t xml:space="preserve"> je</w:t>
      </w:r>
      <w:r w:rsidR="000F4C47" w:rsidRPr="0048184E">
        <w:rPr>
          <w:rFonts w:cstheme="minorHAnsi"/>
          <w:sz w:val="18"/>
          <w:szCs w:val="18"/>
          <w:lang w:val="sr-Latn-RS"/>
        </w:rPr>
        <w:t xml:space="preserve"> </w:t>
      </w:r>
      <w:r w:rsidR="00B87FD5" w:rsidRPr="0048184E">
        <w:rPr>
          <w:rFonts w:cstheme="minorHAnsi"/>
          <w:noProof/>
          <w:sz w:val="18"/>
          <w:szCs w:val="18"/>
          <w:lang w:val="pl-PL"/>
        </w:rPr>
        <w:t xml:space="preserve">instrument EU za reforme i rast u okviru Plana rasta EU za Zapadni Balkan i predstavlja ključni  dokument koji ima za cilj ubrzanje ekonomske konvergencije Crne Gore prema prosjeku EU i sprovođenje neophodnih reformi kako bi se ubrzala integracija u EU. EK je usvojila regulativu koja se odnosi na Plan rasta za Zapadni Balkan, sa projekcijom da će reforme i finansijska podrška EU imati pozitivan efekat na ekonomski rast država kandidata. Plan predviđa kombinaciju bespovratnih sredstava i povoljnih kredita u ukupnom iznosu od 6 milijardi eura za period 2024-2027, pri čemu je za Crnu Goru alocirano 383,5 miliona eura, od čega 110 miliona eura čine bespovratna sredstva, a 273,5 miliona eura povoljni krediti. Od ukupnog iznosa podrške planirano je da 178,5 miliona eura bude dodijeljeno u vidu budžetske podrške, dok će preostalih 205 miliona eura biti dodijeljeno za finansiranje infrastrukturnih projekata i implementirana kroz mehanizam Zapadnobalkanskog investicionog okvira (ZIO). </w:t>
      </w:r>
      <w:r w:rsidR="000F4C47" w:rsidRPr="0048184E">
        <w:rPr>
          <w:rFonts w:cstheme="minorHAnsi"/>
          <w:noProof/>
          <w:sz w:val="18"/>
          <w:szCs w:val="18"/>
          <w:lang w:val="pl-PL"/>
        </w:rPr>
        <w:t>Reformska agenda Crne Gore 2024-2027 za Instrument EU za reforme i rast u okviru Plana rasta EU za Zapadni Balkan je ključni dokument koji ima za cilj ubrzanje ekonomske konvergencije Crne Gore prema prosjeku Evropske unije i sprovođenje neophodnih reformi kako bi se ubrzala integracija u EU. Evropska komisija (EK) je usvojila regulativu koja se odnosi na Plan rasta za Zapadni Balkan, sa projekcijom da će reforme i finansijska podrška EU imati pozitivan efekat na ekonomski rast država kandidata. Plan predviđa kombinaciju bespovratnih sredstava i povoljnih kredita u ukupnom iznosu od 6 milijardi eura za period 2024-2027, pri čemu je za Crnu Goru alocirano 383,5 miliona eura, od čega 110 miliona eura čine bespovratna sredstva, a 273,5 miliona eura povoljni krediti.</w:t>
      </w:r>
    </w:p>
    <w:p w14:paraId="0EC8B55F" w14:textId="77777777" w:rsidR="00B87FD5" w:rsidRPr="0048184E" w:rsidRDefault="00B87FD5" w:rsidP="0048184E">
      <w:pPr>
        <w:pStyle w:val="NoSpacing"/>
        <w:jc w:val="both"/>
        <w:rPr>
          <w:rFonts w:asciiTheme="minorHAnsi" w:hAnsiTheme="minorHAnsi" w:cstheme="minorHAnsi"/>
          <w:b/>
          <w:sz w:val="18"/>
          <w:szCs w:val="18"/>
          <w:lang w:val="sr-Latn-ME"/>
        </w:rPr>
      </w:pPr>
    </w:p>
    <w:p w14:paraId="44E2BE66" w14:textId="77777777" w:rsidR="004D1ACA" w:rsidRPr="0048184E" w:rsidRDefault="004D1ACA"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
          <w:sz w:val="18"/>
          <w:szCs w:val="18"/>
          <w:lang w:val="sr-Latn-ME"/>
        </w:rPr>
        <w:lastRenderedPageBreak/>
        <w:t>Nacionalna strategija održivog razvoja do 2030. godine</w:t>
      </w:r>
      <w:r w:rsidRPr="0048184E">
        <w:rPr>
          <w:rFonts w:asciiTheme="minorHAnsi" w:hAnsiTheme="minorHAnsi" w:cstheme="minorHAnsi"/>
          <w:sz w:val="18"/>
          <w:szCs w:val="18"/>
          <w:lang w:val="sr-Latn-ME"/>
        </w:rPr>
        <w:t xml:space="preserve"> kao krovna, dugoročna i razvojna strategija Crne Gore podrazumijeva da se “društveno-ekonomski razvoj Crne Gore temelji na skladnom odnosu čovjeka i prirode, i efikasnom upravljanju ljudskim, društvenim, prirodnim i ekonomskim resursima zemlje. Crna Gora ostvaruje kontinuiran, inkluzivan, regionalno ravnomjerno raspoređen i održiv ekonomski razvoj, uz rast zaposlenosti i obezbjeđenje dostojanstvenog rada za sve”. Naime, u okviru NSOR 2030 definisane su sljedeće prioritetne mjere u oblasti regionalnog razvoja: Unaprijediti saobraćajnu i ostalu infrastrukturu, kao preduslove za razvoj - SDG 9 (9.1); Uspostaviti povoljan društveni i socio-ekonomski ambijent, koji treba da spriječi dalja negativna demografska kretanja na sjeveru Crne Gore - SDG 8 (8.3) i SDG 10 (10.2); Održivo koristiti prirodne resurse, pospješiti niskokarbonski razvoj i izgraditi komunalnu infrastrukturu; Razviti ljudske resurse u manje razvijenim opštinama. Upravo kroz realizaciju navedenih mjera za ravnomerniji socio-ekonomski razvoj, Crna Gora doprinosi ostvarivanju globalnih ciljeva 8 i 10 održivog razvoja. Dakle, SRR u potpunosti je komplementarna sa Tematskim područjem 2. NSOR 2030 odnosno Strateškim ciljem 2.8 Postići ravnomjerniji socio-ekonomski razvoj svih JLS i regiona zasnovanog na konkurentnosti, inovativnosti i zapošljavanju, s posebnim akcentom na razvoj sjevernog regiona, i kroz mjere definisane u okviru navedenog SC čija realizacija će se pratiti kroz ostvarenje relevantnih indikatora.</w:t>
      </w:r>
    </w:p>
    <w:p w14:paraId="49AF346F" w14:textId="77777777" w:rsidR="00394B5A" w:rsidRPr="0048184E" w:rsidRDefault="00394B5A" w:rsidP="0048184E">
      <w:pPr>
        <w:pStyle w:val="NoSpacing"/>
        <w:jc w:val="both"/>
        <w:rPr>
          <w:rFonts w:asciiTheme="minorHAnsi" w:hAnsiTheme="minorHAnsi" w:cstheme="minorHAnsi"/>
          <w:b/>
          <w:sz w:val="18"/>
          <w:szCs w:val="18"/>
          <w:lang w:val="sr-Latn-ME"/>
        </w:rPr>
      </w:pPr>
    </w:p>
    <w:p w14:paraId="617B56F2" w14:textId="77777777" w:rsidR="006C6D5F" w:rsidRPr="0048184E" w:rsidRDefault="00394B5A" w:rsidP="0048184E">
      <w:pPr>
        <w:spacing w:after="0" w:line="240" w:lineRule="auto"/>
        <w:jc w:val="both"/>
        <w:rPr>
          <w:rFonts w:cstheme="minorHAnsi"/>
          <w:sz w:val="18"/>
          <w:szCs w:val="18"/>
          <w:lang w:val="pl-PL"/>
        </w:rPr>
      </w:pPr>
      <w:r w:rsidRPr="0048184E">
        <w:rPr>
          <w:rFonts w:cstheme="minorHAnsi"/>
          <w:b/>
          <w:sz w:val="18"/>
          <w:szCs w:val="18"/>
          <w:lang w:val="sr-Latn-ME"/>
        </w:rPr>
        <w:t>Srednjoročni program rada Vlade za period 2024 – 2027</w:t>
      </w:r>
      <w:r w:rsidRPr="0048184E">
        <w:rPr>
          <w:rFonts w:cstheme="minorHAnsi"/>
          <w:sz w:val="18"/>
          <w:szCs w:val="18"/>
          <w:lang w:val="sr-Latn-ME"/>
        </w:rPr>
        <w:t xml:space="preserve">. </w:t>
      </w:r>
      <w:r w:rsidRPr="0048184E">
        <w:rPr>
          <w:rFonts w:cstheme="minorHAnsi"/>
          <w:b/>
          <w:sz w:val="18"/>
          <w:szCs w:val="18"/>
          <w:lang w:val="sr-Latn-ME"/>
        </w:rPr>
        <w:t>godine</w:t>
      </w:r>
      <w:r w:rsidRPr="0048184E">
        <w:rPr>
          <w:rFonts w:cstheme="minorHAnsi"/>
          <w:sz w:val="18"/>
          <w:szCs w:val="18"/>
          <w:lang w:val="sr-Latn-ME"/>
        </w:rPr>
        <w:t xml:space="preserve"> </w:t>
      </w:r>
      <w:r w:rsidR="006C6D5F" w:rsidRPr="0048184E">
        <w:rPr>
          <w:rFonts w:cstheme="minorHAnsi"/>
          <w:bCs/>
          <w:sz w:val="18"/>
          <w:szCs w:val="18"/>
          <w:lang w:val="sr-Latn-ME"/>
        </w:rPr>
        <w:t>navodi da je jedan od ključnih prioriteta unaprjeđenje konkurentnosti, regionalna povezanost, zelena ekonomija, što za cilj ima pametan, održiv i inkluzivan rast koji će doprinijeti kvalitetu života svih građana/ki. Strateški ciljevi u okviru SRR 2023-2027 usklađeni su sa ciljevima i ključnim obavezama iz SPRV 2024-2027, posebno sa ciljem 11 „ Za ravnomjeran i održiv razvoj“. U Programu je definisano da</w:t>
      </w:r>
      <w:r w:rsidR="006C6D5F" w:rsidRPr="0048184E">
        <w:rPr>
          <w:rFonts w:cstheme="minorHAnsi"/>
          <w:sz w:val="18"/>
          <w:szCs w:val="18"/>
          <w:lang w:val="sr-Latn-ME"/>
        </w:rPr>
        <w:t xml:space="preserve"> </w:t>
      </w:r>
      <w:r w:rsidR="006C6D5F" w:rsidRPr="0048184E">
        <w:rPr>
          <w:rFonts w:cstheme="minorHAnsi"/>
          <w:sz w:val="18"/>
          <w:szCs w:val="18"/>
        </w:rPr>
        <w:t>pored</w:t>
      </w:r>
      <w:r w:rsidR="006C6D5F" w:rsidRPr="0048184E">
        <w:rPr>
          <w:rFonts w:cstheme="minorHAnsi"/>
          <w:sz w:val="18"/>
          <w:szCs w:val="18"/>
          <w:lang w:val="sr-Latn-ME"/>
        </w:rPr>
        <w:t xml:space="preserve"> </w:t>
      </w:r>
      <w:r w:rsidR="006C6D5F" w:rsidRPr="0048184E">
        <w:rPr>
          <w:rFonts w:cstheme="minorHAnsi"/>
          <w:sz w:val="18"/>
          <w:szCs w:val="18"/>
        </w:rPr>
        <w:t>aktivnosti</w:t>
      </w:r>
      <w:r w:rsidR="006C6D5F" w:rsidRPr="0048184E">
        <w:rPr>
          <w:rFonts w:cstheme="minorHAnsi"/>
          <w:sz w:val="18"/>
          <w:szCs w:val="18"/>
          <w:lang w:val="sr-Latn-ME"/>
        </w:rPr>
        <w:t xml:space="preserve"> </w:t>
      </w:r>
      <w:r w:rsidR="006C6D5F" w:rsidRPr="0048184E">
        <w:rPr>
          <w:rFonts w:cstheme="minorHAnsi"/>
          <w:sz w:val="18"/>
          <w:szCs w:val="18"/>
        </w:rPr>
        <w:t>koje</w:t>
      </w:r>
      <w:r w:rsidR="006C6D5F" w:rsidRPr="0048184E">
        <w:rPr>
          <w:rFonts w:cstheme="minorHAnsi"/>
          <w:sz w:val="18"/>
          <w:szCs w:val="18"/>
          <w:lang w:val="sr-Latn-ME"/>
        </w:rPr>
        <w:t xml:space="preserve"> </w:t>
      </w:r>
      <w:r w:rsidR="006C6D5F" w:rsidRPr="0048184E">
        <w:rPr>
          <w:rFonts w:cstheme="minorHAnsi"/>
          <w:sz w:val="18"/>
          <w:szCs w:val="18"/>
        </w:rPr>
        <w:t>su</w:t>
      </w:r>
      <w:r w:rsidR="006C6D5F" w:rsidRPr="0048184E">
        <w:rPr>
          <w:rFonts w:cstheme="minorHAnsi"/>
          <w:sz w:val="18"/>
          <w:szCs w:val="18"/>
          <w:lang w:val="sr-Latn-ME"/>
        </w:rPr>
        <w:t xml:space="preserve"> </w:t>
      </w:r>
      <w:r w:rsidR="006C6D5F" w:rsidRPr="0048184E">
        <w:rPr>
          <w:rFonts w:cstheme="minorHAnsi"/>
          <w:sz w:val="18"/>
          <w:szCs w:val="18"/>
        </w:rPr>
        <w:t>kontinuirane</w:t>
      </w:r>
      <w:r w:rsidR="006C6D5F" w:rsidRPr="0048184E">
        <w:rPr>
          <w:rFonts w:cstheme="minorHAnsi"/>
          <w:sz w:val="18"/>
          <w:szCs w:val="18"/>
          <w:lang w:val="sr-Latn-ME"/>
        </w:rPr>
        <w:t xml:space="preserve"> </w:t>
      </w:r>
      <w:r w:rsidR="006C6D5F" w:rsidRPr="0048184E">
        <w:rPr>
          <w:rFonts w:cstheme="minorHAnsi"/>
          <w:sz w:val="18"/>
          <w:szCs w:val="18"/>
        </w:rPr>
        <w:t>radi</w:t>
      </w:r>
      <w:r w:rsidR="006C6D5F" w:rsidRPr="0048184E">
        <w:rPr>
          <w:rFonts w:cstheme="minorHAnsi"/>
          <w:sz w:val="18"/>
          <w:szCs w:val="18"/>
          <w:lang w:val="sr-Latn-ME"/>
        </w:rPr>
        <w:t>ć</w:t>
      </w:r>
      <w:r w:rsidR="006C6D5F" w:rsidRPr="0048184E">
        <w:rPr>
          <w:rFonts w:cstheme="minorHAnsi"/>
          <w:sz w:val="18"/>
          <w:szCs w:val="18"/>
        </w:rPr>
        <w:t>e</w:t>
      </w:r>
      <w:r w:rsidR="006C6D5F" w:rsidRPr="0048184E">
        <w:rPr>
          <w:rFonts w:cstheme="minorHAnsi"/>
          <w:sz w:val="18"/>
          <w:szCs w:val="18"/>
          <w:lang w:val="sr-Latn-ME"/>
        </w:rPr>
        <w:t xml:space="preserve"> </w:t>
      </w:r>
      <w:r w:rsidR="006C6D5F" w:rsidRPr="0048184E">
        <w:rPr>
          <w:rFonts w:cstheme="minorHAnsi"/>
          <w:sz w:val="18"/>
          <w:szCs w:val="18"/>
        </w:rPr>
        <w:t>se</w:t>
      </w:r>
      <w:r w:rsidR="006C6D5F" w:rsidRPr="0048184E">
        <w:rPr>
          <w:rFonts w:cstheme="minorHAnsi"/>
          <w:sz w:val="18"/>
          <w:szCs w:val="18"/>
          <w:lang w:val="sr-Latn-ME"/>
        </w:rPr>
        <w:t xml:space="preserve"> </w:t>
      </w:r>
      <w:r w:rsidR="006C6D5F" w:rsidRPr="0048184E">
        <w:rPr>
          <w:rFonts w:cstheme="minorHAnsi"/>
          <w:sz w:val="18"/>
          <w:szCs w:val="18"/>
        </w:rPr>
        <w:t>na</w:t>
      </w:r>
      <w:r w:rsidR="006C6D5F" w:rsidRPr="0048184E">
        <w:rPr>
          <w:rFonts w:cstheme="minorHAnsi"/>
          <w:sz w:val="18"/>
          <w:szCs w:val="18"/>
          <w:lang w:val="sr-Latn-ME"/>
        </w:rPr>
        <w:t xml:space="preserve"> </w:t>
      </w:r>
      <w:r w:rsidR="006C6D5F" w:rsidRPr="0048184E">
        <w:rPr>
          <w:rFonts w:cstheme="minorHAnsi"/>
          <w:sz w:val="18"/>
          <w:szCs w:val="18"/>
        </w:rPr>
        <w:t>unapre</w:t>
      </w:r>
      <w:r w:rsidR="006C6D5F" w:rsidRPr="0048184E">
        <w:rPr>
          <w:rFonts w:cstheme="minorHAnsi"/>
          <w:sz w:val="18"/>
          <w:szCs w:val="18"/>
          <w:lang w:val="sr-Latn-ME"/>
        </w:rPr>
        <w:t>đ</w:t>
      </w:r>
      <w:r w:rsidR="006C6D5F" w:rsidRPr="0048184E">
        <w:rPr>
          <w:rFonts w:cstheme="minorHAnsi"/>
          <w:sz w:val="18"/>
          <w:szCs w:val="18"/>
        </w:rPr>
        <w:t>enju</w:t>
      </w:r>
      <w:r w:rsidR="006C6D5F" w:rsidRPr="0048184E">
        <w:rPr>
          <w:rFonts w:cstheme="minorHAnsi"/>
          <w:sz w:val="18"/>
          <w:szCs w:val="18"/>
          <w:lang w:val="sr-Latn-ME"/>
        </w:rPr>
        <w:t xml:space="preserve"> </w:t>
      </w:r>
      <w:r w:rsidR="006C6D5F" w:rsidRPr="0048184E">
        <w:rPr>
          <w:rFonts w:cstheme="minorHAnsi"/>
          <w:sz w:val="18"/>
          <w:szCs w:val="18"/>
        </w:rPr>
        <w:t>segmenata</w:t>
      </w:r>
      <w:r w:rsidR="006C6D5F" w:rsidRPr="0048184E">
        <w:rPr>
          <w:rFonts w:cstheme="minorHAnsi"/>
          <w:sz w:val="18"/>
          <w:szCs w:val="18"/>
          <w:lang w:val="sr-Latn-ME"/>
        </w:rPr>
        <w:t xml:space="preserve"> </w:t>
      </w:r>
      <w:r w:rsidR="006C6D5F" w:rsidRPr="0048184E">
        <w:rPr>
          <w:rFonts w:cstheme="minorHAnsi"/>
          <w:sz w:val="18"/>
          <w:szCs w:val="18"/>
        </w:rPr>
        <w:t>u</w:t>
      </w:r>
      <w:r w:rsidR="006C6D5F" w:rsidRPr="0048184E">
        <w:rPr>
          <w:rFonts w:cstheme="minorHAnsi"/>
          <w:sz w:val="18"/>
          <w:szCs w:val="18"/>
          <w:lang w:val="sr-Latn-ME"/>
        </w:rPr>
        <w:t xml:space="preserve"> </w:t>
      </w:r>
      <w:r w:rsidR="006C6D5F" w:rsidRPr="0048184E">
        <w:rPr>
          <w:rFonts w:cstheme="minorHAnsi"/>
          <w:sz w:val="18"/>
          <w:szCs w:val="18"/>
        </w:rPr>
        <w:t>kontekstu</w:t>
      </w:r>
      <w:r w:rsidR="006C6D5F" w:rsidRPr="0048184E">
        <w:rPr>
          <w:rFonts w:cstheme="minorHAnsi"/>
          <w:sz w:val="18"/>
          <w:szCs w:val="18"/>
          <w:lang w:val="sr-Latn-ME"/>
        </w:rPr>
        <w:t xml:space="preserve"> </w:t>
      </w:r>
      <w:r w:rsidR="006C6D5F" w:rsidRPr="0048184E">
        <w:rPr>
          <w:rFonts w:cstheme="minorHAnsi"/>
          <w:sz w:val="18"/>
          <w:szCs w:val="18"/>
        </w:rPr>
        <w:t>investicionog</w:t>
      </w:r>
      <w:r w:rsidR="006C6D5F" w:rsidRPr="0048184E">
        <w:rPr>
          <w:rFonts w:cstheme="minorHAnsi"/>
          <w:sz w:val="18"/>
          <w:szCs w:val="18"/>
          <w:lang w:val="sr-Latn-ME"/>
        </w:rPr>
        <w:t xml:space="preserve"> </w:t>
      </w:r>
      <w:r w:rsidR="006C6D5F" w:rsidRPr="0048184E">
        <w:rPr>
          <w:rFonts w:cstheme="minorHAnsi"/>
          <w:sz w:val="18"/>
          <w:szCs w:val="18"/>
        </w:rPr>
        <w:t>ambijenta</w:t>
      </w:r>
      <w:r w:rsidR="006C6D5F" w:rsidRPr="0048184E">
        <w:rPr>
          <w:rFonts w:cstheme="minorHAnsi"/>
          <w:sz w:val="18"/>
          <w:szCs w:val="18"/>
          <w:lang w:val="sr-Latn-ME"/>
        </w:rPr>
        <w:t xml:space="preserve">, </w:t>
      </w:r>
      <w:r w:rsidR="006C6D5F" w:rsidRPr="0048184E">
        <w:rPr>
          <w:rFonts w:cstheme="minorHAnsi"/>
          <w:sz w:val="18"/>
          <w:szCs w:val="18"/>
        </w:rPr>
        <w:t>politike</w:t>
      </w:r>
      <w:r w:rsidR="006C6D5F" w:rsidRPr="0048184E">
        <w:rPr>
          <w:rFonts w:cstheme="minorHAnsi"/>
          <w:sz w:val="18"/>
          <w:szCs w:val="18"/>
          <w:lang w:val="sr-Latn-ME"/>
        </w:rPr>
        <w:t xml:space="preserve"> </w:t>
      </w:r>
      <w:r w:rsidR="006C6D5F" w:rsidRPr="0048184E">
        <w:rPr>
          <w:rFonts w:cstheme="minorHAnsi"/>
          <w:sz w:val="18"/>
          <w:szCs w:val="18"/>
        </w:rPr>
        <w:t>regionalnog</w:t>
      </w:r>
      <w:r w:rsidR="006C6D5F" w:rsidRPr="0048184E">
        <w:rPr>
          <w:rFonts w:cstheme="minorHAnsi"/>
          <w:sz w:val="18"/>
          <w:szCs w:val="18"/>
          <w:lang w:val="sr-Latn-ME"/>
        </w:rPr>
        <w:t xml:space="preserve"> </w:t>
      </w:r>
      <w:r w:rsidR="006C6D5F" w:rsidRPr="0048184E">
        <w:rPr>
          <w:rFonts w:cstheme="minorHAnsi"/>
          <w:sz w:val="18"/>
          <w:szCs w:val="18"/>
        </w:rPr>
        <w:t>razvoja</w:t>
      </w:r>
      <w:r w:rsidR="006C6D5F" w:rsidRPr="0048184E">
        <w:rPr>
          <w:rFonts w:cstheme="minorHAnsi"/>
          <w:sz w:val="18"/>
          <w:szCs w:val="18"/>
          <w:lang w:val="sr-Latn-ME"/>
        </w:rPr>
        <w:t xml:space="preserve"> </w:t>
      </w:r>
      <w:r w:rsidR="006C6D5F" w:rsidRPr="0048184E">
        <w:rPr>
          <w:rFonts w:cstheme="minorHAnsi"/>
          <w:sz w:val="18"/>
          <w:szCs w:val="18"/>
        </w:rPr>
        <w:t>kroz</w:t>
      </w:r>
      <w:r w:rsidR="006C6D5F" w:rsidRPr="0048184E">
        <w:rPr>
          <w:rFonts w:cstheme="minorHAnsi"/>
          <w:sz w:val="18"/>
          <w:szCs w:val="18"/>
          <w:lang w:val="sr-Latn-ME"/>
        </w:rPr>
        <w:t xml:space="preserve"> </w:t>
      </w:r>
      <w:r w:rsidR="006C6D5F" w:rsidRPr="0048184E">
        <w:rPr>
          <w:rFonts w:cstheme="minorHAnsi"/>
          <w:sz w:val="18"/>
          <w:szCs w:val="18"/>
        </w:rPr>
        <w:t>ja</w:t>
      </w:r>
      <w:r w:rsidR="006C6D5F" w:rsidRPr="0048184E">
        <w:rPr>
          <w:rFonts w:cstheme="minorHAnsi"/>
          <w:sz w:val="18"/>
          <w:szCs w:val="18"/>
          <w:lang w:val="sr-Latn-ME"/>
        </w:rPr>
        <w:t>č</w:t>
      </w:r>
      <w:r w:rsidR="006C6D5F" w:rsidRPr="0048184E">
        <w:rPr>
          <w:rFonts w:cstheme="minorHAnsi"/>
          <w:sz w:val="18"/>
          <w:szCs w:val="18"/>
        </w:rPr>
        <w:t>anje</w:t>
      </w:r>
      <w:r w:rsidR="006C6D5F" w:rsidRPr="0048184E">
        <w:rPr>
          <w:rFonts w:cstheme="minorHAnsi"/>
          <w:sz w:val="18"/>
          <w:szCs w:val="18"/>
          <w:lang w:val="sr-Latn-ME"/>
        </w:rPr>
        <w:t xml:space="preserve"> </w:t>
      </w:r>
      <w:r w:rsidR="006C6D5F" w:rsidRPr="0048184E">
        <w:rPr>
          <w:rFonts w:cstheme="minorHAnsi"/>
          <w:sz w:val="18"/>
          <w:szCs w:val="18"/>
        </w:rPr>
        <w:t>uloge</w:t>
      </w:r>
      <w:r w:rsidR="006C6D5F" w:rsidRPr="0048184E">
        <w:rPr>
          <w:rFonts w:cstheme="minorHAnsi"/>
          <w:sz w:val="18"/>
          <w:szCs w:val="18"/>
          <w:lang w:val="sr-Latn-ME"/>
        </w:rPr>
        <w:t xml:space="preserve"> </w:t>
      </w:r>
      <w:r w:rsidR="006C6D5F" w:rsidRPr="0048184E">
        <w:rPr>
          <w:rFonts w:cstheme="minorHAnsi"/>
          <w:sz w:val="18"/>
          <w:szCs w:val="18"/>
        </w:rPr>
        <w:t>Partnerskog</w:t>
      </w:r>
      <w:r w:rsidR="006C6D5F" w:rsidRPr="0048184E">
        <w:rPr>
          <w:rFonts w:cstheme="minorHAnsi"/>
          <w:sz w:val="18"/>
          <w:szCs w:val="18"/>
          <w:lang w:val="sr-Latn-ME"/>
        </w:rPr>
        <w:t xml:space="preserve"> </w:t>
      </w:r>
      <w:r w:rsidR="006C6D5F" w:rsidRPr="0048184E">
        <w:rPr>
          <w:rFonts w:cstheme="minorHAnsi"/>
          <w:sz w:val="18"/>
          <w:szCs w:val="18"/>
        </w:rPr>
        <w:t>savjeta</w:t>
      </w:r>
      <w:r w:rsidR="006C6D5F" w:rsidRPr="0048184E">
        <w:rPr>
          <w:rFonts w:cstheme="minorHAnsi"/>
          <w:sz w:val="18"/>
          <w:szCs w:val="18"/>
          <w:lang w:val="sr-Latn-ME"/>
        </w:rPr>
        <w:t xml:space="preserve"> </w:t>
      </w:r>
      <w:r w:rsidR="006C6D5F" w:rsidRPr="0048184E">
        <w:rPr>
          <w:rFonts w:cstheme="minorHAnsi"/>
          <w:sz w:val="18"/>
          <w:szCs w:val="18"/>
        </w:rPr>
        <w:t>za</w:t>
      </w:r>
      <w:r w:rsidR="006C6D5F" w:rsidRPr="0048184E">
        <w:rPr>
          <w:rFonts w:cstheme="minorHAnsi"/>
          <w:sz w:val="18"/>
          <w:szCs w:val="18"/>
          <w:lang w:val="sr-Latn-ME"/>
        </w:rPr>
        <w:t xml:space="preserve"> </w:t>
      </w:r>
      <w:r w:rsidR="006C6D5F" w:rsidRPr="0048184E">
        <w:rPr>
          <w:rFonts w:cstheme="minorHAnsi"/>
          <w:sz w:val="18"/>
          <w:szCs w:val="18"/>
        </w:rPr>
        <w:t>regionalni</w:t>
      </w:r>
      <w:r w:rsidR="006C6D5F" w:rsidRPr="0048184E">
        <w:rPr>
          <w:rFonts w:cstheme="minorHAnsi"/>
          <w:sz w:val="18"/>
          <w:szCs w:val="18"/>
          <w:lang w:val="sr-Latn-ME"/>
        </w:rPr>
        <w:t xml:space="preserve"> </w:t>
      </w:r>
      <w:r w:rsidR="006C6D5F" w:rsidRPr="0048184E">
        <w:rPr>
          <w:rFonts w:cstheme="minorHAnsi"/>
          <w:sz w:val="18"/>
          <w:szCs w:val="18"/>
        </w:rPr>
        <w:t>razvoj</w:t>
      </w:r>
      <w:r w:rsidR="006C6D5F" w:rsidRPr="0048184E">
        <w:rPr>
          <w:rFonts w:cstheme="minorHAnsi"/>
          <w:sz w:val="18"/>
          <w:szCs w:val="18"/>
          <w:lang w:val="sr-Latn-ME"/>
        </w:rPr>
        <w:t xml:space="preserve"> </w:t>
      </w:r>
      <w:r w:rsidR="006C6D5F" w:rsidRPr="0048184E">
        <w:rPr>
          <w:rFonts w:cstheme="minorHAnsi"/>
          <w:sz w:val="18"/>
          <w:szCs w:val="18"/>
        </w:rPr>
        <w:t>i</w:t>
      </w:r>
      <w:r w:rsidR="006C6D5F" w:rsidRPr="0048184E">
        <w:rPr>
          <w:rFonts w:cstheme="minorHAnsi"/>
          <w:sz w:val="18"/>
          <w:szCs w:val="18"/>
          <w:lang w:val="sr-Latn-ME"/>
        </w:rPr>
        <w:t xml:space="preserve"> </w:t>
      </w:r>
      <w:r w:rsidR="006C6D5F" w:rsidRPr="0048184E">
        <w:rPr>
          <w:rFonts w:cstheme="minorHAnsi"/>
          <w:sz w:val="18"/>
          <w:szCs w:val="18"/>
        </w:rPr>
        <w:t>unapre</w:t>
      </w:r>
      <w:r w:rsidR="006C6D5F" w:rsidRPr="0048184E">
        <w:rPr>
          <w:rFonts w:cstheme="minorHAnsi"/>
          <w:sz w:val="18"/>
          <w:szCs w:val="18"/>
          <w:lang w:val="sr-Latn-ME"/>
        </w:rPr>
        <w:t>đ</w:t>
      </w:r>
      <w:r w:rsidR="006C6D5F" w:rsidRPr="0048184E">
        <w:rPr>
          <w:rFonts w:cstheme="minorHAnsi"/>
          <w:sz w:val="18"/>
          <w:szCs w:val="18"/>
        </w:rPr>
        <w:t>enje</w:t>
      </w:r>
      <w:r w:rsidR="006C6D5F" w:rsidRPr="0048184E">
        <w:rPr>
          <w:rFonts w:cstheme="minorHAnsi"/>
          <w:sz w:val="18"/>
          <w:szCs w:val="18"/>
          <w:lang w:val="sr-Latn-ME"/>
        </w:rPr>
        <w:t xml:space="preserve"> </w:t>
      </w:r>
      <w:r w:rsidR="006C6D5F" w:rsidRPr="0048184E">
        <w:rPr>
          <w:rFonts w:cstheme="minorHAnsi"/>
          <w:sz w:val="18"/>
          <w:szCs w:val="18"/>
        </w:rPr>
        <w:t>saradnje</w:t>
      </w:r>
      <w:r w:rsidR="006C6D5F" w:rsidRPr="0048184E">
        <w:rPr>
          <w:rFonts w:cstheme="minorHAnsi"/>
          <w:sz w:val="18"/>
          <w:szCs w:val="18"/>
          <w:lang w:val="sr-Latn-ME"/>
        </w:rPr>
        <w:t xml:space="preserve"> </w:t>
      </w:r>
      <w:r w:rsidR="006C6D5F" w:rsidRPr="0048184E">
        <w:rPr>
          <w:rFonts w:cstheme="minorHAnsi"/>
          <w:sz w:val="18"/>
          <w:szCs w:val="18"/>
        </w:rPr>
        <w:t>sa</w:t>
      </w:r>
      <w:r w:rsidR="006C6D5F" w:rsidRPr="0048184E">
        <w:rPr>
          <w:rFonts w:cstheme="minorHAnsi"/>
          <w:sz w:val="18"/>
          <w:szCs w:val="18"/>
          <w:lang w:val="sr-Latn-ME"/>
        </w:rPr>
        <w:t xml:space="preserve"> </w:t>
      </w:r>
      <w:r w:rsidR="006C6D5F" w:rsidRPr="0048184E">
        <w:rPr>
          <w:rFonts w:cstheme="minorHAnsi"/>
          <w:sz w:val="18"/>
          <w:szCs w:val="18"/>
        </w:rPr>
        <w:t>lokalnim</w:t>
      </w:r>
      <w:r w:rsidR="006C6D5F" w:rsidRPr="0048184E">
        <w:rPr>
          <w:rFonts w:cstheme="minorHAnsi"/>
          <w:sz w:val="18"/>
          <w:szCs w:val="18"/>
          <w:lang w:val="sr-Latn-ME"/>
        </w:rPr>
        <w:t xml:space="preserve"> </w:t>
      </w:r>
      <w:r w:rsidR="006C6D5F" w:rsidRPr="0048184E">
        <w:rPr>
          <w:rFonts w:cstheme="minorHAnsi"/>
          <w:sz w:val="18"/>
          <w:szCs w:val="18"/>
        </w:rPr>
        <w:t>samoupravama</w:t>
      </w:r>
      <w:r w:rsidR="006C6D5F" w:rsidRPr="0048184E">
        <w:rPr>
          <w:rFonts w:cstheme="minorHAnsi"/>
          <w:sz w:val="18"/>
          <w:szCs w:val="18"/>
          <w:lang w:val="sr-Latn-ME"/>
        </w:rPr>
        <w:t xml:space="preserve"> </w:t>
      </w:r>
      <w:r w:rsidR="006C6D5F" w:rsidRPr="0048184E">
        <w:rPr>
          <w:rFonts w:cstheme="minorHAnsi"/>
          <w:sz w:val="18"/>
          <w:szCs w:val="18"/>
        </w:rPr>
        <w:t>i</w:t>
      </w:r>
      <w:r w:rsidR="006C6D5F" w:rsidRPr="0048184E">
        <w:rPr>
          <w:rFonts w:cstheme="minorHAnsi"/>
          <w:sz w:val="18"/>
          <w:szCs w:val="18"/>
          <w:lang w:val="sr-Latn-ME"/>
        </w:rPr>
        <w:t xml:space="preserve"> </w:t>
      </w:r>
      <w:r w:rsidR="006C6D5F" w:rsidRPr="0048184E">
        <w:rPr>
          <w:rFonts w:cstheme="minorHAnsi"/>
          <w:sz w:val="18"/>
          <w:szCs w:val="18"/>
        </w:rPr>
        <w:t>inicirati</w:t>
      </w:r>
      <w:r w:rsidR="006C6D5F" w:rsidRPr="0048184E">
        <w:rPr>
          <w:rFonts w:cstheme="minorHAnsi"/>
          <w:sz w:val="18"/>
          <w:szCs w:val="18"/>
          <w:lang w:val="sr-Latn-ME"/>
        </w:rPr>
        <w:t xml:space="preserve"> </w:t>
      </w:r>
      <w:r w:rsidR="006C6D5F" w:rsidRPr="0048184E">
        <w:rPr>
          <w:rFonts w:cstheme="minorHAnsi"/>
          <w:sz w:val="18"/>
          <w:szCs w:val="18"/>
        </w:rPr>
        <w:t>prevazila</w:t>
      </w:r>
      <w:r w:rsidR="006C6D5F" w:rsidRPr="0048184E">
        <w:rPr>
          <w:rFonts w:cstheme="minorHAnsi"/>
          <w:sz w:val="18"/>
          <w:szCs w:val="18"/>
          <w:lang w:val="sr-Latn-ME"/>
        </w:rPr>
        <w:t>ž</w:t>
      </w:r>
      <w:r w:rsidR="006C6D5F" w:rsidRPr="0048184E">
        <w:rPr>
          <w:rFonts w:cstheme="minorHAnsi"/>
          <w:sz w:val="18"/>
          <w:szCs w:val="18"/>
        </w:rPr>
        <w:t>enje</w:t>
      </w:r>
      <w:r w:rsidR="006C6D5F" w:rsidRPr="0048184E">
        <w:rPr>
          <w:rFonts w:cstheme="minorHAnsi"/>
          <w:sz w:val="18"/>
          <w:szCs w:val="18"/>
          <w:lang w:val="sr-Latn-ME"/>
        </w:rPr>
        <w:t xml:space="preserve"> </w:t>
      </w:r>
      <w:r w:rsidR="006C6D5F" w:rsidRPr="0048184E">
        <w:rPr>
          <w:rFonts w:cstheme="minorHAnsi"/>
          <w:sz w:val="18"/>
          <w:szCs w:val="18"/>
        </w:rPr>
        <w:t>problema</w:t>
      </w:r>
      <w:r w:rsidR="006C6D5F" w:rsidRPr="0048184E">
        <w:rPr>
          <w:rFonts w:cstheme="minorHAnsi"/>
          <w:sz w:val="18"/>
          <w:szCs w:val="18"/>
          <w:lang w:val="sr-Latn-ME"/>
        </w:rPr>
        <w:t xml:space="preserve"> </w:t>
      </w:r>
      <w:r w:rsidR="006C6D5F" w:rsidRPr="0048184E">
        <w:rPr>
          <w:rFonts w:cstheme="minorHAnsi"/>
          <w:sz w:val="18"/>
          <w:szCs w:val="18"/>
        </w:rPr>
        <w:t>koji</w:t>
      </w:r>
      <w:r w:rsidR="006C6D5F" w:rsidRPr="0048184E">
        <w:rPr>
          <w:rFonts w:cstheme="minorHAnsi"/>
          <w:sz w:val="18"/>
          <w:szCs w:val="18"/>
          <w:lang w:val="sr-Latn-ME"/>
        </w:rPr>
        <w:t xml:space="preserve"> </w:t>
      </w:r>
      <w:r w:rsidR="006C6D5F" w:rsidRPr="0048184E">
        <w:rPr>
          <w:rFonts w:cstheme="minorHAnsi"/>
          <w:sz w:val="18"/>
          <w:szCs w:val="18"/>
        </w:rPr>
        <w:t>ograni</w:t>
      </w:r>
      <w:r w:rsidR="006C6D5F" w:rsidRPr="0048184E">
        <w:rPr>
          <w:rFonts w:cstheme="minorHAnsi"/>
          <w:sz w:val="18"/>
          <w:szCs w:val="18"/>
          <w:lang w:val="sr-Latn-ME"/>
        </w:rPr>
        <w:t>č</w:t>
      </w:r>
      <w:r w:rsidR="006C6D5F" w:rsidRPr="0048184E">
        <w:rPr>
          <w:rFonts w:cstheme="minorHAnsi"/>
          <w:sz w:val="18"/>
          <w:szCs w:val="18"/>
        </w:rPr>
        <w:t>avaju</w:t>
      </w:r>
      <w:r w:rsidR="006C6D5F" w:rsidRPr="0048184E">
        <w:rPr>
          <w:rFonts w:cstheme="minorHAnsi"/>
          <w:sz w:val="18"/>
          <w:szCs w:val="18"/>
          <w:lang w:val="sr-Latn-ME"/>
        </w:rPr>
        <w:t xml:space="preserve"> </w:t>
      </w:r>
      <w:r w:rsidR="006C6D5F" w:rsidRPr="0048184E">
        <w:rPr>
          <w:rFonts w:cstheme="minorHAnsi"/>
          <w:sz w:val="18"/>
          <w:szCs w:val="18"/>
        </w:rPr>
        <w:t>realizaciju</w:t>
      </w:r>
      <w:r w:rsidR="006C6D5F" w:rsidRPr="0048184E">
        <w:rPr>
          <w:rFonts w:cstheme="minorHAnsi"/>
          <w:sz w:val="18"/>
          <w:szCs w:val="18"/>
          <w:lang w:val="sr-Latn-ME"/>
        </w:rPr>
        <w:t xml:space="preserve"> </w:t>
      </w:r>
      <w:r w:rsidR="006C6D5F" w:rsidRPr="0048184E">
        <w:rPr>
          <w:rFonts w:cstheme="minorHAnsi"/>
          <w:sz w:val="18"/>
          <w:szCs w:val="18"/>
        </w:rPr>
        <w:t>ulaganja</w:t>
      </w:r>
      <w:r w:rsidR="006C6D5F" w:rsidRPr="0048184E">
        <w:rPr>
          <w:rFonts w:cstheme="minorHAnsi"/>
          <w:sz w:val="18"/>
          <w:szCs w:val="18"/>
          <w:lang w:val="sr-Latn-ME"/>
        </w:rPr>
        <w:t xml:space="preserve"> </w:t>
      </w:r>
      <w:r w:rsidR="006C6D5F" w:rsidRPr="0048184E">
        <w:rPr>
          <w:rFonts w:cstheme="minorHAnsi"/>
          <w:sz w:val="18"/>
          <w:szCs w:val="18"/>
        </w:rPr>
        <w:t>od</w:t>
      </w:r>
      <w:r w:rsidR="006C6D5F" w:rsidRPr="0048184E">
        <w:rPr>
          <w:rFonts w:cstheme="minorHAnsi"/>
          <w:sz w:val="18"/>
          <w:szCs w:val="18"/>
          <w:lang w:val="sr-Latn-ME"/>
        </w:rPr>
        <w:t xml:space="preserve"> </w:t>
      </w:r>
      <w:r w:rsidR="006C6D5F" w:rsidRPr="0048184E">
        <w:rPr>
          <w:rFonts w:cstheme="minorHAnsi"/>
          <w:sz w:val="18"/>
          <w:szCs w:val="18"/>
        </w:rPr>
        <w:t>posebnog</w:t>
      </w:r>
      <w:r w:rsidR="006C6D5F" w:rsidRPr="0048184E">
        <w:rPr>
          <w:rFonts w:cstheme="minorHAnsi"/>
          <w:sz w:val="18"/>
          <w:szCs w:val="18"/>
          <w:lang w:val="sr-Latn-ME"/>
        </w:rPr>
        <w:t xml:space="preserve"> </w:t>
      </w:r>
      <w:r w:rsidR="006C6D5F" w:rsidRPr="0048184E">
        <w:rPr>
          <w:rFonts w:cstheme="minorHAnsi"/>
          <w:sz w:val="18"/>
          <w:szCs w:val="18"/>
        </w:rPr>
        <w:t>zna</w:t>
      </w:r>
      <w:r w:rsidR="006C6D5F" w:rsidRPr="0048184E">
        <w:rPr>
          <w:rFonts w:cstheme="minorHAnsi"/>
          <w:sz w:val="18"/>
          <w:szCs w:val="18"/>
          <w:lang w:val="sr-Latn-ME"/>
        </w:rPr>
        <w:t>č</w:t>
      </w:r>
      <w:r w:rsidR="006C6D5F" w:rsidRPr="0048184E">
        <w:rPr>
          <w:rFonts w:cstheme="minorHAnsi"/>
          <w:sz w:val="18"/>
          <w:szCs w:val="18"/>
        </w:rPr>
        <w:t>aja</w:t>
      </w:r>
      <w:r w:rsidR="006C6D5F" w:rsidRPr="0048184E">
        <w:rPr>
          <w:rFonts w:cstheme="minorHAnsi"/>
          <w:sz w:val="18"/>
          <w:szCs w:val="18"/>
          <w:lang w:val="sr-Latn-ME"/>
        </w:rPr>
        <w:t xml:space="preserve"> </w:t>
      </w:r>
      <w:r w:rsidR="006C6D5F" w:rsidRPr="0048184E">
        <w:rPr>
          <w:rFonts w:cstheme="minorHAnsi"/>
          <w:sz w:val="18"/>
          <w:szCs w:val="18"/>
        </w:rPr>
        <w:t>za</w:t>
      </w:r>
      <w:r w:rsidR="006C6D5F" w:rsidRPr="0048184E">
        <w:rPr>
          <w:rFonts w:cstheme="minorHAnsi"/>
          <w:sz w:val="18"/>
          <w:szCs w:val="18"/>
          <w:lang w:val="sr-Latn-ME"/>
        </w:rPr>
        <w:t xml:space="preserve"> </w:t>
      </w:r>
      <w:r w:rsidR="006C6D5F" w:rsidRPr="0048184E">
        <w:rPr>
          <w:rFonts w:cstheme="minorHAnsi"/>
          <w:sz w:val="18"/>
          <w:szCs w:val="18"/>
        </w:rPr>
        <w:t>privredni</w:t>
      </w:r>
      <w:r w:rsidR="006C6D5F" w:rsidRPr="0048184E">
        <w:rPr>
          <w:rFonts w:cstheme="minorHAnsi"/>
          <w:sz w:val="18"/>
          <w:szCs w:val="18"/>
          <w:lang w:val="sr-Latn-ME"/>
        </w:rPr>
        <w:t xml:space="preserve"> </w:t>
      </w:r>
      <w:r w:rsidR="006C6D5F" w:rsidRPr="0048184E">
        <w:rPr>
          <w:rFonts w:cstheme="minorHAnsi"/>
          <w:sz w:val="18"/>
          <w:szCs w:val="18"/>
        </w:rPr>
        <w:t>i</w:t>
      </w:r>
      <w:r w:rsidR="006C6D5F" w:rsidRPr="0048184E">
        <w:rPr>
          <w:rFonts w:cstheme="minorHAnsi"/>
          <w:sz w:val="18"/>
          <w:szCs w:val="18"/>
          <w:lang w:val="sr-Latn-ME"/>
        </w:rPr>
        <w:t xml:space="preserve"> </w:t>
      </w:r>
      <w:r w:rsidR="006C6D5F" w:rsidRPr="0048184E">
        <w:rPr>
          <w:rFonts w:cstheme="minorHAnsi"/>
          <w:sz w:val="18"/>
          <w:szCs w:val="18"/>
        </w:rPr>
        <w:t>ekonomski</w:t>
      </w:r>
      <w:r w:rsidR="006C6D5F" w:rsidRPr="0048184E">
        <w:rPr>
          <w:rFonts w:cstheme="minorHAnsi"/>
          <w:sz w:val="18"/>
          <w:szCs w:val="18"/>
          <w:lang w:val="sr-Latn-ME"/>
        </w:rPr>
        <w:t xml:space="preserve"> </w:t>
      </w:r>
      <w:r w:rsidR="006C6D5F" w:rsidRPr="0048184E">
        <w:rPr>
          <w:rFonts w:cstheme="minorHAnsi"/>
          <w:sz w:val="18"/>
          <w:szCs w:val="18"/>
        </w:rPr>
        <w:t>interes</w:t>
      </w:r>
      <w:r w:rsidR="006C6D5F" w:rsidRPr="0048184E">
        <w:rPr>
          <w:rFonts w:cstheme="minorHAnsi"/>
          <w:sz w:val="18"/>
          <w:szCs w:val="18"/>
          <w:lang w:val="sr-Latn-ME"/>
        </w:rPr>
        <w:t xml:space="preserve"> </w:t>
      </w:r>
      <w:r w:rsidR="006C6D5F" w:rsidRPr="0048184E">
        <w:rPr>
          <w:rFonts w:cstheme="minorHAnsi"/>
          <w:sz w:val="18"/>
          <w:szCs w:val="18"/>
        </w:rPr>
        <w:t>Crne</w:t>
      </w:r>
      <w:r w:rsidR="006C6D5F" w:rsidRPr="0048184E">
        <w:rPr>
          <w:rFonts w:cstheme="minorHAnsi"/>
          <w:sz w:val="18"/>
          <w:szCs w:val="18"/>
          <w:lang w:val="sr-Latn-ME"/>
        </w:rPr>
        <w:t xml:space="preserve"> </w:t>
      </w:r>
      <w:r w:rsidR="006C6D5F" w:rsidRPr="0048184E">
        <w:rPr>
          <w:rFonts w:cstheme="minorHAnsi"/>
          <w:sz w:val="18"/>
          <w:szCs w:val="18"/>
        </w:rPr>
        <w:t>Gore</w:t>
      </w:r>
      <w:r w:rsidR="006C6D5F" w:rsidRPr="0048184E">
        <w:rPr>
          <w:rFonts w:cstheme="minorHAnsi"/>
          <w:sz w:val="18"/>
          <w:szCs w:val="18"/>
          <w:lang w:val="sr-Latn-ME"/>
        </w:rPr>
        <w:t xml:space="preserve">. </w:t>
      </w:r>
      <w:r w:rsidR="00822C8E" w:rsidRPr="0048184E">
        <w:rPr>
          <w:rFonts w:cstheme="minorHAnsi"/>
          <w:sz w:val="18"/>
          <w:szCs w:val="18"/>
        </w:rPr>
        <w:t>Tako</w:t>
      </w:r>
      <w:r w:rsidR="00822C8E" w:rsidRPr="0048184E">
        <w:rPr>
          <w:rFonts w:cstheme="minorHAnsi"/>
          <w:sz w:val="18"/>
          <w:szCs w:val="18"/>
          <w:lang w:val="sr-Latn-ME"/>
        </w:rPr>
        <w:t>đ</w:t>
      </w:r>
      <w:r w:rsidR="00822C8E" w:rsidRPr="0048184E">
        <w:rPr>
          <w:rFonts w:cstheme="minorHAnsi"/>
          <w:sz w:val="18"/>
          <w:szCs w:val="18"/>
        </w:rPr>
        <w:t>e</w:t>
      </w:r>
      <w:r w:rsidR="00822C8E" w:rsidRPr="0048184E">
        <w:rPr>
          <w:rFonts w:cstheme="minorHAnsi"/>
          <w:sz w:val="18"/>
          <w:szCs w:val="18"/>
          <w:lang w:val="sr-Latn-ME"/>
        </w:rPr>
        <w:t xml:space="preserve"> </w:t>
      </w:r>
      <w:r w:rsidR="00822C8E" w:rsidRPr="0048184E">
        <w:rPr>
          <w:rFonts w:cstheme="minorHAnsi"/>
          <w:sz w:val="18"/>
          <w:szCs w:val="18"/>
        </w:rPr>
        <w:t>je</w:t>
      </w:r>
      <w:r w:rsidR="00822C8E" w:rsidRPr="0048184E">
        <w:rPr>
          <w:rFonts w:cstheme="minorHAnsi"/>
          <w:sz w:val="18"/>
          <w:szCs w:val="18"/>
          <w:lang w:val="sr-Latn-ME"/>
        </w:rPr>
        <w:t xml:space="preserve"> </w:t>
      </w:r>
      <w:r w:rsidR="00822C8E" w:rsidRPr="0048184E">
        <w:rPr>
          <w:rFonts w:cstheme="minorHAnsi"/>
          <w:sz w:val="18"/>
          <w:szCs w:val="18"/>
        </w:rPr>
        <w:t>istaknuto</w:t>
      </w:r>
      <w:r w:rsidR="006C6D5F" w:rsidRPr="0048184E">
        <w:rPr>
          <w:rFonts w:cstheme="minorHAnsi"/>
          <w:sz w:val="18"/>
          <w:szCs w:val="18"/>
          <w:lang w:val="sr-Latn-ME"/>
        </w:rPr>
        <w:t xml:space="preserve"> </w:t>
      </w:r>
      <w:r w:rsidR="006C6D5F" w:rsidRPr="0048184E">
        <w:rPr>
          <w:rFonts w:cstheme="minorHAnsi"/>
          <w:sz w:val="18"/>
          <w:szCs w:val="18"/>
        </w:rPr>
        <w:t>da</w:t>
      </w:r>
      <w:r w:rsidR="006C6D5F" w:rsidRPr="0048184E">
        <w:rPr>
          <w:rFonts w:cstheme="minorHAnsi"/>
          <w:sz w:val="18"/>
          <w:szCs w:val="18"/>
          <w:lang w:val="sr-Latn-ME"/>
        </w:rPr>
        <w:t xml:space="preserve"> ć</w:t>
      </w:r>
      <w:r w:rsidR="006C6D5F" w:rsidRPr="0048184E">
        <w:rPr>
          <w:rFonts w:cstheme="minorHAnsi"/>
          <w:sz w:val="18"/>
          <w:szCs w:val="18"/>
        </w:rPr>
        <w:t>e</w:t>
      </w:r>
      <w:r w:rsidR="006C6D5F" w:rsidRPr="0048184E">
        <w:rPr>
          <w:rFonts w:cstheme="minorHAnsi"/>
          <w:sz w:val="18"/>
          <w:szCs w:val="18"/>
          <w:lang w:val="sr-Latn-ME"/>
        </w:rPr>
        <w:t xml:space="preserve"> </w:t>
      </w:r>
      <w:r w:rsidR="006C6D5F" w:rsidRPr="0048184E">
        <w:rPr>
          <w:rFonts w:cstheme="minorHAnsi"/>
          <w:sz w:val="18"/>
          <w:szCs w:val="18"/>
        </w:rPr>
        <w:t>u</w:t>
      </w:r>
      <w:r w:rsidR="006C6D5F" w:rsidRPr="0048184E">
        <w:rPr>
          <w:rFonts w:cstheme="minorHAnsi"/>
          <w:sz w:val="18"/>
          <w:szCs w:val="18"/>
          <w:lang w:val="sr-Latn-ME"/>
        </w:rPr>
        <w:t xml:space="preserve"> </w:t>
      </w:r>
      <w:r w:rsidR="006C6D5F" w:rsidRPr="0048184E">
        <w:rPr>
          <w:rFonts w:cstheme="minorHAnsi"/>
          <w:sz w:val="18"/>
          <w:szCs w:val="18"/>
        </w:rPr>
        <w:t>radu</w:t>
      </w:r>
      <w:r w:rsidR="006C6D5F" w:rsidRPr="0048184E">
        <w:rPr>
          <w:rFonts w:cstheme="minorHAnsi"/>
          <w:sz w:val="18"/>
          <w:szCs w:val="18"/>
          <w:lang w:val="sr-Latn-ME"/>
        </w:rPr>
        <w:t xml:space="preserve"> </w:t>
      </w:r>
      <w:r w:rsidR="006C6D5F" w:rsidRPr="0048184E">
        <w:rPr>
          <w:rFonts w:cstheme="minorHAnsi"/>
          <w:sz w:val="18"/>
          <w:szCs w:val="18"/>
        </w:rPr>
        <w:t>Partnerskog</w:t>
      </w:r>
      <w:r w:rsidR="006C6D5F" w:rsidRPr="0048184E">
        <w:rPr>
          <w:rFonts w:cstheme="minorHAnsi"/>
          <w:sz w:val="18"/>
          <w:szCs w:val="18"/>
          <w:lang w:val="sr-Latn-ME"/>
        </w:rPr>
        <w:t xml:space="preserve"> </w:t>
      </w:r>
      <w:r w:rsidR="006C6D5F" w:rsidRPr="0048184E">
        <w:rPr>
          <w:rFonts w:cstheme="minorHAnsi"/>
          <w:sz w:val="18"/>
          <w:szCs w:val="18"/>
        </w:rPr>
        <w:t>savjeta</w:t>
      </w:r>
      <w:r w:rsidR="006C6D5F" w:rsidRPr="0048184E">
        <w:rPr>
          <w:rFonts w:cstheme="minorHAnsi"/>
          <w:sz w:val="18"/>
          <w:szCs w:val="18"/>
          <w:lang w:val="sr-Latn-ME"/>
        </w:rPr>
        <w:t xml:space="preserve"> </w:t>
      </w:r>
      <w:r w:rsidR="006C6D5F" w:rsidRPr="0048184E">
        <w:rPr>
          <w:rFonts w:cstheme="minorHAnsi"/>
          <w:sz w:val="18"/>
          <w:szCs w:val="18"/>
        </w:rPr>
        <w:t>prvi</w:t>
      </w:r>
      <w:r w:rsidR="006C6D5F" w:rsidRPr="0048184E">
        <w:rPr>
          <w:rFonts w:cstheme="minorHAnsi"/>
          <w:sz w:val="18"/>
          <w:szCs w:val="18"/>
          <w:lang w:val="sr-Latn-ME"/>
        </w:rPr>
        <w:t xml:space="preserve"> </w:t>
      </w:r>
      <w:r w:rsidR="006C6D5F" w:rsidRPr="0048184E">
        <w:rPr>
          <w:rFonts w:cstheme="minorHAnsi"/>
          <w:sz w:val="18"/>
          <w:szCs w:val="18"/>
        </w:rPr>
        <w:t>put</w:t>
      </w:r>
      <w:r w:rsidR="006C6D5F" w:rsidRPr="0048184E">
        <w:rPr>
          <w:rFonts w:cstheme="minorHAnsi"/>
          <w:sz w:val="18"/>
          <w:szCs w:val="18"/>
          <w:lang w:val="sr-Latn-ME"/>
        </w:rPr>
        <w:t xml:space="preserve"> </w:t>
      </w:r>
      <w:r w:rsidR="006C6D5F" w:rsidRPr="0048184E">
        <w:rPr>
          <w:rFonts w:cstheme="minorHAnsi"/>
          <w:sz w:val="18"/>
          <w:szCs w:val="18"/>
        </w:rPr>
        <w:t>u</w:t>
      </w:r>
      <w:r w:rsidR="006C6D5F" w:rsidRPr="0048184E">
        <w:rPr>
          <w:rFonts w:cstheme="minorHAnsi"/>
          <w:sz w:val="18"/>
          <w:szCs w:val="18"/>
          <w:lang w:val="sr-Latn-ME"/>
        </w:rPr>
        <w:t>č</w:t>
      </w:r>
      <w:r w:rsidR="006C6D5F" w:rsidRPr="0048184E">
        <w:rPr>
          <w:rFonts w:cstheme="minorHAnsi"/>
          <w:sz w:val="18"/>
          <w:szCs w:val="18"/>
        </w:rPr>
        <w:t>estvovati</w:t>
      </w:r>
      <w:r w:rsidR="006C6D5F" w:rsidRPr="0048184E">
        <w:rPr>
          <w:rFonts w:cstheme="minorHAnsi"/>
          <w:sz w:val="18"/>
          <w:szCs w:val="18"/>
          <w:lang w:val="sr-Latn-ME"/>
        </w:rPr>
        <w:t xml:space="preserve"> </w:t>
      </w:r>
      <w:r w:rsidR="006C6D5F" w:rsidRPr="0048184E">
        <w:rPr>
          <w:rFonts w:cstheme="minorHAnsi"/>
          <w:sz w:val="18"/>
          <w:szCs w:val="18"/>
        </w:rPr>
        <w:t>gradona</w:t>
      </w:r>
      <w:r w:rsidR="006C6D5F" w:rsidRPr="0048184E">
        <w:rPr>
          <w:rFonts w:cstheme="minorHAnsi"/>
          <w:sz w:val="18"/>
          <w:szCs w:val="18"/>
          <w:lang w:val="sr-Latn-ME"/>
        </w:rPr>
        <w:t>č</w:t>
      </w:r>
      <w:r w:rsidR="006C6D5F" w:rsidRPr="0048184E">
        <w:rPr>
          <w:rFonts w:cstheme="minorHAnsi"/>
          <w:sz w:val="18"/>
          <w:szCs w:val="18"/>
        </w:rPr>
        <w:t>elnici</w:t>
      </w:r>
      <w:r w:rsidR="006C6D5F" w:rsidRPr="0048184E">
        <w:rPr>
          <w:rFonts w:cstheme="minorHAnsi"/>
          <w:sz w:val="18"/>
          <w:szCs w:val="18"/>
          <w:lang w:val="sr-Latn-ME"/>
        </w:rPr>
        <w:t>/</w:t>
      </w:r>
      <w:r w:rsidR="006C6D5F" w:rsidRPr="0048184E">
        <w:rPr>
          <w:rFonts w:cstheme="minorHAnsi"/>
          <w:sz w:val="18"/>
          <w:szCs w:val="18"/>
        </w:rPr>
        <w:t>predsjednici</w:t>
      </w:r>
      <w:r w:rsidR="006C6D5F" w:rsidRPr="0048184E">
        <w:rPr>
          <w:rFonts w:cstheme="minorHAnsi"/>
          <w:sz w:val="18"/>
          <w:szCs w:val="18"/>
          <w:lang w:val="sr-Latn-ME"/>
        </w:rPr>
        <w:t xml:space="preserve"> </w:t>
      </w:r>
      <w:r w:rsidR="006C6D5F" w:rsidRPr="0048184E">
        <w:rPr>
          <w:rFonts w:cstheme="minorHAnsi"/>
          <w:sz w:val="18"/>
          <w:szCs w:val="18"/>
        </w:rPr>
        <w:t>svih</w:t>
      </w:r>
      <w:r w:rsidR="006C6D5F" w:rsidRPr="0048184E">
        <w:rPr>
          <w:rFonts w:cstheme="minorHAnsi"/>
          <w:sz w:val="18"/>
          <w:szCs w:val="18"/>
          <w:lang w:val="sr-Latn-ME"/>
        </w:rPr>
        <w:t xml:space="preserve"> </w:t>
      </w:r>
      <w:r w:rsidR="006C6D5F" w:rsidRPr="0048184E">
        <w:rPr>
          <w:rFonts w:cstheme="minorHAnsi"/>
          <w:sz w:val="18"/>
          <w:szCs w:val="18"/>
        </w:rPr>
        <w:t>jedinica</w:t>
      </w:r>
      <w:r w:rsidR="006C6D5F" w:rsidRPr="0048184E">
        <w:rPr>
          <w:rFonts w:cstheme="minorHAnsi"/>
          <w:sz w:val="18"/>
          <w:szCs w:val="18"/>
          <w:lang w:val="sr-Latn-ME"/>
        </w:rPr>
        <w:t xml:space="preserve"> </w:t>
      </w:r>
      <w:r w:rsidR="006C6D5F" w:rsidRPr="0048184E">
        <w:rPr>
          <w:rFonts w:cstheme="minorHAnsi"/>
          <w:sz w:val="18"/>
          <w:szCs w:val="18"/>
        </w:rPr>
        <w:t>lokalne</w:t>
      </w:r>
      <w:r w:rsidR="006C6D5F" w:rsidRPr="0048184E">
        <w:rPr>
          <w:rFonts w:cstheme="minorHAnsi"/>
          <w:sz w:val="18"/>
          <w:szCs w:val="18"/>
          <w:lang w:val="sr-Latn-ME"/>
        </w:rPr>
        <w:t xml:space="preserve"> </w:t>
      </w:r>
      <w:r w:rsidR="006C6D5F" w:rsidRPr="0048184E">
        <w:rPr>
          <w:rFonts w:cstheme="minorHAnsi"/>
          <w:sz w:val="18"/>
          <w:szCs w:val="18"/>
        </w:rPr>
        <w:t>samouprave</w:t>
      </w:r>
      <w:r w:rsidR="006C6D5F" w:rsidRPr="0048184E">
        <w:rPr>
          <w:rFonts w:cstheme="minorHAnsi"/>
          <w:sz w:val="18"/>
          <w:szCs w:val="18"/>
          <w:lang w:val="sr-Latn-ME"/>
        </w:rPr>
        <w:t xml:space="preserve">. </w:t>
      </w:r>
      <w:r w:rsidR="006C6D5F" w:rsidRPr="0048184E">
        <w:rPr>
          <w:rFonts w:cstheme="minorHAnsi"/>
          <w:sz w:val="18"/>
          <w:szCs w:val="18"/>
          <w:lang w:val="pl-PL"/>
        </w:rPr>
        <w:t>Ujedno to će biti dobra platforma za razmjenu mišljenja i donošenje odluka.</w:t>
      </w:r>
    </w:p>
    <w:p w14:paraId="53C36CD6" w14:textId="77777777" w:rsidR="000F4C47" w:rsidRPr="0048184E" w:rsidRDefault="000F4C47" w:rsidP="0048184E">
      <w:pPr>
        <w:pStyle w:val="NoSpacing"/>
        <w:jc w:val="both"/>
        <w:rPr>
          <w:rFonts w:asciiTheme="minorHAnsi" w:hAnsiTheme="minorHAnsi" w:cstheme="minorHAnsi"/>
          <w:sz w:val="18"/>
          <w:szCs w:val="18"/>
          <w:lang w:val="hr-HR"/>
        </w:rPr>
      </w:pPr>
    </w:p>
    <w:p w14:paraId="0B332F4D" w14:textId="77777777" w:rsidR="000F4C47" w:rsidRPr="0048184E" w:rsidRDefault="00ED69A2" w:rsidP="0048184E">
      <w:pPr>
        <w:pStyle w:val="NoSpacing"/>
        <w:jc w:val="both"/>
        <w:rPr>
          <w:rFonts w:asciiTheme="minorHAnsi" w:hAnsiTheme="minorHAnsi" w:cstheme="minorHAnsi"/>
          <w:sz w:val="18"/>
          <w:szCs w:val="18"/>
          <w:lang w:val="hr-HR"/>
        </w:rPr>
      </w:pPr>
      <w:r w:rsidRPr="0048184E">
        <w:rPr>
          <w:rFonts w:asciiTheme="minorHAnsi" w:hAnsiTheme="minorHAnsi" w:cstheme="minorHAnsi"/>
          <w:b/>
          <w:sz w:val="18"/>
          <w:szCs w:val="18"/>
          <w:lang w:val="hr-HR"/>
        </w:rPr>
        <w:t>Program ekonomskih reformi za Crnu Goru za period 2024–2026</w:t>
      </w:r>
      <w:r w:rsidRPr="0048184E">
        <w:rPr>
          <w:rFonts w:asciiTheme="minorHAnsi" w:hAnsiTheme="minorHAnsi" w:cstheme="minorHAnsi"/>
          <w:sz w:val="18"/>
          <w:szCs w:val="18"/>
          <w:lang w:val="hr-HR"/>
        </w:rPr>
        <w:t xml:space="preserve">. godine je strateški dokument Crne Gore u ekonomskom dijalogu sa EU u vezi sa ispunjavanjem ekonomskih kriterijuma u pregovorima o pristupanju Uniji i ključni dokument zemlje za srednjoročno makroekonomsko i fiskalno planiranje, koji daje pregled prioritetnih strukturnih reformi važnih za smanjenje ili eliminisanje prepreka privrednom rastu i jačanju sveukupne konkurentnosti zemlje. </w:t>
      </w:r>
      <w:r w:rsidR="000F4C47" w:rsidRPr="0048184E">
        <w:rPr>
          <w:rFonts w:asciiTheme="minorHAnsi" w:hAnsiTheme="minorHAnsi" w:cstheme="minorHAnsi"/>
          <w:sz w:val="18"/>
          <w:szCs w:val="18"/>
          <w:lang w:val="hr-HR"/>
        </w:rPr>
        <w:t>Akcioni planovi SRR će integrisati preporuke iz PER, u cilju stvaranja određenog doprinosa u pružanju odgovora na tri najveća strukturna izazova za unaprjeđenje konkurentnosti crnogorske ekonomije u srednjem roku i njen održivi rast.</w:t>
      </w:r>
    </w:p>
    <w:p w14:paraId="45AA637B" w14:textId="77777777" w:rsidR="000F4C47" w:rsidRPr="0048184E" w:rsidRDefault="00B87FD5" w:rsidP="0048184E">
      <w:pPr>
        <w:pStyle w:val="NoSpacing"/>
        <w:tabs>
          <w:tab w:val="left" w:pos="6035"/>
        </w:tabs>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ab/>
      </w:r>
    </w:p>
    <w:p w14:paraId="34B73C9A" w14:textId="77777777" w:rsidR="000F4C47" w:rsidRPr="0048184E" w:rsidRDefault="00ED69A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Program pristupanja Crne Gore Evropskoj uniji za period 2024-2027</w:t>
      </w:r>
      <w:r w:rsidRPr="0048184E">
        <w:rPr>
          <w:rFonts w:asciiTheme="minorHAnsi" w:hAnsiTheme="minorHAnsi" w:cstheme="minorHAnsi"/>
          <w:sz w:val="18"/>
          <w:szCs w:val="18"/>
          <w:lang w:val="sr-Latn-ME"/>
        </w:rPr>
        <w:t xml:space="preserve">. </w:t>
      </w:r>
      <w:r w:rsidRPr="0048184E">
        <w:rPr>
          <w:rFonts w:asciiTheme="minorHAnsi" w:hAnsiTheme="minorHAnsi" w:cstheme="minorHAnsi"/>
          <w:b/>
          <w:sz w:val="18"/>
          <w:szCs w:val="18"/>
          <w:lang w:val="sr-Latn-ME"/>
        </w:rPr>
        <w:t>godine</w:t>
      </w:r>
      <w:r w:rsidRPr="0048184E">
        <w:rPr>
          <w:rFonts w:asciiTheme="minorHAnsi" w:hAnsiTheme="minorHAnsi" w:cstheme="minorHAnsi"/>
          <w:sz w:val="18"/>
          <w:szCs w:val="18"/>
          <w:lang w:val="sr-Latn-ME"/>
        </w:rPr>
        <w:t xml:space="preserve"> daje prikaz planiranih aktivnosti u pregovaračkom poglavlju </w:t>
      </w:r>
      <w:r w:rsidR="000F4C47" w:rsidRPr="0048184E">
        <w:rPr>
          <w:rFonts w:asciiTheme="minorHAnsi" w:hAnsiTheme="minorHAnsi" w:cstheme="minorHAnsi"/>
          <w:sz w:val="18"/>
          <w:szCs w:val="18"/>
          <w:lang w:val="sr-Latn-ME"/>
        </w:rPr>
        <w:t>22</w:t>
      </w:r>
      <w:r w:rsidRPr="0048184E">
        <w:rPr>
          <w:rFonts w:asciiTheme="minorHAnsi" w:hAnsiTheme="minorHAnsi" w:cstheme="minorHAnsi"/>
          <w:sz w:val="18"/>
          <w:szCs w:val="18"/>
          <w:lang w:val="sr-Latn-ME"/>
        </w:rPr>
        <w:t xml:space="preserve"> – </w:t>
      </w:r>
      <w:r w:rsidR="000F4C47" w:rsidRPr="0048184E">
        <w:rPr>
          <w:rFonts w:asciiTheme="minorHAnsi" w:hAnsiTheme="minorHAnsi" w:cstheme="minorHAnsi"/>
          <w:sz w:val="18"/>
          <w:szCs w:val="18"/>
          <w:lang w:val="sr-Latn-ME"/>
        </w:rPr>
        <w:t>Regionalna politika i koordinacija strukturnih instrumenata. Regionalna politika i koordinacija strukturnih fondova, u cilju pripreme za buduće članstvo i participaciju Crne Gore u kohezionoj politici EU</w:t>
      </w:r>
      <w:r w:rsidR="000F4C47" w:rsidRPr="0048184E">
        <w:rPr>
          <w:rFonts w:asciiTheme="minorHAnsi" w:hAnsiTheme="minorHAnsi" w:cstheme="minorHAnsi"/>
          <w:sz w:val="18"/>
          <w:szCs w:val="18"/>
          <w:vertAlign w:val="superscript"/>
          <w:lang w:val="sr-Latn-ME"/>
        </w:rPr>
        <w:footnoteReference w:id="8"/>
      </w:r>
      <w:r w:rsidR="000F4C47" w:rsidRPr="0048184E">
        <w:rPr>
          <w:rFonts w:asciiTheme="minorHAnsi" w:hAnsiTheme="minorHAnsi" w:cstheme="minorHAnsi"/>
          <w:sz w:val="18"/>
          <w:szCs w:val="18"/>
          <w:lang w:val="sr-Latn-ME"/>
        </w:rPr>
        <w:t>. Crna Gora je otvorila pregovore u oblasti regionalne politike EU i koordinacije strukturnih fondova u junu 2017. godine, gdje je mjerilo za otvaranje bilo AP za ispunjavanje zahtjeva regionalne, tj. kohezione politike EU. Regionalna politika i koordinacija strukturnih instrumenata, kojoj se Crna Gora prilagođava kroz proces pregovora o prustupanju, predstavlja dio politike EU koja se odnosi na pitanja finansijske podrške državama i regionima Evropske unije, a sve u cilju daljeg ekonomskog razvoja slabije razvijenih regiona u EU, ujednačavanja razvijenosti po regionima i jačanja regionalne konkurentnosti. Podrška je usmjerena regionalnom nivou NUTS 2</w:t>
      </w:r>
      <w:r w:rsidR="000F4C47" w:rsidRPr="0048184E">
        <w:rPr>
          <w:rFonts w:asciiTheme="minorHAnsi" w:hAnsiTheme="minorHAnsi" w:cstheme="minorHAnsi"/>
          <w:sz w:val="18"/>
          <w:szCs w:val="18"/>
          <w:vertAlign w:val="superscript"/>
          <w:lang w:val="sr-Latn-ME"/>
        </w:rPr>
        <w:footnoteReference w:id="9"/>
      </w:r>
      <w:r w:rsidR="000F4C47" w:rsidRPr="0048184E">
        <w:rPr>
          <w:rFonts w:asciiTheme="minorHAnsi" w:hAnsiTheme="minorHAnsi" w:cstheme="minorHAnsi"/>
          <w:sz w:val="18"/>
          <w:szCs w:val="18"/>
          <w:lang w:val="sr-Latn-ME"/>
        </w:rPr>
        <w:t>.</w:t>
      </w:r>
    </w:p>
    <w:p w14:paraId="749CAE64" w14:textId="77777777" w:rsidR="00285803" w:rsidRPr="0048184E" w:rsidRDefault="00285803" w:rsidP="0048184E">
      <w:pPr>
        <w:spacing w:after="0" w:line="240" w:lineRule="auto"/>
        <w:jc w:val="both"/>
        <w:rPr>
          <w:rFonts w:cstheme="minorHAnsi"/>
          <w:sz w:val="18"/>
          <w:szCs w:val="18"/>
          <w:lang w:val="sr-Latn-ME"/>
        </w:rPr>
      </w:pPr>
    </w:p>
    <w:p w14:paraId="39DB395A" w14:textId="77777777" w:rsidR="004244AD" w:rsidRPr="003C2A72" w:rsidRDefault="00285803" w:rsidP="0048184E">
      <w:pPr>
        <w:pStyle w:val="Heading21"/>
        <w:numPr>
          <w:ilvl w:val="1"/>
          <w:numId w:val="26"/>
        </w:numPr>
        <w:spacing w:before="0"/>
        <w:rPr>
          <w:color w:val="4472C4" w:themeColor="accent5"/>
          <w:szCs w:val="22"/>
          <w:lang w:val="pl-PL"/>
        </w:rPr>
      </w:pPr>
      <w:bookmarkStart w:id="8" w:name="_Toc205215826"/>
      <w:r w:rsidRPr="003C2A72">
        <w:rPr>
          <w:color w:val="4472C4" w:themeColor="accent5"/>
          <w:szCs w:val="22"/>
          <w:lang w:val="pl-PL"/>
        </w:rPr>
        <w:t xml:space="preserve">Usklađenost sa sektorskim strateškim dokumentima </w:t>
      </w:r>
      <w:r w:rsidR="00B87FD5" w:rsidRPr="003C2A72">
        <w:rPr>
          <w:color w:val="4472C4" w:themeColor="accent5"/>
          <w:szCs w:val="22"/>
          <w:lang w:val="pl-PL"/>
        </w:rPr>
        <w:t>(horizontalna usaglašenost)</w:t>
      </w:r>
      <w:bookmarkEnd w:id="8"/>
      <w:r w:rsidR="004244AD" w:rsidRPr="003C2A72">
        <w:rPr>
          <w:color w:val="4472C4" w:themeColor="accent5"/>
          <w:szCs w:val="22"/>
          <w:lang w:val="pl-PL"/>
        </w:rPr>
        <w:t xml:space="preserve"> </w:t>
      </w:r>
    </w:p>
    <w:p w14:paraId="2A33F176" w14:textId="77777777" w:rsidR="00C622BE" w:rsidRPr="0048184E" w:rsidRDefault="00C622BE" w:rsidP="0048184E">
      <w:pPr>
        <w:spacing w:after="0" w:line="240" w:lineRule="auto"/>
        <w:jc w:val="both"/>
        <w:rPr>
          <w:rFonts w:cstheme="minorHAnsi"/>
          <w:bCs/>
          <w:sz w:val="18"/>
          <w:szCs w:val="18"/>
          <w:lang w:val="sr-Latn-ME"/>
        </w:rPr>
      </w:pPr>
    </w:p>
    <w:p w14:paraId="25C30573" w14:textId="77777777" w:rsidR="004244AD" w:rsidRPr="0048184E" w:rsidRDefault="007834B1" w:rsidP="0048184E">
      <w:pPr>
        <w:spacing w:after="0" w:line="240" w:lineRule="auto"/>
        <w:jc w:val="both"/>
        <w:rPr>
          <w:rFonts w:cstheme="minorHAnsi"/>
          <w:bCs/>
          <w:sz w:val="18"/>
          <w:szCs w:val="18"/>
          <w:lang w:val="sr-Latn-ME"/>
        </w:rPr>
      </w:pPr>
      <w:r w:rsidRPr="0048184E">
        <w:rPr>
          <w:rFonts w:cstheme="minorHAnsi"/>
          <w:bCs/>
          <w:sz w:val="18"/>
          <w:szCs w:val="18"/>
          <w:lang w:val="sr-Latn-ME"/>
        </w:rPr>
        <w:t>SRR</w:t>
      </w:r>
      <w:r w:rsidR="004244AD" w:rsidRPr="0048184E">
        <w:rPr>
          <w:rFonts w:cstheme="minorHAnsi"/>
          <w:bCs/>
          <w:sz w:val="18"/>
          <w:szCs w:val="18"/>
          <w:lang w:val="sr-Latn-ME"/>
        </w:rPr>
        <w:t xml:space="preserve"> 2023-2027, kao horizontalni strateški dokument, usklađuje se sa ostalim </w:t>
      </w:r>
      <w:r w:rsidR="004244AD" w:rsidRPr="0048184E">
        <w:rPr>
          <w:rFonts w:cstheme="minorHAnsi"/>
          <w:b/>
          <w:sz w:val="18"/>
          <w:szCs w:val="18"/>
          <w:lang w:val="sr-Latn-ME"/>
        </w:rPr>
        <w:t xml:space="preserve">sektorskim strategijama, </w:t>
      </w:r>
      <w:r w:rsidR="004244AD" w:rsidRPr="0048184E">
        <w:rPr>
          <w:rFonts w:cstheme="minorHAnsi"/>
          <w:bCs/>
          <w:sz w:val="18"/>
          <w:szCs w:val="18"/>
          <w:lang w:val="sr-Latn-ME"/>
        </w:rPr>
        <w:t xml:space="preserve">koje definišu okvirne uslove i omogućavaju podsticanje regionalnog razvoja. U SRR 2023-2027 inkorporisani su strateški ciljevi međusobno povezanih sektorskih politika, poput energetike, saobraćaja, životne sredine, turizma, obrazovanja i poljoprivrede. U nastavku su navedene ključne sektorske strategije sa kojima je SRR 2023-2027 usklađena: </w:t>
      </w:r>
    </w:p>
    <w:p w14:paraId="45B4CE7D" w14:textId="77777777" w:rsidR="009E56C1" w:rsidRPr="0048184E" w:rsidRDefault="009E56C1" w:rsidP="0048184E">
      <w:pPr>
        <w:spacing w:after="0" w:line="240" w:lineRule="auto"/>
        <w:jc w:val="both"/>
        <w:rPr>
          <w:rFonts w:cstheme="minorHAnsi"/>
          <w:sz w:val="18"/>
          <w:szCs w:val="18"/>
          <w:lang w:val="sr-Latn-ME"/>
        </w:rPr>
      </w:pPr>
    </w:p>
    <w:p w14:paraId="446276B7" w14:textId="77777777" w:rsidR="009E56C1" w:rsidRPr="0048184E" w:rsidRDefault="009E56C1" w:rsidP="0048184E">
      <w:pPr>
        <w:spacing w:after="0" w:line="240" w:lineRule="auto"/>
        <w:jc w:val="both"/>
        <w:rPr>
          <w:rFonts w:cstheme="minorHAnsi"/>
          <w:sz w:val="18"/>
          <w:szCs w:val="18"/>
          <w:lang w:val="sr-Latn-ME"/>
        </w:rPr>
      </w:pPr>
      <w:r w:rsidRPr="0048184E">
        <w:rPr>
          <w:rFonts w:cstheme="minorHAnsi"/>
          <w:b/>
          <w:sz w:val="18"/>
          <w:szCs w:val="18"/>
          <w:lang w:val="sr-Latn-ME"/>
        </w:rPr>
        <w:t>Industrijska politika Crne Gore 2024-2028. godine (IP 2028)</w:t>
      </w:r>
      <w:r w:rsidRPr="0048184E">
        <w:rPr>
          <w:rFonts w:cstheme="minorHAnsi"/>
          <w:sz w:val="18"/>
          <w:szCs w:val="18"/>
          <w:lang w:val="sr-Latn-ME"/>
        </w:rPr>
        <w:t xml:space="preserve"> predstavlja strateški dokument za razvoj konkurentnosti crnogorske ekonomije sa fokusom na industrijski sektor. U skladu sa novim paketom industrije politke EU, IP 2028 trasira putanju dvostruke tranzicije za održivi razvoj industrijskog sektora Crne Gore u kontekstu pristupanja jedinstvenom tržištu EU. IP 2028 prepoznaje da su stvarni nosioci promjena i razvoja upravo privredna društva koja, uz adekvatnu podršku, treba da maksimiziraju svoj potencijal rasta, razvoja i konkurentnosti. Glavna svrha IP 2028 je da uspostavi strateški okvir i prioritete za industrijski razvoj, koji su realni i ostvarljivi, uzimajući u obzir raspoložive prirodne, ljudske i finansijske resurse za ostvarenje dinamičnog ekonomskog rasta, održivog razvoja i povećanje broja radnih mjesta. </w:t>
      </w:r>
    </w:p>
    <w:p w14:paraId="10711423" w14:textId="77777777" w:rsidR="009E56C1" w:rsidRPr="0048184E" w:rsidRDefault="009E56C1" w:rsidP="0048184E">
      <w:pPr>
        <w:spacing w:after="0" w:line="240" w:lineRule="auto"/>
        <w:jc w:val="both"/>
        <w:rPr>
          <w:rFonts w:cstheme="minorHAnsi"/>
          <w:sz w:val="18"/>
          <w:szCs w:val="18"/>
          <w:lang w:val="sr-Latn-ME"/>
        </w:rPr>
      </w:pPr>
    </w:p>
    <w:p w14:paraId="5D1E4B65" w14:textId="77777777" w:rsidR="004244AD" w:rsidRPr="0048184E" w:rsidRDefault="002811D8" w:rsidP="0048184E">
      <w:pPr>
        <w:spacing w:after="0" w:line="240" w:lineRule="auto"/>
        <w:jc w:val="both"/>
        <w:rPr>
          <w:rFonts w:cstheme="minorHAnsi"/>
          <w:sz w:val="18"/>
          <w:szCs w:val="18"/>
          <w:lang w:val="sr-Latn-ME"/>
        </w:rPr>
      </w:pPr>
      <w:r w:rsidRPr="0048184E">
        <w:rPr>
          <w:rFonts w:cstheme="minorHAnsi"/>
          <w:b/>
          <w:sz w:val="18"/>
          <w:szCs w:val="18"/>
          <w:lang w:val="pl-PL"/>
        </w:rPr>
        <w:t>Strategija</w:t>
      </w:r>
      <w:r w:rsidRPr="0048184E">
        <w:rPr>
          <w:rFonts w:cstheme="minorHAnsi"/>
          <w:b/>
          <w:sz w:val="18"/>
          <w:szCs w:val="18"/>
          <w:lang w:val="sr-Latn-ME"/>
        </w:rPr>
        <w:t xml:space="preserve"> </w:t>
      </w:r>
      <w:r w:rsidRPr="0048184E">
        <w:rPr>
          <w:rFonts w:cstheme="minorHAnsi"/>
          <w:b/>
          <w:sz w:val="18"/>
          <w:szCs w:val="18"/>
          <w:lang w:val="pl-PL"/>
        </w:rPr>
        <w:t>razvoja</w:t>
      </w:r>
      <w:r w:rsidRPr="0048184E">
        <w:rPr>
          <w:rFonts w:cstheme="minorHAnsi"/>
          <w:b/>
          <w:sz w:val="18"/>
          <w:szCs w:val="18"/>
          <w:lang w:val="sr-Latn-ME"/>
        </w:rPr>
        <w:t xml:space="preserve"> </w:t>
      </w:r>
      <w:r w:rsidR="009E56C1" w:rsidRPr="0048184E">
        <w:rPr>
          <w:rFonts w:cstheme="minorHAnsi"/>
          <w:b/>
          <w:sz w:val="18"/>
          <w:szCs w:val="18"/>
          <w:lang w:val="pl-PL"/>
        </w:rPr>
        <w:t>saobra</w:t>
      </w:r>
      <w:r w:rsidR="009E56C1" w:rsidRPr="0048184E">
        <w:rPr>
          <w:rFonts w:cstheme="minorHAnsi"/>
          <w:b/>
          <w:sz w:val="18"/>
          <w:szCs w:val="18"/>
          <w:lang w:val="sr-Latn-ME"/>
        </w:rPr>
        <w:t>ć</w:t>
      </w:r>
      <w:r w:rsidR="009E56C1" w:rsidRPr="0048184E">
        <w:rPr>
          <w:rFonts w:cstheme="minorHAnsi"/>
          <w:b/>
          <w:sz w:val="18"/>
          <w:szCs w:val="18"/>
          <w:lang w:val="pl-PL"/>
        </w:rPr>
        <w:t>aja</w:t>
      </w:r>
      <w:r w:rsidR="009E56C1" w:rsidRPr="0048184E">
        <w:rPr>
          <w:rFonts w:cstheme="minorHAnsi"/>
          <w:b/>
          <w:sz w:val="18"/>
          <w:szCs w:val="18"/>
          <w:lang w:val="sr-Latn-ME"/>
        </w:rPr>
        <w:t xml:space="preserve"> </w:t>
      </w:r>
      <w:r w:rsidRPr="0048184E">
        <w:rPr>
          <w:rFonts w:cstheme="minorHAnsi"/>
          <w:b/>
          <w:sz w:val="18"/>
          <w:szCs w:val="18"/>
          <w:lang w:val="sr-Latn-ME"/>
        </w:rPr>
        <w:t>2019-2035.</w:t>
      </w:r>
      <w:r w:rsidRPr="0048184E">
        <w:rPr>
          <w:rFonts w:cstheme="minorHAnsi"/>
          <w:sz w:val="18"/>
          <w:szCs w:val="18"/>
          <w:lang w:val="sr-Latn-ME"/>
        </w:rPr>
        <w:t xml:space="preserve"> </w:t>
      </w:r>
      <w:r w:rsidR="004244AD" w:rsidRPr="0048184E">
        <w:rPr>
          <w:rFonts w:cstheme="minorHAnsi"/>
          <w:bCs/>
          <w:sz w:val="18"/>
          <w:szCs w:val="18"/>
          <w:lang w:val="sr-Latn-ME"/>
        </w:rPr>
        <w:t xml:space="preserve">kao strateški dokument Vlade koji definiše </w:t>
      </w:r>
      <w:r w:rsidR="004244AD" w:rsidRPr="0048184E">
        <w:rPr>
          <w:rFonts w:cstheme="minorHAnsi"/>
          <w:sz w:val="18"/>
          <w:szCs w:val="18"/>
        </w:rPr>
        <w:t>unaprje</w:t>
      </w:r>
      <w:r w:rsidR="004244AD" w:rsidRPr="0048184E">
        <w:rPr>
          <w:rFonts w:cstheme="minorHAnsi"/>
          <w:sz w:val="18"/>
          <w:szCs w:val="18"/>
          <w:lang w:val="sr-Latn-ME"/>
        </w:rPr>
        <w:t>đ</w:t>
      </w:r>
      <w:r w:rsidR="004244AD" w:rsidRPr="0048184E">
        <w:rPr>
          <w:rFonts w:cstheme="minorHAnsi"/>
          <w:sz w:val="18"/>
          <w:szCs w:val="18"/>
        </w:rPr>
        <w:t>enje</w:t>
      </w:r>
      <w:r w:rsidR="004244AD" w:rsidRPr="0048184E">
        <w:rPr>
          <w:rFonts w:cstheme="minorHAnsi"/>
          <w:sz w:val="18"/>
          <w:szCs w:val="18"/>
          <w:lang w:val="sr-Latn-ME"/>
        </w:rPr>
        <w:t xml:space="preserve"> </w:t>
      </w:r>
      <w:r w:rsidR="004244AD" w:rsidRPr="0048184E">
        <w:rPr>
          <w:rFonts w:cstheme="minorHAnsi"/>
          <w:sz w:val="18"/>
          <w:szCs w:val="18"/>
        </w:rPr>
        <w:t>sektora</w:t>
      </w:r>
      <w:r w:rsidR="004244AD" w:rsidRPr="0048184E">
        <w:rPr>
          <w:rFonts w:cstheme="minorHAnsi"/>
          <w:sz w:val="18"/>
          <w:szCs w:val="18"/>
          <w:lang w:val="sr-Latn-ME"/>
        </w:rPr>
        <w:t xml:space="preserve"> </w:t>
      </w:r>
      <w:r w:rsidR="004244AD" w:rsidRPr="0048184E">
        <w:rPr>
          <w:rFonts w:cstheme="minorHAnsi"/>
          <w:sz w:val="18"/>
          <w:szCs w:val="18"/>
        </w:rPr>
        <w:t>saobra</w:t>
      </w:r>
      <w:r w:rsidR="004244AD" w:rsidRPr="0048184E">
        <w:rPr>
          <w:rFonts w:cstheme="minorHAnsi"/>
          <w:sz w:val="18"/>
          <w:szCs w:val="18"/>
          <w:lang w:val="sr-Latn-ME"/>
        </w:rPr>
        <w:t>ć</w:t>
      </w:r>
      <w:r w:rsidR="004244AD" w:rsidRPr="0048184E">
        <w:rPr>
          <w:rFonts w:cstheme="minorHAnsi"/>
          <w:sz w:val="18"/>
          <w:szCs w:val="18"/>
        </w:rPr>
        <w:t>aja</w:t>
      </w:r>
      <w:r w:rsidR="004244AD" w:rsidRPr="0048184E">
        <w:rPr>
          <w:rFonts w:cstheme="minorHAnsi"/>
          <w:sz w:val="18"/>
          <w:szCs w:val="18"/>
          <w:lang w:val="sr-Latn-ME"/>
        </w:rPr>
        <w:t xml:space="preserve">, </w:t>
      </w:r>
      <w:r w:rsidR="004244AD" w:rsidRPr="0048184E">
        <w:rPr>
          <w:rFonts w:cstheme="minorHAnsi"/>
          <w:sz w:val="18"/>
          <w:szCs w:val="18"/>
        </w:rPr>
        <w:t>ja</w:t>
      </w:r>
      <w:r w:rsidR="004244AD" w:rsidRPr="0048184E">
        <w:rPr>
          <w:rFonts w:cstheme="minorHAnsi"/>
          <w:sz w:val="18"/>
          <w:szCs w:val="18"/>
          <w:lang w:val="sr-Latn-ME"/>
        </w:rPr>
        <w:t>č</w:t>
      </w:r>
      <w:r w:rsidR="004244AD" w:rsidRPr="0048184E">
        <w:rPr>
          <w:rFonts w:cstheme="minorHAnsi"/>
          <w:sz w:val="18"/>
          <w:szCs w:val="18"/>
        </w:rPr>
        <w:t>anje</w:t>
      </w:r>
      <w:r w:rsidR="004244AD" w:rsidRPr="0048184E">
        <w:rPr>
          <w:rFonts w:cstheme="minorHAnsi"/>
          <w:sz w:val="18"/>
          <w:szCs w:val="18"/>
          <w:lang w:val="sr-Latn-ME"/>
        </w:rPr>
        <w:t xml:space="preserve"> </w:t>
      </w:r>
      <w:r w:rsidR="004244AD" w:rsidRPr="0048184E">
        <w:rPr>
          <w:rFonts w:cstheme="minorHAnsi"/>
          <w:sz w:val="18"/>
          <w:szCs w:val="18"/>
        </w:rPr>
        <w:t>teritorijalnog</w:t>
      </w:r>
      <w:r w:rsidR="004244AD" w:rsidRPr="0048184E">
        <w:rPr>
          <w:rFonts w:cstheme="minorHAnsi"/>
          <w:sz w:val="18"/>
          <w:szCs w:val="18"/>
          <w:lang w:val="sr-Latn-ME"/>
        </w:rPr>
        <w:t xml:space="preserve"> </w:t>
      </w:r>
      <w:r w:rsidR="004244AD" w:rsidRPr="0048184E">
        <w:rPr>
          <w:rFonts w:cstheme="minorHAnsi"/>
          <w:sz w:val="18"/>
          <w:szCs w:val="18"/>
        </w:rPr>
        <w:t>integriteta</w:t>
      </w:r>
      <w:r w:rsidR="004244AD" w:rsidRPr="0048184E">
        <w:rPr>
          <w:rFonts w:cstheme="minorHAnsi"/>
          <w:sz w:val="18"/>
          <w:szCs w:val="18"/>
          <w:lang w:val="sr-Latn-ME"/>
        </w:rPr>
        <w:t xml:space="preserve"> </w:t>
      </w:r>
      <w:r w:rsidR="004244AD" w:rsidRPr="0048184E">
        <w:rPr>
          <w:rFonts w:cstheme="minorHAnsi"/>
          <w:sz w:val="18"/>
          <w:szCs w:val="18"/>
        </w:rPr>
        <w:t>i</w:t>
      </w:r>
      <w:r w:rsidR="004244AD" w:rsidRPr="0048184E">
        <w:rPr>
          <w:rFonts w:cstheme="minorHAnsi"/>
          <w:sz w:val="18"/>
          <w:szCs w:val="18"/>
          <w:lang w:val="sr-Latn-ME"/>
        </w:rPr>
        <w:t xml:space="preserve"> </w:t>
      </w:r>
      <w:r w:rsidR="004244AD" w:rsidRPr="0048184E">
        <w:rPr>
          <w:rFonts w:cstheme="minorHAnsi"/>
          <w:sz w:val="18"/>
          <w:szCs w:val="18"/>
        </w:rPr>
        <w:t>o</w:t>
      </w:r>
      <w:r w:rsidR="004244AD" w:rsidRPr="0048184E">
        <w:rPr>
          <w:rFonts w:cstheme="minorHAnsi"/>
          <w:sz w:val="18"/>
          <w:szCs w:val="18"/>
          <w:lang w:val="sr-Latn-ME"/>
        </w:rPr>
        <w:t>č</w:t>
      </w:r>
      <w:r w:rsidR="004244AD" w:rsidRPr="0048184E">
        <w:rPr>
          <w:rFonts w:cstheme="minorHAnsi"/>
          <w:sz w:val="18"/>
          <w:szCs w:val="18"/>
        </w:rPr>
        <w:t>uvanje</w:t>
      </w:r>
      <w:r w:rsidR="004244AD" w:rsidRPr="0048184E">
        <w:rPr>
          <w:rFonts w:cstheme="minorHAnsi"/>
          <w:sz w:val="18"/>
          <w:szCs w:val="18"/>
          <w:lang w:val="sr-Latn-ME"/>
        </w:rPr>
        <w:t xml:space="preserve"> </w:t>
      </w:r>
      <w:r w:rsidR="004244AD" w:rsidRPr="0048184E">
        <w:rPr>
          <w:rFonts w:cstheme="minorHAnsi"/>
          <w:sz w:val="18"/>
          <w:szCs w:val="18"/>
        </w:rPr>
        <w:t>cjelovitosti</w:t>
      </w:r>
      <w:r w:rsidR="004244AD" w:rsidRPr="0048184E">
        <w:rPr>
          <w:rFonts w:cstheme="minorHAnsi"/>
          <w:sz w:val="18"/>
          <w:szCs w:val="18"/>
          <w:lang w:val="sr-Latn-ME"/>
        </w:rPr>
        <w:t xml:space="preserve"> </w:t>
      </w:r>
      <w:r w:rsidR="004244AD" w:rsidRPr="0048184E">
        <w:rPr>
          <w:rFonts w:cstheme="minorHAnsi"/>
          <w:sz w:val="18"/>
          <w:szCs w:val="18"/>
        </w:rPr>
        <w:t>dr</w:t>
      </w:r>
      <w:r w:rsidR="004244AD" w:rsidRPr="0048184E">
        <w:rPr>
          <w:rFonts w:cstheme="minorHAnsi"/>
          <w:sz w:val="18"/>
          <w:szCs w:val="18"/>
          <w:lang w:val="sr-Latn-ME"/>
        </w:rPr>
        <w:t>ž</w:t>
      </w:r>
      <w:r w:rsidR="004244AD" w:rsidRPr="0048184E">
        <w:rPr>
          <w:rFonts w:cstheme="minorHAnsi"/>
          <w:sz w:val="18"/>
          <w:szCs w:val="18"/>
        </w:rPr>
        <w:t>ave</w:t>
      </w:r>
      <w:r w:rsidR="004244AD" w:rsidRPr="0048184E">
        <w:rPr>
          <w:rFonts w:cstheme="minorHAnsi"/>
          <w:sz w:val="18"/>
          <w:szCs w:val="18"/>
          <w:lang w:val="sr-Latn-ME"/>
        </w:rPr>
        <w:t xml:space="preserve">, prepoznat je u SRR 2023-2027 kao jedan od glavnih instrumentata za ravnomjerniji regionalni razvoj. Naime, u okviru </w:t>
      </w:r>
      <w:r w:rsidR="004244AD" w:rsidRPr="0048184E">
        <w:rPr>
          <w:rFonts w:cstheme="minorHAnsi"/>
          <w:sz w:val="18"/>
          <w:szCs w:val="18"/>
          <w:lang w:val="pl-PL"/>
        </w:rPr>
        <w:t>operativnog</w:t>
      </w:r>
      <w:r w:rsidR="004244AD" w:rsidRPr="0048184E">
        <w:rPr>
          <w:rFonts w:cstheme="minorHAnsi"/>
          <w:sz w:val="18"/>
          <w:szCs w:val="18"/>
          <w:lang w:val="sr-Latn-ME"/>
        </w:rPr>
        <w:t xml:space="preserve"> </w:t>
      </w:r>
      <w:r w:rsidR="004244AD" w:rsidRPr="0048184E">
        <w:rPr>
          <w:rFonts w:cstheme="minorHAnsi"/>
          <w:sz w:val="18"/>
          <w:szCs w:val="18"/>
          <w:lang w:val="pl-PL"/>
        </w:rPr>
        <w:t>cilj</w:t>
      </w:r>
      <w:r w:rsidR="004244AD" w:rsidRPr="0048184E">
        <w:rPr>
          <w:rFonts w:cstheme="minorHAnsi"/>
          <w:sz w:val="18"/>
          <w:szCs w:val="18"/>
          <w:lang w:val="sr-Latn-ME"/>
        </w:rPr>
        <w:t xml:space="preserve"> 3.3. koji se odnosi na </w:t>
      </w:r>
      <w:r w:rsidR="004244AD" w:rsidRPr="0048184E">
        <w:rPr>
          <w:rFonts w:cstheme="minorHAnsi"/>
          <w:sz w:val="18"/>
          <w:szCs w:val="18"/>
          <w:lang w:val="pl-PL"/>
        </w:rPr>
        <w:t>ja</w:t>
      </w:r>
      <w:r w:rsidR="004244AD" w:rsidRPr="0048184E">
        <w:rPr>
          <w:rFonts w:cstheme="minorHAnsi"/>
          <w:sz w:val="18"/>
          <w:szCs w:val="18"/>
          <w:lang w:val="sr-Latn-ME"/>
        </w:rPr>
        <w:t>č</w:t>
      </w:r>
      <w:r w:rsidR="004244AD" w:rsidRPr="0048184E">
        <w:rPr>
          <w:rFonts w:cstheme="minorHAnsi"/>
          <w:sz w:val="18"/>
          <w:szCs w:val="18"/>
          <w:lang w:val="pl-PL"/>
        </w:rPr>
        <w:t>anje</w:t>
      </w:r>
      <w:r w:rsidR="004244AD" w:rsidRPr="0048184E">
        <w:rPr>
          <w:rFonts w:cstheme="minorHAnsi"/>
          <w:sz w:val="18"/>
          <w:szCs w:val="18"/>
          <w:lang w:val="sr-Latn-ME"/>
        </w:rPr>
        <w:t xml:space="preserve"> </w:t>
      </w:r>
      <w:r w:rsidR="004244AD" w:rsidRPr="0048184E">
        <w:rPr>
          <w:rFonts w:cstheme="minorHAnsi"/>
          <w:sz w:val="18"/>
          <w:szCs w:val="18"/>
          <w:lang w:val="pl-PL"/>
        </w:rPr>
        <w:t>saobra</w:t>
      </w:r>
      <w:r w:rsidR="004244AD" w:rsidRPr="0048184E">
        <w:rPr>
          <w:rFonts w:cstheme="minorHAnsi"/>
          <w:sz w:val="18"/>
          <w:szCs w:val="18"/>
          <w:lang w:val="sr-Latn-ME"/>
        </w:rPr>
        <w:t>ć</w:t>
      </w:r>
      <w:r w:rsidR="004244AD" w:rsidRPr="0048184E">
        <w:rPr>
          <w:rFonts w:cstheme="minorHAnsi"/>
          <w:sz w:val="18"/>
          <w:szCs w:val="18"/>
          <w:lang w:val="pl-PL"/>
        </w:rPr>
        <w:t>ajne</w:t>
      </w:r>
      <w:r w:rsidR="004244AD" w:rsidRPr="0048184E">
        <w:rPr>
          <w:rFonts w:cstheme="minorHAnsi"/>
          <w:sz w:val="18"/>
          <w:szCs w:val="18"/>
          <w:lang w:val="sr-Latn-ME"/>
        </w:rPr>
        <w:t xml:space="preserve"> </w:t>
      </w:r>
      <w:r w:rsidR="004244AD" w:rsidRPr="0048184E">
        <w:rPr>
          <w:rFonts w:cstheme="minorHAnsi"/>
          <w:sz w:val="18"/>
          <w:szCs w:val="18"/>
          <w:lang w:val="pl-PL"/>
        </w:rPr>
        <w:t>infrastrukture</w:t>
      </w:r>
      <w:r w:rsidR="004244AD" w:rsidRPr="0048184E">
        <w:rPr>
          <w:rFonts w:cstheme="minorHAnsi"/>
          <w:sz w:val="18"/>
          <w:szCs w:val="18"/>
          <w:lang w:val="sr-Latn-ME"/>
        </w:rPr>
        <w:t xml:space="preserve"> </w:t>
      </w:r>
      <w:r w:rsidR="004244AD" w:rsidRPr="0048184E">
        <w:rPr>
          <w:rFonts w:cstheme="minorHAnsi"/>
          <w:sz w:val="18"/>
          <w:szCs w:val="18"/>
          <w:lang w:val="pl-PL"/>
        </w:rPr>
        <w:t>kao</w:t>
      </w:r>
      <w:r w:rsidR="004244AD" w:rsidRPr="0048184E">
        <w:rPr>
          <w:rFonts w:cstheme="minorHAnsi"/>
          <w:sz w:val="18"/>
          <w:szCs w:val="18"/>
          <w:lang w:val="sr-Latn-ME"/>
        </w:rPr>
        <w:t xml:space="preserve"> </w:t>
      </w:r>
      <w:r w:rsidR="004244AD" w:rsidRPr="0048184E">
        <w:rPr>
          <w:rFonts w:cstheme="minorHAnsi"/>
          <w:sz w:val="18"/>
          <w:szCs w:val="18"/>
          <w:lang w:val="pl-PL"/>
        </w:rPr>
        <w:t>klju</w:t>
      </w:r>
      <w:r w:rsidR="004244AD" w:rsidRPr="0048184E">
        <w:rPr>
          <w:rFonts w:cstheme="minorHAnsi"/>
          <w:sz w:val="18"/>
          <w:szCs w:val="18"/>
          <w:lang w:val="sr-Latn-ME"/>
        </w:rPr>
        <w:t>č</w:t>
      </w:r>
      <w:r w:rsidR="004244AD" w:rsidRPr="0048184E">
        <w:rPr>
          <w:rFonts w:cstheme="minorHAnsi"/>
          <w:sz w:val="18"/>
          <w:szCs w:val="18"/>
          <w:lang w:val="pl-PL"/>
        </w:rPr>
        <w:t>nog</w:t>
      </w:r>
      <w:r w:rsidR="004244AD" w:rsidRPr="0048184E">
        <w:rPr>
          <w:rFonts w:cstheme="minorHAnsi"/>
          <w:sz w:val="18"/>
          <w:szCs w:val="18"/>
          <w:lang w:val="sr-Latn-ME"/>
        </w:rPr>
        <w:t xml:space="preserve"> </w:t>
      </w:r>
      <w:r w:rsidR="004244AD" w:rsidRPr="0048184E">
        <w:rPr>
          <w:rFonts w:cstheme="minorHAnsi"/>
          <w:sz w:val="18"/>
          <w:szCs w:val="18"/>
          <w:lang w:val="pl-PL"/>
        </w:rPr>
        <w:t>instrumenta</w:t>
      </w:r>
      <w:r w:rsidR="004244AD" w:rsidRPr="0048184E">
        <w:rPr>
          <w:rFonts w:cstheme="minorHAnsi"/>
          <w:sz w:val="18"/>
          <w:szCs w:val="18"/>
          <w:lang w:val="sr-Latn-ME"/>
        </w:rPr>
        <w:t xml:space="preserve"> </w:t>
      </w:r>
      <w:r w:rsidR="004244AD" w:rsidRPr="0048184E">
        <w:rPr>
          <w:rFonts w:cstheme="minorHAnsi"/>
          <w:sz w:val="18"/>
          <w:szCs w:val="18"/>
          <w:lang w:val="pl-PL"/>
        </w:rPr>
        <w:t>za</w:t>
      </w:r>
      <w:r w:rsidR="004244AD" w:rsidRPr="0048184E">
        <w:rPr>
          <w:rFonts w:cstheme="minorHAnsi"/>
          <w:sz w:val="18"/>
          <w:szCs w:val="18"/>
          <w:lang w:val="sr-Latn-ME"/>
        </w:rPr>
        <w:t xml:space="preserve"> </w:t>
      </w:r>
      <w:r w:rsidR="004244AD" w:rsidRPr="0048184E">
        <w:rPr>
          <w:rFonts w:cstheme="minorHAnsi"/>
          <w:sz w:val="18"/>
          <w:szCs w:val="18"/>
          <w:lang w:val="pl-PL"/>
        </w:rPr>
        <w:t>ravnomjerniji</w:t>
      </w:r>
      <w:r w:rsidR="004244AD" w:rsidRPr="0048184E">
        <w:rPr>
          <w:rFonts w:cstheme="minorHAnsi"/>
          <w:sz w:val="18"/>
          <w:szCs w:val="18"/>
          <w:lang w:val="sr-Latn-ME"/>
        </w:rPr>
        <w:t xml:space="preserve"> </w:t>
      </w:r>
      <w:r w:rsidR="004244AD" w:rsidRPr="0048184E">
        <w:rPr>
          <w:rFonts w:cstheme="minorHAnsi"/>
          <w:sz w:val="18"/>
          <w:szCs w:val="18"/>
          <w:lang w:val="pl-PL"/>
        </w:rPr>
        <w:t>razvoj</w:t>
      </w:r>
      <w:r w:rsidR="004244AD" w:rsidRPr="0048184E">
        <w:rPr>
          <w:rFonts w:cstheme="minorHAnsi"/>
          <w:sz w:val="18"/>
          <w:szCs w:val="18"/>
          <w:lang w:val="sr-Latn-ME"/>
        </w:rPr>
        <w:t xml:space="preserve"> </w:t>
      </w:r>
      <w:r w:rsidR="004244AD" w:rsidRPr="0048184E">
        <w:rPr>
          <w:rFonts w:cstheme="minorHAnsi"/>
          <w:sz w:val="18"/>
          <w:szCs w:val="18"/>
          <w:lang w:val="pl-PL"/>
        </w:rPr>
        <w:t>u</w:t>
      </w:r>
      <w:r w:rsidR="004244AD" w:rsidRPr="0048184E">
        <w:rPr>
          <w:rFonts w:cstheme="minorHAnsi"/>
          <w:sz w:val="18"/>
          <w:szCs w:val="18"/>
          <w:lang w:val="sr-Latn-ME"/>
        </w:rPr>
        <w:t xml:space="preserve"> </w:t>
      </w:r>
      <w:r w:rsidR="004244AD" w:rsidRPr="0048184E">
        <w:rPr>
          <w:rFonts w:cstheme="minorHAnsi"/>
          <w:sz w:val="18"/>
          <w:szCs w:val="18"/>
          <w:lang w:val="pl-PL"/>
        </w:rPr>
        <w:t>sva</w:t>
      </w:r>
      <w:r w:rsidR="004244AD" w:rsidRPr="0048184E">
        <w:rPr>
          <w:rFonts w:cstheme="minorHAnsi"/>
          <w:sz w:val="18"/>
          <w:szCs w:val="18"/>
          <w:lang w:val="sr-Latn-ME"/>
        </w:rPr>
        <w:t xml:space="preserve"> </w:t>
      </w:r>
      <w:r w:rsidR="004244AD" w:rsidRPr="0048184E">
        <w:rPr>
          <w:rFonts w:cstheme="minorHAnsi"/>
          <w:sz w:val="18"/>
          <w:szCs w:val="18"/>
          <w:lang w:val="pl-PL"/>
        </w:rPr>
        <w:t>tri</w:t>
      </w:r>
      <w:r w:rsidR="004244AD" w:rsidRPr="0048184E">
        <w:rPr>
          <w:rFonts w:cstheme="minorHAnsi"/>
          <w:sz w:val="18"/>
          <w:szCs w:val="18"/>
          <w:lang w:val="sr-Latn-ME"/>
        </w:rPr>
        <w:t xml:space="preserve"> </w:t>
      </w:r>
      <w:r w:rsidR="004244AD" w:rsidRPr="0048184E">
        <w:rPr>
          <w:rFonts w:cstheme="minorHAnsi"/>
          <w:sz w:val="18"/>
          <w:szCs w:val="18"/>
          <w:lang w:val="pl-PL"/>
        </w:rPr>
        <w:t>regiona</w:t>
      </w:r>
      <w:r w:rsidR="004244AD" w:rsidRPr="0048184E">
        <w:rPr>
          <w:rFonts w:cstheme="minorHAnsi"/>
          <w:sz w:val="18"/>
          <w:szCs w:val="18"/>
          <w:lang w:val="sr-Latn-ME"/>
        </w:rPr>
        <w:t xml:space="preserve">, definisane su aktivnosti na izgradnji i rekonstrukciji infrastrukture u drumskom saobraćaju kao i aktivnosti na rekonstrukciji i modernizaciji željezničke infrastrukture. </w:t>
      </w:r>
      <w:r w:rsidR="004244AD" w:rsidRPr="0048184E">
        <w:rPr>
          <w:rFonts w:cstheme="minorHAnsi"/>
          <w:sz w:val="18"/>
          <w:szCs w:val="18"/>
          <w:lang w:val="sr-Latn-RS"/>
        </w:rPr>
        <w:t>U</w:t>
      </w:r>
      <w:r w:rsidR="004244AD" w:rsidRPr="0048184E">
        <w:rPr>
          <w:rFonts w:cstheme="minorHAnsi"/>
          <w:sz w:val="18"/>
          <w:szCs w:val="18"/>
          <w:lang w:val="sr-Latn-ME"/>
        </w:rPr>
        <w:t>laganjem u infrastrukturne projekte, posebno u Sjevernom regionu, obezbjeđuje se ravnomjerniji regionalni razvoj, otvaraju nova radna mjesta i povećava atraktivnost cjelokupnog prostora za domaće i strane investitore.</w:t>
      </w:r>
    </w:p>
    <w:p w14:paraId="6E3F42DF" w14:textId="77777777" w:rsidR="002811D8" w:rsidRPr="0048184E" w:rsidRDefault="009E56C1" w:rsidP="0048184E">
      <w:pPr>
        <w:spacing w:after="0" w:line="240" w:lineRule="auto"/>
        <w:jc w:val="both"/>
        <w:rPr>
          <w:rFonts w:cstheme="minorHAnsi"/>
          <w:sz w:val="18"/>
          <w:szCs w:val="18"/>
          <w:lang w:val="pl-PL"/>
        </w:rPr>
      </w:pPr>
      <w:r w:rsidRPr="0048184E">
        <w:rPr>
          <w:rFonts w:cstheme="minorHAnsi"/>
          <w:sz w:val="18"/>
          <w:szCs w:val="18"/>
          <w:lang w:val="pl-PL"/>
        </w:rPr>
        <w:t xml:space="preserve">Ovaj strateški dokument </w:t>
      </w:r>
      <w:r w:rsidR="002811D8" w:rsidRPr="0048184E">
        <w:rPr>
          <w:rFonts w:cstheme="minorHAnsi"/>
          <w:sz w:val="18"/>
          <w:szCs w:val="18"/>
          <w:lang w:val="pl-PL"/>
        </w:rPr>
        <w:t xml:space="preserve">definiše infrastrukturne, organizacione i operativne ciljeve za razvoj </w:t>
      </w:r>
      <w:r w:rsidR="00836C92" w:rsidRPr="0048184E">
        <w:rPr>
          <w:rFonts w:cstheme="minorHAnsi"/>
          <w:sz w:val="18"/>
          <w:szCs w:val="18"/>
          <w:lang w:val="pl-PL"/>
        </w:rPr>
        <w:t xml:space="preserve">transportnog sistema i dominantno se odnos na </w:t>
      </w:r>
      <w:r w:rsidR="002811D8" w:rsidRPr="0048184E">
        <w:rPr>
          <w:rFonts w:cstheme="minorHAnsi"/>
          <w:sz w:val="18"/>
          <w:szCs w:val="18"/>
          <w:lang w:val="pl-PL"/>
        </w:rPr>
        <w:t>državne puteve (autoputeve, brze putev</w:t>
      </w:r>
      <w:r w:rsidR="00836C92" w:rsidRPr="0048184E">
        <w:rPr>
          <w:rFonts w:cstheme="minorHAnsi"/>
          <w:sz w:val="18"/>
          <w:szCs w:val="18"/>
          <w:lang w:val="pl-PL"/>
        </w:rPr>
        <w:t xml:space="preserve">e, glavne i regionalne puteve). </w:t>
      </w:r>
      <w:r w:rsidR="002811D8" w:rsidRPr="0048184E">
        <w:rPr>
          <w:rFonts w:cstheme="minorHAnsi"/>
          <w:sz w:val="18"/>
          <w:szCs w:val="18"/>
          <w:lang w:val="pl-PL"/>
        </w:rPr>
        <w:t>Razvoj lokalnih puteva je u nadležnosti jedinica lokalne samouprave, a svaka opština posebno planira i implementira projekte u oblast</w:t>
      </w:r>
      <w:r w:rsidR="00836C92" w:rsidRPr="0048184E">
        <w:rPr>
          <w:rFonts w:cstheme="minorHAnsi"/>
          <w:sz w:val="18"/>
          <w:szCs w:val="18"/>
          <w:lang w:val="pl-PL"/>
        </w:rPr>
        <w:t xml:space="preserve">i lokalne putne infrastrukture. </w:t>
      </w:r>
      <w:r w:rsidR="002811D8" w:rsidRPr="0048184E">
        <w:rPr>
          <w:rFonts w:cstheme="minorHAnsi"/>
          <w:sz w:val="18"/>
          <w:szCs w:val="18"/>
          <w:lang w:val="pl-PL"/>
        </w:rPr>
        <w:t>Centralni element razvoja transportne povezanosti u posljednje vrijeme je izgradnja autoputa. Autoput Bar-Boljare je velika transportna inicijativa, koja je dio međunarodnog projekta autoputa Beograd-Bar i koji je glavni projekat u Crnoj Gori za povećanje povezanosti sa sjevernim regijama.</w:t>
      </w:r>
    </w:p>
    <w:p w14:paraId="0BF55568" w14:textId="77777777" w:rsidR="004244AD" w:rsidRPr="0048184E" w:rsidRDefault="004244AD" w:rsidP="0048184E">
      <w:pPr>
        <w:spacing w:after="0" w:line="240" w:lineRule="auto"/>
        <w:jc w:val="both"/>
        <w:rPr>
          <w:rFonts w:eastAsia="Times New Roman" w:cstheme="minorHAnsi"/>
          <w:b/>
          <w:bCs/>
          <w:sz w:val="18"/>
          <w:szCs w:val="18"/>
          <w:lang w:val="pl-PL"/>
        </w:rPr>
      </w:pPr>
    </w:p>
    <w:p w14:paraId="5DDA3BF0" w14:textId="77777777" w:rsidR="002811D8" w:rsidRPr="0048184E" w:rsidRDefault="004244AD" w:rsidP="0048184E">
      <w:pPr>
        <w:spacing w:after="0" w:line="240" w:lineRule="auto"/>
        <w:jc w:val="both"/>
        <w:rPr>
          <w:rFonts w:cstheme="minorHAnsi"/>
          <w:sz w:val="18"/>
          <w:szCs w:val="18"/>
          <w:lang w:val="sr-Latn-ME"/>
        </w:rPr>
      </w:pPr>
      <w:r w:rsidRPr="0048184E">
        <w:rPr>
          <w:rFonts w:cstheme="minorHAnsi"/>
          <w:b/>
          <w:bCs/>
          <w:sz w:val="18"/>
          <w:szCs w:val="18"/>
          <w:lang w:val="sr-Latn-ME"/>
        </w:rPr>
        <w:t>Strategija razvoja poljoprivrede i ruralnih područja 2022-2028</w:t>
      </w:r>
      <w:r w:rsidRPr="0048184E">
        <w:rPr>
          <w:rFonts w:cstheme="minorHAnsi"/>
          <w:bCs/>
          <w:sz w:val="18"/>
          <w:szCs w:val="18"/>
          <w:lang w:val="sr-Latn-ME"/>
        </w:rPr>
        <w:t xml:space="preserve"> u okviru jednog od strateških ciljeva definiše povećanje otpornosti i konkurentnosti proizvodnje i prerade hrane, što je u skladu sa strateškim ciljem 3 SRR 2023-2027 i operativnim ciljem </w:t>
      </w:r>
      <w:r w:rsidRPr="0048184E">
        <w:rPr>
          <w:rFonts w:cstheme="minorHAnsi"/>
          <w:sz w:val="18"/>
          <w:szCs w:val="18"/>
          <w:lang w:val="sr-Latn-ME"/>
        </w:rPr>
        <w:t xml:space="preserve">3.4. koji se odnosi na unaprjeđenje uslova za proizvodnju visokokvalitetne hrane, organskog porijekla uz održiv dohodak poljoprivrednika. </w:t>
      </w:r>
      <w:r w:rsidRPr="0048184E">
        <w:rPr>
          <w:rFonts w:eastAsia="Times New Roman" w:cstheme="minorHAnsi"/>
          <w:sz w:val="18"/>
          <w:szCs w:val="18"/>
          <w:lang w:val="pl-PL"/>
        </w:rPr>
        <w:t xml:space="preserve">Sa stanovista RR posebno je značajan cilj koji se odnosi na </w:t>
      </w:r>
      <w:r w:rsidRPr="0048184E">
        <w:rPr>
          <w:rFonts w:cstheme="minorHAnsi"/>
          <w:sz w:val="18"/>
          <w:szCs w:val="18"/>
          <w:lang w:val="pl-PL"/>
        </w:rPr>
        <w:t>Podizanje kvaliteta života i obima ekonomskih aktivnosti u ruralnim područjima</w:t>
      </w:r>
      <w:r w:rsidRPr="0048184E">
        <w:rPr>
          <w:rFonts w:cstheme="minorHAnsi"/>
          <w:sz w:val="18"/>
          <w:szCs w:val="18"/>
          <w:lang w:val="sr-Latn-ME"/>
        </w:rPr>
        <w:t xml:space="preserve">. </w:t>
      </w:r>
      <w:r w:rsidRPr="0048184E">
        <w:rPr>
          <w:rFonts w:cstheme="minorHAnsi"/>
          <w:bCs/>
          <w:sz w:val="18"/>
          <w:szCs w:val="18"/>
          <w:lang w:val="sr-Latn-ME"/>
        </w:rPr>
        <w:t>Takođe, važan dokument je priprema Programa razvoja poljoprivrede i ruralnih područja, koji će sadržati mjere koje će biti podržane kroz IPARD III  u periodu 2021-2027. godine.</w:t>
      </w:r>
      <w:r w:rsidRPr="0048184E">
        <w:rPr>
          <w:rFonts w:cstheme="minorHAnsi"/>
          <w:sz w:val="18"/>
          <w:szCs w:val="18"/>
          <w:lang w:val="sr-Latn-ME"/>
        </w:rPr>
        <w:t xml:space="preserve"> </w:t>
      </w:r>
    </w:p>
    <w:p w14:paraId="183A5921" w14:textId="77777777" w:rsidR="004244AD" w:rsidRPr="0048184E" w:rsidRDefault="004244AD" w:rsidP="0048184E">
      <w:pPr>
        <w:spacing w:after="0" w:line="240" w:lineRule="auto"/>
        <w:jc w:val="both"/>
        <w:rPr>
          <w:rFonts w:cstheme="minorHAnsi"/>
          <w:sz w:val="18"/>
          <w:szCs w:val="18"/>
          <w:lang w:val="sr-Latn-ME"/>
        </w:rPr>
      </w:pPr>
    </w:p>
    <w:p w14:paraId="117A12E5" w14:textId="77777777" w:rsidR="00F553FA" w:rsidRPr="0048184E" w:rsidRDefault="00D40298" w:rsidP="0048184E">
      <w:pPr>
        <w:spacing w:after="0" w:line="240" w:lineRule="auto"/>
        <w:jc w:val="both"/>
        <w:rPr>
          <w:rFonts w:cstheme="minorHAnsi"/>
          <w:sz w:val="18"/>
          <w:szCs w:val="18"/>
          <w:lang w:val="pl-PL"/>
        </w:rPr>
      </w:pPr>
      <w:r w:rsidRPr="0048184E">
        <w:rPr>
          <w:rFonts w:cstheme="minorHAnsi"/>
          <w:b/>
          <w:sz w:val="18"/>
          <w:szCs w:val="18"/>
          <w:lang w:val="pl-PL"/>
        </w:rPr>
        <w:t>Strategija razvoja turizma</w:t>
      </w:r>
      <w:r w:rsidR="009E56C1" w:rsidRPr="0048184E">
        <w:rPr>
          <w:rFonts w:cstheme="minorHAnsi"/>
          <w:b/>
          <w:sz w:val="18"/>
          <w:szCs w:val="18"/>
          <w:lang w:val="pl-PL"/>
        </w:rPr>
        <w:t xml:space="preserve"> Crne Gore 2022-2025</w:t>
      </w:r>
      <w:r w:rsidR="009E56C1" w:rsidRPr="0048184E">
        <w:rPr>
          <w:rFonts w:cstheme="minorHAnsi"/>
          <w:sz w:val="18"/>
          <w:szCs w:val="18"/>
          <w:lang w:val="pl-PL"/>
        </w:rPr>
        <w:t>. Ovaj krovni strateški dokument u oblasti turizma, prepoznaje regionalnu</w:t>
      </w:r>
      <w:r w:rsidR="002811D8" w:rsidRPr="0048184E">
        <w:rPr>
          <w:rFonts w:cstheme="minorHAnsi"/>
          <w:sz w:val="18"/>
          <w:szCs w:val="18"/>
          <w:lang w:val="pl-PL"/>
        </w:rPr>
        <w:t xml:space="preserve"> nejednak</w:t>
      </w:r>
      <w:r w:rsidR="009E56C1" w:rsidRPr="0048184E">
        <w:rPr>
          <w:rFonts w:cstheme="minorHAnsi"/>
          <w:sz w:val="18"/>
          <w:szCs w:val="18"/>
          <w:lang w:val="pl-PL"/>
        </w:rPr>
        <w:t xml:space="preserve">ost turizma kao jedan od problema, </w:t>
      </w:r>
      <w:r w:rsidR="002811D8" w:rsidRPr="0048184E">
        <w:rPr>
          <w:rFonts w:cstheme="minorHAnsi"/>
          <w:sz w:val="18"/>
          <w:szCs w:val="18"/>
          <w:lang w:val="pl-PL"/>
        </w:rPr>
        <w:t>s obzirom na to da se 95% turističkog prometa odvija u primorskom području, a čak 40% smještajnih kapaciteta nalazi se samo na teritoriji opštine Budva. Aspekti regionalnog razvoja Strategije uključuju specifikaciju različitih „turističkih regija“, uključujući u sjevernoj regiji područja Durmitora i Sinjajevine s rijekama Tarom i Pivom, kao i Bjelasicu, Komove i Prokletije. Glavni turistički proizvodi za ova područja su zaštićena područja (nacionalni parkovi i parkovi prirode), zimski turizam, turizam zasnovan na prirodi, MICE, ruralni, gastronomski, kulturni, porodični turizam. Cilj usmjeravanja razvoja turizma na sjeveru je povećanje hotelskih kapaciteta na sjeveru Crne Gore za najmanje 15% u odnosu na trenutnu ukupnu hotelsku ponudu u Crnoj Gori. U 2024. godini pokrenute su aktivnosti usmjerene na uvođenje prvih sistema za vještačko osnježavanje na državnim skijalištima u Crnoj Gori. Obezbijeđena su sredstva za izgradnju osnovne infrastrukture i nabavku prvih topova za vještački snijeg na Savinom Kuku, dok će u Kolašinu to biti završeno 2026. godine, s ciljem razvoja cjelogodišnje ponude.</w:t>
      </w:r>
    </w:p>
    <w:p w14:paraId="13338EBF" w14:textId="77777777" w:rsidR="00913E99" w:rsidRPr="0048184E" w:rsidRDefault="00913E99" w:rsidP="0048184E">
      <w:pPr>
        <w:spacing w:after="0" w:line="240" w:lineRule="auto"/>
        <w:jc w:val="both"/>
        <w:rPr>
          <w:rFonts w:cstheme="minorHAnsi"/>
          <w:sz w:val="18"/>
          <w:szCs w:val="18"/>
          <w:lang w:val="pl-PL"/>
        </w:rPr>
      </w:pPr>
    </w:p>
    <w:p w14:paraId="3BF7E7AA" w14:textId="77777777" w:rsidR="00913E99" w:rsidRPr="0048184E" w:rsidRDefault="00913E99" w:rsidP="0048184E">
      <w:pPr>
        <w:spacing w:after="0" w:line="240" w:lineRule="auto"/>
        <w:jc w:val="both"/>
        <w:rPr>
          <w:sz w:val="18"/>
          <w:szCs w:val="18"/>
          <w:lang w:val="pl-PL"/>
        </w:rPr>
      </w:pPr>
      <w:r w:rsidRPr="0048184E">
        <w:rPr>
          <w:b/>
          <w:sz w:val="18"/>
          <w:szCs w:val="18"/>
          <w:lang w:val="pl-PL"/>
        </w:rPr>
        <w:t>Strategija reforme obrazovanja 2025 – 2035</w:t>
      </w:r>
      <w:r w:rsidRPr="0048184E">
        <w:rPr>
          <w:sz w:val="18"/>
          <w:szCs w:val="18"/>
          <w:lang w:val="pl-PL"/>
        </w:rPr>
        <w:t xml:space="preserve"> - obuhvata viziju obrazovanja za narednih deset godina. Strategija ima za cilj da rješava navedene izazove kroz holistički pristup unapređenja kvaliteta i dostupnosti obrazovanja za sve, starajući se da djeca i mladi stiču primjenljiva znanja i vještine za budući život, kako bi bili konkurentni na tržištu rada i kako bi mogli da nastave obrazovanje i aktivno učestvuju društvenim procesima. Strategijom su obuhvaćeni svi relevantni akteri — od institucija, predškolskih ustanova i škola do organizacija civilnog društva i lokalnih zajednica, kako bi se obezbijedila koordinacija i održivost reformi. Povećanje ulaganja u obrazovanje i unapređenje budžetskog planiranja imaju suštinski značaj za dugoročnu stabilnost reformi, dok bolja međusektorska saradnja može doprinijeti efikasnijoj implementaciji.</w:t>
      </w:r>
    </w:p>
    <w:p w14:paraId="307F3A07" w14:textId="77777777" w:rsidR="004244AD" w:rsidRPr="0048184E" w:rsidRDefault="004244AD" w:rsidP="0048184E">
      <w:pPr>
        <w:spacing w:after="0" w:line="240" w:lineRule="auto"/>
        <w:jc w:val="both"/>
        <w:rPr>
          <w:rFonts w:cstheme="minorHAnsi"/>
          <w:sz w:val="18"/>
          <w:szCs w:val="18"/>
          <w:lang w:val="pl-PL"/>
        </w:rPr>
      </w:pPr>
    </w:p>
    <w:p w14:paraId="1BE1ED25" w14:textId="77777777" w:rsidR="004244AD" w:rsidRPr="0048184E" w:rsidRDefault="004244AD" w:rsidP="0048184E">
      <w:pPr>
        <w:spacing w:after="0" w:line="240" w:lineRule="auto"/>
        <w:jc w:val="both"/>
        <w:rPr>
          <w:rFonts w:cstheme="minorHAnsi"/>
          <w:sz w:val="18"/>
          <w:szCs w:val="18"/>
          <w:lang w:val="sr-Latn-ME"/>
        </w:rPr>
      </w:pPr>
      <w:r w:rsidRPr="0048184E">
        <w:rPr>
          <w:rFonts w:cstheme="minorHAnsi"/>
          <w:b/>
          <w:bCs/>
          <w:sz w:val="18"/>
          <w:szCs w:val="18"/>
          <w:lang w:val="sr-Latn-ME"/>
        </w:rPr>
        <w:t xml:space="preserve">Strategija razvoja energetike Crne Gore do 2030. godine </w:t>
      </w:r>
      <w:r w:rsidRPr="0048184E">
        <w:rPr>
          <w:rFonts w:cstheme="minorHAnsi"/>
          <w:sz w:val="18"/>
          <w:szCs w:val="18"/>
          <w:lang w:val="sr-Latn-ME"/>
        </w:rPr>
        <w:t>- U o</w:t>
      </w:r>
      <w:r w:rsidRPr="0048184E">
        <w:rPr>
          <w:rFonts w:cstheme="minorHAnsi"/>
          <w:bCs/>
          <w:sz w:val="18"/>
          <w:szCs w:val="18"/>
          <w:lang w:val="sr-Latn-ME"/>
        </w:rPr>
        <w:t xml:space="preserve">kviru prioriteta koji su identifikovani kroz ovaj strateški dokument, a koji se odnose na povećanje energetske efikasnosti, veće korišćenje obnovljivih izvora energije kao i potreba sa socio-ekonomskim razvojem Crne Gore, prepoznati su u SRR 2023-2027 kroz operativni cilj 3.5. </w:t>
      </w:r>
      <w:r w:rsidRPr="0048184E">
        <w:rPr>
          <w:rFonts w:cstheme="minorHAnsi"/>
          <w:sz w:val="18"/>
          <w:szCs w:val="18"/>
          <w:lang w:val="sr-Latn-ME"/>
        </w:rPr>
        <w:t>Zaštita životne sredine, razvoj energetike, unaprjeđenje energetske efikasnosti, adaptacija i mitigacija efekata klimatskih promjena, kao i setom aktivnosti koje će doprinijeti realizaciji navedenog operativnog cilja.</w:t>
      </w:r>
    </w:p>
    <w:p w14:paraId="45536CAC" w14:textId="77777777" w:rsidR="004244AD" w:rsidRPr="0048184E" w:rsidRDefault="004244AD" w:rsidP="0048184E">
      <w:pPr>
        <w:spacing w:after="0" w:line="240" w:lineRule="auto"/>
        <w:jc w:val="both"/>
        <w:rPr>
          <w:rFonts w:cstheme="minorHAnsi"/>
          <w:b/>
          <w:sz w:val="18"/>
          <w:szCs w:val="18"/>
          <w:lang w:val="sr-Latn-ME"/>
        </w:rPr>
      </w:pPr>
    </w:p>
    <w:p w14:paraId="2C7CE039" w14:textId="77777777" w:rsidR="002811D8" w:rsidRPr="0048184E" w:rsidRDefault="002811D8" w:rsidP="0048184E">
      <w:pPr>
        <w:spacing w:after="0" w:line="240" w:lineRule="auto"/>
        <w:jc w:val="both"/>
        <w:rPr>
          <w:sz w:val="18"/>
          <w:szCs w:val="18"/>
          <w:lang w:val="sr-Latn-ME"/>
        </w:rPr>
      </w:pPr>
      <w:r w:rsidRPr="0048184E">
        <w:rPr>
          <w:rFonts w:cstheme="minorHAnsi"/>
          <w:b/>
          <w:sz w:val="18"/>
          <w:szCs w:val="18"/>
          <w:lang w:val="pl-PL"/>
        </w:rPr>
        <w:t>Str</w:t>
      </w:r>
      <w:r w:rsidR="009E56C1" w:rsidRPr="0048184E">
        <w:rPr>
          <w:rFonts w:cstheme="minorHAnsi"/>
          <w:b/>
          <w:sz w:val="18"/>
          <w:szCs w:val="18"/>
          <w:lang w:val="pl-PL"/>
        </w:rPr>
        <w:t>ategija</w:t>
      </w:r>
      <w:r w:rsidRPr="0048184E">
        <w:rPr>
          <w:rFonts w:cstheme="minorHAnsi"/>
          <w:b/>
          <w:sz w:val="18"/>
          <w:szCs w:val="18"/>
          <w:lang w:val="sr-Latn-ME"/>
        </w:rPr>
        <w:t xml:space="preserve"> </w:t>
      </w:r>
      <w:r w:rsidRPr="0048184E">
        <w:rPr>
          <w:rFonts w:cstheme="minorHAnsi"/>
          <w:b/>
          <w:sz w:val="18"/>
          <w:szCs w:val="18"/>
          <w:lang w:val="pl-PL"/>
        </w:rPr>
        <w:t>stambene</w:t>
      </w:r>
      <w:r w:rsidRPr="0048184E">
        <w:rPr>
          <w:rFonts w:cstheme="minorHAnsi"/>
          <w:b/>
          <w:sz w:val="18"/>
          <w:szCs w:val="18"/>
          <w:lang w:val="sr-Latn-ME"/>
        </w:rPr>
        <w:t xml:space="preserve"> </w:t>
      </w:r>
      <w:r w:rsidRPr="0048184E">
        <w:rPr>
          <w:rFonts w:cstheme="minorHAnsi"/>
          <w:b/>
          <w:sz w:val="18"/>
          <w:szCs w:val="18"/>
          <w:lang w:val="pl-PL"/>
        </w:rPr>
        <w:t>politike</w:t>
      </w:r>
      <w:r w:rsidRPr="0048184E">
        <w:rPr>
          <w:rFonts w:cstheme="minorHAnsi"/>
          <w:b/>
          <w:sz w:val="18"/>
          <w:szCs w:val="18"/>
          <w:lang w:val="sr-Latn-ME"/>
        </w:rPr>
        <w:t xml:space="preserve"> </w:t>
      </w:r>
      <w:r w:rsidRPr="0048184E">
        <w:rPr>
          <w:rFonts w:cstheme="minorHAnsi"/>
          <w:b/>
          <w:sz w:val="18"/>
          <w:szCs w:val="18"/>
          <w:lang w:val="pl-PL"/>
        </w:rPr>
        <w:t>Crne</w:t>
      </w:r>
      <w:r w:rsidRPr="0048184E">
        <w:rPr>
          <w:rFonts w:cstheme="minorHAnsi"/>
          <w:b/>
          <w:sz w:val="18"/>
          <w:szCs w:val="18"/>
          <w:lang w:val="sr-Latn-ME"/>
        </w:rPr>
        <w:t xml:space="preserve"> </w:t>
      </w:r>
      <w:r w:rsidRPr="0048184E">
        <w:rPr>
          <w:rFonts w:cstheme="minorHAnsi"/>
          <w:b/>
          <w:sz w:val="18"/>
          <w:szCs w:val="18"/>
          <w:lang w:val="pl-PL"/>
        </w:rPr>
        <w:t>Gore</w:t>
      </w:r>
      <w:r w:rsidRPr="0048184E">
        <w:rPr>
          <w:rFonts w:cstheme="minorHAnsi"/>
          <w:b/>
          <w:sz w:val="18"/>
          <w:szCs w:val="18"/>
          <w:lang w:val="sr-Latn-ME"/>
        </w:rPr>
        <w:t xml:space="preserve"> </w:t>
      </w:r>
      <w:r w:rsidRPr="0048184E">
        <w:rPr>
          <w:rFonts w:cstheme="minorHAnsi"/>
          <w:b/>
          <w:sz w:val="18"/>
          <w:szCs w:val="18"/>
          <w:lang w:val="pl-PL"/>
        </w:rPr>
        <w:t>do</w:t>
      </w:r>
      <w:r w:rsidRPr="0048184E">
        <w:rPr>
          <w:rFonts w:cstheme="minorHAnsi"/>
          <w:b/>
          <w:sz w:val="18"/>
          <w:szCs w:val="18"/>
          <w:lang w:val="sr-Latn-ME"/>
        </w:rPr>
        <w:t xml:space="preserve"> 2034. </w:t>
      </w:r>
      <w:r w:rsidRPr="0048184E">
        <w:rPr>
          <w:rFonts w:cstheme="minorHAnsi"/>
          <w:b/>
          <w:sz w:val="18"/>
          <w:szCs w:val="18"/>
          <w:lang w:val="pl-PL"/>
        </w:rPr>
        <w:t>godine</w:t>
      </w:r>
      <w:r w:rsidR="00551DEC" w:rsidRPr="0048184E">
        <w:rPr>
          <w:rFonts w:cstheme="minorHAnsi"/>
          <w:b/>
          <w:sz w:val="18"/>
          <w:szCs w:val="18"/>
          <w:lang w:val="sr-Latn-ME"/>
        </w:rPr>
        <w:t xml:space="preserve">, </w:t>
      </w:r>
      <w:r w:rsidR="004D7179" w:rsidRPr="0048184E">
        <w:rPr>
          <w:sz w:val="18"/>
          <w:szCs w:val="18"/>
        </w:rPr>
        <w:t>Strategija</w:t>
      </w:r>
      <w:r w:rsidR="004D7179" w:rsidRPr="0048184E">
        <w:rPr>
          <w:sz w:val="18"/>
          <w:szCs w:val="18"/>
          <w:lang w:val="sr-Latn-ME"/>
        </w:rPr>
        <w:t xml:space="preserve"> </w:t>
      </w:r>
      <w:r w:rsidR="004D7179" w:rsidRPr="0048184E">
        <w:rPr>
          <w:sz w:val="18"/>
          <w:szCs w:val="18"/>
        </w:rPr>
        <w:t>stambene</w:t>
      </w:r>
      <w:r w:rsidR="004D7179" w:rsidRPr="0048184E">
        <w:rPr>
          <w:sz w:val="18"/>
          <w:szCs w:val="18"/>
          <w:lang w:val="sr-Latn-ME"/>
        </w:rPr>
        <w:t xml:space="preserve"> </w:t>
      </w:r>
      <w:r w:rsidR="004D7179" w:rsidRPr="0048184E">
        <w:rPr>
          <w:sz w:val="18"/>
          <w:szCs w:val="18"/>
        </w:rPr>
        <w:t>politike</w:t>
      </w:r>
      <w:r w:rsidR="004D7179" w:rsidRPr="0048184E">
        <w:rPr>
          <w:sz w:val="18"/>
          <w:szCs w:val="18"/>
          <w:lang w:val="sr-Latn-ME"/>
        </w:rPr>
        <w:t xml:space="preserve"> </w:t>
      </w:r>
      <w:r w:rsidR="004D7179" w:rsidRPr="0048184E">
        <w:rPr>
          <w:sz w:val="18"/>
          <w:szCs w:val="18"/>
        </w:rPr>
        <w:t>Crne</w:t>
      </w:r>
      <w:r w:rsidR="004D7179" w:rsidRPr="0048184E">
        <w:rPr>
          <w:sz w:val="18"/>
          <w:szCs w:val="18"/>
          <w:lang w:val="sr-Latn-ME"/>
        </w:rPr>
        <w:t xml:space="preserve"> </w:t>
      </w:r>
      <w:r w:rsidR="004D7179" w:rsidRPr="0048184E">
        <w:rPr>
          <w:sz w:val="18"/>
          <w:szCs w:val="18"/>
        </w:rPr>
        <w:t>Gore</w:t>
      </w:r>
      <w:r w:rsidR="004D7179" w:rsidRPr="0048184E">
        <w:rPr>
          <w:sz w:val="18"/>
          <w:szCs w:val="18"/>
          <w:lang w:val="sr-Latn-ME"/>
        </w:rPr>
        <w:t xml:space="preserve"> </w:t>
      </w:r>
      <w:r w:rsidR="004D7179" w:rsidRPr="0048184E">
        <w:rPr>
          <w:sz w:val="18"/>
          <w:szCs w:val="18"/>
        </w:rPr>
        <w:t>predstavlja</w:t>
      </w:r>
      <w:r w:rsidR="004D7179" w:rsidRPr="0048184E">
        <w:rPr>
          <w:sz w:val="18"/>
          <w:szCs w:val="18"/>
          <w:lang w:val="sr-Latn-ME"/>
        </w:rPr>
        <w:t xml:space="preserve"> </w:t>
      </w:r>
      <w:r w:rsidR="004D7179" w:rsidRPr="0048184E">
        <w:rPr>
          <w:sz w:val="18"/>
          <w:szCs w:val="18"/>
        </w:rPr>
        <w:t>razvojnu</w:t>
      </w:r>
      <w:r w:rsidR="004D7179" w:rsidRPr="0048184E">
        <w:rPr>
          <w:sz w:val="18"/>
          <w:szCs w:val="18"/>
          <w:lang w:val="sr-Latn-ME"/>
        </w:rPr>
        <w:t xml:space="preserve"> </w:t>
      </w:r>
      <w:r w:rsidR="004D7179" w:rsidRPr="0048184E">
        <w:rPr>
          <w:sz w:val="18"/>
          <w:szCs w:val="18"/>
        </w:rPr>
        <w:t>strategiju</w:t>
      </w:r>
      <w:r w:rsidR="004D7179" w:rsidRPr="0048184E">
        <w:rPr>
          <w:sz w:val="18"/>
          <w:szCs w:val="18"/>
          <w:lang w:val="sr-Latn-ME"/>
        </w:rPr>
        <w:t xml:space="preserve"> </w:t>
      </w:r>
      <w:r w:rsidR="004D7179" w:rsidRPr="0048184E">
        <w:rPr>
          <w:sz w:val="18"/>
          <w:szCs w:val="18"/>
        </w:rPr>
        <w:t>Crne</w:t>
      </w:r>
      <w:r w:rsidR="004D7179" w:rsidRPr="0048184E">
        <w:rPr>
          <w:sz w:val="18"/>
          <w:szCs w:val="18"/>
          <w:lang w:val="sr-Latn-ME"/>
        </w:rPr>
        <w:t xml:space="preserve"> </w:t>
      </w:r>
      <w:r w:rsidR="004D7179" w:rsidRPr="0048184E">
        <w:rPr>
          <w:sz w:val="18"/>
          <w:szCs w:val="18"/>
        </w:rPr>
        <w:t>Gore</w:t>
      </w:r>
      <w:r w:rsidR="004D7179" w:rsidRPr="0048184E">
        <w:rPr>
          <w:sz w:val="18"/>
          <w:szCs w:val="18"/>
          <w:lang w:val="sr-Latn-ME"/>
        </w:rPr>
        <w:t xml:space="preserve"> </w:t>
      </w:r>
      <w:r w:rsidR="004D7179" w:rsidRPr="0048184E">
        <w:rPr>
          <w:sz w:val="18"/>
          <w:szCs w:val="18"/>
        </w:rPr>
        <w:t>kojom</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utvr</w:t>
      </w:r>
      <w:r w:rsidR="004D7179" w:rsidRPr="0048184E">
        <w:rPr>
          <w:sz w:val="18"/>
          <w:szCs w:val="18"/>
          <w:lang w:val="sr-Latn-ME"/>
        </w:rPr>
        <w:t>đ</w:t>
      </w:r>
      <w:r w:rsidR="004D7179" w:rsidRPr="0048184E">
        <w:rPr>
          <w:sz w:val="18"/>
          <w:szCs w:val="18"/>
        </w:rPr>
        <w:t>uju</w:t>
      </w:r>
      <w:r w:rsidR="004D7179" w:rsidRPr="0048184E">
        <w:rPr>
          <w:sz w:val="18"/>
          <w:szCs w:val="18"/>
          <w:lang w:val="sr-Latn-ME"/>
        </w:rPr>
        <w:t xml:space="preserve"> </w:t>
      </w:r>
      <w:r w:rsidR="004D7179" w:rsidRPr="0048184E">
        <w:rPr>
          <w:sz w:val="18"/>
          <w:szCs w:val="18"/>
        </w:rPr>
        <w:t>pravci</w:t>
      </w:r>
      <w:r w:rsidR="004D7179" w:rsidRPr="0048184E">
        <w:rPr>
          <w:sz w:val="18"/>
          <w:szCs w:val="18"/>
          <w:lang w:val="sr-Latn-ME"/>
        </w:rPr>
        <w:t xml:space="preserve"> </w:t>
      </w:r>
      <w:r w:rsidR="004D7179" w:rsidRPr="0048184E">
        <w:rPr>
          <w:sz w:val="18"/>
          <w:szCs w:val="18"/>
        </w:rPr>
        <w:t>razvoja</w:t>
      </w:r>
      <w:r w:rsidR="004D7179" w:rsidRPr="0048184E">
        <w:rPr>
          <w:sz w:val="18"/>
          <w:szCs w:val="18"/>
          <w:lang w:val="sr-Latn-ME"/>
        </w:rPr>
        <w:t xml:space="preserve"> </w:t>
      </w:r>
      <w:r w:rsidR="004D7179" w:rsidRPr="0048184E">
        <w:rPr>
          <w:sz w:val="18"/>
          <w:szCs w:val="18"/>
        </w:rPr>
        <w:t>stanovanja</w:t>
      </w:r>
      <w:r w:rsidR="004D7179" w:rsidRPr="0048184E">
        <w:rPr>
          <w:sz w:val="18"/>
          <w:szCs w:val="18"/>
          <w:lang w:val="sr-Latn-ME"/>
        </w:rPr>
        <w:t xml:space="preserve"> </w:t>
      </w:r>
      <w:r w:rsidR="004D7179" w:rsidRPr="0048184E">
        <w:rPr>
          <w:sz w:val="18"/>
          <w:szCs w:val="18"/>
        </w:rPr>
        <w:t>na</w:t>
      </w:r>
      <w:r w:rsidR="004D7179" w:rsidRPr="0048184E">
        <w:rPr>
          <w:sz w:val="18"/>
          <w:szCs w:val="18"/>
          <w:lang w:val="sr-Latn-ME"/>
        </w:rPr>
        <w:t xml:space="preserve"> </w:t>
      </w:r>
      <w:r w:rsidR="004D7179" w:rsidRPr="0048184E">
        <w:rPr>
          <w:sz w:val="18"/>
          <w:szCs w:val="18"/>
        </w:rPr>
        <w:t>na</w:t>
      </w:r>
      <w:r w:rsidR="004D7179" w:rsidRPr="0048184E">
        <w:rPr>
          <w:sz w:val="18"/>
          <w:szCs w:val="18"/>
          <w:lang w:val="sr-Latn-ME"/>
        </w:rPr>
        <w:t>č</w:t>
      </w:r>
      <w:r w:rsidR="004D7179" w:rsidRPr="0048184E">
        <w:rPr>
          <w:sz w:val="18"/>
          <w:szCs w:val="18"/>
        </w:rPr>
        <w:t>in</w:t>
      </w:r>
      <w:r w:rsidR="004D7179" w:rsidRPr="0048184E">
        <w:rPr>
          <w:sz w:val="18"/>
          <w:szCs w:val="18"/>
          <w:lang w:val="sr-Latn-ME"/>
        </w:rPr>
        <w:t xml:space="preserve"> </w:t>
      </w:r>
      <w:r w:rsidR="004D7179" w:rsidRPr="0048184E">
        <w:rPr>
          <w:sz w:val="18"/>
          <w:szCs w:val="18"/>
        </w:rPr>
        <w:t>da</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osigura</w:t>
      </w:r>
      <w:r w:rsidR="004D7179" w:rsidRPr="0048184E">
        <w:rPr>
          <w:sz w:val="18"/>
          <w:szCs w:val="18"/>
          <w:lang w:val="sr-Latn-ME"/>
        </w:rPr>
        <w:t xml:space="preserve"> </w:t>
      </w:r>
      <w:r w:rsidR="004D7179" w:rsidRPr="0048184E">
        <w:rPr>
          <w:sz w:val="18"/>
          <w:szCs w:val="18"/>
        </w:rPr>
        <w:t>pove</w:t>
      </w:r>
      <w:r w:rsidR="004D7179" w:rsidRPr="0048184E">
        <w:rPr>
          <w:sz w:val="18"/>
          <w:szCs w:val="18"/>
          <w:lang w:val="sr-Latn-ME"/>
        </w:rPr>
        <w:t>ć</w:t>
      </w:r>
      <w:r w:rsidR="004D7179" w:rsidRPr="0048184E">
        <w:rPr>
          <w:sz w:val="18"/>
          <w:szCs w:val="18"/>
        </w:rPr>
        <w:t>anje</w:t>
      </w:r>
      <w:r w:rsidR="004D7179" w:rsidRPr="0048184E">
        <w:rPr>
          <w:sz w:val="18"/>
          <w:szCs w:val="18"/>
          <w:lang w:val="sr-Latn-ME"/>
        </w:rPr>
        <w:t xml:space="preserve"> </w:t>
      </w:r>
      <w:r w:rsidR="004D7179" w:rsidRPr="0048184E">
        <w:rPr>
          <w:sz w:val="18"/>
          <w:szCs w:val="18"/>
        </w:rPr>
        <w:t>socijalne</w:t>
      </w:r>
      <w:r w:rsidR="004D7179" w:rsidRPr="0048184E">
        <w:rPr>
          <w:sz w:val="18"/>
          <w:szCs w:val="18"/>
          <w:lang w:val="sr-Latn-ME"/>
        </w:rPr>
        <w:t xml:space="preserve">, </w:t>
      </w:r>
      <w:r w:rsidR="004D7179" w:rsidRPr="0048184E">
        <w:rPr>
          <w:sz w:val="18"/>
          <w:szCs w:val="18"/>
        </w:rPr>
        <w:t>ekonomske</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ekolo</w:t>
      </w:r>
      <w:r w:rsidR="004D7179" w:rsidRPr="0048184E">
        <w:rPr>
          <w:sz w:val="18"/>
          <w:szCs w:val="18"/>
          <w:lang w:val="sr-Latn-ME"/>
        </w:rPr>
        <w:t>š</w:t>
      </w:r>
      <w:r w:rsidR="004D7179" w:rsidRPr="0048184E">
        <w:rPr>
          <w:sz w:val="18"/>
          <w:szCs w:val="18"/>
        </w:rPr>
        <w:t>ke</w:t>
      </w:r>
      <w:r w:rsidR="004D7179" w:rsidRPr="0048184E">
        <w:rPr>
          <w:sz w:val="18"/>
          <w:szCs w:val="18"/>
          <w:lang w:val="sr-Latn-ME"/>
        </w:rPr>
        <w:t xml:space="preserve"> </w:t>
      </w:r>
      <w:r w:rsidR="004D7179" w:rsidRPr="0048184E">
        <w:rPr>
          <w:sz w:val="18"/>
          <w:szCs w:val="18"/>
        </w:rPr>
        <w:t>odr</w:t>
      </w:r>
      <w:r w:rsidR="004D7179" w:rsidRPr="0048184E">
        <w:rPr>
          <w:sz w:val="18"/>
          <w:szCs w:val="18"/>
          <w:lang w:val="sr-Latn-ME"/>
        </w:rPr>
        <w:t>ž</w:t>
      </w:r>
      <w:r w:rsidR="004D7179" w:rsidRPr="0048184E">
        <w:rPr>
          <w:sz w:val="18"/>
          <w:szCs w:val="18"/>
        </w:rPr>
        <w:t>ivosti</w:t>
      </w:r>
      <w:r w:rsidR="004D7179" w:rsidRPr="0048184E">
        <w:rPr>
          <w:sz w:val="18"/>
          <w:szCs w:val="18"/>
          <w:lang w:val="sr-Latn-ME"/>
        </w:rPr>
        <w:t xml:space="preserve"> </w:t>
      </w:r>
      <w:r w:rsidR="004D7179" w:rsidRPr="0048184E">
        <w:rPr>
          <w:sz w:val="18"/>
          <w:szCs w:val="18"/>
        </w:rPr>
        <w:t>zajednice</w:t>
      </w:r>
      <w:r w:rsidR="004D7179" w:rsidRPr="0048184E">
        <w:rPr>
          <w:sz w:val="18"/>
          <w:szCs w:val="18"/>
          <w:lang w:val="sr-Latn-ME"/>
        </w:rPr>
        <w:t xml:space="preserve">, </w:t>
      </w:r>
      <w:r w:rsidR="004D7179" w:rsidRPr="0048184E">
        <w:rPr>
          <w:sz w:val="18"/>
          <w:szCs w:val="18"/>
        </w:rPr>
        <w:t>identifikuju</w:t>
      </w:r>
      <w:r w:rsidR="004D7179" w:rsidRPr="0048184E">
        <w:rPr>
          <w:sz w:val="18"/>
          <w:szCs w:val="18"/>
          <w:lang w:val="sr-Latn-ME"/>
        </w:rPr>
        <w:t xml:space="preserve"> </w:t>
      </w:r>
      <w:r w:rsidR="004D7179" w:rsidRPr="0048184E">
        <w:rPr>
          <w:sz w:val="18"/>
          <w:szCs w:val="18"/>
        </w:rPr>
        <w:t>izvori</w:t>
      </w:r>
      <w:r w:rsidR="004D7179" w:rsidRPr="0048184E">
        <w:rPr>
          <w:sz w:val="18"/>
          <w:szCs w:val="18"/>
          <w:lang w:val="sr-Latn-ME"/>
        </w:rPr>
        <w:t xml:space="preserve"> </w:t>
      </w:r>
      <w:r w:rsidR="004D7179" w:rsidRPr="0048184E">
        <w:rPr>
          <w:sz w:val="18"/>
          <w:szCs w:val="18"/>
        </w:rPr>
        <w:t>finansiranja</w:t>
      </w:r>
      <w:r w:rsidR="004D7179" w:rsidRPr="0048184E">
        <w:rPr>
          <w:sz w:val="18"/>
          <w:szCs w:val="18"/>
          <w:lang w:val="sr-Latn-ME"/>
        </w:rPr>
        <w:t xml:space="preserve"> </w:t>
      </w:r>
      <w:r w:rsidR="004D7179" w:rsidRPr="0048184E">
        <w:rPr>
          <w:sz w:val="18"/>
          <w:szCs w:val="18"/>
        </w:rPr>
        <w:t>stanovanja</w:t>
      </w:r>
      <w:r w:rsidR="004D7179" w:rsidRPr="0048184E">
        <w:rPr>
          <w:sz w:val="18"/>
          <w:szCs w:val="18"/>
          <w:lang w:val="sr-Latn-ME"/>
        </w:rPr>
        <w:t xml:space="preserve">, </w:t>
      </w:r>
      <w:r w:rsidR="004D7179" w:rsidRPr="0048184E">
        <w:rPr>
          <w:sz w:val="18"/>
          <w:szCs w:val="18"/>
        </w:rPr>
        <w:t>unaprijedi</w:t>
      </w:r>
      <w:r w:rsidR="004D7179" w:rsidRPr="0048184E">
        <w:rPr>
          <w:sz w:val="18"/>
          <w:szCs w:val="18"/>
          <w:lang w:val="sr-Latn-ME"/>
        </w:rPr>
        <w:t xml:space="preserve"> </w:t>
      </w:r>
      <w:r w:rsidR="004D7179" w:rsidRPr="0048184E">
        <w:rPr>
          <w:sz w:val="18"/>
          <w:szCs w:val="18"/>
        </w:rPr>
        <w:t>razvoj</w:t>
      </w:r>
      <w:r w:rsidR="004D7179" w:rsidRPr="0048184E">
        <w:rPr>
          <w:sz w:val="18"/>
          <w:szCs w:val="18"/>
          <w:lang w:val="sr-Latn-ME"/>
        </w:rPr>
        <w:t xml:space="preserve"> </w:t>
      </w:r>
      <w:r w:rsidR="004D7179" w:rsidRPr="0048184E">
        <w:rPr>
          <w:sz w:val="18"/>
          <w:szCs w:val="18"/>
        </w:rPr>
        <w:t>neprofitne</w:t>
      </w:r>
      <w:r w:rsidR="004D7179" w:rsidRPr="0048184E">
        <w:rPr>
          <w:sz w:val="18"/>
          <w:szCs w:val="18"/>
          <w:lang w:val="sr-Latn-ME"/>
        </w:rPr>
        <w:t xml:space="preserve"> </w:t>
      </w:r>
      <w:r w:rsidR="004D7179" w:rsidRPr="0048184E">
        <w:rPr>
          <w:sz w:val="18"/>
          <w:szCs w:val="18"/>
        </w:rPr>
        <w:t>stanogradnje</w:t>
      </w:r>
      <w:r w:rsidR="004D7179" w:rsidRPr="0048184E">
        <w:rPr>
          <w:sz w:val="18"/>
          <w:szCs w:val="18"/>
          <w:lang w:val="sr-Latn-ME"/>
        </w:rPr>
        <w:t xml:space="preserve">, </w:t>
      </w:r>
      <w:r w:rsidR="004D7179" w:rsidRPr="0048184E">
        <w:rPr>
          <w:sz w:val="18"/>
          <w:szCs w:val="18"/>
        </w:rPr>
        <w:t>predlo</w:t>
      </w:r>
      <w:r w:rsidR="004D7179" w:rsidRPr="0048184E">
        <w:rPr>
          <w:sz w:val="18"/>
          <w:szCs w:val="18"/>
          <w:lang w:val="sr-Latn-ME"/>
        </w:rPr>
        <w:t>ž</w:t>
      </w:r>
      <w:r w:rsidR="004D7179" w:rsidRPr="0048184E">
        <w:rPr>
          <w:sz w:val="18"/>
          <w:szCs w:val="18"/>
        </w:rPr>
        <w:t>e</w:t>
      </w:r>
      <w:r w:rsidR="004D7179" w:rsidRPr="0048184E">
        <w:rPr>
          <w:sz w:val="18"/>
          <w:szCs w:val="18"/>
          <w:lang w:val="sr-Latn-ME"/>
        </w:rPr>
        <w:t xml:space="preserve"> </w:t>
      </w:r>
      <w:r w:rsidR="004D7179" w:rsidRPr="0048184E">
        <w:rPr>
          <w:sz w:val="18"/>
          <w:szCs w:val="18"/>
        </w:rPr>
        <w:t>mjere</w:t>
      </w:r>
      <w:r w:rsidR="004D7179" w:rsidRPr="0048184E">
        <w:rPr>
          <w:sz w:val="18"/>
          <w:szCs w:val="18"/>
          <w:lang w:val="sr-Latn-ME"/>
        </w:rPr>
        <w:t xml:space="preserve"> </w:t>
      </w:r>
      <w:r w:rsidR="004D7179" w:rsidRPr="0048184E">
        <w:rPr>
          <w:sz w:val="18"/>
          <w:szCs w:val="18"/>
        </w:rPr>
        <w:t>za</w:t>
      </w:r>
      <w:r w:rsidR="004D7179" w:rsidRPr="0048184E">
        <w:rPr>
          <w:sz w:val="18"/>
          <w:szCs w:val="18"/>
          <w:lang w:val="sr-Latn-ME"/>
        </w:rPr>
        <w:t xml:space="preserve"> </w:t>
      </w:r>
      <w:r w:rsidR="004D7179" w:rsidRPr="0048184E">
        <w:rPr>
          <w:sz w:val="18"/>
          <w:szCs w:val="18"/>
        </w:rPr>
        <w:t>efikasniji</w:t>
      </w:r>
      <w:r w:rsidR="004D7179" w:rsidRPr="0048184E">
        <w:rPr>
          <w:sz w:val="18"/>
          <w:szCs w:val="18"/>
          <w:lang w:val="sr-Latn-ME"/>
        </w:rPr>
        <w:t xml:space="preserve"> </w:t>
      </w:r>
      <w:r w:rsidR="004D7179" w:rsidRPr="0048184E">
        <w:rPr>
          <w:sz w:val="18"/>
          <w:szCs w:val="18"/>
        </w:rPr>
        <w:t>sektor</w:t>
      </w:r>
      <w:r w:rsidR="004D7179" w:rsidRPr="0048184E">
        <w:rPr>
          <w:sz w:val="18"/>
          <w:szCs w:val="18"/>
          <w:lang w:val="sr-Latn-ME"/>
        </w:rPr>
        <w:t xml:space="preserve"> </w:t>
      </w:r>
      <w:r w:rsidR="004D7179" w:rsidRPr="0048184E">
        <w:rPr>
          <w:sz w:val="18"/>
          <w:szCs w:val="18"/>
        </w:rPr>
        <w:t>upravljanja</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odr</w:t>
      </w:r>
      <w:r w:rsidR="004D7179" w:rsidRPr="0048184E">
        <w:rPr>
          <w:sz w:val="18"/>
          <w:szCs w:val="18"/>
          <w:lang w:val="sr-Latn-ME"/>
        </w:rPr>
        <w:t>ž</w:t>
      </w:r>
      <w:r w:rsidR="004D7179" w:rsidRPr="0048184E">
        <w:rPr>
          <w:sz w:val="18"/>
          <w:szCs w:val="18"/>
        </w:rPr>
        <w:t>avanja</w:t>
      </w:r>
      <w:r w:rsidR="004D7179" w:rsidRPr="0048184E">
        <w:rPr>
          <w:sz w:val="18"/>
          <w:szCs w:val="18"/>
          <w:lang w:val="sr-Latn-ME"/>
        </w:rPr>
        <w:t xml:space="preserve"> </w:t>
      </w:r>
      <w:r w:rsidR="004D7179" w:rsidRPr="0048184E">
        <w:rPr>
          <w:sz w:val="18"/>
          <w:szCs w:val="18"/>
        </w:rPr>
        <w:t>postoje</w:t>
      </w:r>
      <w:r w:rsidR="004D7179" w:rsidRPr="0048184E">
        <w:rPr>
          <w:sz w:val="18"/>
          <w:szCs w:val="18"/>
          <w:lang w:val="sr-Latn-ME"/>
        </w:rPr>
        <w:t>ć</w:t>
      </w:r>
      <w:r w:rsidR="004D7179" w:rsidRPr="0048184E">
        <w:rPr>
          <w:sz w:val="18"/>
          <w:szCs w:val="18"/>
        </w:rPr>
        <w:t>eg</w:t>
      </w:r>
      <w:r w:rsidR="004D7179" w:rsidRPr="0048184E">
        <w:rPr>
          <w:sz w:val="18"/>
          <w:szCs w:val="18"/>
          <w:lang w:val="sr-Latn-ME"/>
        </w:rPr>
        <w:t xml:space="preserve"> </w:t>
      </w:r>
      <w:r w:rsidR="004D7179" w:rsidRPr="0048184E">
        <w:rPr>
          <w:sz w:val="18"/>
          <w:szCs w:val="18"/>
        </w:rPr>
        <w:t>stambenog</w:t>
      </w:r>
      <w:r w:rsidR="004D7179" w:rsidRPr="0048184E">
        <w:rPr>
          <w:sz w:val="18"/>
          <w:szCs w:val="18"/>
          <w:lang w:val="sr-Latn-ME"/>
        </w:rPr>
        <w:t xml:space="preserve"> </w:t>
      </w:r>
      <w:r w:rsidR="004D7179" w:rsidRPr="0048184E">
        <w:rPr>
          <w:sz w:val="18"/>
          <w:szCs w:val="18"/>
        </w:rPr>
        <w:t>fonda</w:t>
      </w:r>
      <w:r w:rsidR="004D7179" w:rsidRPr="0048184E">
        <w:rPr>
          <w:sz w:val="18"/>
          <w:szCs w:val="18"/>
          <w:lang w:val="sr-Latn-ME"/>
        </w:rPr>
        <w:t xml:space="preserve"> </w:t>
      </w:r>
      <w:r w:rsidR="004D7179" w:rsidRPr="0048184E">
        <w:rPr>
          <w:sz w:val="18"/>
          <w:szCs w:val="18"/>
        </w:rPr>
        <w:t>ali</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da</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predlo</w:t>
      </w:r>
      <w:r w:rsidR="004D7179" w:rsidRPr="0048184E">
        <w:rPr>
          <w:sz w:val="18"/>
          <w:szCs w:val="18"/>
          <w:lang w:val="sr-Latn-ME"/>
        </w:rPr>
        <w:t>ž</w:t>
      </w:r>
      <w:r w:rsidR="004D7179" w:rsidRPr="0048184E">
        <w:rPr>
          <w:sz w:val="18"/>
          <w:szCs w:val="18"/>
        </w:rPr>
        <w:t>e</w:t>
      </w:r>
      <w:r w:rsidR="004D7179" w:rsidRPr="0048184E">
        <w:rPr>
          <w:sz w:val="18"/>
          <w:szCs w:val="18"/>
          <w:lang w:val="sr-Latn-ME"/>
        </w:rPr>
        <w:t xml:space="preserve"> </w:t>
      </w:r>
      <w:r w:rsidR="004D7179" w:rsidRPr="0048184E">
        <w:rPr>
          <w:sz w:val="18"/>
          <w:szCs w:val="18"/>
        </w:rPr>
        <w:t>mjere</w:t>
      </w:r>
      <w:r w:rsidR="004D7179" w:rsidRPr="0048184E">
        <w:rPr>
          <w:sz w:val="18"/>
          <w:szCs w:val="18"/>
          <w:lang w:val="sr-Latn-ME"/>
        </w:rPr>
        <w:t xml:space="preserve"> </w:t>
      </w:r>
      <w:r w:rsidR="004D7179" w:rsidRPr="0048184E">
        <w:rPr>
          <w:sz w:val="18"/>
          <w:szCs w:val="18"/>
        </w:rPr>
        <w:t>za</w:t>
      </w:r>
      <w:r w:rsidR="004D7179" w:rsidRPr="0048184E">
        <w:rPr>
          <w:sz w:val="18"/>
          <w:szCs w:val="18"/>
          <w:lang w:val="sr-Latn-ME"/>
        </w:rPr>
        <w:t xml:space="preserve"> </w:t>
      </w:r>
      <w:r w:rsidR="004D7179" w:rsidRPr="0048184E">
        <w:rPr>
          <w:sz w:val="18"/>
          <w:szCs w:val="18"/>
        </w:rPr>
        <w:t>pove</w:t>
      </w:r>
      <w:r w:rsidR="004D7179" w:rsidRPr="0048184E">
        <w:rPr>
          <w:sz w:val="18"/>
          <w:szCs w:val="18"/>
          <w:lang w:val="sr-Latn-ME"/>
        </w:rPr>
        <w:t>ć</w:t>
      </w:r>
      <w:r w:rsidR="004D7179" w:rsidRPr="0048184E">
        <w:rPr>
          <w:sz w:val="18"/>
          <w:szCs w:val="18"/>
        </w:rPr>
        <w:t>anje</w:t>
      </w:r>
      <w:r w:rsidR="004D7179" w:rsidRPr="0048184E">
        <w:rPr>
          <w:sz w:val="18"/>
          <w:szCs w:val="18"/>
          <w:lang w:val="sr-Latn-ME"/>
        </w:rPr>
        <w:t xml:space="preserve"> </w:t>
      </w:r>
      <w:r w:rsidR="004D7179" w:rsidRPr="0048184E">
        <w:rPr>
          <w:sz w:val="18"/>
          <w:szCs w:val="18"/>
        </w:rPr>
        <w:t>dostupnosti</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sigurnost</w:t>
      </w:r>
      <w:r w:rsidR="004D7179" w:rsidRPr="0048184E">
        <w:rPr>
          <w:sz w:val="18"/>
          <w:szCs w:val="18"/>
          <w:lang w:val="sr-Latn-ME"/>
        </w:rPr>
        <w:t xml:space="preserve"> </w:t>
      </w:r>
      <w:r w:rsidR="004D7179" w:rsidRPr="0048184E">
        <w:rPr>
          <w:sz w:val="18"/>
          <w:szCs w:val="18"/>
        </w:rPr>
        <w:t>u</w:t>
      </w:r>
      <w:r w:rsidR="004D7179" w:rsidRPr="0048184E">
        <w:rPr>
          <w:sz w:val="18"/>
          <w:szCs w:val="18"/>
          <w:lang w:val="sr-Latn-ME"/>
        </w:rPr>
        <w:t xml:space="preserve"> </w:t>
      </w:r>
      <w:r w:rsidR="004D7179" w:rsidRPr="0048184E">
        <w:rPr>
          <w:sz w:val="18"/>
          <w:szCs w:val="18"/>
        </w:rPr>
        <w:t>sektoru</w:t>
      </w:r>
      <w:r w:rsidR="004D7179" w:rsidRPr="0048184E">
        <w:rPr>
          <w:sz w:val="18"/>
          <w:szCs w:val="18"/>
          <w:lang w:val="sr-Latn-ME"/>
        </w:rPr>
        <w:t xml:space="preserve"> </w:t>
      </w:r>
      <w:r w:rsidR="004D7179" w:rsidRPr="0048184E">
        <w:rPr>
          <w:sz w:val="18"/>
          <w:szCs w:val="18"/>
        </w:rPr>
        <w:t>zakupa</w:t>
      </w:r>
      <w:r w:rsidR="004D7179" w:rsidRPr="0048184E">
        <w:rPr>
          <w:sz w:val="18"/>
          <w:szCs w:val="18"/>
          <w:lang w:val="sr-Latn-ME"/>
        </w:rPr>
        <w:t xml:space="preserve"> </w:t>
      </w:r>
      <w:r w:rsidR="004D7179" w:rsidRPr="0048184E">
        <w:rPr>
          <w:sz w:val="18"/>
          <w:szCs w:val="18"/>
        </w:rPr>
        <w:t>stanova</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kona</w:t>
      </w:r>
      <w:r w:rsidR="004D7179" w:rsidRPr="0048184E">
        <w:rPr>
          <w:sz w:val="18"/>
          <w:szCs w:val="18"/>
          <w:lang w:val="sr-Latn-ME"/>
        </w:rPr>
        <w:t>č</w:t>
      </w:r>
      <w:r w:rsidR="004D7179" w:rsidRPr="0048184E">
        <w:rPr>
          <w:sz w:val="18"/>
          <w:szCs w:val="18"/>
        </w:rPr>
        <w:t>no</w:t>
      </w:r>
      <w:r w:rsidR="004D7179" w:rsidRPr="0048184E">
        <w:rPr>
          <w:sz w:val="18"/>
          <w:szCs w:val="18"/>
          <w:lang w:val="sr-Latn-ME"/>
        </w:rPr>
        <w:t xml:space="preserve"> </w:t>
      </w:r>
      <w:r w:rsidR="004D7179" w:rsidRPr="0048184E">
        <w:rPr>
          <w:sz w:val="18"/>
          <w:szCs w:val="18"/>
        </w:rPr>
        <w:t>da</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uti</w:t>
      </w:r>
      <w:r w:rsidR="004D7179" w:rsidRPr="0048184E">
        <w:rPr>
          <w:sz w:val="18"/>
          <w:szCs w:val="18"/>
          <w:lang w:val="sr-Latn-ME"/>
        </w:rPr>
        <w:t>č</w:t>
      </w:r>
      <w:r w:rsidR="004D7179" w:rsidRPr="0048184E">
        <w:rPr>
          <w:sz w:val="18"/>
          <w:szCs w:val="18"/>
        </w:rPr>
        <w:t>e</w:t>
      </w:r>
      <w:r w:rsidR="004D7179" w:rsidRPr="0048184E">
        <w:rPr>
          <w:sz w:val="18"/>
          <w:szCs w:val="18"/>
          <w:lang w:val="sr-Latn-ME"/>
        </w:rPr>
        <w:t xml:space="preserve"> </w:t>
      </w:r>
      <w:r w:rsidR="004D7179" w:rsidRPr="0048184E">
        <w:rPr>
          <w:sz w:val="18"/>
          <w:szCs w:val="18"/>
        </w:rPr>
        <w:t>na</w:t>
      </w:r>
      <w:r w:rsidR="004D7179" w:rsidRPr="0048184E">
        <w:rPr>
          <w:sz w:val="18"/>
          <w:szCs w:val="18"/>
          <w:lang w:val="sr-Latn-ME"/>
        </w:rPr>
        <w:t xml:space="preserve"> </w:t>
      </w:r>
      <w:r w:rsidR="004D7179" w:rsidRPr="0048184E">
        <w:rPr>
          <w:sz w:val="18"/>
          <w:szCs w:val="18"/>
        </w:rPr>
        <w:t>izgradnju</w:t>
      </w:r>
      <w:r w:rsidR="004D7179" w:rsidRPr="0048184E">
        <w:rPr>
          <w:sz w:val="18"/>
          <w:szCs w:val="18"/>
          <w:lang w:val="sr-Latn-ME"/>
        </w:rPr>
        <w:t xml:space="preserve"> </w:t>
      </w:r>
      <w:r w:rsidR="004D7179" w:rsidRPr="0048184E">
        <w:rPr>
          <w:sz w:val="18"/>
          <w:szCs w:val="18"/>
        </w:rPr>
        <w:t>svijesti</w:t>
      </w:r>
      <w:r w:rsidR="004D7179" w:rsidRPr="0048184E">
        <w:rPr>
          <w:sz w:val="18"/>
          <w:szCs w:val="18"/>
          <w:lang w:val="sr-Latn-ME"/>
        </w:rPr>
        <w:t xml:space="preserve"> </w:t>
      </w:r>
      <w:r w:rsidR="004D7179" w:rsidRPr="0048184E">
        <w:rPr>
          <w:sz w:val="18"/>
          <w:szCs w:val="18"/>
        </w:rPr>
        <w:t>kod</w:t>
      </w:r>
      <w:r w:rsidR="004D7179" w:rsidRPr="0048184E">
        <w:rPr>
          <w:sz w:val="18"/>
          <w:szCs w:val="18"/>
          <w:lang w:val="sr-Latn-ME"/>
        </w:rPr>
        <w:t xml:space="preserve"> </w:t>
      </w:r>
      <w:r w:rsidR="004D7179" w:rsidRPr="0048184E">
        <w:rPr>
          <w:sz w:val="18"/>
          <w:szCs w:val="18"/>
        </w:rPr>
        <w:t>gra</w:t>
      </w:r>
      <w:r w:rsidR="004D7179" w:rsidRPr="0048184E">
        <w:rPr>
          <w:sz w:val="18"/>
          <w:szCs w:val="18"/>
          <w:lang w:val="sr-Latn-ME"/>
        </w:rPr>
        <w:t>đ</w:t>
      </w:r>
      <w:r w:rsidR="004D7179" w:rsidRPr="0048184E">
        <w:rPr>
          <w:sz w:val="18"/>
          <w:szCs w:val="18"/>
        </w:rPr>
        <w:t>anstva</w:t>
      </w:r>
      <w:r w:rsidR="004D7179" w:rsidRPr="0048184E">
        <w:rPr>
          <w:sz w:val="18"/>
          <w:szCs w:val="18"/>
          <w:lang w:val="sr-Latn-ME"/>
        </w:rPr>
        <w:t xml:space="preserve"> </w:t>
      </w:r>
      <w:r w:rsidR="004D7179" w:rsidRPr="0048184E">
        <w:rPr>
          <w:sz w:val="18"/>
          <w:szCs w:val="18"/>
        </w:rPr>
        <w:t>o</w:t>
      </w:r>
      <w:r w:rsidR="004D7179" w:rsidRPr="0048184E">
        <w:rPr>
          <w:sz w:val="18"/>
          <w:szCs w:val="18"/>
          <w:lang w:val="sr-Latn-ME"/>
        </w:rPr>
        <w:t xml:space="preserve"> </w:t>
      </w:r>
      <w:r w:rsidR="004D7179" w:rsidRPr="0048184E">
        <w:rPr>
          <w:sz w:val="18"/>
          <w:szCs w:val="18"/>
        </w:rPr>
        <w:t>stambenoj</w:t>
      </w:r>
      <w:r w:rsidR="004D7179" w:rsidRPr="0048184E">
        <w:rPr>
          <w:sz w:val="18"/>
          <w:szCs w:val="18"/>
          <w:lang w:val="sr-Latn-ME"/>
        </w:rPr>
        <w:t xml:space="preserve"> </w:t>
      </w:r>
      <w:r w:rsidR="004D7179" w:rsidRPr="0048184E">
        <w:rPr>
          <w:sz w:val="18"/>
          <w:szCs w:val="18"/>
        </w:rPr>
        <w:t>kulturi</w:t>
      </w:r>
      <w:r w:rsidR="004D7179" w:rsidRPr="0048184E">
        <w:rPr>
          <w:sz w:val="18"/>
          <w:szCs w:val="18"/>
          <w:lang w:val="sr-Latn-ME"/>
        </w:rPr>
        <w:t xml:space="preserve">. </w:t>
      </w:r>
      <w:r w:rsidRPr="0048184E">
        <w:rPr>
          <w:rFonts w:cstheme="minorHAnsi"/>
          <w:sz w:val="18"/>
          <w:szCs w:val="18"/>
          <w:lang w:val="pl-PL"/>
        </w:rPr>
        <w:t>Va</w:t>
      </w:r>
      <w:r w:rsidRPr="0048184E">
        <w:rPr>
          <w:rFonts w:cstheme="minorHAnsi"/>
          <w:sz w:val="18"/>
          <w:szCs w:val="18"/>
          <w:lang w:val="sr-Latn-ME"/>
        </w:rPr>
        <w:t>ž</w:t>
      </w:r>
      <w:r w:rsidRPr="0048184E">
        <w:rPr>
          <w:rFonts w:cstheme="minorHAnsi"/>
          <w:sz w:val="18"/>
          <w:szCs w:val="18"/>
          <w:lang w:val="pl-PL"/>
        </w:rPr>
        <w:t>no</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ovdje</w:t>
      </w:r>
      <w:r w:rsidRPr="0048184E">
        <w:rPr>
          <w:rFonts w:cstheme="minorHAnsi"/>
          <w:sz w:val="18"/>
          <w:szCs w:val="18"/>
          <w:lang w:val="sr-Latn-ME"/>
        </w:rPr>
        <w:t xml:space="preserve"> </w:t>
      </w:r>
      <w:r w:rsidRPr="0048184E">
        <w:rPr>
          <w:rFonts w:cstheme="minorHAnsi"/>
          <w:sz w:val="18"/>
          <w:szCs w:val="18"/>
          <w:lang w:val="pl-PL"/>
        </w:rPr>
        <w:t>napomenuti</w:t>
      </w:r>
      <w:r w:rsidRPr="0048184E">
        <w:rPr>
          <w:rFonts w:cstheme="minorHAnsi"/>
          <w:sz w:val="18"/>
          <w:szCs w:val="18"/>
          <w:lang w:val="sr-Latn-ME"/>
        </w:rPr>
        <w:t xml:space="preserve"> </w:t>
      </w:r>
      <w:r w:rsidRPr="0048184E">
        <w:rPr>
          <w:rFonts w:cstheme="minorHAnsi"/>
          <w:sz w:val="18"/>
          <w:szCs w:val="18"/>
          <w:lang w:val="pl-PL"/>
        </w:rPr>
        <w:t>da</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strategija</w:t>
      </w:r>
      <w:r w:rsidRPr="0048184E">
        <w:rPr>
          <w:rFonts w:cstheme="minorHAnsi"/>
          <w:sz w:val="18"/>
          <w:szCs w:val="18"/>
          <w:lang w:val="sr-Latn-ME"/>
        </w:rPr>
        <w:t xml:space="preserve"> </w:t>
      </w:r>
      <w:r w:rsidRPr="0048184E">
        <w:rPr>
          <w:rFonts w:cstheme="minorHAnsi"/>
          <w:sz w:val="18"/>
          <w:szCs w:val="18"/>
          <w:lang w:val="pl-PL"/>
        </w:rPr>
        <w:t>do</w:t>
      </w:r>
      <w:r w:rsidRPr="0048184E">
        <w:rPr>
          <w:rFonts w:cstheme="minorHAnsi"/>
          <w:sz w:val="18"/>
          <w:szCs w:val="18"/>
          <w:lang w:val="sr-Latn-ME"/>
        </w:rPr>
        <w:t xml:space="preserve"> 2034. </w:t>
      </w:r>
      <w:r w:rsidRPr="0048184E">
        <w:rPr>
          <w:rFonts w:cstheme="minorHAnsi"/>
          <w:sz w:val="18"/>
          <w:szCs w:val="18"/>
          <w:lang w:val="pl-PL"/>
        </w:rPr>
        <w:t>godine</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potpunosti</w:t>
      </w:r>
      <w:r w:rsidRPr="0048184E">
        <w:rPr>
          <w:rFonts w:cstheme="minorHAnsi"/>
          <w:sz w:val="18"/>
          <w:szCs w:val="18"/>
          <w:lang w:val="sr-Latn-ME"/>
        </w:rPr>
        <w:t xml:space="preserve"> </w:t>
      </w:r>
      <w:r w:rsidRPr="0048184E">
        <w:rPr>
          <w:rFonts w:cstheme="minorHAnsi"/>
          <w:sz w:val="18"/>
          <w:szCs w:val="18"/>
          <w:lang w:val="pl-PL"/>
        </w:rPr>
        <w:t>integrirana</w:t>
      </w:r>
      <w:r w:rsidRPr="0048184E">
        <w:rPr>
          <w:rFonts w:cstheme="minorHAnsi"/>
          <w:sz w:val="18"/>
          <w:szCs w:val="18"/>
          <w:lang w:val="sr-Latn-ME"/>
        </w:rPr>
        <w:t xml:space="preserve"> </w:t>
      </w:r>
      <w:r w:rsidRPr="0048184E">
        <w:rPr>
          <w:rFonts w:cstheme="minorHAnsi"/>
          <w:sz w:val="18"/>
          <w:szCs w:val="18"/>
          <w:lang w:val="pl-PL"/>
        </w:rPr>
        <w:t>s</w:t>
      </w:r>
      <w:r w:rsidRPr="0048184E">
        <w:rPr>
          <w:rFonts w:cstheme="minorHAnsi"/>
          <w:sz w:val="18"/>
          <w:szCs w:val="18"/>
          <w:lang w:val="sr-Latn-ME"/>
        </w:rPr>
        <w:t xml:space="preserve"> </w:t>
      </w:r>
      <w:r w:rsidRPr="0048184E">
        <w:rPr>
          <w:rFonts w:cstheme="minorHAnsi"/>
          <w:sz w:val="18"/>
          <w:szCs w:val="18"/>
          <w:lang w:val="pl-PL"/>
        </w:rPr>
        <w:t>ciljevima</w:t>
      </w:r>
      <w:r w:rsidRPr="0048184E">
        <w:rPr>
          <w:rFonts w:cstheme="minorHAnsi"/>
          <w:sz w:val="18"/>
          <w:szCs w:val="18"/>
          <w:lang w:val="sr-Latn-ME"/>
        </w:rPr>
        <w:t xml:space="preserve"> </w:t>
      </w:r>
      <w:r w:rsidR="004D7179" w:rsidRPr="0048184E">
        <w:rPr>
          <w:rFonts w:cstheme="minorHAnsi"/>
          <w:sz w:val="18"/>
          <w:szCs w:val="18"/>
          <w:lang w:val="pl-PL"/>
        </w:rPr>
        <w:t>SRR</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sna</w:t>
      </w:r>
      <w:r w:rsidRPr="0048184E">
        <w:rPr>
          <w:rFonts w:cstheme="minorHAnsi"/>
          <w:sz w:val="18"/>
          <w:szCs w:val="18"/>
          <w:lang w:val="sr-Latn-ME"/>
        </w:rPr>
        <w:t>ž</w:t>
      </w:r>
      <w:r w:rsidRPr="0048184E">
        <w:rPr>
          <w:rFonts w:cstheme="minorHAnsi"/>
          <w:sz w:val="18"/>
          <w:szCs w:val="18"/>
          <w:lang w:val="pl-PL"/>
        </w:rPr>
        <w:t>no</w:t>
      </w:r>
      <w:r w:rsidRPr="0048184E">
        <w:rPr>
          <w:rFonts w:cstheme="minorHAnsi"/>
          <w:sz w:val="18"/>
          <w:szCs w:val="18"/>
          <w:lang w:val="sr-Latn-ME"/>
        </w:rPr>
        <w:t xml:space="preserve"> </w:t>
      </w:r>
      <w:r w:rsidRPr="0048184E">
        <w:rPr>
          <w:rFonts w:cstheme="minorHAnsi"/>
          <w:sz w:val="18"/>
          <w:szCs w:val="18"/>
          <w:lang w:val="pl-PL"/>
        </w:rPr>
        <w:t>uklju</w:t>
      </w:r>
      <w:r w:rsidRPr="0048184E">
        <w:rPr>
          <w:rFonts w:cstheme="minorHAnsi"/>
          <w:sz w:val="18"/>
          <w:szCs w:val="18"/>
          <w:lang w:val="sr-Latn-ME"/>
        </w:rPr>
        <w:t>č</w:t>
      </w:r>
      <w:r w:rsidRPr="0048184E">
        <w:rPr>
          <w:rFonts w:cstheme="minorHAnsi"/>
          <w:sz w:val="18"/>
          <w:szCs w:val="18"/>
          <w:lang w:val="pl-PL"/>
        </w:rPr>
        <w:t>uje</w:t>
      </w:r>
      <w:r w:rsidRPr="0048184E">
        <w:rPr>
          <w:rFonts w:cstheme="minorHAnsi"/>
          <w:sz w:val="18"/>
          <w:szCs w:val="18"/>
          <w:lang w:val="sr-Latn-ME"/>
        </w:rPr>
        <w:t xml:space="preserve"> </w:t>
      </w:r>
      <w:r w:rsidRPr="0048184E">
        <w:rPr>
          <w:rFonts w:cstheme="minorHAnsi"/>
          <w:sz w:val="18"/>
          <w:szCs w:val="18"/>
          <w:lang w:val="pl-PL"/>
        </w:rPr>
        <w:t>teritorijalnu</w:t>
      </w:r>
      <w:r w:rsidRPr="0048184E">
        <w:rPr>
          <w:rFonts w:cstheme="minorHAnsi"/>
          <w:sz w:val="18"/>
          <w:szCs w:val="18"/>
          <w:lang w:val="sr-Latn-ME"/>
        </w:rPr>
        <w:t xml:space="preserve"> </w:t>
      </w:r>
      <w:r w:rsidRPr="0048184E">
        <w:rPr>
          <w:rFonts w:cstheme="minorHAnsi"/>
          <w:sz w:val="18"/>
          <w:szCs w:val="18"/>
          <w:lang w:val="pl-PL"/>
        </w:rPr>
        <w:t>dimenziju</w:t>
      </w:r>
      <w:r w:rsidRPr="0048184E">
        <w:rPr>
          <w:rFonts w:cstheme="minorHAnsi"/>
          <w:sz w:val="18"/>
          <w:szCs w:val="18"/>
          <w:lang w:val="sr-Latn-ME"/>
        </w:rPr>
        <w:t xml:space="preserve">, </w:t>
      </w:r>
      <w:r w:rsidRPr="0048184E">
        <w:rPr>
          <w:rFonts w:cstheme="minorHAnsi"/>
          <w:sz w:val="18"/>
          <w:szCs w:val="18"/>
          <w:lang w:val="pl-PL"/>
        </w:rPr>
        <w:t>fokusiraju</w:t>
      </w:r>
      <w:r w:rsidRPr="0048184E">
        <w:rPr>
          <w:rFonts w:cstheme="minorHAnsi"/>
          <w:sz w:val="18"/>
          <w:szCs w:val="18"/>
          <w:lang w:val="sr-Latn-ME"/>
        </w:rPr>
        <w:t>ć</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se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potrebe</w:t>
      </w:r>
      <w:r w:rsidRPr="0048184E">
        <w:rPr>
          <w:rFonts w:cstheme="minorHAnsi"/>
          <w:sz w:val="18"/>
          <w:szCs w:val="18"/>
          <w:lang w:val="sr-Latn-ME"/>
        </w:rPr>
        <w:t xml:space="preserve"> </w:t>
      </w:r>
      <w:r w:rsidRPr="0048184E">
        <w:rPr>
          <w:rFonts w:cstheme="minorHAnsi"/>
          <w:sz w:val="18"/>
          <w:szCs w:val="18"/>
          <w:lang w:val="pl-PL"/>
        </w:rPr>
        <w:t>pristupa</w:t>
      </w:r>
      <w:r w:rsidRPr="0048184E">
        <w:rPr>
          <w:rFonts w:cstheme="minorHAnsi"/>
          <w:sz w:val="18"/>
          <w:szCs w:val="18"/>
          <w:lang w:val="sr-Latn-ME"/>
        </w:rPr>
        <w:t>č</w:t>
      </w:r>
      <w:r w:rsidRPr="0048184E">
        <w:rPr>
          <w:rFonts w:cstheme="minorHAnsi"/>
          <w:sz w:val="18"/>
          <w:szCs w:val="18"/>
          <w:lang w:val="pl-PL"/>
        </w:rPr>
        <w:t>nog</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odr</w:t>
      </w:r>
      <w:r w:rsidRPr="0048184E">
        <w:rPr>
          <w:rFonts w:cstheme="minorHAnsi"/>
          <w:sz w:val="18"/>
          <w:szCs w:val="18"/>
          <w:lang w:val="sr-Latn-ME"/>
        </w:rPr>
        <w:t>ž</w:t>
      </w:r>
      <w:r w:rsidRPr="0048184E">
        <w:rPr>
          <w:rFonts w:cstheme="minorHAnsi"/>
          <w:sz w:val="18"/>
          <w:szCs w:val="18"/>
          <w:lang w:val="pl-PL"/>
        </w:rPr>
        <w:t>ivog</w:t>
      </w:r>
      <w:r w:rsidRPr="0048184E">
        <w:rPr>
          <w:rFonts w:cstheme="minorHAnsi"/>
          <w:sz w:val="18"/>
          <w:szCs w:val="18"/>
          <w:lang w:val="sr-Latn-ME"/>
        </w:rPr>
        <w:t xml:space="preserve"> </w:t>
      </w:r>
      <w:r w:rsidRPr="0048184E">
        <w:rPr>
          <w:rFonts w:cstheme="minorHAnsi"/>
          <w:sz w:val="18"/>
          <w:szCs w:val="18"/>
          <w:lang w:val="pl-PL"/>
        </w:rPr>
        <w:t>stanovanja</w:t>
      </w:r>
      <w:r w:rsidRPr="0048184E">
        <w:rPr>
          <w:rFonts w:cstheme="minorHAnsi"/>
          <w:sz w:val="18"/>
          <w:szCs w:val="18"/>
          <w:lang w:val="sr-Latn-ME"/>
        </w:rPr>
        <w:t xml:space="preserve"> š</w:t>
      </w:r>
      <w:r w:rsidRPr="0048184E">
        <w:rPr>
          <w:rFonts w:cstheme="minorHAnsi"/>
          <w:sz w:val="18"/>
          <w:szCs w:val="18"/>
          <w:lang w:val="pl-PL"/>
        </w:rPr>
        <w:t>irom</w:t>
      </w:r>
      <w:r w:rsidRPr="0048184E">
        <w:rPr>
          <w:rFonts w:cstheme="minorHAnsi"/>
          <w:sz w:val="18"/>
          <w:szCs w:val="18"/>
          <w:lang w:val="sr-Latn-ME"/>
        </w:rPr>
        <w:t xml:space="preserve"> </w:t>
      </w:r>
      <w:r w:rsidRPr="0048184E">
        <w:rPr>
          <w:rFonts w:cstheme="minorHAnsi"/>
          <w:sz w:val="18"/>
          <w:szCs w:val="18"/>
          <w:lang w:val="pl-PL"/>
        </w:rPr>
        <w:t>zemlje</w:t>
      </w:r>
      <w:r w:rsidRPr="0048184E">
        <w:rPr>
          <w:rFonts w:cstheme="minorHAnsi"/>
          <w:sz w:val="18"/>
          <w:szCs w:val="18"/>
          <w:lang w:val="sr-Latn-ME"/>
        </w:rPr>
        <w:t xml:space="preserve">. </w:t>
      </w:r>
    </w:p>
    <w:p w14:paraId="4DB2A719" w14:textId="77777777" w:rsidR="004244AD" w:rsidRPr="0048184E" w:rsidRDefault="004244AD" w:rsidP="0048184E">
      <w:pPr>
        <w:spacing w:after="0" w:line="240" w:lineRule="auto"/>
        <w:jc w:val="both"/>
        <w:rPr>
          <w:rFonts w:cstheme="minorHAnsi"/>
          <w:b/>
          <w:sz w:val="18"/>
          <w:szCs w:val="18"/>
          <w:lang w:val="sr-Latn-ME"/>
        </w:rPr>
      </w:pPr>
    </w:p>
    <w:p w14:paraId="59C1535B" w14:textId="77777777" w:rsidR="00ED69A2" w:rsidRPr="0048184E" w:rsidRDefault="00ED69A2" w:rsidP="0048184E">
      <w:pPr>
        <w:spacing w:after="0" w:line="240" w:lineRule="auto"/>
        <w:jc w:val="both"/>
        <w:rPr>
          <w:rFonts w:eastAsia="Calibri" w:cstheme="minorHAnsi"/>
          <w:bCs/>
          <w:sz w:val="18"/>
          <w:szCs w:val="18"/>
          <w:lang w:val="sr-Latn-ME"/>
        </w:rPr>
      </w:pPr>
      <w:r w:rsidRPr="0048184E">
        <w:rPr>
          <w:rFonts w:cstheme="minorHAnsi"/>
          <w:b/>
          <w:sz w:val="18"/>
          <w:szCs w:val="18"/>
          <w:lang w:val="sr-Latn-ME"/>
        </w:rPr>
        <w:t xml:space="preserve">Strategija digitalne transformacije Crne Gore za period 2022 – 2026. godine </w:t>
      </w:r>
      <w:r w:rsidRPr="0048184E">
        <w:rPr>
          <w:rFonts w:cstheme="minorHAnsi"/>
          <w:sz w:val="18"/>
          <w:szCs w:val="18"/>
          <w:lang w:val="sr-Latn-ME"/>
        </w:rPr>
        <w:t xml:space="preserve">definiše ciljeve i mjere sistemskog i održivog razvoja digitalne infrastrukture, uz obezbjeđenje tačnih, ažurnih i bezbjedno dostupnih podataka, razvijanje digitalnih rješenja u svim sektorima djelatnosti, povezivanje i digitalizaciju procesa i usluga, uz omogućavanje svima da ostvare jednak pristup ovim rješenjima. </w:t>
      </w:r>
      <w:r w:rsidRPr="0048184E">
        <w:rPr>
          <w:rFonts w:eastAsia="Calibri" w:cstheme="minorHAnsi"/>
          <w:sz w:val="18"/>
          <w:szCs w:val="18"/>
          <w:lang w:val="sr-Latn-ME"/>
        </w:rPr>
        <w:t xml:space="preserve">Strategija ima dva osnovna cilja: (i) Unaprjeđenje kapaciteta i sposobnosti za digitalnu transformaciju Crne Gore (koordinacija i praćenje; poboljšanje dostupnosti, interoperabilnosti upravljanja podacima; </w:t>
      </w:r>
      <w:r w:rsidRPr="0048184E">
        <w:rPr>
          <w:rFonts w:eastAsia="Calibri" w:cstheme="minorHAnsi"/>
          <w:bCs/>
          <w:spacing w:val="1"/>
          <w:sz w:val="18"/>
          <w:szCs w:val="18"/>
          <w:lang w:val="sr-Latn-ME"/>
        </w:rPr>
        <w:t xml:space="preserve">povećana pokrivenost i modernizacija elektronske komunikacione infrastrukture; razvoj i unaprjeđenje digitalnih znanja i </w:t>
      </w:r>
      <w:r w:rsidRPr="0048184E">
        <w:rPr>
          <w:rFonts w:eastAsia="Calibri" w:cstheme="minorHAnsi"/>
          <w:bCs/>
          <w:spacing w:val="1"/>
          <w:sz w:val="18"/>
          <w:szCs w:val="18"/>
          <w:lang w:val="sr-Latn-ME"/>
        </w:rPr>
        <w:lastRenderedPageBreak/>
        <w:t xml:space="preserve">vještina crnogorskog društva) i (ii) jačanje digitalne svijesti crnogorskog društva i digitalne konkurentnosti IKT sektora </w:t>
      </w:r>
      <w:r w:rsidRPr="0048184E">
        <w:rPr>
          <w:rFonts w:eastAsia="Calibri" w:cstheme="minorHAnsi"/>
          <w:sz w:val="18"/>
          <w:szCs w:val="18"/>
          <w:lang w:val="sr-Latn-ME"/>
        </w:rPr>
        <w:t>(podizanje svijesti građana i privrede o važnosti digitalnog razvoja; u</w:t>
      </w:r>
      <w:r w:rsidRPr="0048184E">
        <w:rPr>
          <w:rFonts w:eastAsia="Calibri" w:cstheme="minorHAnsi"/>
          <w:bCs/>
          <w:sz w:val="18"/>
          <w:szCs w:val="18"/>
          <w:lang w:val="sr-Latn-ME"/>
        </w:rPr>
        <w:t>n</w:t>
      </w:r>
      <w:r w:rsidRPr="0048184E">
        <w:rPr>
          <w:rFonts w:eastAsia="Calibri" w:cstheme="minorHAnsi"/>
          <w:bCs/>
          <w:spacing w:val="-1"/>
          <w:sz w:val="18"/>
          <w:szCs w:val="18"/>
          <w:lang w:val="sr-Latn-ME"/>
        </w:rPr>
        <w:t>a</w:t>
      </w:r>
      <w:r w:rsidRPr="0048184E">
        <w:rPr>
          <w:rFonts w:eastAsia="Calibri" w:cstheme="minorHAnsi"/>
          <w:bCs/>
          <w:sz w:val="18"/>
          <w:szCs w:val="18"/>
          <w:lang w:val="sr-Latn-ME"/>
        </w:rPr>
        <w:t>p</w:t>
      </w:r>
      <w:r w:rsidRPr="0048184E">
        <w:rPr>
          <w:rFonts w:eastAsia="Calibri" w:cstheme="minorHAnsi"/>
          <w:bCs/>
          <w:spacing w:val="1"/>
          <w:sz w:val="18"/>
          <w:szCs w:val="18"/>
          <w:lang w:val="sr-Latn-ME"/>
        </w:rPr>
        <w:t>rj</w:t>
      </w:r>
      <w:r w:rsidRPr="0048184E">
        <w:rPr>
          <w:rFonts w:eastAsia="Calibri" w:cstheme="minorHAnsi"/>
          <w:bCs/>
          <w:spacing w:val="-1"/>
          <w:sz w:val="18"/>
          <w:szCs w:val="18"/>
          <w:lang w:val="sr-Latn-ME"/>
        </w:rPr>
        <w:t>e</w:t>
      </w:r>
      <w:r w:rsidRPr="0048184E">
        <w:rPr>
          <w:rFonts w:eastAsia="Calibri" w:cstheme="minorHAnsi"/>
          <w:bCs/>
          <w:sz w:val="18"/>
          <w:szCs w:val="18"/>
          <w:lang w:val="sr-Latn-ME"/>
        </w:rPr>
        <w:t>đen</w:t>
      </w:r>
      <w:r w:rsidRPr="0048184E">
        <w:rPr>
          <w:rFonts w:eastAsia="Calibri" w:cstheme="minorHAnsi"/>
          <w:bCs/>
          <w:spacing w:val="1"/>
          <w:sz w:val="18"/>
          <w:szCs w:val="18"/>
          <w:lang w:val="sr-Latn-ME"/>
        </w:rPr>
        <w:t>j</w:t>
      </w:r>
      <w:r w:rsidRPr="0048184E">
        <w:rPr>
          <w:rFonts w:eastAsia="Calibri" w:cstheme="minorHAnsi"/>
          <w:bCs/>
          <w:sz w:val="18"/>
          <w:szCs w:val="18"/>
          <w:lang w:val="sr-Latn-ME"/>
        </w:rPr>
        <w:t>e kv</w:t>
      </w:r>
      <w:r w:rsidRPr="0048184E">
        <w:rPr>
          <w:rFonts w:eastAsia="Calibri" w:cstheme="minorHAnsi"/>
          <w:bCs/>
          <w:spacing w:val="-2"/>
          <w:sz w:val="18"/>
          <w:szCs w:val="18"/>
          <w:lang w:val="sr-Latn-ME"/>
        </w:rPr>
        <w:t>a</w:t>
      </w:r>
      <w:r w:rsidRPr="0048184E">
        <w:rPr>
          <w:rFonts w:eastAsia="Calibri" w:cstheme="minorHAnsi"/>
          <w:bCs/>
          <w:spacing w:val="1"/>
          <w:sz w:val="18"/>
          <w:szCs w:val="18"/>
          <w:lang w:val="sr-Latn-ME"/>
        </w:rPr>
        <w:t>li</w:t>
      </w:r>
      <w:r w:rsidRPr="0048184E">
        <w:rPr>
          <w:rFonts w:eastAsia="Calibri" w:cstheme="minorHAnsi"/>
          <w:bCs/>
          <w:sz w:val="18"/>
          <w:szCs w:val="18"/>
          <w:lang w:val="sr-Latn-ME"/>
        </w:rPr>
        <w:t>tet</w:t>
      </w:r>
      <w:r w:rsidRPr="0048184E">
        <w:rPr>
          <w:rFonts w:eastAsia="Calibri" w:cstheme="minorHAnsi"/>
          <w:bCs/>
          <w:spacing w:val="-1"/>
          <w:sz w:val="18"/>
          <w:szCs w:val="18"/>
          <w:lang w:val="sr-Latn-ME"/>
        </w:rPr>
        <w:t>a</w:t>
      </w:r>
      <w:r w:rsidRPr="0048184E">
        <w:rPr>
          <w:rFonts w:eastAsia="Calibri" w:cstheme="minorHAnsi"/>
          <w:bCs/>
          <w:sz w:val="18"/>
          <w:szCs w:val="18"/>
          <w:lang w:val="sr-Latn-ME"/>
        </w:rPr>
        <w:t>,</w:t>
      </w:r>
      <w:r w:rsidRPr="0048184E">
        <w:rPr>
          <w:rFonts w:eastAsia="Calibri" w:cstheme="minorHAnsi"/>
          <w:bCs/>
          <w:spacing w:val="-1"/>
          <w:sz w:val="18"/>
          <w:szCs w:val="18"/>
          <w:lang w:val="sr-Latn-ME"/>
        </w:rPr>
        <w:t xml:space="preserve"> </w:t>
      </w:r>
      <w:r w:rsidRPr="0048184E">
        <w:rPr>
          <w:rFonts w:eastAsia="Calibri" w:cstheme="minorHAnsi"/>
          <w:bCs/>
          <w:sz w:val="18"/>
          <w:szCs w:val="18"/>
          <w:lang w:val="sr-Latn-ME"/>
        </w:rPr>
        <w:t>ko</w:t>
      </w:r>
      <w:r w:rsidRPr="0048184E">
        <w:rPr>
          <w:rFonts w:eastAsia="Calibri" w:cstheme="minorHAnsi"/>
          <w:bCs/>
          <w:spacing w:val="1"/>
          <w:sz w:val="18"/>
          <w:szCs w:val="18"/>
          <w:lang w:val="sr-Latn-ME"/>
        </w:rPr>
        <w:t>li</w:t>
      </w:r>
      <w:r w:rsidRPr="0048184E">
        <w:rPr>
          <w:rFonts w:eastAsia="Calibri" w:cstheme="minorHAnsi"/>
          <w:bCs/>
          <w:spacing w:val="-2"/>
          <w:sz w:val="18"/>
          <w:szCs w:val="18"/>
          <w:lang w:val="sr-Latn-ME"/>
        </w:rPr>
        <w:t>č</w:t>
      </w:r>
      <w:r w:rsidRPr="0048184E">
        <w:rPr>
          <w:rFonts w:eastAsia="Calibri" w:cstheme="minorHAnsi"/>
          <w:bCs/>
          <w:spacing w:val="1"/>
          <w:sz w:val="18"/>
          <w:szCs w:val="18"/>
          <w:lang w:val="sr-Latn-ME"/>
        </w:rPr>
        <w:t>i</w:t>
      </w:r>
      <w:r w:rsidRPr="0048184E">
        <w:rPr>
          <w:rFonts w:eastAsia="Calibri" w:cstheme="minorHAnsi"/>
          <w:bCs/>
          <w:sz w:val="18"/>
          <w:szCs w:val="18"/>
          <w:lang w:val="sr-Latn-ME"/>
        </w:rPr>
        <w:t>ne</w:t>
      </w:r>
      <w:r w:rsidRPr="0048184E">
        <w:rPr>
          <w:rFonts w:eastAsia="Calibri" w:cstheme="minorHAnsi"/>
          <w:bCs/>
          <w:spacing w:val="-2"/>
          <w:sz w:val="18"/>
          <w:szCs w:val="18"/>
          <w:lang w:val="sr-Latn-ME"/>
        </w:rPr>
        <w:t xml:space="preserve"> </w:t>
      </w:r>
      <w:r w:rsidRPr="0048184E">
        <w:rPr>
          <w:rFonts w:eastAsia="Calibri" w:cstheme="minorHAnsi"/>
          <w:bCs/>
          <w:sz w:val="18"/>
          <w:szCs w:val="18"/>
          <w:lang w:val="sr-Latn-ME"/>
        </w:rPr>
        <w:t>i</w:t>
      </w:r>
      <w:r w:rsidRPr="0048184E">
        <w:rPr>
          <w:rFonts w:eastAsia="Calibri" w:cstheme="minorHAnsi"/>
          <w:bCs/>
          <w:spacing w:val="1"/>
          <w:sz w:val="18"/>
          <w:szCs w:val="18"/>
          <w:lang w:val="sr-Latn-ME"/>
        </w:rPr>
        <w:t xml:space="preserve"> </w:t>
      </w:r>
      <w:r w:rsidRPr="0048184E">
        <w:rPr>
          <w:rFonts w:eastAsia="Calibri" w:cstheme="minorHAnsi"/>
          <w:bCs/>
          <w:spacing w:val="-2"/>
          <w:sz w:val="18"/>
          <w:szCs w:val="18"/>
          <w:lang w:val="sr-Latn-ME"/>
        </w:rPr>
        <w:t>u</w:t>
      </w:r>
      <w:r w:rsidRPr="0048184E">
        <w:rPr>
          <w:rFonts w:eastAsia="Calibri" w:cstheme="minorHAnsi"/>
          <w:bCs/>
          <w:sz w:val="18"/>
          <w:szCs w:val="18"/>
          <w:lang w:val="sr-Latn-ME"/>
        </w:rPr>
        <w:t>po</w:t>
      </w:r>
      <w:r w:rsidRPr="0048184E">
        <w:rPr>
          <w:rFonts w:eastAsia="Calibri" w:cstheme="minorHAnsi"/>
          <w:bCs/>
          <w:spacing w:val="-1"/>
          <w:sz w:val="18"/>
          <w:szCs w:val="18"/>
          <w:lang w:val="sr-Latn-ME"/>
        </w:rPr>
        <w:t>t</w:t>
      </w:r>
      <w:r w:rsidRPr="0048184E">
        <w:rPr>
          <w:rFonts w:eastAsia="Calibri" w:cstheme="minorHAnsi"/>
          <w:bCs/>
          <w:spacing w:val="1"/>
          <w:sz w:val="18"/>
          <w:szCs w:val="18"/>
          <w:lang w:val="sr-Latn-ME"/>
        </w:rPr>
        <w:t>r</w:t>
      </w:r>
      <w:r w:rsidRPr="0048184E">
        <w:rPr>
          <w:rFonts w:eastAsia="Calibri" w:cstheme="minorHAnsi"/>
          <w:bCs/>
          <w:spacing w:val="-1"/>
          <w:sz w:val="18"/>
          <w:szCs w:val="18"/>
          <w:lang w:val="sr-Latn-ME"/>
        </w:rPr>
        <w:t>e</w:t>
      </w:r>
      <w:r w:rsidRPr="0048184E">
        <w:rPr>
          <w:rFonts w:eastAsia="Calibri" w:cstheme="minorHAnsi"/>
          <w:bCs/>
          <w:sz w:val="18"/>
          <w:szCs w:val="18"/>
          <w:lang w:val="sr-Latn-ME"/>
        </w:rPr>
        <w:t xml:space="preserve">ba </w:t>
      </w:r>
      <w:r w:rsidRPr="0048184E">
        <w:rPr>
          <w:rFonts w:eastAsia="Calibri" w:cstheme="minorHAnsi"/>
          <w:bCs/>
          <w:spacing w:val="4"/>
          <w:sz w:val="18"/>
          <w:szCs w:val="18"/>
          <w:lang w:val="sr-Latn-ME"/>
        </w:rPr>
        <w:t>e</w:t>
      </w:r>
      <w:r w:rsidRPr="0048184E">
        <w:rPr>
          <w:rFonts w:eastAsia="Calibri" w:cstheme="minorHAnsi"/>
          <w:bCs/>
          <w:spacing w:val="1"/>
          <w:sz w:val="18"/>
          <w:szCs w:val="18"/>
          <w:lang w:val="sr-Latn-ME"/>
        </w:rPr>
        <w:t>-u</w:t>
      </w:r>
      <w:r w:rsidRPr="0048184E">
        <w:rPr>
          <w:rFonts w:eastAsia="Calibri" w:cstheme="minorHAnsi"/>
          <w:bCs/>
          <w:spacing w:val="-2"/>
          <w:sz w:val="18"/>
          <w:szCs w:val="18"/>
          <w:lang w:val="sr-Latn-ME"/>
        </w:rPr>
        <w:t>s</w:t>
      </w:r>
      <w:r w:rsidRPr="0048184E">
        <w:rPr>
          <w:rFonts w:eastAsia="Calibri" w:cstheme="minorHAnsi"/>
          <w:bCs/>
          <w:spacing w:val="-1"/>
          <w:sz w:val="18"/>
          <w:szCs w:val="18"/>
          <w:lang w:val="sr-Latn-ME"/>
        </w:rPr>
        <w:t>l</w:t>
      </w:r>
      <w:r w:rsidRPr="0048184E">
        <w:rPr>
          <w:rFonts w:eastAsia="Calibri" w:cstheme="minorHAnsi"/>
          <w:bCs/>
          <w:spacing w:val="1"/>
          <w:sz w:val="18"/>
          <w:szCs w:val="18"/>
          <w:lang w:val="sr-Latn-ME"/>
        </w:rPr>
        <w:t>u</w:t>
      </w:r>
      <w:r w:rsidRPr="0048184E">
        <w:rPr>
          <w:rFonts w:eastAsia="Calibri" w:cstheme="minorHAnsi"/>
          <w:bCs/>
          <w:spacing w:val="-1"/>
          <w:sz w:val="18"/>
          <w:szCs w:val="18"/>
          <w:lang w:val="sr-Latn-ME"/>
        </w:rPr>
        <w:t>g</w:t>
      </w:r>
      <w:r w:rsidRPr="0048184E">
        <w:rPr>
          <w:rFonts w:eastAsia="Calibri" w:cstheme="minorHAnsi"/>
          <w:bCs/>
          <w:sz w:val="18"/>
          <w:szCs w:val="18"/>
          <w:lang w:val="sr-Latn-ME"/>
        </w:rPr>
        <w:t>a; unaprjeđenje i razvoj IKT sektora).</w:t>
      </w:r>
    </w:p>
    <w:p w14:paraId="68A7ABC3" w14:textId="77777777" w:rsidR="004244AD" w:rsidRPr="0048184E" w:rsidRDefault="004244AD" w:rsidP="0048184E">
      <w:pPr>
        <w:spacing w:after="0" w:line="240" w:lineRule="auto"/>
        <w:jc w:val="both"/>
        <w:rPr>
          <w:rFonts w:cstheme="minorHAnsi"/>
          <w:b/>
          <w:bCs/>
          <w:sz w:val="18"/>
          <w:szCs w:val="18"/>
          <w:lang w:val="sr-Latn-ME"/>
        </w:rPr>
      </w:pPr>
    </w:p>
    <w:p w14:paraId="037552A7" w14:textId="77777777" w:rsidR="00ED69A2" w:rsidRPr="0048184E" w:rsidRDefault="00ED69A2" w:rsidP="0048184E">
      <w:pPr>
        <w:spacing w:after="0" w:line="240" w:lineRule="auto"/>
        <w:jc w:val="both"/>
        <w:rPr>
          <w:rFonts w:cstheme="minorHAnsi"/>
          <w:bCs/>
          <w:sz w:val="18"/>
          <w:szCs w:val="18"/>
          <w:lang w:val="sr-Latn-ME"/>
        </w:rPr>
      </w:pPr>
      <w:r w:rsidRPr="0048184E">
        <w:rPr>
          <w:rFonts w:cstheme="minorHAnsi"/>
          <w:b/>
          <w:bCs/>
          <w:sz w:val="18"/>
          <w:szCs w:val="18"/>
          <w:lang w:val="sr-Latn-ME"/>
        </w:rPr>
        <w:t>Nacionalni energetski i klimatski plan Crne Gore do 2030 godine (NEKP)</w:t>
      </w:r>
      <w:r w:rsidRPr="0048184E">
        <w:rPr>
          <w:rFonts w:cstheme="minorHAnsi"/>
          <w:bCs/>
          <w:sz w:val="18"/>
          <w:szCs w:val="18"/>
          <w:lang w:val="sr-Latn-ME"/>
        </w:rPr>
        <w:t>, čiji je nacrt najavljen za jun 2024. godine, predstavljaće ključni strateški dokument koji, u pogledu obnovljivih izvora energije, energetske efikasnosti i smanjenja emisija gasova sa efektom staklene baste, definiše ciljeve za 2030. godinu i predviđa veoma konkretne politike i mjere za njihovo dostizanje. U cilju sprovođenja politike klimatske neutralnosti i dekabornizacije do 2050. godine kao i trasiranja puta ka energetskoj tranziciji, Crna Gora je ratifikovala i potpisala niz međunarodnih akata. Ratifikacijom Pariskog sporazuma u okviru Ujedinjenih nacija o klimatskim promjenama (UNFCC) iz 2015. godine, Crna Gora je preuzela obavezu smanjenja emisije gasova sa efektom staklene bašte i prihvatila potrebu sprovođenja mjera i aktivnosti koje vode adaptaciji na izmijenjene klimatske uslove, dok je potpisivanjem Ugovora o Energetskoj zajednici (2006) i Sofijske deklaracije o Zelenoj agendi za Zapadni Balkan (2020), preuzela obaveze izrade Integrisanog nacionalnog i klimatskog plana. Saglasno Regulativi EU 2018/1999  Integrisani NEKP ima dva odjeljka: Ocjeljak A definiše nacionalne ciljeve, politike i mjere, dok odjeljak B sadrži analitičku osnovu  odnosno opis referentnog i naprednih scenarija i njihovih rezultata. Integrisani NEKP sadrži prikaz postojećeg stanja ključnih politika i odgovarajućih mjera za sagledavanje pet dimenzija Regulative, a to su: 1) dekarbonizacija (emisije gasova sa efektom staklene bašte i obnovljiva energija), 2) energetska efikasnost, 3) energetska sigurnost, 4) unutrašnje energetsko tržište i 5) istraživanje, inovacije i konkurentnost. Ovaj strateški dokument je odgovor Crne Gore na obaveze prema UN i Energetskoj zajednici, što uključuje i odgovor na strateške dokumente iz EU industrijskog paketa nove gener</w:t>
      </w:r>
      <w:r w:rsidR="00D40298" w:rsidRPr="0048184E">
        <w:rPr>
          <w:rFonts w:cstheme="minorHAnsi"/>
          <w:bCs/>
          <w:sz w:val="18"/>
          <w:szCs w:val="18"/>
          <w:lang w:val="sr-Latn-ME"/>
        </w:rPr>
        <w:t>acije.</w:t>
      </w:r>
    </w:p>
    <w:p w14:paraId="46F078FB" w14:textId="77777777" w:rsidR="004244AD" w:rsidRPr="0048184E" w:rsidRDefault="004244AD" w:rsidP="0048184E">
      <w:pPr>
        <w:pStyle w:val="NoSpacing"/>
        <w:jc w:val="both"/>
        <w:rPr>
          <w:rFonts w:asciiTheme="minorHAnsi" w:hAnsiTheme="minorHAnsi" w:cstheme="minorHAnsi"/>
          <w:b/>
          <w:sz w:val="18"/>
          <w:szCs w:val="18"/>
          <w:lang w:val="sr-Latn-ME"/>
        </w:rPr>
      </w:pPr>
    </w:p>
    <w:p w14:paraId="125E0463" w14:textId="77777777" w:rsidR="004D1ACA" w:rsidRPr="0048184E" w:rsidRDefault="004D1ACA"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
          <w:sz w:val="18"/>
          <w:szCs w:val="18"/>
          <w:lang w:val="sr-Latn-ME"/>
        </w:rPr>
        <w:t>Strategija reforme javne uprave 2022-2026</w:t>
      </w:r>
      <w:r w:rsidRPr="0048184E">
        <w:rPr>
          <w:rFonts w:asciiTheme="minorHAnsi" w:hAnsiTheme="minorHAnsi" w:cstheme="minorHAnsi"/>
          <w:bCs/>
          <w:sz w:val="18"/>
          <w:szCs w:val="18"/>
          <w:lang w:val="sr-Latn-ME"/>
        </w:rPr>
        <w:t xml:space="preserve"> ima za cilj da se uspostave standardi na svim nivoima funkcionisanja javne uprave, počev od kreiranja i implementacije javnih politika, kadrovskog planiranja, upravljanja kadrovima i službenički sistem, standard kvaliteta u pružanju usluga i funkcionisanju javne uprave.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Imaju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vidu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centru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kreiranja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strategije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gra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ana</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ki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privrede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funkcionisanje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JLS</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podjednako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tretira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kroz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strate</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ciljeve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Naime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okviru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strate</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cilja</w:t>
      </w:r>
      <w:r w:rsidRPr="0048184E">
        <w:rPr>
          <w:rFonts w:asciiTheme="minorHAnsi" w:hAnsiTheme="minorHAnsi" w:cstheme="minorHAnsi"/>
          <w:sz w:val="18"/>
          <w:szCs w:val="18"/>
          <w:lang w:val="sr-Latn-ME"/>
        </w:rPr>
        <w:t xml:space="preserve"> 1 </w:t>
      </w:r>
      <w:r w:rsidRPr="0048184E">
        <w:rPr>
          <w:rFonts w:asciiTheme="minorHAnsi" w:hAnsiTheme="minorHAnsi" w:cstheme="minorHAnsi"/>
          <w:sz w:val="18"/>
          <w:szCs w:val="18"/>
        </w:rPr>
        <w:t>definisan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operativni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cilj</w:t>
      </w:r>
      <w:r w:rsidRPr="0048184E">
        <w:rPr>
          <w:rFonts w:asciiTheme="minorHAnsi" w:hAnsiTheme="minorHAnsi" w:cstheme="minorHAnsi"/>
          <w:sz w:val="18"/>
          <w:szCs w:val="18"/>
          <w:lang w:val="sr-Latn-ME"/>
        </w:rPr>
        <w:t xml:space="preserve"> 1.3. </w:t>
      </w:r>
      <w:r w:rsidRPr="0048184E">
        <w:rPr>
          <w:rFonts w:asciiTheme="minorHAnsi" w:hAnsiTheme="minorHAnsi" w:cstheme="minorHAnsi"/>
          <w:sz w:val="18"/>
          <w:szCs w:val="18"/>
        </w:rPr>
        <w:t>koji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odnosi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funkcionalnih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finansijski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nezavisnih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op</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tina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radi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obezbje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ivanja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ravnomjernog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razvoja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svih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JLS</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gdje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izme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ostalog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planirane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aktivnosti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koje</w:t>
      </w:r>
      <w:r w:rsidRPr="0048184E">
        <w:rPr>
          <w:rFonts w:asciiTheme="minorHAnsi" w:hAnsiTheme="minorHAnsi" w:cstheme="minorHAnsi"/>
          <w:sz w:val="18"/>
          <w:szCs w:val="18"/>
          <w:lang w:val="sr-Latn-ME"/>
        </w:rPr>
        <w:t xml:space="preserve"> ć</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doprinijeti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unaprje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enju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uop</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tinske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saradnje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unaprje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enju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finansijske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odr</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ivosti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lokalne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samouprave</w:t>
      </w:r>
      <w:r w:rsidRPr="0048184E">
        <w:rPr>
          <w:rFonts w:asciiTheme="minorHAnsi" w:hAnsiTheme="minorHAnsi" w:cstheme="minorHAnsi"/>
          <w:bCs/>
          <w:sz w:val="18"/>
          <w:szCs w:val="18"/>
          <w:lang w:val="sr-Latn-ME"/>
        </w:rPr>
        <w:t>.</w:t>
      </w:r>
    </w:p>
    <w:p w14:paraId="3BDAFD37" w14:textId="77777777" w:rsidR="005A3F7D" w:rsidRPr="0048184E" w:rsidRDefault="005A3F7D" w:rsidP="0048184E">
      <w:pPr>
        <w:pStyle w:val="NoSpacing"/>
        <w:jc w:val="both"/>
        <w:rPr>
          <w:rFonts w:asciiTheme="minorHAnsi" w:hAnsiTheme="minorHAnsi" w:cstheme="minorHAnsi"/>
          <w:bCs/>
          <w:sz w:val="18"/>
          <w:szCs w:val="18"/>
          <w:lang w:val="sr-Latn-ME"/>
        </w:rPr>
      </w:pPr>
    </w:p>
    <w:p w14:paraId="5B310A1C" w14:textId="77777777" w:rsidR="005A3F7D" w:rsidRPr="0048184E" w:rsidRDefault="005A3F7D" w:rsidP="0048184E">
      <w:pPr>
        <w:pStyle w:val="FootnoteText"/>
        <w:spacing w:after="0" w:line="240" w:lineRule="auto"/>
        <w:jc w:val="both"/>
        <w:rPr>
          <w:rFonts w:asciiTheme="minorHAnsi" w:hAnsiTheme="minorHAnsi"/>
          <w:sz w:val="18"/>
          <w:szCs w:val="18"/>
          <w:lang w:val="pl-PL"/>
        </w:rPr>
      </w:pPr>
      <w:r w:rsidRPr="0048184E">
        <w:rPr>
          <w:rFonts w:asciiTheme="minorHAnsi" w:hAnsiTheme="minorHAnsi"/>
          <w:b/>
          <w:sz w:val="18"/>
          <w:szCs w:val="18"/>
          <w:lang w:val="sr-Latn-ME"/>
        </w:rPr>
        <w:t xml:space="preserve">Nacionalna strategija rodne ravnopravnosti Crne Gore </w:t>
      </w:r>
      <w:r w:rsidRPr="0048184E">
        <w:rPr>
          <w:rFonts w:asciiTheme="minorHAnsi" w:hAnsiTheme="minorHAnsi"/>
          <w:b/>
          <w:sz w:val="18"/>
          <w:szCs w:val="18"/>
          <w:lang w:val="pl-PL"/>
        </w:rPr>
        <w:t>za</w:t>
      </w:r>
      <w:r w:rsidRPr="0048184E">
        <w:rPr>
          <w:rFonts w:asciiTheme="minorHAnsi" w:hAnsiTheme="minorHAnsi"/>
          <w:b/>
          <w:sz w:val="18"/>
          <w:szCs w:val="18"/>
          <w:lang w:val="sr-Latn-ME"/>
        </w:rPr>
        <w:t xml:space="preserve"> </w:t>
      </w:r>
      <w:r w:rsidRPr="0048184E">
        <w:rPr>
          <w:rFonts w:asciiTheme="minorHAnsi" w:hAnsiTheme="minorHAnsi"/>
          <w:b/>
          <w:sz w:val="18"/>
          <w:szCs w:val="18"/>
          <w:lang w:val="pl-PL"/>
        </w:rPr>
        <w:t>period</w:t>
      </w:r>
      <w:r w:rsidRPr="0048184E">
        <w:rPr>
          <w:rFonts w:asciiTheme="minorHAnsi" w:hAnsiTheme="minorHAnsi"/>
          <w:b/>
          <w:sz w:val="18"/>
          <w:szCs w:val="18"/>
          <w:lang w:val="sr-Latn-ME"/>
        </w:rPr>
        <w:t xml:space="preserve"> 2026-2029</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predstavlja</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peti</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strate</w:t>
      </w:r>
      <w:r w:rsidRPr="0048184E">
        <w:rPr>
          <w:rFonts w:asciiTheme="minorHAnsi" w:hAnsiTheme="minorHAnsi"/>
          <w:sz w:val="18"/>
          <w:szCs w:val="18"/>
          <w:lang w:val="sr-Latn-ME"/>
        </w:rPr>
        <w:t>š</w:t>
      </w:r>
      <w:r w:rsidRPr="0048184E">
        <w:rPr>
          <w:rFonts w:asciiTheme="minorHAnsi" w:hAnsiTheme="minorHAnsi"/>
          <w:sz w:val="18"/>
          <w:szCs w:val="18"/>
          <w:lang w:val="pl-PL"/>
        </w:rPr>
        <w:t>ki</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dokument</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u</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ovoj</w:t>
      </w:r>
      <w:r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oblasti</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koji</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je</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Vlada</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donijela</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me</w:t>
      </w:r>
      <w:r w:rsidR="0082230E" w:rsidRPr="0048184E">
        <w:rPr>
          <w:rFonts w:asciiTheme="minorHAnsi" w:hAnsiTheme="minorHAnsi"/>
          <w:sz w:val="18"/>
          <w:szCs w:val="18"/>
          <w:lang w:val="sr-Latn-ME"/>
        </w:rPr>
        <w:t>đ</w:t>
      </w:r>
      <w:r w:rsidR="0082230E" w:rsidRPr="0048184E">
        <w:rPr>
          <w:rFonts w:asciiTheme="minorHAnsi" w:hAnsiTheme="minorHAnsi"/>
          <w:sz w:val="18"/>
          <w:szCs w:val="18"/>
          <w:lang w:val="pl-PL"/>
        </w:rPr>
        <w:t>utimstepen</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ravnopravnosti</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jo</w:t>
      </w:r>
      <w:r w:rsidR="0082230E" w:rsidRPr="0048184E">
        <w:rPr>
          <w:rFonts w:asciiTheme="minorHAnsi" w:hAnsiTheme="minorHAnsi"/>
          <w:sz w:val="18"/>
          <w:szCs w:val="18"/>
          <w:lang w:val="sr-Latn-ME"/>
        </w:rPr>
        <w:t xml:space="preserve">š </w:t>
      </w:r>
      <w:r w:rsidR="0082230E" w:rsidRPr="0048184E">
        <w:rPr>
          <w:rFonts w:asciiTheme="minorHAnsi" w:hAnsiTheme="minorHAnsi"/>
          <w:sz w:val="18"/>
          <w:szCs w:val="18"/>
          <w:lang w:val="pl-PL"/>
        </w:rPr>
        <w:t>uvijek</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nije</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na</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zadovoljavaju</w:t>
      </w:r>
      <w:r w:rsidR="0082230E" w:rsidRPr="0048184E">
        <w:rPr>
          <w:rFonts w:asciiTheme="minorHAnsi" w:hAnsiTheme="minorHAnsi"/>
          <w:sz w:val="18"/>
          <w:szCs w:val="18"/>
          <w:lang w:val="sr-Latn-ME"/>
        </w:rPr>
        <w:t>ć</w:t>
      </w:r>
      <w:r w:rsidR="0082230E" w:rsidRPr="0048184E">
        <w:rPr>
          <w:rFonts w:asciiTheme="minorHAnsi" w:hAnsiTheme="minorHAnsi"/>
          <w:sz w:val="18"/>
          <w:szCs w:val="18"/>
          <w:lang w:val="pl-PL"/>
        </w:rPr>
        <w:t>em</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nivou</w:t>
      </w:r>
      <w:r w:rsidR="0082230E" w:rsidRPr="0048184E">
        <w:rPr>
          <w:rFonts w:asciiTheme="minorHAnsi" w:hAnsiTheme="minorHAnsi"/>
          <w:sz w:val="18"/>
          <w:szCs w:val="18"/>
          <w:lang w:val="sr-Latn-ME"/>
        </w:rPr>
        <w:t xml:space="preserve">, što je posebno prisutno u manje razvijenim djelovima države. </w:t>
      </w:r>
      <w:r w:rsidR="0082230E" w:rsidRPr="0048184E">
        <w:rPr>
          <w:rFonts w:asciiTheme="minorHAnsi" w:hAnsiTheme="minorHAnsi"/>
          <w:sz w:val="18"/>
          <w:szCs w:val="18"/>
          <w:lang w:val="pl-PL"/>
        </w:rPr>
        <w:t>Socio-ekonomski uslovi dodatno komplikuju napore za postizanje rodne ravnopravnosti. Regionalni dispariteti, posebno između urbanih i ruralnih područja, pogoršavaju nejednakosti, ostavljajući ruralnim zajednicama manje resursa i mogućnosti. Ova geografska podjela utiče na pristup osnovnim uslugama, obrazovanju i zapošljavanju, što nesrazmjerno više pogađa žene i jača zastupljenost sistemskih barijera.</w:t>
      </w:r>
    </w:p>
    <w:p w14:paraId="035DB9EE" w14:textId="77777777" w:rsidR="009E56C1" w:rsidRPr="0048184E" w:rsidRDefault="009E56C1" w:rsidP="0048184E">
      <w:pPr>
        <w:pStyle w:val="NoSpacing"/>
        <w:jc w:val="both"/>
        <w:rPr>
          <w:rFonts w:asciiTheme="minorHAnsi" w:hAnsiTheme="minorHAnsi" w:cstheme="minorHAnsi"/>
          <w:b/>
          <w:sz w:val="18"/>
          <w:szCs w:val="18"/>
          <w:lang w:val="sr-Latn-ME"/>
        </w:rPr>
      </w:pPr>
    </w:p>
    <w:p w14:paraId="3DB28633" w14:textId="77777777" w:rsidR="004D1ACA" w:rsidRPr="0048184E" w:rsidRDefault="004D1ACA"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Nacionalna strategija zapošljavanja 2021-2025</w:t>
      </w:r>
      <w:r w:rsidRPr="0048184E">
        <w:rPr>
          <w:rFonts w:asciiTheme="minorHAnsi" w:hAnsiTheme="minorHAnsi" w:cstheme="minorHAnsi"/>
          <w:bCs/>
          <w:sz w:val="18"/>
          <w:szCs w:val="18"/>
          <w:lang w:val="sr-Latn-ME"/>
        </w:rPr>
        <w:t xml:space="preserve"> identifikuje prioritete i pojedinačne ciljeve koji treba da na pravi način odgovore višestrukim izazovima sa kojima će se tržište rada i građani/ke Crne Gore suočavati u narednim godinama, i da te izazove pretvore u nove prilike za socio-ekonomski razvoj zemlje. SRR je usklađena sa svim ciljevima nacionalne strategije zapošljavanja, radi ostvarenja stabilnog i održivog rasta zaposlenosti zasnovanog na znanju i dostojanstvenom radu. Posebna usklađenost ogleda se u realizaciji operativnog cilja 1 Ostvarivanje rasta zaposlenosti, ulaganja u kvalitetna i sigurna radna mjesta, kroz unaprjeđenje poslovnog ambijenta, koji između ostalog treba da doprinese obezbjeđivanju veće zaposlenosti i kvalitetnijih i sigurnijih radnih mjesta, sa posebnim fokusom na Sjeverni region, kao i u realizaciji operativnog cilja 3.</w:t>
      </w:r>
    </w:p>
    <w:p w14:paraId="04D328D9" w14:textId="77777777" w:rsidR="009E56C1" w:rsidRPr="0048184E" w:rsidRDefault="009E56C1" w:rsidP="0048184E">
      <w:pPr>
        <w:pStyle w:val="NoSpacing"/>
        <w:jc w:val="both"/>
        <w:rPr>
          <w:rFonts w:asciiTheme="minorHAnsi" w:hAnsiTheme="minorHAnsi" w:cstheme="minorHAnsi"/>
          <w:b/>
          <w:sz w:val="18"/>
          <w:szCs w:val="18"/>
          <w:lang w:val="sr-Latn-ME"/>
        </w:rPr>
      </w:pPr>
    </w:p>
    <w:p w14:paraId="33D2C9E6" w14:textId="77777777" w:rsidR="009E56C1" w:rsidRPr="0048184E" w:rsidRDefault="004D1ACA"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Strategijom digitalne transformacije 2022-2026</w:t>
      </w:r>
      <w:r w:rsidRPr="0048184E">
        <w:rPr>
          <w:rFonts w:asciiTheme="minorHAnsi" w:hAnsiTheme="minorHAnsi" w:cstheme="minorHAnsi"/>
          <w:sz w:val="18"/>
          <w:szCs w:val="18"/>
          <w:lang w:val="sr-Latn-ME"/>
        </w:rPr>
        <w:t xml:space="preserve"> utvrđuju se strateški ciljevi čija će realizacija omogućiti bržu i efikasniju transformaciju privrede, javnog sektora i cjelokupnog društva, kao i promjene u organizaciji i načinu tradicionalnog poslovanja korišćenjem digitalnih tehnologija i primjenom novih poslovnih modela. Ovdje je važno naglasiti da fizičko-tehnološka, normativno-institucionalna, edukativna, bezbjednosna i poslovno-preduzetnička infrastruktura osnov su za uspješnu digitalnu transformaciju Crne Gore, što će imati izuzetan uticaj na brži razvoj svih lokalnih zajednica i efikasnije pružanje usluga države prema građanima i privredi. Dakle, SRR je usklađena sa principima i smjernicama da Crna Gora istraje na putu usvajanja „zeleno“ i „digitalno“ kao centralne razvojne ciljeve čitavog evropskog regiona.</w:t>
      </w:r>
    </w:p>
    <w:p w14:paraId="389857D1" w14:textId="77777777" w:rsidR="009E56C1" w:rsidRPr="0048184E" w:rsidRDefault="009E56C1" w:rsidP="0048184E">
      <w:pPr>
        <w:pStyle w:val="NoSpacing"/>
        <w:jc w:val="both"/>
        <w:rPr>
          <w:rFonts w:asciiTheme="minorHAnsi" w:hAnsiTheme="minorHAnsi" w:cstheme="minorHAnsi"/>
          <w:bCs/>
          <w:sz w:val="18"/>
          <w:szCs w:val="18"/>
          <w:lang w:val="sr-Latn-ME"/>
        </w:rPr>
      </w:pPr>
    </w:p>
    <w:p w14:paraId="476DCFE8" w14:textId="77777777" w:rsidR="004D1ACA" w:rsidRPr="0048184E" w:rsidRDefault="004D1ACA" w:rsidP="0048184E">
      <w:pPr>
        <w:shd w:val="clear" w:color="auto" w:fill="FFFFFF"/>
        <w:spacing w:after="0" w:line="240" w:lineRule="auto"/>
        <w:jc w:val="both"/>
        <w:rPr>
          <w:rFonts w:cstheme="minorHAnsi"/>
          <w:b/>
          <w:bCs/>
          <w:sz w:val="18"/>
          <w:szCs w:val="18"/>
          <w:lang w:val="sr-Latn-ME"/>
        </w:rPr>
      </w:pPr>
      <w:r w:rsidRPr="0048184E">
        <w:rPr>
          <w:rFonts w:cstheme="minorHAnsi"/>
          <w:b/>
          <w:bCs/>
          <w:sz w:val="18"/>
          <w:szCs w:val="18"/>
          <w:lang w:val="sr-Latn-ME"/>
        </w:rPr>
        <w:t>Instrument pretpristupne podrške EU Crnoj Gori za period 2021-2027</w:t>
      </w:r>
      <w:r w:rsidRPr="0048184E">
        <w:rPr>
          <w:rFonts w:cstheme="minorHAnsi"/>
          <w:bCs/>
          <w:sz w:val="18"/>
          <w:szCs w:val="18"/>
          <w:lang w:val="sr-Latn-ME"/>
        </w:rPr>
        <w:t xml:space="preserve"> – Prikaz strateškog okvira zemlje daje se kroz tzv. prozore, odnosno projektne prioritete u sljedećim oblastima: 1</w:t>
      </w:r>
      <w:r w:rsidRPr="0048184E">
        <w:rPr>
          <w:rFonts w:cstheme="minorHAnsi"/>
          <w:sz w:val="18"/>
          <w:szCs w:val="18"/>
          <w:lang w:val="sr-Latn-ME"/>
        </w:rPr>
        <w:t>. Vladavina prava, temeljna prava i demokratija, 2. Dobro upravljanje, usaglašavanje sa pravnom tekovinom EU, dobrosusjedstvo i strateško komuniciranje, 3. Održivi razvoj i zelena agenda, 4. Konkurentnost i inkluzivni rast, i 5. Teritorijalna i prekogranična saradnja. Za svaku prioritetnu oblast, definišu se prioriteti, ciljevi i akcije koje bi se mogle pokriti IPA III podrškom.</w:t>
      </w:r>
      <w:r w:rsidRPr="0048184E">
        <w:rPr>
          <w:rFonts w:cstheme="minorHAnsi"/>
          <w:sz w:val="18"/>
          <w:szCs w:val="18"/>
          <w:lang w:val="it-IT"/>
        </w:rPr>
        <w:t xml:space="preserve"> </w:t>
      </w:r>
      <w:r w:rsidRPr="0048184E">
        <w:rPr>
          <w:rFonts w:cstheme="minorHAnsi"/>
          <w:sz w:val="18"/>
          <w:szCs w:val="18"/>
          <w:lang w:val="sr-Latn-ME"/>
        </w:rPr>
        <w:t xml:space="preserve">Kao jedan od važnih izvora za finansiranje projekata regionalnog razvoja, svi planski dokumenti IPA III, predstavljaju važan input za definisanje mjera, aktivnosti i projekata u okviru SRR. Međutim, prepoznata je neophodnost daljeg jačanja kapaciteta apsorpcije sredstava iz EU fondova. </w:t>
      </w:r>
      <w:r w:rsidR="009E56C1" w:rsidRPr="0048184E">
        <w:rPr>
          <w:rFonts w:cstheme="minorHAnsi"/>
          <w:bCs/>
          <w:sz w:val="18"/>
          <w:szCs w:val="18"/>
          <w:lang w:val="sr-Latn-ME"/>
        </w:rPr>
        <w:t xml:space="preserve">Opšti cilj IPA III instrumenta pretpristupne podrške EU za period 2021-2027. godine jeste podrška korisnicima u sprovođenju političkih, institucionalnih, ekonomskih i socijalnih reformi potrebnih za njihovo usklađivanje sa vrijednostima i pravilima Unije i postizanje članstva u EU. </w:t>
      </w:r>
    </w:p>
    <w:p w14:paraId="5ACDCF19" w14:textId="77777777" w:rsidR="004D1ACA" w:rsidRPr="0048184E" w:rsidRDefault="004D1ACA" w:rsidP="0048184E">
      <w:pPr>
        <w:pStyle w:val="NoSpacing"/>
        <w:jc w:val="both"/>
        <w:rPr>
          <w:rFonts w:asciiTheme="minorHAnsi" w:hAnsiTheme="minorHAnsi" w:cstheme="minorHAnsi"/>
          <w:bCs/>
          <w:sz w:val="18"/>
          <w:szCs w:val="18"/>
          <w:lang w:val="sr-Latn-ME"/>
        </w:rPr>
      </w:pPr>
    </w:p>
    <w:p w14:paraId="248EC76D" w14:textId="77777777" w:rsidR="004D1ACA" w:rsidRPr="0048184E" w:rsidRDefault="004D1ACA" w:rsidP="0048184E">
      <w:pPr>
        <w:spacing w:after="0" w:line="240" w:lineRule="auto"/>
        <w:jc w:val="both"/>
        <w:rPr>
          <w:rFonts w:cstheme="minorHAnsi"/>
          <w:sz w:val="18"/>
          <w:szCs w:val="18"/>
          <w:lang w:val="sr-Latn-ME"/>
        </w:rPr>
      </w:pPr>
      <w:r w:rsidRPr="0048184E">
        <w:rPr>
          <w:rFonts w:cstheme="minorHAnsi"/>
          <w:b/>
          <w:bCs/>
          <w:sz w:val="18"/>
          <w:szCs w:val="18"/>
          <w:lang w:val="sr-Latn-ME"/>
        </w:rPr>
        <w:t>Strategija razvoja nacionalnog brenda 2022-2026</w:t>
      </w:r>
      <w:r w:rsidRPr="0048184E">
        <w:rPr>
          <w:rFonts w:cstheme="minorHAnsi"/>
          <w:bCs/>
          <w:sz w:val="18"/>
          <w:szCs w:val="18"/>
          <w:lang w:val="sr-Latn-ME"/>
        </w:rPr>
        <w:t xml:space="preserve"> kao strateški cilj izdvaja unaprjeđenje</w:t>
      </w:r>
      <w:r w:rsidRPr="0048184E">
        <w:rPr>
          <w:rFonts w:cstheme="minorHAnsi"/>
          <w:sz w:val="18"/>
          <w:szCs w:val="18"/>
          <w:shd w:val="clear" w:color="auto" w:fill="70AD47"/>
          <w:lang w:val="sr-Latn-ME"/>
        </w:rPr>
        <w:t xml:space="preserve"> </w:t>
      </w:r>
      <w:r w:rsidRPr="0048184E">
        <w:rPr>
          <w:rFonts w:cstheme="minorHAnsi"/>
          <w:bCs/>
          <w:sz w:val="18"/>
          <w:szCs w:val="18"/>
          <w:lang w:val="sr-Latn-ME"/>
        </w:rPr>
        <w:t>konkurentnosti države kroz razvoj nacionalnog brenda. Crna Gora, sa svim potencijalima i vrijednostima, treba da razvije i implementira unificiranu prezentaciju zemlje koja će obezbijediti visok stepen prepoznatljivosti u svijetu, odnosno njenu pozitivnu diferenciranost u odnosu na konkurenciju, što će u krajnjem dovesti do poboljšanja životnog standarda građana/ki, čime će država postati atraktivnija za život, rad i obrazovanje, što je u skladu sa strateškim i operativnim ciljevima SRR 2023-2027. Naime, prepoznata je neophodnost pružanja adekvatne podrške i podizanje svijesti JLS kako bi se i kroz brendiranje gradova/regiona osiguralo slanje jedinstvene poruke koja stoji iza koncepta nacionalnog brenda.</w:t>
      </w:r>
    </w:p>
    <w:p w14:paraId="1485762B" w14:textId="77777777" w:rsidR="00551DEC" w:rsidRPr="0048184E" w:rsidRDefault="00551DEC" w:rsidP="0048184E">
      <w:pPr>
        <w:spacing w:after="0" w:line="240" w:lineRule="auto"/>
        <w:rPr>
          <w:rFonts w:cstheme="minorHAnsi"/>
          <w:bCs/>
          <w:sz w:val="18"/>
          <w:szCs w:val="18"/>
          <w:highlight w:val="yellow"/>
          <w:lang w:val="sr-Latn-ME"/>
        </w:rPr>
      </w:pPr>
    </w:p>
    <w:p w14:paraId="5F1313BB" w14:textId="77777777" w:rsidR="004D1ACA" w:rsidRPr="0048184E" w:rsidRDefault="00551DEC" w:rsidP="0048184E">
      <w:pPr>
        <w:spacing w:after="0" w:line="240" w:lineRule="auto"/>
        <w:jc w:val="both"/>
        <w:rPr>
          <w:rFonts w:cstheme="minorHAnsi"/>
          <w:bCs/>
          <w:sz w:val="18"/>
          <w:szCs w:val="18"/>
          <w:lang w:val="sr-Latn-ME"/>
        </w:rPr>
      </w:pPr>
      <w:r w:rsidRPr="0048184E">
        <w:rPr>
          <w:rFonts w:cstheme="minorHAnsi"/>
          <w:bCs/>
          <w:sz w:val="18"/>
          <w:szCs w:val="18"/>
          <w:lang w:val="sr-Latn-ME"/>
        </w:rPr>
        <w:t xml:space="preserve">SRR </w:t>
      </w:r>
      <w:r w:rsidR="004244AD" w:rsidRPr="0048184E">
        <w:rPr>
          <w:rFonts w:cstheme="minorHAnsi"/>
          <w:bCs/>
          <w:sz w:val="18"/>
          <w:szCs w:val="18"/>
          <w:lang w:val="pl-PL"/>
        </w:rPr>
        <w:t>horizontalno</w:t>
      </w:r>
      <w:r w:rsidR="004244AD" w:rsidRPr="0048184E">
        <w:rPr>
          <w:rFonts w:cstheme="minorHAnsi"/>
          <w:bCs/>
          <w:sz w:val="18"/>
          <w:szCs w:val="18"/>
          <w:lang w:val="sr-Latn-ME"/>
        </w:rPr>
        <w:t xml:space="preserve"> </w:t>
      </w:r>
      <w:r w:rsidR="004244AD" w:rsidRPr="0048184E">
        <w:rPr>
          <w:rFonts w:cstheme="minorHAnsi"/>
          <w:bCs/>
          <w:sz w:val="18"/>
          <w:szCs w:val="18"/>
          <w:lang w:val="pl-PL"/>
        </w:rPr>
        <w:t>se</w:t>
      </w:r>
      <w:r w:rsidR="004244AD" w:rsidRPr="0048184E">
        <w:rPr>
          <w:rFonts w:cstheme="minorHAnsi"/>
          <w:bCs/>
          <w:sz w:val="18"/>
          <w:szCs w:val="18"/>
          <w:lang w:val="sr-Latn-ME"/>
        </w:rPr>
        <w:t xml:space="preserve"> </w:t>
      </w:r>
      <w:r w:rsidR="004244AD" w:rsidRPr="0048184E">
        <w:rPr>
          <w:rFonts w:cstheme="minorHAnsi"/>
          <w:bCs/>
          <w:sz w:val="18"/>
          <w:szCs w:val="18"/>
          <w:lang w:val="pl-PL"/>
        </w:rPr>
        <w:t>uvezuje</w:t>
      </w:r>
      <w:r w:rsidR="004244AD" w:rsidRPr="0048184E">
        <w:rPr>
          <w:rFonts w:cstheme="minorHAnsi"/>
          <w:bCs/>
          <w:sz w:val="18"/>
          <w:szCs w:val="18"/>
          <w:lang w:val="sr-Latn-ME"/>
        </w:rPr>
        <w:t xml:space="preserve"> </w:t>
      </w:r>
      <w:r w:rsidR="004244AD" w:rsidRPr="0048184E">
        <w:rPr>
          <w:rFonts w:cstheme="minorHAnsi"/>
          <w:bCs/>
          <w:sz w:val="18"/>
          <w:szCs w:val="18"/>
          <w:lang w:val="pl-PL"/>
        </w:rPr>
        <w:t>i</w:t>
      </w:r>
      <w:r w:rsidR="004244AD" w:rsidRPr="0048184E">
        <w:rPr>
          <w:rFonts w:cstheme="minorHAnsi"/>
          <w:bCs/>
          <w:sz w:val="18"/>
          <w:szCs w:val="18"/>
          <w:lang w:val="sr-Latn-ME"/>
        </w:rPr>
        <w:t xml:space="preserve"> </w:t>
      </w:r>
      <w:r w:rsidR="004244AD" w:rsidRPr="0048184E">
        <w:rPr>
          <w:rFonts w:cstheme="minorHAnsi"/>
          <w:bCs/>
          <w:sz w:val="18"/>
          <w:szCs w:val="18"/>
          <w:lang w:val="pl-PL"/>
        </w:rPr>
        <w:t>sa</w:t>
      </w:r>
      <w:r w:rsidR="004244AD" w:rsidRPr="0048184E">
        <w:rPr>
          <w:rFonts w:cstheme="minorHAnsi"/>
          <w:bCs/>
          <w:sz w:val="18"/>
          <w:szCs w:val="18"/>
          <w:lang w:val="sr-Latn-ME"/>
        </w:rPr>
        <w:t xml:space="preserve"> </w:t>
      </w:r>
      <w:r w:rsidR="004244AD" w:rsidRPr="0048184E">
        <w:rPr>
          <w:rFonts w:cstheme="minorHAnsi"/>
          <w:bCs/>
          <w:sz w:val="18"/>
          <w:szCs w:val="18"/>
          <w:lang w:val="pl-PL"/>
        </w:rPr>
        <w:t>drugim</w:t>
      </w:r>
      <w:r w:rsidR="004244AD" w:rsidRPr="0048184E">
        <w:rPr>
          <w:rFonts w:cstheme="minorHAnsi"/>
          <w:bCs/>
          <w:sz w:val="18"/>
          <w:szCs w:val="18"/>
          <w:lang w:val="sr-Latn-ME"/>
        </w:rPr>
        <w:t xml:space="preserve"> </w:t>
      </w:r>
      <w:r w:rsidR="004244AD" w:rsidRPr="0048184E">
        <w:rPr>
          <w:rFonts w:cstheme="minorHAnsi"/>
          <w:bCs/>
          <w:sz w:val="18"/>
          <w:szCs w:val="18"/>
          <w:lang w:val="pl-PL"/>
        </w:rPr>
        <w:t>tematskim</w:t>
      </w:r>
      <w:r w:rsidR="004244AD" w:rsidRPr="0048184E">
        <w:rPr>
          <w:rFonts w:cstheme="minorHAnsi"/>
          <w:bCs/>
          <w:sz w:val="18"/>
          <w:szCs w:val="18"/>
          <w:lang w:val="sr-Latn-ME"/>
        </w:rPr>
        <w:t xml:space="preserve"> </w:t>
      </w:r>
      <w:r w:rsidR="004244AD" w:rsidRPr="0048184E">
        <w:rPr>
          <w:rFonts w:cstheme="minorHAnsi"/>
          <w:bCs/>
          <w:sz w:val="18"/>
          <w:szCs w:val="18"/>
          <w:lang w:val="pl-PL"/>
        </w:rPr>
        <w:t>strate</w:t>
      </w:r>
      <w:r w:rsidR="004244AD" w:rsidRPr="0048184E">
        <w:rPr>
          <w:rFonts w:cstheme="minorHAnsi"/>
          <w:bCs/>
          <w:sz w:val="18"/>
          <w:szCs w:val="18"/>
          <w:lang w:val="sr-Latn-ME"/>
        </w:rPr>
        <w:t>š</w:t>
      </w:r>
      <w:r w:rsidR="004244AD" w:rsidRPr="0048184E">
        <w:rPr>
          <w:rFonts w:cstheme="minorHAnsi"/>
          <w:bCs/>
          <w:sz w:val="18"/>
          <w:szCs w:val="18"/>
          <w:lang w:val="pl-PL"/>
        </w:rPr>
        <w:t>kim</w:t>
      </w:r>
      <w:r w:rsidR="004244AD" w:rsidRPr="0048184E">
        <w:rPr>
          <w:rFonts w:cstheme="minorHAnsi"/>
          <w:bCs/>
          <w:sz w:val="18"/>
          <w:szCs w:val="18"/>
          <w:lang w:val="sr-Latn-ME"/>
        </w:rPr>
        <w:t xml:space="preserve"> </w:t>
      </w:r>
      <w:r w:rsidR="004244AD" w:rsidRPr="0048184E">
        <w:rPr>
          <w:rFonts w:cstheme="minorHAnsi"/>
          <w:bCs/>
          <w:sz w:val="18"/>
          <w:szCs w:val="18"/>
          <w:lang w:val="pl-PL"/>
        </w:rPr>
        <w:t>dokumentima</w:t>
      </w:r>
      <w:r w:rsidR="004244AD" w:rsidRPr="0048184E">
        <w:rPr>
          <w:rFonts w:cstheme="minorHAnsi"/>
          <w:bCs/>
          <w:sz w:val="18"/>
          <w:szCs w:val="18"/>
          <w:lang w:val="sr-Latn-ME"/>
        </w:rPr>
        <w:t xml:space="preserve">, </w:t>
      </w:r>
      <w:r w:rsidR="004244AD" w:rsidRPr="0048184E">
        <w:rPr>
          <w:rFonts w:cstheme="minorHAnsi"/>
          <w:bCs/>
          <w:sz w:val="18"/>
          <w:szCs w:val="18"/>
          <w:lang w:val="pl-PL"/>
        </w:rPr>
        <w:t>sa</w:t>
      </w:r>
      <w:r w:rsidR="004244AD" w:rsidRPr="0048184E">
        <w:rPr>
          <w:rFonts w:cstheme="minorHAnsi"/>
          <w:bCs/>
          <w:sz w:val="18"/>
          <w:szCs w:val="18"/>
          <w:lang w:val="sr-Latn-ME"/>
        </w:rPr>
        <w:t xml:space="preserve"> </w:t>
      </w:r>
      <w:r w:rsidR="004244AD" w:rsidRPr="0048184E">
        <w:rPr>
          <w:rFonts w:cstheme="minorHAnsi"/>
          <w:bCs/>
          <w:sz w:val="18"/>
          <w:szCs w:val="18"/>
          <w:lang w:val="pl-PL"/>
        </w:rPr>
        <w:t>kojima</w:t>
      </w:r>
      <w:r w:rsidR="004244AD" w:rsidRPr="0048184E">
        <w:rPr>
          <w:rFonts w:cstheme="minorHAnsi"/>
          <w:bCs/>
          <w:sz w:val="18"/>
          <w:szCs w:val="18"/>
          <w:lang w:val="sr-Latn-ME"/>
        </w:rPr>
        <w:t xml:space="preserve"> </w:t>
      </w:r>
      <w:r w:rsidR="004244AD" w:rsidRPr="0048184E">
        <w:rPr>
          <w:rFonts w:cstheme="minorHAnsi"/>
          <w:bCs/>
          <w:sz w:val="18"/>
          <w:szCs w:val="18"/>
          <w:lang w:val="pl-PL"/>
        </w:rPr>
        <w:t>ima</w:t>
      </w:r>
      <w:r w:rsidR="004244AD" w:rsidRPr="0048184E">
        <w:rPr>
          <w:rFonts w:cstheme="minorHAnsi"/>
          <w:bCs/>
          <w:sz w:val="18"/>
          <w:szCs w:val="18"/>
          <w:lang w:val="sr-Latn-ME"/>
        </w:rPr>
        <w:t xml:space="preserve"> </w:t>
      </w:r>
      <w:r w:rsidR="004244AD" w:rsidRPr="0048184E">
        <w:rPr>
          <w:rFonts w:cstheme="minorHAnsi"/>
          <w:bCs/>
          <w:sz w:val="18"/>
          <w:szCs w:val="18"/>
          <w:lang w:val="pl-PL"/>
        </w:rPr>
        <w:t>komplementarne</w:t>
      </w:r>
      <w:r w:rsidR="004244AD" w:rsidRPr="0048184E">
        <w:rPr>
          <w:rFonts w:cstheme="minorHAnsi"/>
          <w:bCs/>
          <w:sz w:val="18"/>
          <w:szCs w:val="18"/>
          <w:lang w:val="sr-Latn-ME"/>
        </w:rPr>
        <w:t xml:space="preserve"> </w:t>
      </w:r>
      <w:r w:rsidR="004244AD" w:rsidRPr="0048184E">
        <w:rPr>
          <w:rFonts w:cstheme="minorHAnsi"/>
          <w:bCs/>
          <w:sz w:val="18"/>
          <w:szCs w:val="18"/>
          <w:lang w:val="pl-PL"/>
        </w:rPr>
        <w:t>razvojne</w:t>
      </w:r>
      <w:r w:rsidR="004244AD" w:rsidRPr="0048184E">
        <w:rPr>
          <w:rFonts w:cstheme="minorHAnsi"/>
          <w:bCs/>
          <w:sz w:val="18"/>
          <w:szCs w:val="18"/>
          <w:lang w:val="sr-Latn-ME"/>
        </w:rPr>
        <w:t xml:space="preserve"> </w:t>
      </w:r>
      <w:r w:rsidR="004244AD" w:rsidRPr="0048184E">
        <w:rPr>
          <w:rFonts w:cstheme="minorHAnsi"/>
          <w:bCs/>
          <w:sz w:val="18"/>
          <w:szCs w:val="18"/>
          <w:lang w:val="pl-PL"/>
        </w:rPr>
        <w:t>ciljeve</w:t>
      </w:r>
      <w:r w:rsidR="004244AD" w:rsidRPr="0048184E">
        <w:rPr>
          <w:rFonts w:cstheme="minorHAnsi"/>
          <w:bCs/>
          <w:sz w:val="18"/>
          <w:szCs w:val="18"/>
          <w:lang w:val="sr-Latn-ME"/>
        </w:rPr>
        <w:t xml:space="preserve"> š</w:t>
      </w:r>
      <w:r w:rsidR="004244AD" w:rsidRPr="0048184E">
        <w:rPr>
          <w:rFonts w:cstheme="minorHAnsi"/>
          <w:bCs/>
          <w:sz w:val="18"/>
          <w:szCs w:val="18"/>
        </w:rPr>
        <w:t>to</w:t>
      </w:r>
      <w:r w:rsidR="004244AD" w:rsidRPr="0048184E">
        <w:rPr>
          <w:rFonts w:cstheme="minorHAnsi"/>
          <w:bCs/>
          <w:sz w:val="18"/>
          <w:szCs w:val="18"/>
          <w:lang w:val="sr-Latn-ME"/>
        </w:rPr>
        <w:t xml:space="preserve"> </w:t>
      </w:r>
      <w:r w:rsidR="004244AD" w:rsidRPr="0048184E">
        <w:rPr>
          <w:rFonts w:cstheme="minorHAnsi"/>
          <w:bCs/>
          <w:sz w:val="18"/>
          <w:szCs w:val="18"/>
        </w:rPr>
        <w:t>se</w:t>
      </w:r>
      <w:r w:rsidR="004244AD" w:rsidRPr="0048184E">
        <w:rPr>
          <w:rFonts w:cstheme="minorHAnsi"/>
          <w:bCs/>
          <w:sz w:val="18"/>
          <w:szCs w:val="18"/>
          <w:lang w:val="sr-Latn-ME"/>
        </w:rPr>
        <w:t xml:space="preserve"> </w:t>
      </w:r>
      <w:r w:rsidR="004244AD" w:rsidRPr="0048184E">
        <w:rPr>
          <w:rFonts w:cstheme="minorHAnsi"/>
          <w:bCs/>
          <w:sz w:val="18"/>
          <w:szCs w:val="18"/>
        </w:rPr>
        <w:t>posebno</w:t>
      </w:r>
      <w:r w:rsidR="004244AD" w:rsidRPr="0048184E">
        <w:rPr>
          <w:rFonts w:cstheme="minorHAnsi"/>
          <w:bCs/>
          <w:sz w:val="18"/>
          <w:szCs w:val="18"/>
          <w:lang w:val="sr-Latn-ME"/>
        </w:rPr>
        <w:t xml:space="preserve"> </w:t>
      </w:r>
      <w:r w:rsidR="004244AD" w:rsidRPr="0048184E">
        <w:rPr>
          <w:rFonts w:cstheme="minorHAnsi"/>
          <w:bCs/>
          <w:sz w:val="18"/>
          <w:szCs w:val="18"/>
        </w:rPr>
        <w:t>vezuje</w:t>
      </w:r>
      <w:r w:rsidR="004244AD" w:rsidRPr="0048184E">
        <w:rPr>
          <w:rFonts w:cstheme="minorHAnsi"/>
          <w:bCs/>
          <w:sz w:val="18"/>
          <w:szCs w:val="18"/>
          <w:lang w:val="sr-Latn-ME"/>
        </w:rPr>
        <w:t xml:space="preserve"> </w:t>
      </w:r>
      <w:r w:rsidR="004244AD" w:rsidRPr="0048184E">
        <w:rPr>
          <w:rFonts w:cstheme="minorHAnsi"/>
          <w:bCs/>
          <w:sz w:val="18"/>
          <w:szCs w:val="18"/>
        </w:rPr>
        <w:t>sa</w:t>
      </w:r>
      <w:r w:rsidR="004244AD" w:rsidRPr="0048184E">
        <w:rPr>
          <w:rFonts w:cstheme="minorHAnsi"/>
          <w:bCs/>
          <w:sz w:val="18"/>
          <w:szCs w:val="18"/>
          <w:lang w:val="sr-Latn-ME"/>
        </w:rPr>
        <w:t xml:space="preserve"> </w:t>
      </w:r>
      <w:r w:rsidR="004244AD" w:rsidRPr="0048184E">
        <w:rPr>
          <w:rFonts w:cstheme="minorHAnsi"/>
          <w:bCs/>
          <w:sz w:val="18"/>
          <w:szCs w:val="18"/>
        </w:rPr>
        <w:t>oblasti</w:t>
      </w:r>
      <w:r w:rsidRPr="0048184E">
        <w:rPr>
          <w:rFonts w:cstheme="minorHAnsi"/>
          <w:bCs/>
          <w:sz w:val="18"/>
          <w:szCs w:val="18"/>
          <w:lang w:val="sr-Latn-ME"/>
        </w:rPr>
        <w:t xml:space="preserve">, </w:t>
      </w:r>
      <w:r w:rsidRPr="0048184E">
        <w:rPr>
          <w:rFonts w:cstheme="minorHAnsi"/>
          <w:bCs/>
          <w:sz w:val="18"/>
          <w:szCs w:val="18"/>
        </w:rPr>
        <w:t>malih</w:t>
      </w:r>
      <w:r w:rsidRPr="0048184E">
        <w:rPr>
          <w:rFonts w:cstheme="minorHAnsi"/>
          <w:bCs/>
          <w:sz w:val="18"/>
          <w:szCs w:val="18"/>
          <w:lang w:val="sr-Latn-ME"/>
        </w:rPr>
        <w:t xml:space="preserve"> </w:t>
      </w:r>
      <w:r w:rsidRPr="0048184E">
        <w:rPr>
          <w:rFonts w:cstheme="minorHAnsi"/>
          <w:bCs/>
          <w:sz w:val="18"/>
          <w:szCs w:val="18"/>
        </w:rPr>
        <w:t>i</w:t>
      </w:r>
      <w:r w:rsidRPr="0048184E">
        <w:rPr>
          <w:rFonts w:cstheme="minorHAnsi"/>
          <w:bCs/>
          <w:sz w:val="18"/>
          <w:szCs w:val="18"/>
          <w:lang w:val="sr-Latn-ME"/>
        </w:rPr>
        <w:t xml:space="preserve"> </w:t>
      </w:r>
      <w:r w:rsidRPr="0048184E">
        <w:rPr>
          <w:rFonts w:cstheme="minorHAnsi"/>
          <w:bCs/>
          <w:sz w:val="18"/>
          <w:szCs w:val="18"/>
        </w:rPr>
        <w:t>srednjih</w:t>
      </w:r>
      <w:r w:rsidRPr="0048184E">
        <w:rPr>
          <w:rFonts w:cstheme="minorHAnsi"/>
          <w:bCs/>
          <w:sz w:val="18"/>
          <w:szCs w:val="18"/>
          <w:lang w:val="sr-Latn-ME"/>
        </w:rPr>
        <w:t xml:space="preserve"> </w:t>
      </w:r>
      <w:r w:rsidRPr="0048184E">
        <w:rPr>
          <w:rFonts w:cstheme="minorHAnsi"/>
          <w:bCs/>
          <w:sz w:val="18"/>
          <w:szCs w:val="18"/>
        </w:rPr>
        <w:t>preduze</w:t>
      </w:r>
      <w:r w:rsidRPr="0048184E">
        <w:rPr>
          <w:rFonts w:cstheme="minorHAnsi"/>
          <w:bCs/>
          <w:sz w:val="18"/>
          <w:szCs w:val="18"/>
          <w:lang w:val="sr-Latn-ME"/>
        </w:rPr>
        <w:t>ć</w:t>
      </w:r>
      <w:r w:rsidRPr="0048184E">
        <w:rPr>
          <w:rFonts w:cstheme="minorHAnsi"/>
          <w:bCs/>
          <w:sz w:val="18"/>
          <w:szCs w:val="18"/>
        </w:rPr>
        <w:t>a</w:t>
      </w:r>
      <w:r w:rsidRPr="0048184E">
        <w:rPr>
          <w:rFonts w:cstheme="minorHAnsi"/>
          <w:bCs/>
          <w:sz w:val="18"/>
          <w:szCs w:val="18"/>
          <w:lang w:val="sr-Latn-ME"/>
        </w:rPr>
        <w:t xml:space="preserve">, </w:t>
      </w:r>
      <w:r w:rsidR="004244AD" w:rsidRPr="0048184E">
        <w:rPr>
          <w:rFonts w:cstheme="minorHAnsi"/>
          <w:bCs/>
          <w:sz w:val="18"/>
          <w:szCs w:val="18"/>
          <w:lang w:val="sr-Latn-ME"/>
        </w:rPr>
        <w:t xml:space="preserve"> </w:t>
      </w:r>
      <w:r w:rsidRPr="0048184E">
        <w:rPr>
          <w:rFonts w:cstheme="minorHAnsi"/>
          <w:bCs/>
          <w:sz w:val="18"/>
          <w:szCs w:val="18"/>
          <w:lang w:val="sr-Latn-ME"/>
        </w:rPr>
        <w:t xml:space="preserve">inovacija, specijalizacije, </w:t>
      </w:r>
      <w:r w:rsidR="004244AD" w:rsidRPr="0048184E">
        <w:rPr>
          <w:rFonts w:cstheme="minorHAnsi"/>
          <w:bCs/>
          <w:sz w:val="18"/>
          <w:szCs w:val="18"/>
        </w:rPr>
        <w:t>obrazovanja</w:t>
      </w:r>
      <w:r w:rsidR="004244AD" w:rsidRPr="0048184E">
        <w:rPr>
          <w:rFonts w:cstheme="minorHAnsi"/>
          <w:bCs/>
          <w:sz w:val="18"/>
          <w:szCs w:val="18"/>
          <w:lang w:val="sr-Latn-ME"/>
        </w:rPr>
        <w:t xml:space="preserve">, </w:t>
      </w:r>
      <w:r w:rsidR="004244AD" w:rsidRPr="0048184E">
        <w:rPr>
          <w:rFonts w:cstheme="minorHAnsi"/>
          <w:bCs/>
          <w:sz w:val="18"/>
          <w:szCs w:val="18"/>
        </w:rPr>
        <w:t>zapo</w:t>
      </w:r>
      <w:r w:rsidR="004244AD" w:rsidRPr="0048184E">
        <w:rPr>
          <w:rFonts w:cstheme="minorHAnsi"/>
          <w:bCs/>
          <w:sz w:val="18"/>
          <w:szCs w:val="18"/>
          <w:lang w:val="sr-Latn-ME"/>
        </w:rPr>
        <w:t>š</w:t>
      </w:r>
      <w:r w:rsidR="004244AD" w:rsidRPr="0048184E">
        <w:rPr>
          <w:rFonts w:cstheme="minorHAnsi"/>
          <w:bCs/>
          <w:sz w:val="18"/>
          <w:szCs w:val="18"/>
        </w:rPr>
        <w:t>ljavanja</w:t>
      </w:r>
      <w:r w:rsidR="004244AD" w:rsidRPr="0048184E">
        <w:rPr>
          <w:rFonts w:cstheme="minorHAnsi"/>
          <w:bCs/>
          <w:sz w:val="18"/>
          <w:szCs w:val="18"/>
          <w:lang w:val="sr-Latn-ME"/>
        </w:rPr>
        <w:t xml:space="preserve"> </w:t>
      </w:r>
      <w:r w:rsidR="004244AD" w:rsidRPr="0048184E">
        <w:rPr>
          <w:rFonts w:cstheme="minorHAnsi"/>
          <w:bCs/>
          <w:sz w:val="18"/>
          <w:szCs w:val="18"/>
        </w:rPr>
        <w:t>i</w:t>
      </w:r>
      <w:r w:rsidR="004244AD" w:rsidRPr="0048184E">
        <w:rPr>
          <w:rFonts w:cstheme="minorHAnsi"/>
          <w:bCs/>
          <w:sz w:val="18"/>
          <w:szCs w:val="18"/>
          <w:lang w:val="sr-Latn-ME"/>
        </w:rPr>
        <w:t xml:space="preserve"> </w:t>
      </w:r>
      <w:r w:rsidR="004244AD" w:rsidRPr="0048184E">
        <w:rPr>
          <w:rFonts w:cstheme="minorHAnsi"/>
          <w:bCs/>
          <w:sz w:val="18"/>
          <w:szCs w:val="18"/>
        </w:rPr>
        <w:t>razvoja</w:t>
      </w:r>
      <w:r w:rsidR="004244AD" w:rsidRPr="0048184E">
        <w:rPr>
          <w:rFonts w:cstheme="minorHAnsi"/>
          <w:bCs/>
          <w:sz w:val="18"/>
          <w:szCs w:val="18"/>
          <w:lang w:val="sr-Latn-ME"/>
        </w:rPr>
        <w:t xml:space="preserve"> </w:t>
      </w:r>
      <w:r w:rsidR="004244AD" w:rsidRPr="0048184E">
        <w:rPr>
          <w:rFonts w:cstheme="minorHAnsi"/>
          <w:bCs/>
          <w:sz w:val="18"/>
          <w:szCs w:val="18"/>
        </w:rPr>
        <w:t>preduzetni</w:t>
      </w:r>
      <w:r w:rsidR="004244AD" w:rsidRPr="0048184E">
        <w:rPr>
          <w:rFonts w:cstheme="minorHAnsi"/>
          <w:bCs/>
          <w:sz w:val="18"/>
          <w:szCs w:val="18"/>
          <w:lang w:val="sr-Latn-ME"/>
        </w:rPr>
        <w:t>š</w:t>
      </w:r>
      <w:r w:rsidR="004244AD" w:rsidRPr="0048184E">
        <w:rPr>
          <w:rFonts w:cstheme="minorHAnsi"/>
          <w:bCs/>
          <w:sz w:val="18"/>
          <w:szCs w:val="18"/>
        </w:rPr>
        <w:t>tva</w:t>
      </w:r>
      <w:r w:rsidRPr="0048184E">
        <w:rPr>
          <w:rFonts w:cstheme="minorHAnsi"/>
          <w:bCs/>
          <w:sz w:val="18"/>
          <w:szCs w:val="18"/>
          <w:lang w:val="sr-Latn-ME"/>
        </w:rPr>
        <w:t xml:space="preserve">. </w:t>
      </w:r>
      <w:r w:rsidR="004D1ACA" w:rsidRPr="0048184E">
        <w:rPr>
          <w:rFonts w:cstheme="minorHAnsi"/>
          <w:bCs/>
          <w:sz w:val="18"/>
          <w:szCs w:val="18"/>
          <w:lang w:val="sr-Latn-ME"/>
        </w:rPr>
        <w:t xml:space="preserve">Pored navedenih dokumenata, značajno je navesti uvezivanje mjera nove SRR sa Akcionim planom za ispunjavanje završnih mjerila u poglavlju 27 - Životna sredina i klimatske promjene 2021-2025. </w:t>
      </w:r>
    </w:p>
    <w:p w14:paraId="79E8CB0A" w14:textId="77777777" w:rsidR="004D1ACA" w:rsidRPr="0048184E" w:rsidRDefault="004D1ACA" w:rsidP="0048184E">
      <w:pPr>
        <w:pStyle w:val="NoSpacing"/>
        <w:jc w:val="both"/>
        <w:rPr>
          <w:rFonts w:asciiTheme="minorHAnsi" w:hAnsiTheme="minorHAnsi"/>
          <w:bCs/>
          <w:sz w:val="18"/>
          <w:szCs w:val="18"/>
          <w:lang w:val="sr-Latn-ME"/>
        </w:rPr>
      </w:pPr>
    </w:p>
    <w:p w14:paraId="72C2443A" w14:textId="77777777" w:rsidR="004D1ACA" w:rsidRPr="003C2A72" w:rsidRDefault="008F48D1" w:rsidP="0048184E">
      <w:pPr>
        <w:pStyle w:val="Heading21"/>
        <w:numPr>
          <w:ilvl w:val="1"/>
          <w:numId w:val="26"/>
        </w:numPr>
        <w:spacing w:before="0"/>
        <w:rPr>
          <w:color w:val="4472C4" w:themeColor="accent5"/>
          <w:szCs w:val="22"/>
        </w:rPr>
      </w:pPr>
      <w:r w:rsidRPr="003C2A72">
        <w:rPr>
          <w:color w:val="4472C4" w:themeColor="accent5"/>
          <w:szCs w:val="22"/>
          <w:lang w:val="sr-Latn-ME"/>
        </w:rPr>
        <w:t xml:space="preserve"> </w:t>
      </w:r>
      <w:bookmarkStart w:id="9" w:name="_Toc205215827"/>
      <w:r w:rsidR="004D1ACA" w:rsidRPr="003C2A72">
        <w:rPr>
          <w:color w:val="4472C4" w:themeColor="accent5"/>
          <w:szCs w:val="22"/>
        </w:rPr>
        <w:t>Usklađenost sa međunarodnim obavezama</w:t>
      </w:r>
      <w:bookmarkEnd w:id="9"/>
    </w:p>
    <w:p w14:paraId="21C0602E" w14:textId="77777777" w:rsidR="004D1ACA" w:rsidRPr="0048184E" w:rsidRDefault="004D1ACA" w:rsidP="0048184E">
      <w:pPr>
        <w:pStyle w:val="NoSpacing"/>
        <w:jc w:val="both"/>
        <w:rPr>
          <w:rFonts w:asciiTheme="minorHAnsi" w:hAnsiTheme="minorHAnsi"/>
          <w:b/>
          <w:bCs/>
          <w:sz w:val="18"/>
          <w:szCs w:val="18"/>
          <w:lang w:val="sr-Latn-ME"/>
        </w:rPr>
      </w:pPr>
    </w:p>
    <w:p w14:paraId="6C3688F8" w14:textId="77777777" w:rsidR="00B157BD"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SRR 2023-2027 usklađuje se i sa globalnim, međunarodno preuzetim obavezama, sa EU razvojnim okvirom, kao i regionalnim strateškim dokumentima. Iako je broj međunarodno preuzetih obaveza značajan i obuh</w:t>
      </w:r>
      <w:r w:rsidR="0036199D" w:rsidRPr="0048184E">
        <w:rPr>
          <w:rFonts w:asciiTheme="minorHAnsi" w:hAnsiTheme="minorHAnsi"/>
          <w:sz w:val="18"/>
          <w:szCs w:val="18"/>
          <w:lang w:val="sr-Latn-ME"/>
        </w:rPr>
        <w:t>vatan, u kontekstu pripreme</w:t>
      </w:r>
      <w:r w:rsidRPr="0048184E">
        <w:rPr>
          <w:rFonts w:asciiTheme="minorHAnsi" w:hAnsiTheme="minorHAnsi"/>
          <w:sz w:val="18"/>
          <w:szCs w:val="18"/>
          <w:lang w:val="sr-Latn-ME"/>
        </w:rPr>
        <w:t xml:space="preserve"> SRR</w:t>
      </w:r>
      <w:r w:rsidR="0036199D" w:rsidRPr="0048184E">
        <w:rPr>
          <w:rFonts w:asciiTheme="minorHAnsi" w:hAnsiTheme="minorHAnsi"/>
          <w:sz w:val="18"/>
          <w:szCs w:val="18"/>
          <w:lang w:val="sr-Latn-ME"/>
        </w:rPr>
        <w:t xml:space="preserve"> 2023-2027.</w:t>
      </w:r>
      <w:r w:rsidRPr="0048184E">
        <w:rPr>
          <w:rFonts w:asciiTheme="minorHAnsi" w:hAnsiTheme="minorHAnsi"/>
          <w:sz w:val="18"/>
          <w:szCs w:val="18"/>
          <w:lang w:val="sr-Latn-ME"/>
        </w:rPr>
        <w:t>, u nastavku su date ključne međunarodno preuzete obaveze Crne Gore, koje su od značaja za ravnomjerniji, otporniji, zeleniji, digitalniji i</w:t>
      </w:r>
      <w:r w:rsidR="0036199D" w:rsidRPr="0048184E">
        <w:rPr>
          <w:rFonts w:asciiTheme="minorHAnsi" w:hAnsiTheme="minorHAnsi"/>
          <w:sz w:val="18"/>
          <w:szCs w:val="18"/>
          <w:lang w:val="sr-Latn-ME"/>
        </w:rPr>
        <w:t xml:space="preserve"> </w:t>
      </w:r>
      <w:r w:rsidR="008B4D56" w:rsidRPr="0048184E">
        <w:rPr>
          <w:rFonts w:asciiTheme="minorHAnsi" w:hAnsiTheme="minorHAnsi"/>
          <w:sz w:val="18"/>
          <w:szCs w:val="18"/>
          <w:lang w:val="sr-Latn-ME"/>
        </w:rPr>
        <w:t>inkluzivniji regionalni razvoj.</w:t>
      </w:r>
    </w:p>
    <w:p w14:paraId="03317E25" w14:textId="77777777" w:rsidR="008B4D56" w:rsidRPr="004B0391" w:rsidRDefault="008B4D56" w:rsidP="004B0391">
      <w:pPr>
        <w:pStyle w:val="NoSpacing"/>
        <w:jc w:val="center"/>
        <w:rPr>
          <w:rFonts w:asciiTheme="minorHAnsi" w:hAnsiTheme="minorHAnsi"/>
          <w:color w:val="4472C4" w:themeColor="accent5"/>
          <w:sz w:val="18"/>
          <w:szCs w:val="18"/>
          <w:lang w:val="sr-Latn-ME"/>
        </w:rPr>
      </w:pPr>
    </w:p>
    <w:p w14:paraId="1CC10239" w14:textId="77777777" w:rsidR="008B4D56" w:rsidRPr="003C2A72" w:rsidRDefault="008B4D56" w:rsidP="004B0391">
      <w:pPr>
        <w:pStyle w:val="Caption"/>
        <w:spacing w:after="0"/>
        <w:jc w:val="center"/>
        <w:rPr>
          <w:rFonts w:asciiTheme="minorHAnsi" w:hAnsiTheme="minorHAnsi"/>
          <w:color w:val="4472C4" w:themeColor="accent5"/>
          <w:lang w:val="pl-PL"/>
        </w:rPr>
      </w:pPr>
      <w:r w:rsidRPr="003C2A72">
        <w:rPr>
          <w:rFonts w:asciiTheme="minorHAnsi" w:hAnsiTheme="minorHAnsi"/>
          <w:color w:val="4472C4" w:themeColor="accent5"/>
          <w:lang w:val="pl-PL"/>
        </w:rPr>
        <w:t>Grafik 1. SRR 2023-2027 i usklađenost sa ključnim međunarodnim obavezama</w:t>
      </w:r>
    </w:p>
    <w:p w14:paraId="337F01B4" w14:textId="77777777" w:rsidR="004D1ACA" w:rsidRPr="0048184E" w:rsidRDefault="004D1ACA" w:rsidP="0048184E">
      <w:pPr>
        <w:pStyle w:val="NoSpacing"/>
        <w:jc w:val="center"/>
        <w:rPr>
          <w:rFonts w:asciiTheme="minorHAnsi" w:hAnsiTheme="minorHAnsi"/>
          <w:noProof/>
          <w:sz w:val="18"/>
          <w:szCs w:val="18"/>
          <w:lang w:val="en-GB"/>
        </w:rPr>
      </w:pPr>
      <w:r w:rsidRPr="0048184E">
        <w:rPr>
          <w:rFonts w:asciiTheme="minorHAnsi" w:hAnsiTheme="minorHAnsi"/>
          <w:noProof/>
          <w:sz w:val="18"/>
          <w:szCs w:val="18"/>
        </w:rPr>
        <w:drawing>
          <wp:inline distT="0" distB="0" distL="0" distR="0" wp14:anchorId="34FD3778" wp14:editId="7145D00E">
            <wp:extent cx="4535170" cy="2584450"/>
            <wp:effectExtent l="19050" t="19050" r="1778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5170" cy="2584450"/>
                    </a:xfrm>
                    <a:prstGeom prst="rect">
                      <a:avLst/>
                    </a:prstGeom>
                    <a:noFill/>
                    <a:ln w="6350" cmpd="sng">
                      <a:solidFill>
                        <a:srgbClr val="000000"/>
                      </a:solidFill>
                      <a:miter lim="800000"/>
                      <a:headEnd/>
                      <a:tailEnd/>
                    </a:ln>
                    <a:effectLst/>
                  </pic:spPr>
                </pic:pic>
              </a:graphicData>
            </a:graphic>
          </wp:inline>
        </w:drawing>
      </w:r>
    </w:p>
    <w:p w14:paraId="2A711B54"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 xml:space="preserve">UN agenda 2030 </w:t>
      </w:r>
      <w:r w:rsidRPr="0048184E">
        <w:rPr>
          <w:rFonts w:asciiTheme="minorHAnsi" w:hAnsiTheme="minorHAnsi"/>
          <w:sz w:val="18"/>
          <w:szCs w:val="18"/>
          <w:lang w:val="sr-Latn-ME"/>
        </w:rPr>
        <w:t>-</w:t>
      </w:r>
      <w:r w:rsidRPr="0048184E">
        <w:rPr>
          <w:rFonts w:asciiTheme="minorHAnsi" w:hAnsiTheme="minorHAnsi"/>
          <w:b/>
          <w:sz w:val="18"/>
          <w:szCs w:val="18"/>
          <w:lang w:val="sr-Latn-ME"/>
        </w:rPr>
        <w:t xml:space="preserve"> </w:t>
      </w:r>
      <w:r w:rsidRPr="0048184E">
        <w:rPr>
          <w:rFonts w:asciiTheme="minorHAnsi" w:hAnsiTheme="minorHAnsi"/>
          <w:sz w:val="18"/>
          <w:szCs w:val="18"/>
          <w:lang w:val="sr-Latn-ME"/>
        </w:rPr>
        <w:t>17 ciljeva održivog razvoja, sa svim zadacima i ciljanim vrijednostima indikatora UN, preuzeti su u nacionalni kontekst usvajanjem Strategije održivog razvoja Crne Gore do 2030. godine.</w:t>
      </w:r>
    </w:p>
    <w:p w14:paraId="50321D30" w14:textId="661601CC"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Pariski sporazum</w:t>
      </w:r>
      <w:r w:rsidRPr="0048184E">
        <w:rPr>
          <w:rFonts w:asciiTheme="minorHAnsi" w:hAnsiTheme="minorHAnsi"/>
          <w:sz w:val="18"/>
          <w:szCs w:val="18"/>
          <w:lang w:val="sr-Latn-ME"/>
        </w:rPr>
        <w:t xml:space="preserve"> - globalni sporazum o promjeni klime, kojim se teži osnažiti globalna reakcija na opasnost od klimatskih promjena. Sporazum uključuje plan djelovanja čiji je cilj globalno zagrijavanje ograničiti na nivou </w:t>
      </w:r>
      <w:r w:rsidRPr="0048184E">
        <w:rPr>
          <w:rFonts w:asciiTheme="minorHAnsi" w:hAnsiTheme="minorHAnsi"/>
          <w:bCs/>
          <w:sz w:val="18"/>
          <w:szCs w:val="18"/>
          <w:lang w:val="sr-Latn-ME"/>
        </w:rPr>
        <w:t>„znatno nižem” od 2 °C</w:t>
      </w:r>
      <w:r w:rsidRPr="0048184E">
        <w:rPr>
          <w:rFonts w:asciiTheme="minorHAnsi" w:hAnsiTheme="minorHAnsi"/>
          <w:sz w:val="18"/>
          <w:szCs w:val="18"/>
          <w:lang w:val="sr-Latn-ME"/>
        </w:rPr>
        <w:t xml:space="preserve">. </w:t>
      </w:r>
      <w:r w:rsidRPr="0048184E">
        <w:rPr>
          <w:rFonts w:asciiTheme="minorHAnsi" w:hAnsiTheme="minorHAnsi"/>
          <w:b/>
          <w:sz w:val="18"/>
          <w:szCs w:val="18"/>
          <w:lang w:val="sr-Latn-ME"/>
        </w:rPr>
        <w:t>Crna Gora</w:t>
      </w:r>
      <w:r w:rsidRPr="0048184E">
        <w:rPr>
          <w:rFonts w:asciiTheme="minorHAnsi" w:hAnsiTheme="minorHAnsi"/>
          <w:sz w:val="18"/>
          <w:szCs w:val="18"/>
          <w:lang w:val="sr-Latn-ME"/>
        </w:rPr>
        <w:t xml:space="preserve"> je ugovorna strana Konvencije od 21. januara 2007. i potpisnica Pariskog sporazuma od 2016. godine, koji je ratifikovan u Skupštini Crne Gore. Doprinos Crne Gore međunarodnim naporima na sprječavanju negativnih efekata klimatskih promjena izražen je u smanjenju emisija gasova sa efektom staklene bašte za najmanje </w:t>
      </w:r>
      <w:r w:rsidR="00CA1DB5" w:rsidRPr="00CA1DB5">
        <w:rPr>
          <w:rFonts w:asciiTheme="minorHAnsi" w:hAnsiTheme="minorHAnsi"/>
          <w:b/>
          <w:sz w:val="18"/>
          <w:szCs w:val="18"/>
          <w:lang w:val="sr-Latn-ME"/>
        </w:rPr>
        <w:t>55</w:t>
      </w:r>
      <w:r w:rsidRPr="00CA1DB5">
        <w:rPr>
          <w:rFonts w:asciiTheme="minorHAnsi" w:hAnsiTheme="minorHAnsi"/>
          <w:b/>
          <w:sz w:val="18"/>
          <w:szCs w:val="18"/>
          <w:lang w:val="sr-Latn-ME"/>
        </w:rPr>
        <w:t xml:space="preserve">% do 2030. godine </w:t>
      </w:r>
      <w:r w:rsidR="00CA1DB5" w:rsidRPr="00CA1DB5">
        <w:rPr>
          <w:rFonts w:asciiTheme="minorHAnsi" w:hAnsiTheme="minorHAnsi"/>
          <w:b/>
          <w:sz w:val="18"/>
          <w:szCs w:val="18"/>
          <w:lang w:val="sr-Latn-ME"/>
        </w:rPr>
        <w:t>i 60% do 2035. godine</w:t>
      </w:r>
      <w:r w:rsidR="00CA1DB5">
        <w:rPr>
          <w:rFonts w:asciiTheme="minorHAnsi" w:hAnsiTheme="minorHAnsi"/>
          <w:sz w:val="18"/>
          <w:szCs w:val="18"/>
          <w:lang w:val="sr-Latn-ME"/>
        </w:rPr>
        <w:t xml:space="preserve"> </w:t>
      </w:r>
      <w:r w:rsidRPr="0048184E">
        <w:rPr>
          <w:rFonts w:asciiTheme="minorHAnsi" w:hAnsiTheme="minorHAnsi"/>
          <w:sz w:val="18"/>
          <w:szCs w:val="18"/>
          <w:lang w:val="sr-Latn-ME"/>
        </w:rPr>
        <w:t>u odnosu na baznu 1990. godinu</w:t>
      </w:r>
      <w:r w:rsidRPr="0048184E">
        <w:rPr>
          <w:rFonts w:asciiTheme="minorHAnsi" w:hAnsiTheme="minorHAnsi"/>
          <w:sz w:val="18"/>
          <w:szCs w:val="18"/>
          <w:vertAlign w:val="superscript"/>
          <w:lang w:val="sr-Latn-ME"/>
        </w:rPr>
        <w:footnoteReference w:id="10"/>
      </w:r>
    </w:p>
    <w:p w14:paraId="2D9692B4" w14:textId="77777777" w:rsidR="004D1ACA" w:rsidRPr="0048184E" w:rsidRDefault="004D1ACA" w:rsidP="0048184E">
      <w:pPr>
        <w:pStyle w:val="NoSpacing"/>
        <w:jc w:val="both"/>
        <w:rPr>
          <w:rFonts w:asciiTheme="minorHAnsi" w:hAnsiTheme="minorHAnsi"/>
          <w:b/>
          <w:sz w:val="18"/>
          <w:szCs w:val="18"/>
          <w:lang w:val="sr-Latn-ME"/>
        </w:rPr>
      </w:pPr>
    </w:p>
    <w:p w14:paraId="0486DC2F" w14:textId="77777777" w:rsidR="004D1ACA" w:rsidRPr="0048184E" w:rsidRDefault="004D1ACA" w:rsidP="0048184E">
      <w:pPr>
        <w:pStyle w:val="NoSpacing"/>
        <w:jc w:val="both"/>
        <w:rPr>
          <w:rFonts w:asciiTheme="minorHAnsi" w:hAnsiTheme="minorHAnsi"/>
          <w:sz w:val="18"/>
          <w:szCs w:val="18"/>
          <w:lang w:val="hr-HR"/>
        </w:rPr>
      </w:pPr>
      <w:r w:rsidRPr="0048184E">
        <w:rPr>
          <w:rFonts w:asciiTheme="minorHAnsi" w:hAnsiTheme="minorHAnsi"/>
          <w:sz w:val="18"/>
          <w:szCs w:val="18"/>
          <w:lang w:val="hr-HR"/>
        </w:rPr>
        <w:t xml:space="preserve">Regionalna, odnosno </w:t>
      </w:r>
      <w:r w:rsidRPr="0048184E">
        <w:rPr>
          <w:rFonts w:asciiTheme="minorHAnsi" w:hAnsiTheme="minorHAnsi"/>
          <w:b/>
          <w:sz w:val="18"/>
          <w:szCs w:val="18"/>
          <w:lang w:val="hr-HR"/>
        </w:rPr>
        <w:t>koheziona politika EU</w:t>
      </w:r>
      <w:r w:rsidRPr="0048184E">
        <w:rPr>
          <w:rFonts w:asciiTheme="minorHAnsi" w:hAnsiTheme="minorHAnsi"/>
          <w:sz w:val="18"/>
          <w:szCs w:val="18"/>
          <w:lang w:val="hr-HR"/>
        </w:rPr>
        <w:t xml:space="preserve"> jedna je od finansijski najznačajnijih zajedničkih politika EU. Finansijska „težina“ ove politike odražava težinu socio-ekonomskih razlika unutar EU, ali i politički značaj „kohezije“ za projekt ujedinjene Evrope. Naime, sa svakim proširenjem EU je, po pravilu, prihvatala siromašnije i manje razvijene zemlje koje je bilo potrebno što prije integrisati u zajedničko tržište i učiniti ih ravnopravnim učesnicima ekonomskog i političkog projekta EU. Dodatna razvojna sredstva sa EU nivoa su način da se sva područja i stanovništvo EU osnaže za mogućnost korišćenja svih prednosti zajedničkog tržišta roba, kapitala, radne snage i usluga: veće tržište, veća mobilnost u radu i obrazovanju, veći izbor usluga, podrška </w:t>
      </w:r>
      <w:r w:rsidRPr="0048184E">
        <w:rPr>
          <w:rFonts w:asciiTheme="minorHAnsi" w:hAnsiTheme="minorHAnsi"/>
          <w:sz w:val="18"/>
          <w:szCs w:val="18"/>
          <w:lang w:val="hr-HR"/>
        </w:rPr>
        <w:lastRenderedPageBreak/>
        <w:t>poljoprivredi i ruralnom razvoju, i sl. S početnog naglaska na postizanju ujednačenog razvitka unutar EU, cilj kohezione politike se vremenom se pomjera ka jačanju globalne konkurentnosti evropske ekonomije</w:t>
      </w:r>
      <w:r w:rsidRPr="0048184E">
        <w:rPr>
          <w:rFonts w:asciiTheme="minorHAnsi" w:hAnsiTheme="minorHAnsi"/>
          <w:sz w:val="18"/>
          <w:szCs w:val="18"/>
          <w:vertAlign w:val="superscript"/>
          <w:lang w:val="hr-HR"/>
        </w:rPr>
        <w:footnoteReference w:id="11"/>
      </w:r>
      <w:r w:rsidRPr="0048184E">
        <w:rPr>
          <w:rFonts w:asciiTheme="minorHAnsi" w:hAnsiTheme="minorHAnsi"/>
          <w:sz w:val="18"/>
          <w:szCs w:val="18"/>
          <w:lang w:val="hr-HR"/>
        </w:rPr>
        <w:t>.</w:t>
      </w:r>
    </w:p>
    <w:p w14:paraId="44B9B3EB" w14:textId="77777777" w:rsidR="0036199D" w:rsidRPr="0048184E" w:rsidRDefault="0036199D" w:rsidP="0048184E">
      <w:pPr>
        <w:pStyle w:val="NoSpacing"/>
        <w:jc w:val="both"/>
        <w:rPr>
          <w:rFonts w:asciiTheme="minorHAnsi" w:hAnsiTheme="minorHAnsi"/>
          <w:sz w:val="18"/>
          <w:szCs w:val="18"/>
          <w:lang w:val="hr-HR"/>
        </w:rPr>
      </w:pPr>
    </w:p>
    <w:p w14:paraId="233804BB" w14:textId="77777777" w:rsidR="004D1ACA" w:rsidRPr="004B0391" w:rsidRDefault="004D1ACA" w:rsidP="004B0391">
      <w:pPr>
        <w:pStyle w:val="NoSpacing"/>
        <w:jc w:val="center"/>
        <w:rPr>
          <w:rFonts w:asciiTheme="minorHAnsi" w:hAnsiTheme="minorHAnsi"/>
          <w:b/>
          <w:color w:val="4472C4" w:themeColor="accent5"/>
          <w:sz w:val="18"/>
          <w:szCs w:val="18"/>
          <w:lang w:val="sr-Latn-ME"/>
        </w:rPr>
      </w:pPr>
      <w:r w:rsidRPr="004B0391">
        <w:rPr>
          <w:rFonts w:asciiTheme="minorHAnsi" w:hAnsiTheme="minorHAnsi"/>
          <w:b/>
          <w:color w:val="4472C4" w:themeColor="accent5"/>
          <w:sz w:val="18"/>
          <w:szCs w:val="18"/>
          <w:lang w:val="sr-Latn-ME"/>
        </w:rPr>
        <w:t>Grafik 2. Zajednički ciljevi politika EU fondova (novi kohezioni okvir 2021-2027)</w:t>
      </w:r>
    </w:p>
    <w:p w14:paraId="371A42EA" w14:textId="77777777" w:rsidR="004D1ACA" w:rsidRPr="0048184E" w:rsidRDefault="004D1ACA" w:rsidP="0048184E">
      <w:pPr>
        <w:pStyle w:val="NoSpacing"/>
        <w:jc w:val="center"/>
        <w:rPr>
          <w:rFonts w:asciiTheme="minorHAnsi" w:hAnsiTheme="minorHAnsi"/>
          <w:b/>
          <w:sz w:val="18"/>
          <w:szCs w:val="18"/>
          <w:lang w:val="sr-Latn-ME"/>
        </w:rPr>
      </w:pPr>
    </w:p>
    <w:tbl>
      <w:tblPr>
        <w:tblW w:w="5000" w:type="pct"/>
        <w:tblLayout w:type="fixed"/>
        <w:tblLook w:val="04A0" w:firstRow="1" w:lastRow="0" w:firstColumn="1" w:lastColumn="0" w:noHBand="0" w:noVBand="1"/>
      </w:tblPr>
      <w:tblGrid>
        <w:gridCol w:w="6374"/>
        <w:gridCol w:w="2642"/>
      </w:tblGrid>
      <w:tr w:rsidR="004D1ACA" w:rsidRPr="0048184E" w14:paraId="7C306FEF" w14:textId="77777777" w:rsidTr="00B578C8">
        <w:trPr>
          <w:trHeight w:val="45"/>
        </w:trPr>
        <w:tc>
          <w:tcPr>
            <w:tcW w:w="5000"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585E1B4" w14:textId="77777777" w:rsidR="004D1ACA" w:rsidRPr="004D3E60" w:rsidRDefault="004D1ACA" w:rsidP="0048184E">
            <w:pPr>
              <w:pStyle w:val="NoSpacing"/>
              <w:jc w:val="center"/>
              <w:rPr>
                <w:rFonts w:asciiTheme="minorHAnsi" w:hAnsiTheme="minorHAnsi"/>
                <w:b/>
                <w:sz w:val="18"/>
                <w:szCs w:val="18"/>
                <w:lang w:val="hr-BA" w:eastAsia="en-GB"/>
              </w:rPr>
            </w:pPr>
            <w:r w:rsidRPr="004D3E60">
              <w:rPr>
                <w:rFonts w:asciiTheme="minorHAnsi" w:hAnsiTheme="minorHAnsi"/>
                <w:b/>
                <w:sz w:val="18"/>
                <w:szCs w:val="18"/>
                <w:lang w:val="hr-BA" w:eastAsia="en-GB"/>
              </w:rPr>
              <w:t>OKVIR NOVE KOHEZIONE POLITIKE EU 2021-2027</w:t>
            </w:r>
          </w:p>
        </w:tc>
      </w:tr>
      <w:tr w:rsidR="004D1ACA" w:rsidRPr="0048184E" w14:paraId="4AF6FD3B"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4310D8" w14:textId="77777777" w:rsidR="004D1ACA" w:rsidRPr="004D3E60" w:rsidRDefault="004D1ACA" w:rsidP="0048184E">
            <w:pPr>
              <w:pStyle w:val="NoSpacing"/>
              <w:jc w:val="center"/>
              <w:rPr>
                <w:rFonts w:asciiTheme="minorHAnsi" w:hAnsiTheme="minorHAnsi"/>
                <w:b/>
                <w:sz w:val="18"/>
                <w:szCs w:val="18"/>
                <w:lang w:val="hr-BA" w:eastAsia="en-GB"/>
              </w:rPr>
            </w:pPr>
            <w:r w:rsidRPr="004D3E60">
              <w:rPr>
                <w:rFonts w:asciiTheme="minorHAnsi" w:hAnsiTheme="minorHAnsi"/>
                <w:b/>
                <w:sz w:val="18"/>
                <w:szCs w:val="18"/>
                <w:lang w:val="hr-BA" w:eastAsia="en-GB"/>
              </w:rPr>
              <w:t>Pet ciljeva</w:t>
            </w:r>
          </w:p>
        </w:tc>
        <w:tc>
          <w:tcPr>
            <w:tcW w:w="1465"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EA1366" w14:textId="77777777" w:rsidR="004D1ACA" w:rsidRPr="004D3E60" w:rsidRDefault="004D1ACA" w:rsidP="0048184E">
            <w:pPr>
              <w:pStyle w:val="NoSpacing"/>
              <w:jc w:val="center"/>
              <w:rPr>
                <w:rFonts w:asciiTheme="minorHAnsi" w:hAnsiTheme="minorHAnsi"/>
                <w:b/>
                <w:sz w:val="18"/>
                <w:szCs w:val="18"/>
                <w:lang w:val="hr-BA" w:eastAsia="en-GB"/>
              </w:rPr>
            </w:pPr>
            <w:r w:rsidRPr="004D3E60">
              <w:rPr>
                <w:rFonts w:asciiTheme="minorHAnsi" w:hAnsiTheme="minorHAnsi"/>
                <w:b/>
                <w:sz w:val="18"/>
                <w:szCs w:val="18"/>
                <w:lang w:val="hr-BA" w:eastAsia="en-GB"/>
              </w:rPr>
              <w:t>koji definišu investicione prioritete</w:t>
            </w:r>
          </w:p>
        </w:tc>
      </w:tr>
      <w:tr w:rsidR="004D1ACA" w:rsidRPr="002A2822" w14:paraId="4B171F6A"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D9DB9"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PAMETNIJA EVROPA (SMARTER EUROPE)</w:t>
            </w:r>
          </w:p>
          <w:p w14:paraId="22787B28"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konkurentnija i pametnija Evropa promovisanjem inovativne i pametne ekonomske transformacije i regionalne ICT povezanosti;</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031962D0"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Inovacije,</w:t>
            </w:r>
          </w:p>
          <w:p w14:paraId="7FF066AD"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Digitalizacija,</w:t>
            </w:r>
          </w:p>
          <w:p w14:paraId="44A005FE"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Ekonomska transformacija,</w:t>
            </w:r>
          </w:p>
          <w:p w14:paraId="4A12B784"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Podrška MSP</w:t>
            </w:r>
          </w:p>
        </w:tc>
      </w:tr>
      <w:tr w:rsidR="004D1ACA" w:rsidRPr="002A2822" w14:paraId="5DDBD6AA"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D04E4"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ZELENIJA EVROPA, BEZ EMISIJA CO2 (GREENER, CARBON FREE EUROPE)</w:t>
            </w:r>
          </w:p>
          <w:p w14:paraId="6151816F"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Zelenija, niskokarbonska tranzicija prema ekonomiji sa neto nultom emisijom CO2, put ka otpornijoj ekonomiji Evrope promovisanjem čiste i pravedne</w:t>
            </w:r>
            <w:r w:rsidR="0036199D" w:rsidRPr="004D3E60">
              <w:rPr>
                <w:rFonts w:asciiTheme="minorHAnsi" w:hAnsiTheme="minorHAnsi"/>
                <w:sz w:val="18"/>
                <w:szCs w:val="18"/>
                <w:lang w:val="hr-BA" w:eastAsia="en-GB"/>
              </w:rPr>
              <w:t xml:space="preserve"> </w:t>
            </w:r>
            <w:r w:rsidRPr="004D3E60">
              <w:rPr>
                <w:rFonts w:asciiTheme="minorHAnsi" w:hAnsiTheme="minorHAnsi"/>
                <w:sz w:val="18"/>
                <w:szCs w:val="18"/>
                <w:lang w:val="hr-BA" w:eastAsia="en-GB"/>
              </w:rPr>
              <w:t>energetske tranzicije, zelenih i plavih investicija, cirkularne ekonomije, adaptacije i mitigacije na klimatske promjene, prevencija rizika i upravljanje istim; inicijative za urbanu mobilnost;</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0EDF5AAA"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Sprovođenje Pariskog sporazuma,</w:t>
            </w:r>
          </w:p>
          <w:p w14:paraId="29A5EF58"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Investiranje u čiste energije i borba protiv klimatskih promjena</w:t>
            </w:r>
          </w:p>
        </w:tc>
      </w:tr>
      <w:tr w:rsidR="004D1ACA" w:rsidRPr="0048184E" w14:paraId="0085E071"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70D7A"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BOLJE UVEZANA EVROPA (BETTER CONNECTED EUROPE)</w:t>
            </w:r>
          </w:p>
          <w:p w14:paraId="505CD35E"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Više uvezana Evropa putem podsticanja mobilnosti;</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14259305"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Strateške transportne i digitalne mreže</w:t>
            </w:r>
          </w:p>
        </w:tc>
      </w:tr>
      <w:tr w:rsidR="004D1ACA" w:rsidRPr="002A2822" w14:paraId="5F889D0C"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FF651"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VIŠE SOCIJALNA EVROPA (MORE SOCIAL EUROPE)</w:t>
            </w:r>
          </w:p>
          <w:p w14:paraId="38993BCC"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Socijalnija i inkluzivnija Evropa koja sprovodi Evropski stub socijalnih prava;</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6997D331"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Podrška socijalnoj uključenosti,</w:t>
            </w:r>
          </w:p>
          <w:p w14:paraId="008DEB4D"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Obezbjeđenje istog pristupa zdravstvenoj zaštiti</w:t>
            </w:r>
          </w:p>
        </w:tc>
      </w:tr>
      <w:tr w:rsidR="004D1ACA" w:rsidRPr="002A2822" w14:paraId="42CA51CF"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DB86B"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EVROPA BLIŽA GRAĐANIMA (EUROPE CLOSER TO CITIZENS)</w:t>
            </w:r>
          </w:p>
          <w:p w14:paraId="1E98A4C2"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Evropa bliža građanima podsticanjem održivog i integrisanog razvoja svih vrsta teritorija i lokalnih inicijativa</w:t>
            </w:r>
          </w:p>
        </w:tc>
        <w:tc>
          <w:tcPr>
            <w:tcW w:w="1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56FAE"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Bazirana na strategijama koje su lokalno vođene i na održivom urbanom razvoju</w:t>
            </w:r>
          </w:p>
        </w:tc>
      </w:tr>
    </w:tbl>
    <w:p w14:paraId="66B145BE" w14:textId="77777777" w:rsidR="004D1ACA" w:rsidRPr="0048184E" w:rsidRDefault="004D1ACA" w:rsidP="0048184E">
      <w:pPr>
        <w:pStyle w:val="NoSpacing"/>
        <w:rPr>
          <w:rFonts w:asciiTheme="minorHAnsi" w:eastAsia="Times New Roman" w:hAnsiTheme="minorHAnsi" w:cs="Calibri"/>
          <w:bCs/>
          <w:i/>
          <w:iCs/>
          <w:sz w:val="18"/>
          <w:szCs w:val="18"/>
          <w:lang w:val="hr-BA" w:eastAsia="en-GB"/>
        </w:rPr>
      </w:pPr>
      <w:r w:rsidRPr="0048184E">
        <w:rPr>
          <w:rFonts w:asciiTheme="minorHAnsi" w:eastAsia="Times New Roman" w:hAnsiTheme="minorHAnsi" w:cs="Calibri"/>
          <w:bCs/>
          <w:i/>
          <w:iCs/>
          <w:sz w:val="18"/>
          <w:szCs w:val="18"/>
          <w:lang w:val="hr-BA" w:eastAsia="en-GB"/>
        </w:rPr>
        <w:t xml:space="preserve">Izvor: </w:t>
      </w:r>
      <w:hyperlink r:id="rId11" w:history="1">
        <w:r w:rsidRPr="0048184E">
          <w:rPr>
            <w:rFonts w:asciiTheme="minorHAnsi" w:eastAsia="Times New Roman" w:hAnsiTheme="minorHAnsi" w:cs="Calibri"/>
            <w:bCs/>
            <w:i/>
            <w:iCs/>
            <w:sz w:val="18"/>
            <w:szCs w:val="18"/>
            <w:u w:val="single"/>
            <w:lang w:val="hr-BA" w:eastAsia="en-GB"/>
          </w:rPr>
          <w:t>https://ec.europa.eu/regional_policy/en/2021_2027/</w:t>
        </w:r>
      </w:hyperlink>
      <w:r w:rsidRPr="0048184E">
        <w:rPr>
          <w:rFonts w:asciiTheme="minorHAnsi" w:eastAsia="Times New Roman" w:hAnsiTheme="minorHAnsi" w:cs="Calibri"/>
          <w:bCs/>
          <w:i/>
          <w:iCs/>
          <w:sz w:val="18"/>
          <w:szCs w:val="18"/>
          <w:lang w:val="hr-BA" w:eastAsia="en-GB"/>
        </w:rPr>
        <w:t>(obrada autora)</w:t>
      </w:r>
    </w:p>
    <w:p w14:paraId="39CD782B" w14:textId="77777777" w:rsidR="004D1ACA" w:rsidRPr="0048184E" w:rsidRDefault="004D1ACA" w:rsidP="0048184E">
      <w:pPr>
        <w:pStyle w:val="NoSpacing"/>
        <w:jc w:val="center"/>
        <w:rPr>
          <w:rFonts w:asciiTheme="minorHAnsi" w:hAnsiTheme="minorHAnsi"/>
          <w:b/>
          <w:sz w:val="18"/>
          <w:szCs w:val="18"/>
          <w:lang w:val="sr-Latn-ME"/>
        </w:rPr>
      </w:pPr>
    </w:p>
    <w:p w14:paraId="1A87E3EA" w14:textId="77777777" w:rsidR="004D1ACA" w:rsidRPr="0048184E" w:rsidRDefault="004D1ACA" w:rsidP="0048184E">
      <w:pPr>
        <w:pStyle w:val="NoSpacing"/>
        <w:jc w:val="both"/>
        <w:rPr>
          <w:rFonts w:asciiTheme="minorHAnsi" w:hAnsiTheme="minorHAnsi"/>
          <w:sz w:val="18"/>
          <w:szCs w:val="18"/>
          <w:lang w:val="hr-HR"/>
        </w:rPr>
      </w:pPr>
      <w:r w:rsidRPr="0048184E">
        <w:rPr>
          <w:rFonts w:asciiTheme="minorHAnsi" w:hAnsiTheme="minorHAnsi"/>
          <w:sz w:val="18"/>
          <w:szCs w:val="18"/>
          <w:lang w:val="hr-HR"/>
        </w:rPr>
        <w:t>Ovdje je važno napomenuti da analiza planiranih i utrošenih finansijskih sredstava za cjelokupan period sprovođenja SRR 2014-2020 pokazuje da su sredstva EU fondova činila svega 3% uloženih sredstava za finansiranje regionalnog razvoja odnosno 95 mil. €. Značajan dio sredstava opredijeljen je za projekte u dijelu unaprjeđenja i razvoj putne infrastrukture, investicije u fizički kapital na poljoprivrednim gazdinstvima, razvoj prehrambene proizvodnje sa organskim i zaštićenim geografskim porijeklom, razvoj komunalne infrastrukture i upravljanja čvrstim otpadom i otpadnim vodama, razvoj turizma i valorizacija kulturne baštine kao i podsticanje preduzetništva i samozapošljavanja nezapošljenih lica. Ipak, polazeći od finansijskih projekcija datih strategijom, uočava se da je iznos sredstava EU fondova značajno manji od projektovanog, što između ostalog ukazuje na neophodnost jačanja kapaciteta na svim nivoima za korišćenje EU fondova odnosno bolju pripremljenost za realizaciju projekata finansiranih iz EU sredstava.</w:t>
      </w:r>
    </w:p>
    <w:p w14:paraId="6A3F36C3" w14:textId="77777777" w:rsidR="004D1ACA" w:rsidRPr="0048184E" w:rsidRDefault="004D1ACA" w:rsidP="0048184E">
      <w:pPr>
        <w:pStyle w:val="NoSpacing"/>
        <w:jc w:val="both"/>
        <w:rPr>
          <w:rFonts w:asciiTheme="minorHAnsi" w:hAnsiTheme="minorHAnsi"/>
          <w:b/>
          <w:sz w:val="18"/>
          <w:szCs w:val="18"/>
          <w:lang w:val="hr-HR"/>
        </w:rPr>
      </w:pPr>
    </w:p>
    <w:p w14:paraId="1624BDDE" w14:textId="77777777" w:rsidR="004D1ACA" w:rsidRPr="0048184E" w:rsidRDefault="004D1ACA" w:rsidP="0048184E">
      <w:pPr>
        <w:pStyle w:val="NoSpacing"/>
        <w:jc w:val="both"/>
        <w:rPr>
          <w:rFonts w:asciiTheme="minorHAnsi" w:hAnsiTheme="minorHAnsi"/>
          <w:sz w:val="18"/>
          <w:szCs w:val="18"/>
          <w:lang w:val="hr-HR"/>
        </w:rPr>
      </w:pPr>
      <w:r w:rsidRPr="0048184E">
        <w:rPr>
          <w:rFonts w:asciiTheme="minorHAnsi" w:hAnsiTheme="minorHAnsi"/>
          <w:b/>
          <w:sz w:val="18"/>
          <w:szCs w:val="18"/>
          <w:lang w:val="hr-HR"/>
        </w:rPr>
        <w:t>EU4DIGITAL</w:t>
      </w:r>
      <w:r w:rsidRPr="0048184E">
        <w:rPr>
          <w:rFonts w:asciiTheme="minorHAnsi" w:hAnsiTheme="minorHAnsi"/>
          <w:sz w:val="18"/>
          <w:szCs w:val="18"/>
          <w:lang w:val="hr-HR"/>
        </w:rPr>
        <w:t xml:space="preserve"> je jedan od prioriteta Evropske komisije, kojim je definisana EU 2030 digitalna dekada. Njeni glavni ciljevi su: digitalno kvalifikovano stanovništvo i visokokvalifikovani digitalni profesionalci/ke, sigurna i značajna digitalna infrastruktura, digitalna transformacija preduzeća i digitalizacija javnog sektora</w:t>
      </w:r>
      <w:r w:rsidRPr="0048184E">
        <w:rPr>
          <w:rFonts w:asciiTheme="minorHAnsi" w:hAnsiTheme="minorHAnsi"/>
          <w:sz w:val="18"/>
          <w:szCs w:val="18"/>
          <w:vertAlign w:val="superscript"/>
          <w:lang w:val="hr-HR"/>
        </w:rPr>
        <w:footnoteReference w:id="12"/>
      </w:r>
      <w:r w:rsidRPr="0048184E">
        <w:rPr>
          <w:rFonts w:asciiTheme="minorHAnsi" w:hAnsiTheme="minorHAnsi"/>
          <w:sz w:val="18"/>
          <w:szCs w:val="18"/>
          <w:lang w:val="hr-HR"/>
        </w:rPr>
        <w:t>.</w:t>
      </w:r>
    </w:p>
    <w:p w14:paraId="1A94BE20" w14:textId="77777777" w:rsidR="00DB5A38" w:rsidRPr="0048184E" w:rsidRDefault="00DB5A38" w:rsidP="0048184E">
      <w:pPr>
        <w:pStyle w:val="NoSpacing"/>
        <w:jc w:val="both"/>
        <w:rPr>
          <w:rFonts w:asciiTheme="minorHAnsi" w:eastAsia="Times New Roman" w:hAnsiTheme="minorHAnsi" w:cs="Calibri"/>
          <w:b/>
          <w:sz w:val="18"/>
          <w:szCs w:val="18"/>
          <w:lang w:val="sr-Latn-ME"/>
        </w:rPr>
      </w:pPr>
    </w:p>
    <w:p w14:paraId="574E883F" w14:textId="77777777" w:rsidR="004D1ACA" w:rsidRPr="0048184E" w:rsidRDefault="004D1ACA" w:rsidP="0048184E">
      <w:pPr>
        <w:pStyle w:val="NoSpacing"/>
        <w:jc w:val="both"/>
        <w:rPr>
          <w:rFonts w:asciiTheme="minorHAnsi" w:eastAsia="Times New Roman" w:hAnsiTheme="minorHAnsi" w:cs="Calibri"/>
          <w:sz w:val="18"/>
          <w:szCs w:val="18"/>
          <w:lang w:val="sr-Latn-ME"/>
        </w:rPr>
      </w:pPr>
      <w:r w:rsidRPr="0048184E">
        <w:rPr>
          <w:rFonts w:asciiTheme="minorHAnsi" w:eastAsia="Times New Roman" w:hAnsiTheme="minorHAnsi" w:cs="Calibri"/>
          <w:b/>
          <w:sz w:val="18"/>
          <w:szCs w:val="18"/>
          <w:lang w:val="sr-Latn-ME"/>
        </w:rPr>
        <w:t>Makroregionalna strategija EU za Dunavski region</w:t>
      </w:r>
      <w:r w:rsidRPr="0048184E">
        <w:rPr>
          <w:rFonts w:asciiTheme="minorHAnsi" w:eastAsia="Times New Roman" w:hAnsiTheme="minorHAnsi" w:cs="Calibri"/>
          <w:sz w:val="18"/>
          <w:szCs w:val="18"/>
          <w:lang w:val="sr-Latn-ME"/>
        </w:rPr>
        <w:t xml:space="preserve"> (EU Strategy for Danube Region, EUSDR</w:t>
      </w:r>
      <w:r w:rsidRPr="0048184E">
        <w:rPr>
          <w:rFonts w:asciiTheme="minorHAnsi" w:eastAsia="Times New Roman" w:hAnsiTheme="minorHAnsi" w:cs="Calibri"/>
          <w:sz w:val="18"/>
          <w:szCs w:val="18"/>
          <w:vertAlign w:val="superscript"/>
          <w:lang w:val="sr-Latn-ME"/>
        </w:rPr>
        <w:footnoteReference w:id="13"/>
      </w:r>
      <w:r w:rsidRPr="0048184E">
        <w:rPr>
          <w:rFonts w:asciiTheme="minorHAnsi" w:eastAsia="Times New Roman" w:hAnsiTheme="minorHAnsi" w:cs="Calibri"/>
          <w:sz w:val="18"/>
          <w:szCs w:val="18"/>
          <w:lang w:val="sr-Latn-ME"/>
        </w:rPr>
        <w:t xml:space="preserve">) – definiše 12 prioriteta: mobilnost (saobraćaj); održiva energija; kultura i turizam; kvalitet voda; rizici po životnu sredinu; biodiverzitet, pejzaži, kvalitet vazduha i zemljišta; društvo znanja; konkurentnost preduzeća; ljudi i vještine; institucionalni kapaciteti i saradnja; i bezbjednost.  </w:t>
      </w:r>
      <w:r w:rsidRPr="0048184E">
        <w:rPr>
          <w:rFonts w:asciiTheme="minorHAnsi" w:eastAsia="Times New Roman" w:hAnsiTheme="minorHAnsi" w:cs="Calibri"/>
          <w:sz w:val="18"/>
          <w:szCs w:val="18"/>
          <w:lang w:val="hr-HR"/>
        </w:rPr>
        <w:t>Strategija za Dunavski region obuhvata aktivnosti u devet država članica EU (AT, BG, HR, CZ, DE, HU, RO, SK, SI), zemlje proširenja (BA, ME, RS) i susjedske zemlje (MD, UA). SRR</w:t>
      </w:r>
      <w:r w:rsidRPr="0048184E">
        <w:rPr>
          <w:rFonts w:asciiTheme="minorHAnsi" w:eastAsia="Times New Roman" w:hAnsiTheme="minorHAnsi" w:cs="Calibri"/>
          <w:sz w:val="18"/>
          <w:szCs w:val="18"/>
          <w:lang w:val="sr-Latn-ME"/>
        </w:rPr>
        <w:t xml:space="preserve"> treba da bude </w:t>
      </w:r>
      <w:r w:rsidRPr="0048184E">
        <w:rPr>
          <w:rFonts w:asciiTheme="minorHAnsi" w:eastAsia="Times New Roman" w:hAnsiTheme="minorHAnsi" w:cs="Calibri"/>
          <w:sz w:val="18"/>
          <w:szCs w:val="18"/>
          <w:lang w:val="hr-HR"/>
        </w:rPr>
        <w:t>uskla</w:t>
      </w:r>
      <w:r w:rsidRPr="0048184E">
        <w:rPr>
          <w:rFonts w:asciiTheme="minorHAnsi" w:eastAsia="Times New Roman" w:hAnsiTheme="minorHAnsi" w:cs="Calibri"/>
          <w:sz w:val="18"/>
          <w:szCs w:val="18"/>
          <w:lang w:val="sr-Latn-ME"/>
        </w:rPr>
        <w:t>đ</w:t>
      </w:r>
      <w:r w:rsidRPr="0048184E">
        <w:rPr>
          <w:rFonts w:asciiTheme="minorHAnsi" w:eastAsia="Times New Roman" w:hAnsiTheme="minorHAnsi" w:cs="Calibri"/>
          <w:sz w:val="18"/>
          <w:szCs w:val="18"/>
          <w:lang w:val="hr-HR"/>
        </w:rPr>
        <w:t>ena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sa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aspektima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razvoja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EUSDR</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strategije</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u</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vi</w:t>
      </w:r>
      <w:r w:rsidRPr="0048184E">
        <w:rPr>
          <w:rFonts w:asciiTheme="minorHAnsi" w:eastAsia="Times New Roman" w:hAnsiTheme="minorHAnsi" w:cs="Calibri"/>
          <w:sz w:val="18"/>
          <w:szCs w:val="18"/>
          <w:lang w:val="sr-Latn-ME"/>
        </w:rPr>
        <w:t>š</w:t>
      </w:r>
      <w:r w:rsidRPr="0048184E">
        <w:rPr>
          <w:rFonts w:asciiTheme="minorHAnsi" w:eastAsia="Times New Roman" w:hAnsiTheme="minorHAnsi" w:cs="Calibri"/>
          <w:sz w:val="18"/>
          <w:szCs w:val="18"/>
          <w:lang w:val="hr-HR"/>
        </w:rPr>
        <w:t>e</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navedenih</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oblasti</w:t>
      </w:r>
      <w:r w:rsidRPr="0048184E">
        <w:rPr>
          <w:rFonts w:asciiTheme="minorHAnsi" w:eastAsia="Times New Roman" w:hAnsiTheme="minorHAnsi" w:cs="Calibri"/>
          <w:sz w:val="18"/>
          <w:szCs w:val="18"/>
          <w:lang w:val="sr-Latn-ME"/>
        </w:rPr>
        <w:t>.</w:t>
      </w:r>
    </w:p>
    <w:p w14:paraId="7ACDC2AF" w14:textId="77777777" w:rsidR="00DB5A38" w:rsidRPr="0048184E" w:rsidRDefault="00DB5A38" w:rsidP="0048184E">
      <w:pPr>
        <w:pStyle w:val="NoSpacing"/>
        <w:jc w:val="both"/>
        <w:rPr>
          <w:rFonts w:asciiTheme="minorHAnsi" w:eastAsia="Times New Roman" w:hAnsiTheme="minorHAnsi" w:cs="Calibri"/>
          <w:b/>
          <w:sz w:val="18"/>
          <w:szCs w:val="18"/>
          <w:lang w:val="sr-Latn-ME"/>
        </w:rPr>
      </w:pPr>
    </w:p>
    <w:p w14:paraId="42B29FB2" w14:textId="77777777" w:rsidR="004D1ACA" w:rsidRPr="0048184E" w:rsidRDefault="004D1ACA" w:rsidP="0048184E">
      <w:pPr>
        <w:pStyle w:val="NoSpacing"/>
        <w:jc w:val="both"/>
        <w:rPr>
          <w:rFonts w:asciiTheme="minorHAnsi" w:eastAsia="Times New Roman" w:hAnsiTheme="minorHAnsi" w:cs="Calibri"/>
          <w:sz w:val="18"/>
          <w:szCs w:val="18"/>
          <w:lang w:val="sr-Latn-ME"/>
        </w:rPr>
      </w:pPr>
      <w:r w:rsidRPr="0048184E">
        <w:rPr>
          <w:rFonts w:asciiTheme="minorHAnsi" w:eastAsia="Times New Roman" w:hAnsiTheme="minorHAnsi" w:cs="Calibri"/>
          <w:b/>
          <w:sz w:val="18"/>
          <w:szCs w:val="18"/>
          <w:lang w:val="sr-Latn-ME"/>
        </w:rPr>
        <w:t>Makroregionalna strategija EU za jadransko-jonski region</w:t>
      </w:r>
      <w:r w:rsidRPr="0048184E">
        <w:rPr>
          <w:rFonts w:asciiTheme="minorHAnsi" w:eastAsia="Times New Roman" w:hAnsiTheme="minorHAnsi" w:cs="Calibri"/>
          <w:sz w:val="18"/>
          <w:szCs w:val="18"/>
          <w:lang w:val="sr-Latn-ME"/>
        </w:rPr>
        <w:t xml:space="preserve"> (EU Strategy for Adriatic Ionian Region, EUSAIR</w:t>
      </w:r>
      <w:r w:rsidRPr="0048184E">
        <w:rPr>
          <w:rFonts w:asciiTheme="minorHAnsi" w:eastAsia="Times New Roman" w:hAnsiTheme="minorHAnsi" w:cs="Calibri"/>
          <w:sz w:val="18"/>
          <w:szCs w:val="18"/>
          <w:vertAlign w:val="superscript"/>
          <w:lang w:val="sr-Latn-ME"/>
        </w:rPr>
        <w:footnoteReference w:id="14"/>
      </w:r>
      <w:r w:rsidRPr="0048184E">
        <w:rPr>
          <w:rFonts w:asciiTheme="minorHAnsi" w:eastAsia="Times New Roman" w:hAnsiTheme="minorHAnsi" w:cs="Calibri"/>
          <w:sz w:val="18"/>
          <w:szCs w:val="18"/>
          <w:lang w:val="sr-Latn-ME"/>
        </w:rPr>
        <w:t>) - je bazirana na četiri tematska stuba: plavi rast, povezivanje regiona (transport i energija), kvalitet životne sredine i održivi turizam. Pored toga „Unaprjeđivanje istraživanja i razvoja, inovacije i MSP“ i „Jačanje kapaciteta uključujući komunikaciju“ predstavljaju dva unakrsna aspekta koji presijecaju svaki od stubova. SRR treba da bude usklađena sa aspektima razvoja EUSAIR strategije u više navedenih oblasti.</w:t>
      </w:r>
    </w:p>
    <w:p w14:paraId="59A54DB3" w14:textId="77777777" w:rsidR="004D1ACA" w:rsidRPr="0048184E" w:rsidRDefault="004D1ACA" w:rsidP="0048184E">
      <w:pPr>
        <w:pStyle w:val="NoSpacing"/>
        <w:jc w:val="both"/>
        <w:rPr>
          <w:rFonts w:asciiTheme="minorHAnsi" w:eastAsia="Times New Roman" w:hAnsiTheme="minorHAnsi" w:cs="Calibri"/>
          <w:b/>
          <w:sz w:val="18"/>
          <w:szCs w:val="18"/>
          <w:lang w:val="sr-Latn-ME"/>
        </w:rPr>
      </w:pPr>
    </w:p>
    <w:p w14:paraId="35A2A44B"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lastRenderedPageBreak/>
        <w:t>Zelena agenda za Zapadni Balkan</w:t>
      </w:r>
      <w:r w:rsidRPr="0048184E">
        <w:rPr>
          <w:rFonts w:asciiTheme="minorHAnsi" w:hAnsiTheme="minorHAnsi"/>
          <w:b/>
          <w:sz w:val="18"/>
          <w:szCs w:val="18"/>
          <w:vertAlign w:val="superscript"/>
          <w:lang w:val="sr-Latn-ME"/>
        </w:rPr>
        <w:footnoteReference w:id="15"/>
      </w:r>
      <w:r w:rsidRPr="0048184E">
        <w:rPr>
          <w:rFonts w:asciiTheme="minorHAnsi" w:hAnsiTheme="minorHAnsi"/>
          <w:sz w:val="18"/>
          <w:szCs w:val="18"/>
          <w:lang w:val="sr-Latn-ME"/>
        </w:rPr>
        <w:t xml:space="preserve"> može mobilisati značajna dodatna sredstva za finansiranje razvojnih prioriteta, koji su u skladu sa potrebom ravnomjernijeg regionalnog razvoja i bržeg razvoja manje razvijenih regiona i lokalnih zajednica na Zapadnom Balkanu. Naime, zelena agenda za Zapadni Balkan, preko sredstava IPA III, realizovaće se i kroz posebne mehanizme programa NDICI</w:t>
      </w:r>
      <w:r w:rsidRPr="0048184E">
        <w:rPr>
          <w:rFonts w:asciiTheme="minorHAnsi" w:hAnsiTheme="minorHAnsi"/>
          <w:sz w:val="18"/>
          <w:szCs w:val="18"/>
          <w:vertAlign w:val="superscript"/>
          <w:lang w:val="sr-Latn-ME"/>
        </w:rPr>
        <w:footnoteReference w:id="16"/>
      </w:r>
      <w:r w:rsidRPr="0048184E">
        <w:rPr>
          <w:rFonts w:asciiTheme="minorHAnsi" w:hAnsiTheme="minorHAnsi"/>
          <w:sz w:val="18"/>
          <w:szCs w:val="18"/>
          <w:lang w:val="sr-Latn-ME"/>
        </w:rPr>
        <w:t>, kao i kroz mobilizaciju dodatnih sredstava preko evropskih banaka i njihovih povoljnih kredita.</w:t>
      </w:r>
    </w:p>
    <w:p w14:paraId="3B85AA09"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Cs/>
          <w:sz w:val="18"/>
          <w:szCs w:val="18"/>
          <w:lang w:val="sr-Latn-ME"/>
        </w:rPr>
        <w:t xml:space="preserve">Ranije u dokumentu obrađena, </w:t>
      </w:r>
      <w:r w:rsidRPr="0048184E">
        <w:rPr>
          <w:rFonts w:asciiTheme="minorHAnsi" w:hAnsiTheme="minorHAnsi"/>
          <w:b/>
          <w:sz w:val="18"/>
          <w:szCs w:val="18"/>
          <w:lang w:val="sr-Latn-ME"/>
        </w:rPr>
        <w:t xml:space="preserve">višekorisnička IPA III, </w:t>
      </w:r>
      <w:r w:rsidRPr="0048184E">
        <w:rPr>
          <w:rFonts w:asciiTheme="minorHAnsi" w:hAnsiTheme="minorHAnsi"/>
          <w:sz w:val="18"/>
          <w:szCs w:val="18"/>
          <w:lang w:val="sr-Latn-ME"/>
        </w:rPr>
        <w:t>dio je ukupne podrške IPA III, i odnosi se na zajednički definisane prioritete za sve IPA zemlje, u okviru svih pet oblasti investicionih mogućnosti (tzv. prozori).</w:t>
      </w:r>
    </w:p>
    <w:p w14:paraId="11D8FE7A" w14:textId="77777777" w:rsidR="00DB5A38" w:rsidRPr="0048184E" w:rsidRDefault="00DB5A38" w:rsidP="0048184E">
      <w:pPr>
        <w:pStyle w:val="NoSpacing"/>
        <w:jc w:val="both"/>
        <w:rPr>
          <w:rFonts w:asciiTheme="minorHAnsi" w:hAnsiTheme="minorHAnsi"/>
          <w:b/>
          <w:sz w:val="18"/>
          <w:szCs w:val="18"/>
          <w:lang w:val="sr-Latn-ME"/>
        </w:rPr>
      </w:pPr>
    </w:p>
    <w:p w14:paraId="4CA754AD"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 xml:space="preserve">Ekonomski i investicioni plan, </w:t>
      </w:r>
      <w:r w:rsidRPr="0048184E">
        <w:rPr>
          <w:rFonts w:asciiTheme="minorHAnsi" w:hAnsiTheme="minorHAnsi"/>
          <w:sz w:val="18"/>
          <w:szCs w:val="18"/>
          <w:lang w:val="sr-Latn-ME"/>
        </w:rPr>
        <w:t xml:space="preserve">podržavaće se prvenstveno kroz projekte IPA III, vrijedan oko 9 mlrd. </w:t>
      </w:r>
      <w:r w:rsidRPr="0048184E">
        <w:rPr>
          <w:rFonts w:asciiTheme="minorHAnsi" w:hAnsiTheme="minorHAnsi" w:cs="Calibri"/>
          <w:sz w:val="18"/>
          <w:szCs w:val="18"/>
          <w:lang w:val="sr-Latn-ME"/>
        </w:rPr>
        <w:t>€</w:t>
      </w:r>
      <w:r w:rsidRPr="0048184E">
        <w:rPr>
          <w:rFonts w:asciiTheme="minorHAnsi" w:hAnsiTheme="minorHAnsi"/>
          <w:sz w:val="18"/>
          <w:szCs w:val="18"/>
          <w:lang w:val="sr-Latn-ME"/>
        </w:rPr>
        <w:t xml:space="preserve"> i obuhvataće sljedeće oblasti: transport, energetika, životna sredina, društvene djelatnosti. Plan sadrži deset vodećih investicionih inicijativa u ključnim područjima ekonomskog razvoja: povezivanje Istoka za Zapadom, povezivanje Sjevera sa Primorskim regionom, povezivanje obalnih regija, obnovljiva energija, prelaz iz uglja, talas obnove u građevinarstvu (izgradnja zgrada u privatnom i javnom sektoru, projekti energetske efikasnosti u građevinarstvu), upravljanje otpadom i otpadnim vodama, digitalna infrastruktura, ulaganje u konkurentnost privatnog sektora, garantni fond za zapošljavanje mladih.</w:t>
      </w:r>
    </w:p>
    <w:p w14:paraId="4A686031" w14:textId="77777777" w:rsidR="00DB5A38" w:rsidRPr="0048184E" w:rsidRDefault="00DB5A38" w:rsidP="0048184E">
      <w:pPr>
        <w:pStyle w:val="NoSpacing"/>
        <w:jc w:val="both"/>
        <w:rPr>
          <w:rFonts w:asciiTheme="minorHAnsi" w:hAnsiTheme="minorHAnsi"/>
          <w:b/>
          <w:sz w:val="18"/>
          <w:szCs w:val="18"/>
          <w:lang w:val="sr-Latn-ME"/>
        </w:rPr>
      </w:pPr>
    </w:p>
    <w:p w14:paraId="213F0E7F"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Razvojna strategija Jugostočne Evrope 2030 (SEE 2030)</w:t>
      </w:r>
      <w:r w:rsidRPr="0048184E">
        <w:rPr>
          <w:rFonts w:asciiTheme="minorHAnsi" w:hAnsiTheme="minorHAnsi"/>
          <w:sz w:val="18"/>
          <w:szCs w:val="18"/>
          <w:lang w:val="sr-Latn-ME"/>
        </w:rPr>
        <w:t xml:space="preserve"> koja nastoji da promoviše i unaprijedi sprovođenje 17 ciljeva održivog razvoja u regionu Jugoistočne Evrope kroz postizanje regionalno održivog ekonomskog rasta u cilju smanjenja siromaštva i nejednakosti, poboljšanja socijalne uključenosti, osnaživanja žena, usporavanja depopulacije, poboljšanja ukupnog kvaliteta života građana/ki i ubrzanja zelene i digitalne tranzicije bez narušavanja konkurentnosti i razvoja privatnog sektora.</w:t>
      </w:r>
    </w:p>
    <w:p w14:paraId="0B1BD7AF" w14:textId="77777777" w:rsidR="004D1ACA" w:rsidRPr="0048184E" w:rsidRDefault="004D1ACA" w:rsidP="0048184E">
      <w:pPr>
        <w:pStyle w:val="NoSpacing"/>
        <w:jc w:val="both"/>
        <w:rPr>
          <w:rFonts w:asciiTheme="minorHAnsi" w:hAnsiTheme="minorHAnsi"/>
          <w:sz w:val="18"/>
          <w:szCs w:val="18"/>
          <w:lang w:val="sr-Latn-ME"/>
        </w:rPr>
      </w:pPr>
    </w:p>
    <w:p w14:paraId="462E1B3B" w14:textId="77777777" w:rsidR="004D1ACA" w:rsidRPr="003C2A72" w:rsidRDefault="004D1ACA" w:rsidP="0048184E">
      <w:pPr>
        <w:pStyle w:val="Heading2"/>
        <w:numPr>
          <w:ilvl w:val="0"/>
          <w:numId w:val="26"/>
        </w:numPr>
        <w:spacing w:before="0" w:line="240" w:lineRule="auto"/>
        <w:rPr>
          <w:rFonts w:asciiTheme="minorHAnsi" w:hAnsiTheme="minorHAnsi"/>
        </w:rPr>
      </w:pPr>
      <w:bookmarkStart w:id="10" w:name="_Toc205215828"/>
      <w:r w:rsidRPr="003C2A72">
        <w:rPr>
          <w:rFonts w:asciiTheme="minorHAnsi" w:hAnsiTheme="minorHAnsi"/>
        </w:rPr>
        <w:t>Orodnjavanje javnih politika</w:t>
      </w:r>
      <w:bookmarkEnd w:id="10"/>
    </w:p>
    <w:p w14:paraId="71D78B49" w14:textId="77777777" w:rsidR="005B6CF3" w:rsidRPr="0048184E" w:rsidRDefault="005B6CF3" w:rsidP="0048184E">
      <w:pPr>
        <w:pStyle w:val="NoSpacing"/>
        <w:jc w:val="both"/>
        <w:rPr>
          <w:rFonts w:asciiTheme="minorHAnsi" w:hAnsiTheme="minorHAnsi"/>
          <w:iCs/>
          <w:sz w:val="18"/>
          <w:szCs w:val="18"/>
          <w:lang w:val="sr-Latn-ME"/>
        </w:rPr>
      </w:pPr>
    </w:p>
    <w:p w14:paraId="75075C16" w14:textId="77777777" w:rsidR="000F55B0" w:rsidRPr="0048184E" w:rsidRDefault="000F55B0" w:rsidP="0048184E">
      <w:pPr>
        <w:spacing w:after="0" w:line="240" w:lineRule="auto"/>
        <w:jc w:val="both"/>
        <w:rPr>
          <w:sz w:val="18"/>
          <w:szCs w:val="18"/>
          <w:lang w:val="pl-PL"/>
        </w:rPr>
      </w:pPr>
      <w:r w:rsidRPr="0048184E">
        <w:rPr>
          <w:sz w:val="18"/>
          <w:szCs w:val="18"/>
          <w:shd w:val="clear" w:color="auto" w:fill="FFFFFF"/>
          <w:lang w:val="sr-Latn-ME"/>
        </w:rPr>
        <w:t xml:space="preserve">Prinicip rodne ravnopravnosti ili orodnjavanje omogućava uključivanje različitih perspektiva, iskustava i ideja od strane žena u postavljanju jasnih i orodnjenih ciljeva politike, ali i ciljeva i aktivnosti koji ce se direktno odnositi na njih. U skladu sa </w:t>
      </w:r>
      <w:r w:rsidRPr="0048184E">
        <w:rPr>
          <w:sz w:val="18"/>
          <w:szCs w:val="18"/>
        </w:rPr>
        <w:t>Zakonom</w:t>
      </w:r>
      <w:r w:rsidRPr="0048184E">
        <w:rPr>
          <w:sz w:val="18"/>
          <w:szCs w:val="18"/>
          <w:lang w:val="sr-Latn-ME"/>
        </w:rPr>
        <w:t xml:space="preserve"> </w:t>
      </w:r>
      <w:r w:rsidRPr="0048184E">
        <w:rPr>
          <w:sz w:val="18"/>
          <w:szCs w:val="18"/>
        </w:rPr>
        <w:t>o</w:t>
      </w:r>
      <w:r w:rsidRPr="0048184E">
        <w:rPr>
          <w:sz w:val="18"/>
          <w:szCs w:val="18"/>
          <w:lang w:val="sr-Latn-ME"/>
        </w:rPr>
        <w:t xml:space="preserve"> </w:t>
      </w:r>
      <w:r w:rsidRPr="0048184E">
        <w:rPr>
          <w:sz w:val="18"/>
          <w:szCs w:val="18"/>
        </w:rPr>
        <w:t>rodnoj</w:t>
      </w:r>
      <w:r w:rsidRPr="0048184E">
        <w:rPr>
          <w:sz w:val="18"/>
          <w:szCs w:val="18"/>
          <w:lang w:val="sr-Latn-ME"/>
        </w:rPr>
        <w:t xml:space="preserve"> </w:t>
      </w:r>
      <w:r w:rsidRPr="0048184E">
        <w:rPr>
          <w:sz w:val="18"/>
          <w:szCs w:val="18"/>
        </w:rPr>
        <w:t>ravnopravnosti</w:t>
      </w:r>
      <w:r w:rsidRPr="0048184E">
        <w:rPr>
          <w:sz w:val="18"/>
          <w:szCs w:val="18"/>
          <w:lang w:val="sr-Latn-ME"/>
        </w:rPr>
        <w:t xml:space="preserve">, </w:t>
      </w:r>
      <w:r w:rsidRPr="0048184E">
        <w:rPr>
          <w:sz w:val="18"/>
          <w:szCs w:val="18"/>
        </w:rPr>
        <w:t>kao</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Nacionalnom</w:t>
      </w:r>
      <w:r w:rsidRPr="0048184E">
        <w:rPr>
          <w:sz w:val="18"/>
          <w:szCs w:val="18"/>
          <w:lang w:val="sr-Latn-ME"/>
        </w:rPr>
        <w:t xml:space="preserve"> </w:t>
      </w:r>
      <w:r w:rsidRPr="0048184E">
        <w:rPr>
          <w:sz w:val="18"/>
          <w:szCs w:val="18"/>
        </w:rPr>
        <w:t>strategijom</w:t>
      </w:r>
      <w:r w:rsidRPr="0048184E">
        <w:rPr>
          <w:sz w:val="18"/>
          <w:szCs w:val="18"/>
          <w:lang w:val="sr-Latn-ME"/>
        </w:rPr>
        <w:t xml:space="preserve"> </w:t>
      </w:r>
      <w:r w:rsidRPr="0048184E">
        <w:rPr>
          <w:sz w:val="18"/>
          <w:szCs w:val="18"/>
        </w:rPr>
        <w:t>rodne</w:t>
      </w:r>
      <w:r w:rsidRPr="0048184E">
        <w:rPr>
          <w:sz w:val="18"/>
          <w:szCs w:val="18"/>
          <w:lang w:val="sr-Latn-ME"/>
        </w:rPr>
        <w:t xml:space="preserve"> </w:t>
      </w:r>
      <w:r w:rsidRPr="0048184E">
        <w:rPr>
          <w:sz w:val="18"/>
          <w:szCs w:val="18"/>
        </w:rPr>
        <w:t>ravnopravnosti</w:t>
      </w:r>
      <w:r w:rsidRPr="0048184E">
        <w:rPr>
          <w:sz w:val="18"/>
          <w:szCs w:val="18"/>
          <w:lang w:val="sr-Latn-ME"/>
        </w:rPr>
        <w:t xml:space="preserve"> 2026-2029, prilikom izrade ovog strateškog dokumenta posebno se vodilo raćuna o orodnjenosti, počev od pripremne faze, tima koji je radio na izradi ovog dokumenta </w:t>
      </w:r>
      <w:r w:rsidRPr="0048184E">
        <w:rPr>
          <w:sz w:val="18"/>
          <w:szCs w:val="18"/>
        </w:rPr>
        <w:t>preko</w:t>
      </w:r>
      <w:r w:rsidRPr="0048184E">
        <w:rPr>
          <w:sz w:val="18"/>
          <w:szCs w:val="18"/>
          <w:lang w:val="sr-Latn-ME"/>
        </w:rPr>
        <w:t xml:space="preserve"> </w:t>
      </w:r>
      <w:r w:rsidRPr="0048184E">
        <w:rPr>
          <w:sz w:val="18"/>
          <w:szCs w:val="18"/>
        </w:rPr>
        <w:t>navo</w:t>
      </w:r>
      <w:r w:rsidRPr="0048184E">
        <w:rPr>
          <w:sz w:val="18"/>
          <w:szCs w:val="18"/>
          <w:lang w:val="sr-Latn-ME"/>
        </w:rPr>
        <w:t>đ</w:t>
      </w:r>
      <w:r w:rsidRPr="0048184E">
        <w:rPr>
          <w:sz w:val="18"/>
          <w:szCs w:val="18"/>
        </w:rPr>
        <w:t>enja</w:t>
      </w:r>
      <w:r w:rsidRPr="0048184E">
        <w:rPr>
          <w:sz w:val="18"/>
          <w:szCs w:val="18"/>
          <w:lang w:val="sr-Latn-ME"/>
        </w:rPr>
        <w:t xml:space="preserve"> </w:t>
      </w:r>
      <w:r w:rsidRPr="0048184E">
        <w:rPr>
          <w:sz w:val="18"/>
          <w:szCs w:val="18"/>
        </w:rPr>
        <w:t>rodno</w:t>
      </w:r>
      <w:r w:rsidRPr="0048184E">
        <w:rPr>
          <w:sz w:val="18"/>
          <w:szCs w:val="18"/>
          <w:lang w:val="sr-Latn-ME"/>
        </w:rPr>
        <w:t xml:space="preserve"> </w:t>
      </w:r>
      <w:r w:rsidRPr="0048184E">
        <w:rPr>
          <w:sz w:val="18"/>
          <w:szCs w:val="18"/>
        </w:rPr>
        <w:t>disagregiranih</w:t>
      </w:r>
      <w:r w:rsidRPr="0048184E">
        <w:rPr>
          <w:sz w:val="18"/>
          <w:szCs w:val="18"/>
          <w:lang w:val="sr-Latn-ME"/>
        </w:rPr>
        <w:t xml:space="preserve"> </w:t>
      </w:r>
      <w:r w:rsidRPr="0048184E">
        <w:rPr>
          <w:sz w:val="18"/>
          <w:szCs w:val="18"/>
        </w:rPr>
        <w:t>podataka</w:t>
      </w:r>
      <w:r w:rsidRPr="0048184E">
        <w:rPr>
          <w:sz w:val="18"/>
          <w:szCs w:val="18"/>
          <w:lang w:val="sr-Latn-ME"/>
        </w:rPr>
        <w:t xml:space="preserve"> </w:t>
      </w:r>
      <w:r w:rsidRPr="0048184E">
        <w:rPr>
          <w:sz w:val="18"/>
          <w:szCs w:val="18"/>
        </w:rPr>
        <w:t>u</w:t>
      </w:r>
      <w:r w:rsidRPr="0048184E">
        <w:rPr>
          <w:sz w:val="18"/>
          <w:szCs w:val="18"/>
          <w:lang w:val="sr-Latn-ME"/>
        </w:rPr>
        <w:t xml:space="preserve"> </w:t>
      </w:r>
      <w:r w:rsidRPr="0048184E">
        <w:rPr>
          <w:sz w:val="18"/>
          <w:szCs w:val="18"/>
        </w:rPr>
        <w:t>analizi</w:t>
      </w:r>
      <w:r w:rsidRPr="0048184E">
        <w:rPr>
          <w:sz w:val="18"/>
          <w:szCs w:val="18"/>
          <w:lang w:val="sr-Latn-ME"/>
        </w:rPr>
        <w:t xml:space="preserve"> </w:t>
      </w:r>
      <w:r w:rsidRPr="0048184E">
        <w:rPr>
          <w:sz w:val="18"/>
          <w:szCs w:val="18"/>
        </w:rPr>
        <w:t>stanja</w:t>
      </w:r>
      <w:r w:rsidRPr="0048184E">
        <w:rPr>
          <w:sz w:val="18"/>
          <w:szCs w:val="18"/>
          <w:lang w:val="sr-Latn-ME"/>
        </w:rPr>
        <w:t xml:space="preserve">, </w:t>
      </w:r>
      <w:r w:rsidRPr="0048184E">
        <w:rPr>
          <w:sz w:val="18"/>
          <w:szCs w:val="18"/>
        </w:rPr>
        <w:t>zatim</w:t>
      </w:r>
      <w:r w:rsidRPr="0048184E">
        <w:rPr>
          <w:sz w:val="18"/>
          <w:szCs w:val="18"/>
          <w:lang w:val="sr-Latn-ME"/>
        </w:rPr>
        <w:t xml:space="preserve"> </w:t>
      </w:r>
      <w:r w:rsidRPr="0048184E">
        <w:rPr>
          <w:sz w:val="18"/>
          <w:szCs w:val="18"/>
        </w:rPr>
        <w:t>definisanja</w:t>
      </w:r>
      <w:r w:rsidRPr="0048184E">
        <w:rPr>
          <w:sz w:val="18"/>
          <w:szCs w:val="18"/>
          <w:lang w:val="sr-Latn-ME"/>
        </w:rPr>
        <w:t xml:space="preserve"> </w:t>
      </w:r>
      <w:r w:rsidRPr="0048184E">
        <w:rPr>
          <w:sz w:val="18"/>
          <w:szCs w:val="18"/>
        </w:rPr>
        <w:t>odgovaraju</w:t>
      </w:r>
      <w:r w:rsidRPr="0048184E">
        <w:rPr>
          <w:sz w:val="18"/>
          <w:szCs w:val="18"/>
          <w:lang w:val="sr-Latn-ME"/>
        </w:rPr>
        <w:t>ć</w:t>
      </w:r>
      <w:r w:rsidRPr="0048184E">
        <w:rPr>
          <w:sz w:val="18"/>
          <w:szCs w:val="18"/>
        </w:rPr>
        <w:t>ih</w:t>
      </w:r>
      <w:r w:rsidRPr="0048184E">
        <w:rPr>
          <w:sz w:val="18"/>
          <w:szCs w:val="18"/>
          <w:lang w:val="sr-Latn-ME"/>
        </w:rPr>
        <w:t xml:space="preserve"> </w:t>
      </w:r>
      <w:r w:rsidRPr="0048184E">
        <w:rPr>
          <w:sz w:val="18"/>
          <w:szCs w:val="18"/>
        </w:rPr>
        <w:t>aktivnosti</w:t>
      </w:r>
      <w:r w:rsidRPr="0048184E">
        <w:rPr>
          <w:sz w:val="18"/>
          <w:szCs w:val="18"/>
          <w:lang w:val="sr-Latn-ME"/>
        </w:rPr>
        <w:t xml:space="preserve"> </w:t>
      </w:r>
      <w:r w:rsidRPr="0048184E">
        <w:rPr>
          <w:sz w:val="18"/>
          <w:szCs w:val="18"/>
        </w:rPr>
        <w:t>kojima</w:t>
      </w:r>
      <w:r w:rsidRPr="0048184E">
        <w:rPr>
          <w:sz w:val="18"/>
          <w:szCs w:val="18"/>
          <w:lang w:val="sr-Latn-ME"/>
        </w:rPr>
        <w:t xml:space="preserve"> ć</w:t>
      </w:r>
      <w:r w:rsidRPr="0048184E">
        <w:rPr>
          <w:sz w:val="18"/>
          <w:szCs w:val="18"/>
        </w:rPr>
        <w:t>e</w:t>
      </w:r>
      <w:r w:rsidRPr="0048184E">
        <w:rPr>
          <w:sz w:val="18"/>
          <w:szCs w:val="18"/>
          <w:lang w:val="sr-Latn-ME"/>
        </w:rPr>
        <w:t xml:space="preserve"> </w:t>
      </w:r>
      <w:r w:rsidRPr="0048184E">
        <w:rPr>
          <w:sz w:val="18"/>
          <w:szCs w:val="18"/>
        </w:rPr>
        <w:t>se</w:t>
      </w:r>
      <w:r w:rsidRPr="0048184E">
        <w:rPr>
          <w:sz w:val="18"/>
          <w:szCs w:val="18"/>
          <w:lang w:val="sr-Latn-ME"/>
        </w:rPr>
        <w:t xml:space="preserve"> </w:t>
      </w:r>
      <w:r w:rsidRPr="0048184E">
        <w:rPr>
          <w:sz w:val="18"/>
          <w:szCs w:val="18"/>
        </w:rPr>
        <w:t>adresirati</w:t>
      </w:r>
      <w:r w:rsidRPr="0048184E">
        <w:rPr>
          <w:sz w:val="18"/>
          <w:szCs w:val="18"/>
          <w:lang w:val="sr-Latn-ME"/>
        </w:rPr>
        <w:t xml:space="preserve"> </w:t>
      </w:r>
      <w:r w:rsidRPr="0048184E">
        <w:rPr>
          <w:sz w:val="18"/>
          <w:szCs w:val="18"/>
        </w:rPr>
        <w:t>identifikovane</w:t>
      </w:r>
      <w:r w:rsidRPr="0048184E">
        <w:rPr>
          <w:sz w:val="18"/>
          <w:szCs w:val="18"/>
          <w:lang w:val="sr-Latn-ME"/>
        </w:rPr>
        <w:t xml:space="preserve"> </w:t>
      </w:r>
      <w:r w:rsidRPr="0048184E">
        <w:rPr>
          <w:sz w:val="18"/>
          <w:szCs w:val="18"/>
        </w:rPr>
        <w:t>rodne</w:t>
      </w:r>
      <w:r w:rsidRPr="0048184E">
        <w:rPr>
          <w:sz w:val="18"/>
          <w:szCs w:val="18"/>
          <w:lang w:val="sr-Latn-ME"/>
        </w:rPr>
        <w:t xml:space="preserve"> </w:t>
      </w:r>
      <w:r w:rsidRPr="0048184E">
        <w:rPr>
          <w:sz w:val="18"/>
          <w:szCs w:val="18"/>
        </w:rPr>
        <w:t>nejednakosti</w:t>
      </w:r>
      <w:r w:rsidRPr="0048184E">
        <w:rPr>
          <w:sz w:val="18"/>
          <w:szCs w:val="18"/>
          <w:lang w:val="sr-Latn-ME"/>
        </w:rPr>
        <w:t xml:space="preserve">. </w:t>
      </w:r>
      <w:r w:rsidRPr="0048184E">
        <w:rPr>
          <w:sz w:val="18"/>
          <w:szCs w:val="18"/>
          <w:lang w:val="pl-PL"/>
        </w:rPr>
        <w:t xml:space="preserve">Nadalje, u cjelokupnom tekstu strateškog dokumenta zastupljen je rodno senzitivni jezik. </w:t>
      </w:r>
    </w:p>
    <w:p w14:paraId="3664BFD7" w14:textId="77777777" w:rsidR="000F55B0" w:rsidRPr="0048184E" w:rsidRDefault="000F55B0" w:rsidP="0048184E">
      <w:pPr>
        <w:spacing w:after="0" w:line="240" w:lineRule="auto"/>
        <w:jc w:val="both"/>
        <w:rPr>
          <w:sz w:val="18"/>
          <w:szCs w:val="18"/>
          <w:lang w:val="pl-PL"/>
        </w:rPr>
      </w:pPr>
    </w:p>
    <w:p w14:paraId="52205AB8" w14:textId="77777777" w:rsidR="004D1ACA" w:rsidRPr="004759C6" w:rsidRDefault="005B6CF3" w:rsidP="004759C6">
      <w:pPr>
        <w:spacing w:after="0" w:line="240" w:lineRule="auto"/>
        <w:jc w:val="both"/>
        <w:rPr>
          <w:sz w:val="18"/>
          <w:szCs w:val="18"/>
          <w:shd w:val="clear" w:color="auto" w:fill="FFFFFF"/>
          <w:lang w:val="sr-Latn-ME"/>
        </w:rPr>
      </w:pPr>
      <w:r w:rsidRPr="0048184E">
        <w:rPr>
          <w:sz w:val="18"/>
          <w:szCs w:val="18"/>
          <w:lang w:val="sr-Latn-ME"/>
        </w:rPr>
        <w:t xml:space="preserve">U procesu izrade dokumenta revizije SRR, prepoznati su izazovi kreiranja programa za pospješivanje većeg učešća žena i uzeti u obzir dodatni kriterijumi orodnjenosti.  Na taj način su, u okviru seta programskih i projektnih aktivnosti i inicijativa, uvedeni rodno senzitivnI indikatori u cilju jačanje transparentnosti,  vidljivost i praćenja informacija o podršci ženama kao ciljnoj grupi, </w:t>
      </w:r>
      <w:r w:rsidRPr="0048184E">
        <w:rPr>
          <w:sz w:val="18"/>
          <w:szCs w:val="18"/>
          <w:shd w:val="clear" w:color="auto" w:fill="FFFFFF"/>
          <w:lang w:val="sr-Latn-ME"/>
        </w:rPr>
        <w:t>čime se otvara prostor za preduzetništvo, kreativnost i inovacije, što može doprinijeti unapređenju zapošljavanja i izgradnji inkluzivne kulture za jačanje konkurentnosti</w:t>
      </w:r>
      <w:r w:rsidR="00AF5B0F" w:rsidRPr="0048184E">
        <w:rPr>
          <w:rStyle w:val="FootnoteReference"/>
          <w:sz w:val="18"/>
          <w:szCs w:val="18"/>
          <w:shd w:val="clear" w:color="auto" w:fill="FFFFFF"/>
          <w:lang w:val="sr-Latn-ME"/>
        </w:rPr>
        <w:footnoteReference w:id="17"/>
      </w:r>
      <w:r w:rsidR="004759C6">
        <w:rPr>
          <w:sz w:val="18"/>
          <w:szCs w:val="18"/>
          <w:shd w:val="clear" w:color="auto" w:fill="FFFFFF"/>
          <w:lang w:val="sr-Latn-ME"/>
        </w:rPr>
        <w:t xml:space="preserve">. </w:t>
      </w:r>
      <w:r w:rsidRPr="0048184E">
        <w:rPr>
          <w:iCs/>
          <w:sz w:val="18"/>
          <w:szCs w:val="18"/>
          <w:lang w:val="sr-Latn-ME"/>
        </w:rPr>
        <w:t>Takođe, j</w:t>
      </w:r>
      <w:r w:rsidR="004D1ACA" w:rsidRPr="0048184E">
        <w:rPr>
          <w:iCs/>
          <w:sz w:val="18"/>
          <w:szCs w:val="18"/>
          <w:lang w:val="sr-Latn-ME"/>
        </w:rPr>
        <w:t xml:space="preserve">ačanje rodno odgovornog budžetiranja i na centralnom i na lokalnom nivou Crne Gore, treba posmatrati kao važan element u vođenju politike regionalnog rzavoja i populacione politike. Rodno odgovorno budžetiranje treba da doprinese ravnomjernijem i ravnopravnijem pristupu resursima, uslugama i odlukama i žena i muškaraca u svim regionima i JLS u cilju povećanja kvaliteta života. </w:t>
      </w:r>
    </w:p>
    <w:p w14:paraId="3E4526DA" w14:textId="77777777" w:rsidR="004D1ACA" w:rsidRPr="0048184E" w:rsidRDefault="004D1ACA" w:rsidP="0048184E">
      <w:pPr>
        <w:pStyle w:val="NoSpacing"/>
        <w:jc w:val="both"/>
        <w:rPr>
          <w:rFonts w:asciiTheme="minorHAnsi" w:hAnsiTheme="minorHAnsi"/>
          <w:iCs/>
          <w:sz w:val="18"/>
          <w:szCs w:val="18"/>
          <w:lang w:val="sr-Latn-ME"/>
        </w:rPr>
      </w:pPr>
    </w:p>
    <w:p w14:paraId="7DF04325" w14:textId="77777777" w:rsidR="004D1ACA" w:rsidRDefault="004D1ACA" w:rsidP="0048184E">
      <w:pPr>
        <w:pStyle w:val="NoSpacing"/>
        <w:jc w:val="both"/>
        <w:rPr>
          <w:rFonts w:asciiTheme="minorHAnsi" w:hAnsiTheme="minorHAnsi"/>
          <w:iCs/>
          <w:sz w:val="18"/>
          <w:szCs w:val="18"/>
          <w:lang w:val="sr-Latn-ME"/>
        </w:rPr>
      </w:pPr>
      <w:r w:rsidRPr="0048184E">
        <w:rPr>
          <w:rFonts w:asciiTheme="minorHAnsi" w:hAnsiTheme="minorHAnsi"/>
          <w:iCs/>
          <w:sz w:val="18"/>
          <w:szCs w:val="18"/>
          <w:lang w:val="sr-Latn-ME"/>
        </w:rPr>
        <w:t>Konkretno, u analizi stanja SRR 2023-2027 se može uočiti primjer analize izazova u kojoj je, na osnovu rodno raščlanjenih podataka, jasno ukazano na razliku u poziciji žena i muškaraca na tržištu rada i samim tim predstavljena rodna dimenzija problema. Prema navedenoj analizi stanja, stopa nezaposlenosti žena u Crnoj Gori se smanjivala sve do 2016. godine, kada je sve do 2018. godine stagnirala, budući da je taj period karakterisala primjena zakona kojim su uvedene naknade za majke sa 3 i više djece. Stopa nezaposlenosti žena se od 2018. godine ponovo smanjuje na oko 15%, sve do 2020. godine, kada se zbog pandemije naglo povećala na čak 18,4%. Pri tome je stopa nezaposlenosti žena u periodu nakon 2016. godine bila viša od stope nezaposlenosti muškaraca, osim 2021. godine kada je stopa nezaposlenosti žena iznosila 15,8%, a muškaraca 17,1%.</w:t>
      </w:r>
    </w:p>
    <w:p w14:paraId="054CED5D" w14:textId="77777777" w:rsidR="004759C6" w:rsidRPr="004759C6" w:rsidRDefault="004759C6" w:rsidP="0048184E">
      <w:pPr>
        <w:pStyle w:val="NoSpacing"/>
        <w:jc w:val="both"/>
        <w:rPr>
          <w:rFonts w:asciiTheme="minorHAnsi" w:hAnsiTheme="minorHAnsi"/>
          <w:iCs/>
          <w:sz w:val="18"/>
          <w:szCs w:val="18"/>
          <w:lang w:val="sr-Latn-ME"/>
        </w:rPr>
      </w:pPr>
      <w:r w:rsidRPr="004759C6">
        <w:rPr>
          <w:sz w:val="18"/>
          <w:szCs w:val="18"/>
        </w:rPr>
        <w:t>U</w:t>
      </w:r>
      <w:r w:rsidRPr="004759C6">
        <w:rPr>
          <w:sz w:val="18"/>
          <w:szCs w:val="18"/>
          <w:lang w:val="sr-Latn-ME"/>
        </w:rPr>
        <w:t xml:space="preserve"> 2024.</w:t>
      </w:r>
      <w:r>
        <w:rPr>
          <w:sz w:val="18"/>
          <w:szCs w:val="18"/>
          <w:lang w:val="sr-Latn-ME"/>
        </w:rPr>
        <w:t xml:space="preserve"> </w:t>
      </w:r>
      <w:r w:rsidRPr="004759C6">
        <w:rPr>
          <w:sz w:val="18"/>
          <w:szCs w:val="18"/>
        </w:rPr>
        <w:t>godini</w:t>
      </w:r>
      <w:r w:rsidRPr="004759C6">
        <w:rPr>
          <w:sz w:val="18"/>
          <w:szCs w:val="18"/>
          <w:lang w:val="sr-Latn-ME"/>
        </w:rPr>
        <w:t xml:space="preserve"> </w:t>
      </w:r>
      <w:r w:rsidRPr="004759C6">
        <w:rPr>
          <w:sz w:val="18"/>
          <w:szCs w:val="18"/>
        </w:rPr>
        <w:t>od</w:t>
      </w:r>
      <w:r w:rsidRPr="004759C6">
        <w:rPr>
          <w:sz w:val="18"/>
          <w:szCs w:val="18"/>
          <w:lang w:val="sr-Latn-ME"/>
        </w:rPr>
        <w:t xml:space="preserve"> </w:t>
      </w:r>
      <w:r w:rsidRPr="004759C6">
        <w:rPr>
          <w:sz w:val="18"/>
          <w:szCs w:val="18"/>
        </w:rPr>
        <w:t>ukupnog</w:t>
      </w:r>
      <w:r w:rsidRPr="004759C6">
        <w:rPr>
          <w:sz w:val="18"/>
          <w:szCs w:val="18"/>
          <w:lang w:val="sr-Latn-ME"/>
        </w:rPr>
        <w:t xml:space="preserve"> </w:t>
      </w:r>
      <w:r w:rsidRPr="004759C6">
        <w:rPr>
          <w:sz w:val="18"/>
          <w:szCs w:val="18"/>
        </w:rPr>
        <w:t>broja</w:t>
      </w:r>
      <w:r w:rsidRPr="004759C6">
        <w:rPr>
          <w:sz w:val="18"/>
          <w:szCs w:val="18"/>
          <w:lang w:val="sr-Latn-ME"/>
        </w:rPr>
        <w:t xml:space="preserve"> </w:t>
      </w:r>
      <w:r w:rsidRPr="004759C6">
        <w:rPr>
          <w:sz w:val="18"/>
          <w:szCs w:val="18"/>
        </w:rPr>
        <w:t>aktivnog</w:t>
      </w:r>
      <w:r w:rsidRPr="004759C6">
        <w:rPr>
          <w:sz w:val="18"/>
          <w:szCs w:val="18"/>
          <w:lang w:val="sr-Latn-ME"/>
        </w:rPr>
        <w:t xml:space="preserve"> </w:t>
      </w:r>
      <w:r w:rsidRPr="004759C6">
        <w:rPr>
          <w:sz w:val="18"/>
          <w:szCs w:val="18"/>
        </w:rPr>
        <w:t>stanovni</w:t>
      </w:r>
      <w:r w:rsidRPr="004759C6">
        <w:rPr>
          <w:sz w:val="18"/>
          <w:szCs w:val="18"/>
          <w:lang w:val="sr-Latn-ME"/>
        </w:rPr>
        <w:t>š</w:t>
      </w:r>
      <w:r w:rsidRPr="004759C6">
        <w:rPr>
          <w:sz w:val="18"/>
          <w:szCs w:val="18"/>
        </w:rPr>
        <w:t>tva</w:t>
      </w:r>
      <w:r w:rsidRPr="004759C6">
        <w:rPr>
          <w:sz w:val="18"/>
          <w:szCs w:val="18"/>
          <w:lang w:val="sr-Latn-ME"/>
        </w:rPr>
        <w:t xml:space="preserve"> 175,3 </w:t>
      </w:r>
      <w:r w:rsidRPr="004759C6">
        <w:rPr>
          <w:sz w:val="18"/>
          <w:szCs w:val="18"/>
        </w:rPr>
        <w:t>hiljade</w:t>
      </w:r>
      <w:r w:rsidRPr="004759C6">
        <w:rPr>
          <w:sz w:val="18"/>
          <w:szCs w:val="18"/>
          <w:lang w:val="sr-Latn-ME"/>
        </w:rPr>
        <w:t xml:space="preserve"> </w:t>
      </w:r>
      <w:r w:rsidRPr="004759C6">
        <w:rPr>
          <w:sz w:val="18"/>
          <w:szCs w:val="18"/>
        </w:rPr>
        <w:t>ili</w:t>
      </w:r>
      <w:r w:rsidRPr="004759C6">
        <w:rPr>
          <w:sz w:val="18"/>
          <w:szCs w:val="18"/>
          <w:lang w:val="sr-Latn-ME"/>
        </w:rPr>
        <w:t xml:space="preserve"> 54,9% č</w:t>
      </w:r>
      <w:r w:rsidRPr="004759C6">
        <w:rPr>
          <w:sz w:val="18"/>
          <w:szCs w:val="18"/>
        </w:rPr>
        <w:t>ine</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w:t>
      </w:r>
      <w:r w:rsidRPr="004759C6">
        <w:rPr>
          <w:sz w:val="18"/>
          <w:szCs w:val="18"/>
        </w:rPr>
        <w:t>a</w:t>
      </w:r>
      <w:r w:rsidRPr="004759C6">
        <w:rPr>
          <w:sz w:val="18"/>
          <w:szCs w:val="18"/>
          <w:lang w:val="sr-Latn-ME"/>
        </w:rPr>
        <w:t xml:space="preserve"> 143,8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45,1%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 xml:space="preserve">, </w:t>
      </w:r>
      <w:r w:rsidRPr="004759C6">
        <w:rPr>
          <w:sz w:val="18"/>
          <w:szCs w:val="18"/>
        </w:rPr>
        <w:t>dok</w:t>
      </w:r>
      <w:r w:rsidRPr="004759C6">
        <w:rPr>
          <w:sz w:val="18"/>
          <w:szCs w:val="18"/>
          <w:lang w:val="sr-Latn-ME"/>
        </w:rPr>
        <w:t xml:space="preserve"> </w:t>
      </w:r>
      <w:r w:rsidRPr="004759C6">
        <w:rPr>
          <w:sz w:val="18"/>
          <w:szCs w:val="18"/>
        </w:rPr>
        <w:t>ukupan</w:t>
      </w:r>
      <w:r w:rsidRPr="004759C6">
        <w:rPr>
          <w:sz w:val="18"/>
          <w:szCs w:val="18"/>
          <w:lang w:val="sr-Latn-ME"/>
        </w:rPr>
        <w:t xml:space="preserve"> </w:t>
      </w:r>
      <w:r w:rsidRPr="004759C6">
        <w:rPr>
          <w:sz w:val="18"/>
          <w:szCs w:val="18"/>
        </w:rPr>
        <w:t>broj</w:t>
      </w:r>
      <w:r w:rsidRPr="004759C6">
        <w:rPr>
          <w:sz w:val="18"/>
          <w:szCs w:val="18"/>
          <w:lang w:val="sr-Latn-ME"/>
        </w:rPr>
        <w:t xml:space="preserve"> </w:t>
      </w:r>
      <w:r w:rsidRPr="004759C6">
        <w:rPr>
          <w:sz w:val="18"/>
          <w:szCs w:val="18"/>
        </w:rPr>
        <w:t>stanovni</w:t>
      </w:r>
      <w:r w:rsidRPr="004759C6">
        <w:rPr>
          <w:sz w:val="18"/>
          <w:szCs w:val="18"/>
          <w:lang w:val="sr-Latn-ME"/>
        </w:rPr>
        <w:t>š</w:t>
      </w:r>
      <w:r w:rsidRPr="004759C6">
        <w:rPr>
          <w:sz w:val="18"/>
          <w:szCs w:val="18"/>
        </w:rPr>
        <w:t>tva</w:t>
      </w:r>
      <w:r w:rsidRPr="004759C6">
        <w:rPr>
          <w:sz w:val="18"/>
          <w:szCs w:val="18"/>
          <w:lang w:val="sr-Latn-ME"/>
        </w:rPr>
        <w:t xml:space="preserve"> </w:t>
      </w:r>
      <w:r w:rsidRPr="004759C6">
        <w:rPr>
          <w:sz w:val="18"/>
          <w:szCs w:val="18"/>
        </w:rPr>
        <w:t>van</w:t>
      </w:r>
      <w:r w:rsidRPr="004759C6">
        <w:rPr>
          <w:sz w:val="18"/>
          <w:szCs w:val="18"/>
          <w:lang w:val="sr-Latn-ME"/>
        </w:rPr>
        <w:t xml:space="preserve"> </w:t>
      </w:r>
      <w:r w:rsidRPr="004759C6">
        <w:rPr>
          <w:sz w:val="18"/>
          <w:szCs w:val="18"/>
        </w:rPr>
        <w:t>radne</w:t>
      </w:r>
      <w:r w:rsidRPr="004759C6">
        <w:rPr>
          <w:sz w:val="18"/>
          <w:szCs w:val="18"/>
          <w:lang w:val="sr-Latn-ME"/>
        </w:rPr>
        <w:t xml:space="preserve"> </w:t>
      </w:r>
      <w:r w:rsidRPr="004759C6">
        <w:rPr>
          <w:sz w:val="18"/>
          <w:szCs w:val="18"/>
        </w:rPr>
        <w:t>snage</w:t>
      </w:r>
      <w:r w:rsidRPr="004759C6">
        <w:rPr>
          <w:sz w:val="18"/>
          <w:szCs w:val="18"/>
          <w:lang w:val="sr-Latn-ME"/>
        </w:rPr>
        <w:t xml:space="preserve">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 xml:space="preserve"> 108,0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59,8% </w:t>
      </w:r>
      <w:r w:rsidRPr="004759C6">
        <w:rPr>
          <w:sz w:val="18"/>
          <w:szCs w:val="18"/>
        </w:rPr>
        <w:t>a</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72,5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40,2%. </w:t>
      </w:r>
      <w:r w:rsidRPr="004759C6">
        <w:rPr>
          <w:sz w:val="18"/>
          <w:szCs w:val="18"/>
        </w:rPr>
        <w:t>Od</w:t>
      </w:r>
      <w:r w:rsidRPr="004759C6">
        <w:rPr>
          <w:sz w:val="18"/>
          <w:szCs w:val="18"/>
          <w:lang w:val="sr-Latn-ME"/>
        </w:rPr>
        <w:t xml:space="preserve"> </w:t>
      </w:r>
      <w:r w:rsidRPr="004759C6">
        <w:rPr>
          <w:sz w:val="18"/>
          <w:szCs w:val="18"/>
        </w:rPr>
        <w:t>ukupnog</w:t>
      </w:r>
      <w:r w:rsidRPr="004759C6">
        <w:rPr>
          <w:sz w:val="18"/>
          <w:szCs w:val="18"/>
          <w:lang w:val="sr-Latn-ME"/>
        </w:rPr>
        <w:t xml:space="preserve"> </w:t>
      </w:r>
      <w:r w:rsidRPr="004759C6">
        <w:rPr>
          <w:sz w:val="18"/>
          <w:szCs w:val="18"/>
        </w:rPr>
        <w:t>broja</w:t>
      </w:r>
      <w:r w:rsidRPr="004759C6">
        <w:rPr>
          <w:sz w:val="18"/>
          <w:szCs w:val="18"/>
          <w:lang w:val="sr-Latn-ME"/>
        </w:rPr>
        <w:t xml:space="preserve"> </w:t>
      </w:r>
      <w:r w:rsidRPr="004759C6">
        <w:rPr>
          <w:sz w:val="18"/>
          <w:szCs w:val="18"/>
        </w:rPr>
        <w:t>zaposlenih</w:t>
      </w:r>
      <w:r w:rsidRPr="004759C6">
        <w:rPr>
          <w:sz w:val="18"/>
          <w:szCs w:val="18"/>
          <w:lang w:val="sr-Latn-ME"/>
        </w:rPr>
        <w:t xml:space="preserve"> 156,3 </w:t>
      </w:r>
      <w:r w:rsidRPr="004759C6">
        <w:rPr>
          <w:sz w:val="18"/>
          <w:szCs w:val="18"/>
        </w:rPr>
        <w:t>hiljade</w:t>
      </w:r>
      <w:r w:rsidRPr="004759C6">
        <w:rPr>
          <w:sz w:val="18"/>
          <w:szCs w:val="18"/>
          <w:lang w:val="sr-Latn-ME"/>
        </w:rPr>
        <w:t xml:space="preserve"> </w:t>
      </w:r>
      <w:r w:rsidRPr="004759C6">
        <w:rPr>
          <w:sz w:val="18"/>
          <w:szCs w:val="18"/>
        </w:rPr>
        <w:t>ili</w:t>
      </w:r>
      <w:r w:rsidRPr="004759C6">
        <w:rPr>
          <w:sz w:val="18"/>
          <w:szCs w:val="18"/>
          <w:lang w:val="sr-Latn-ME"/>
        </w:rPr>
        <w:t xml:space="preserve"> 55,3% č</w:t>
      </w:r>
      <w:r w:rsidRPr="004759C6">
        <w:rPr>
          <w:sz w:val="18"/>
          <w:szCs w:val="18"/>
        </w:rPr>
        <w:t>ine</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w:t>
      </w:r>
      <w:r w:rsidRPr="004759C6">
        <w:rPr>
          <w:sz w:val="18"/>
          <w:szCs w:val="18"/>
        </w:rPr>
        <w:t>a</w:t>
      </w:r>
      <w:r w:rsidRPr="004759C6">
        <w:rPr>
          <w:sz w:val="18"/>
          <w:szCs w:val="18"/>
          <w:lang w:val="sr-Latn-ME"/>
        </w:rPr>
        <w:t xml:space="preserve"> 126,3 </w:t>
      </w:r>
      <w:r w:rsidRPr="004759C6">
        <w:rPr>
          <w:sz w:val="18"/>
          <w:szCs w:val="18"/>
        </w:rPr>
        <w:t>hiljade</w:t>
      </w:r>
      <w:r w:rsidRPr="004759C6">
        <w:rPr>
          <w:sz w:val="18"/>
          <w:szCs w:val="18"/>
          <w:lang w:val="sr-Latn-ME"/>
        </w:rPr>
        <w:t xml:space="preserve"> </w:t>
      </w:r>
      <w:r w:rsidRPr="004759C6">
        <w:rPr>
          <w:sz w:val="18"/>
          <w:szCs w:val="18"/>
        </w:rPr>
        <w:t>ili</w:t>
      </w:r>
      <w:r w:rsidRPr="004759C6">
        <w:rPr>
          <w:sz w:val="18"/>
          <w:szCs w:val="18"/>
          <w:lang w:val="sr-Latn-ME"/>
        </w:rPr>
        <w:t xml:space="preserve"> 44,7%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 xml:space="preserve">, </w:t>
      </w:r>
      <w:r w:rsidRPr="004759C6">
        <w:rPr>
          <w:sz w:val="18"/>
          <w:szCs w:val="18"/>
        </w:rPr>
        <w:t>a</w:t>
      </w:r>
      <w:r w:rsidRPr="004759C6">
        <w:rPr>
          <w:sz w:val="18"/>
          <w:szCs w:val="18"/>
          <w:lang w:val="sr-Latn-ME"/>
        </w:rPr>
        <w:t xml:space="preserve"> </w:t>
      </w:r>
      <w:r w:rsidRPr="004759C6">
        <w:rPr>
          <w:sz w:val="18"/>
          <w:szCs w:val="18"/>
        </w:rPr>
        <w:t>od</w:t>
      </w:r>
      <w:r w:rsidRPr="004759C6">
        <w:rPr>
          <w:sz w:val="18"/>
          <w:szCs w:val="18"/>
          <w:lang w:val="sr-Latn-ME"/>
        </w:rPr>
        <w:t xml:space="preserve"> </w:t>
      </w:r>
      <w:r w:rsidRPr="004759C6">
        <w:rPr>
          <w:sz w:val="18"/>
          <w:szCs w:val="18"/>
        </w:rPr>
        <w:t>ukupnog</w:t>
      </w:r>
      <w:r w:rsidRPr="004759C6">
        <w:rPr>
          <w:sz w:val="18"/>
          <w:szCs w:val="18"/>
          <w:lang w:val="sr-Latn-ME"/>
        </w:rPr>
        <w:t xml:space="preserve"> </w:t>
      </w:r>
      <w:r w:rsidRPr="004759C6">
        <w:rPr>
          <w:sz w:val="18"/>
          <w:szCs w:val="18"/>
        </w:rPr>
        <w:t>broja</w:t>
      </w:r>
      <w:r w:rsidRPr="004759C6">
        <w:rPr>
          <w:sz w:val="18"/>
          <w:szCs w:val="18"/>
          <w:lang w:val="sr-Latn-ME"/>
        </w:rPr>
        <w:t xml:space="preserve"> </w:t>
      </w:r>
      <w:r w:rsidRPr="004759C6">
        <w:rPr>
          <w:sz w:val="18"/>
          <w:szCs w:val="18"/>
        </w:rPr>
        <w:t>nezaposlenih</w:t>
      </w:r>
      <w:r w:rsidRPr="004759C6">
        <w:rPr>
          <w:sz w:val="18"/>
          <w:szCs w:val="18"/>
          <w:lang w:val="sr-Latn-ME"/>
        </w:rPr>
        <w:t xml:space="preserve"> 19,0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52,1% č</w:t>
      </w:r>
      <w:r w:rsidRPr="004759C6">
        <w:rPr>
          <w:sz w:val="18"/>
          <w:szCs w:val="18"/>
        </w:rPr>
        <w:t>ine</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w:t>
      </w:r>
      <w:r w:rsidRPr="004759C6">
        <w:rPr>
          <w:sz w:val="18"/>
          <w:szCs w:val="18"/>
        </w:rPr>
        <w:t>a</w:t>
      </w:r>
      <w:r w:rsidRPr="004759C6">
        <w:rPr>
          <w:sz w:val="18"/>
          <w:szCs w:val="18"/>
          <w:lang w:val="sr-Latn-ME"/>
        </w:rPr>
        <w:t xml:space="preserve"> 17,5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47,9%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w:t>
      </w:r>
    </w:p>
    <w:p w14:paraId="733AB344" w14:textId="77777777" w:rsidR="004D1ACA" w:rsidRPr="0048184E" w:rsidRDefault="004D1ACA" w:rsidP="0048184E">
      <w:pPr>
        <w:pStyle w:val="NoSpacing"/>
        <w:jc w:val="both"/>
        <w:rPr>
          <w:rFonts w:asciiTheme="minorHAnsi" w:hAnsiTheme="minorHAnsi"/>
          <w:iCs/>
          <w:sz w:val="18"/>
          <w:szCs w:val="18"/>
          <w:lang w:val="sr-Latn-ME"/>
        </w:rPr>
      </w:pPr>
    </w:p>
    <w:p w14:paraId="2DFC3788" w14:textId="77777777" w:rsidR="004D1ACA" w:rsidRPr="0048184E" w:rsidRDefault="004D1ACA" w:rsidP="0048184E">
      <w:pPr>
        <w:pStyle w:val="NoSpacing"/>
        <w:jc w:val="both"/>
        <w:rPr>
          <w:rFonts w:asciiTheme="minorHAnsi" w:hAnsiTheme="minorHAnsi"/>
          <w:iCs/>
          <w:sz w:val="18"/>
          <w:szCs w:val="18"/>
          <w:lang w:val="sr-Latn-ME"/>
        </w:rPr>
      </w:pPr>
      <w:r w:rsidRPr="0048184E">
        <w:rPr>
          <w:rFonts w:asciiTheme="minorHAnsi" w:hAnsiTheme="minorHAnsi"/>
          <w:iCs/>
          <w:sz w:val="18"/>
          <w:szCs w:val="18"/>
          <w:lang w:val="sr-Latn-ME"/>
        </w:rPr>
        <w:t xml:space="preserve">SRR 2023-2027 sadrži dimenziju orodnjavanja u srednjem roku, konkretno kroz aktivnosti koje se odnose na korišćenje sredstava za razvoj poljoprivrede, turizma podršku obrazovanju i unaprjeđenju poslovnog ambijenta u cilju povećanja zaposlenosti. Ovo na način da se obezbijedi jednaka uključenost muškaraca i žena u sve procese kreiranja i sprovođenja </w:t>
      </w:r>
      <w:r w:rsidRPr="0048184E">
        <w:rPr>
          <w:rFonts w:asciiTheme="minorHAnsi" w:hAnsiTheme="minorHAnsi"/>
          <w:iCs/>
          <w:sz w:val="18"/>
          <w:szCs w:val="18"/>
          <w:lang w:val="sr-Latn-ME"/>
        </w:rPr>
        <w:lastRenderedPageBreak/>
        <w:t>politika i donošenja odluka, jednak pristup i upravljanje resursima i jednak tretman u procesima upravljanja u svim regionima Crne Gore.</w:t>
      </w:r>
    </w:p>
    <w:p w14:paraId="3FEB31C0" w14:textId="77777777" w:rsidR="004D1ACA" w:rsidRPr="0048184E" w:rsidRDefault="004D1ACA" w:rsidP="0048184E">
      <w:pPr>
        <w:pStyle w:val="NoSpacing"/>
        <w:jc w:val="both"/>
        <w:rPr>
          <w:rFonts w:asciiTheme="minorHAnsi" w:hAnsiTheme="minorHAnsi"/>
          <w:iCs/>
          <w:sz w:val="18"/>
          <w:szCs w:val="18"/>
          <w:lang w:val="sr-Latn-ME"/>
        </w:rPr>
      </w:pPr>
    </w:p>
    <w:p w14:paraId="3CE06852" w14:textId="77777777" w:rsidR="004D1ACA" w:rsidRPr="003C2A72" w:rsidRDefault="004D1ACA" w:rsidP="0048184E">
      <w:pPr>
        <w:pStyle w:val="Heading2"/>
        <w:numPr>
          <w:ilvl w:val="0"/>
          <w:numId w:val="26"/>
        </w:numPr>
        <w:spacing w:before="0" w:line="240" w:lineRule="auto"/>
        <w:rPr>
          <w:rFonts w:asciiTheme="minorHAnsi" w:hAnsiTheme="minorHAnsi"/>
        </w:rPr>
      </w:pPr>
      <w:bookmarkStart w:id="11" w:name="_Toc205215829"/>
      <w:r w:rsidRPr="003C2A72">
        <w:rPr>
          <w:rFonts w:asciiTheme="minorHAnsi" w:hAnsiTheme="minorHAnsi"/>
        </w:rPr>
        <w:t>Strateška analiza uticaja na životnu sredinu u fazi definisanja ciljeva</w:t>
      </w:r>
      <w:bookmarkEnd w:id="11"/>
      <w:r w:rsidRPr="003C2A72">
        <w:rPr>
          <w:rFonts w:asciiTheme="minorHAnsi" w:hAnsiTheme="minorHAnsi"/>
        </w:rPr>
        <w:t xml:space="preserve"> </w:t>
      </w:r>
    </w:p>
    <w:p w14:paraId="080ED5E7" w14:textId="77777777" w:rsidR="004D1ACA" w:rsidRPr="0048184E" w:rsidRDefault="004D1ACA" w:rsidP="0048184E">
      <w:pPr>
        <w:pStyle w:val="Heading2"/>
        <w:spacing w:before="0" w:line="240" w:lineRule="auto"/>
        <w:rPr>
          <w:rFonts w:asciiTheme="minorHAnsi" w:hAnsiTheme="minorHAnsi"/>
          <w:color w:val="auto"/>
          <w:sz w:val="18"/>
          <w:szCs w:val="18"/>
        </w:rPr>
      </w:pPr>
    </w:p>
    <w:p w14:paraId="3C30B6AA" w14:textId="77777777" w:rsidR="004D1ACA" w:rsidRPr="0048184E" w:rsidRDefault="00AF5B0F" w:rsidP="0048184E">
      <w:pPr>
        <w:pStyle w:val="BalloonText"/>
        <w:jc w:val="both"/>
        <w:rPr>
          <w:rFonts w:asciiTheme="minorHAnsi" w:hAnsiTheme="minorHAnsi" w:cstheme="minorHAnsi"/>
          <w:lang w:val="sr-Latn-CS"/>
        </w:rPr>
      </w:pPr>
      <w:r w:rsidRPr="0048184E">
        <w:rPr>
          <w:rFonts w:asciiTheme="minorHAnsi" w:hAnsiTheme="minorHAnsi" w:cstheme="minorHAnsi"/>
          <w:shd w:val="clear" w:color="auto" w:fill="FFFFFF"/>
          <w:lang w:val="sr-Latn-ME"/>
        </w:rPr>
        <w:t>Strateška analiza uticaja na životnu sredinu je veoma važan alat u procesu planiranja politika, jer omogućava identifikaciju rizika, njihov uticaj na životnu sredinu, odabir i usmjeravanje aktivnosti u procesu planiranja na način da podstiču ekološku održivost.</w:t>
      </w:r>
      <w:r w:rsidRPr="0048184E">
        <w:rPr>
          <w:rStyle w:val="FootnoteReference"/>
          <w:rFonts w:asciiTheme="minorHAnsi" w:hAnsiTheme="minorHAnsi" w:cstheme="minorHAnsi"/>
          <w:shd w:val="clear" w:color="auto" w:fill="FFFFFF"/>
          <w:lang w:val="sr-Latn-ME"/>
        </w:rPr>
        <w:footnoteReference w:id="18"/>
      </w:r>
      <w:r w:rsidR="0036199D" w:rsidRPr="0048184E">
        <w:rPr>
          <w:rFonts w:asciiTheme="minorHAnsi" w:hAnsiTheme="minorHAnsi" w:cstheme="minorHAnsi"/>
          <w:shd w:val="clear" w:color="auto" w:fill="FFFFFF"/>
          <w:lang w:val="sr-Latn-ME"/>
        </w:rPr>
        <w:t xml:space="preserve"> </w:t>
      </w:r>
      <w:r w:rsidR="004D1ACA" w:rsidRPr="0048184E">
        <w:rPr>
          <w:rFonts w:asciiTheme="minorHAnsi" w:hAnsiTheme="minorHAnsi" w:cstheme="minorHAnsi"/>
          <w:lang w:val="sr-Latn-CS"/>
        </w:rPr>
        <w:t xml:space="preserve">SRR 2023-2027 </w:t>
      </w:r>
      <w:r w:rsidR="004D1ACA" w:rsidRPr="0048184E">
        <w:rPr>
          <w:rFonts w:asciiTheme="minorHAnsi" w:hAnsiTheme="minorHAnsi" w:cstheme="minorHAnsi"/>
          <w:lang w:val="sr-Latn-ME"/>
        </w:rPr>
        <w:t>uključuje uticaj na životnu sredinu, kroz strateške ciljeve koji targetiraju proces dekarbonizacije i zaštite životne sredine.</w:t>
      </w:r>
    </w:p>
    <w:p w14:paraId="33DC76FE" w14:textId="77777777" w:rsidR="004D1ACA" w:rsidRPr="0048184E" w:rsidRDefault="004D1ACA" w:rsidP="0048184E">
      <w:pPr>
        <w:pStyle w:val="NoSpacing"/>
        <w:jc w:val="both"/>
        <w:rPr>
          <w:rFonts w:asciiTheme="minorHAnsi" w:hAnsiTheme="minorHAnsi"/>
          <w:sz w:val="18"/>
          <w:szCs w:val="18"/>
          <w:lang w:val="sr-Latn-ME"/>
        </w:rPr>
      </w:pPr>
    </w:p>
    <w:p w14:paraId="2BCDC2F2"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Naime, SRR 2023-2027 je usklađena sa ciljevima iz </w:t>
      </w:r>
      <w:r w:rsidRPr="0048184E">
        <w:rPr>
          <w:rFonts w:asciiTheme="minorHAnsi" w:hAnsiTheme="minorHAnsi"/>
          <w:b/>
          <w:bCs/>
          <w:sz w:val="18"/>
          <w:szCs w:val="18"/>
          <w:lang w:val="sr-Latn-ME"/>
        </w:rPr>
        <w:t>Evropskog zelenog plana</w:t>
      </w:r>
      <w:r w:rsidRPr="0048184E">
        <w:rPr>
          <w:rFonts w:asciiTheme="minorHAnsi" w:hAnsiTheme="minorHAnsi"/>
          <w:sz w:val="18"/>
          <w:szCs w:val="18"/>
          <w:lang w:val="sr-Latn-ME"/>
        </w:rPr>
        <w:t xml:space="preserve"> </w:t>
      </w:r>
      <w:r w:rsidRPr="0048184E">
        <w:rPr>
          <w:rFonts w:asciiTheme="minorHAnsi" w:hAnsiTheme="minorHAnsi"/>
          <w:sz w:val="18"/>
          <w:szCs w:val="18"/>
        </w:rPr>
        <w:t>koji</w:t>
      </w:r>
      <w:r w:rsidRPr="0048184E">
        <w:rPr>
          <w:rFonts w:asciiTheme="minorHAnsi" w:hAnsiTheme="minorHAnsi"/>
          <w:sz w:val="18"/>
          <w:szCs w:val="18"/>
          <w:lang w:val="sr-Latn-ME"/>
        </w:rPr>
        <w:t xml:space="preserve"> ć</w:t>
      </w:r>
      <w:r w:rsidRPr="0048184E">
        <w:rPr>
          <w:rFonts w:asciiTheme="minorHAnsi" w:hAnsiTheme="minorHAnsi"/>
          <w:sz w:val="18"/>
          <w:szCs w:val="18"/>
        </w:rPr>
        <w:t>e</w:t>
      </w:r>
      <w:r w:rsidRPr="0048184E">
        <w:rPr>
          <w:rFonts w:asciiTheme="minorHAnsi" w:hAnsiTheme="minorHAnsi"/>
          <w:sz w:val="18"/>
          <w:szCs w:val="18"/>
          <w:lang w:val="sr-Latn-ME"/>
        </w:rPr>
        <w:t xml:space="preserve"> </w:t>
      </w:r>
      <w:r w:rsidRPr="0048184E">
        <w:rPr>
          <w:rFonts w:asciiTheme="minorHAnsi" w:hAnsiTheme="minorHAnsi"/>
          <w:sz w:val="18"/>
          <w:szCs w:val="18"/>
        </w:rPr>
        <w:t>EU</w:t>
      </w:r>
      <w:r w:rsidRPr="0048184E">
        <w:rPr>
          <w:rFonts w:asciiTheme="minorHAnsi" w:hAnsiTheme="minorHAnsi"/>
          <w:sz w:val="18"/>
          <w:szCs w:val="18"/>
          <w:lang w:val="sr-Latn-ME"/>
        </w:rPr>
        <w:t xml:space="preserve"> </w:t>
      </w:r>
      <w:r w:rsidRPr="0048184E">
        <w:rPr>
          <w:rFonts w:asciiTheme="minorHAnsi" w:hAnsiTheme="minorHAnsi"/>
          <w:sz w:val="18"/>
          <w:szCs w:val="18"/>
        </w:rPr>
        <w:t>pretvoriti</w:t>
      </w:r>
      <w:r w:rsidRPr="0048184E">
        <w:rPr>
          <w:rFonts w:asciiTheme="minorHAnsi" w:hAnsiTheme="minorHAnsi"/>
          <w:sz w:val="18"/>
          <w:szCs w:val="18"/>
          <w:lang w:val="sr-Latn-ME"/>
        </w:rPr>
        <w:t xml:space="preserve"> </w:t>
      </w:r>
      <w:r w:rsidRPr="0048184E">
        <w:rPr>
          <w:rFonts w:asciiTheme="minorHAnsi" w:hAnsiTheme="minorHAnsi"/>
          <w:sz w:val="18"/>
          <w:szCs w:val="18"/>
        </w:rPr>
        <w:t>u</w:t>
      </w:r>
      <w:r w:rsidRPr="0048184E">
        <w:rPr>
          <w:rFonts w:asciiTheme="minorHAnsi" w:hAnsiTheme="minorHAnsi"/>
          <w:sz w:val="18"/>
          <w:szCs w:val="18"/>
          <w:lang w:val="sr-Latn-ME"/>
        </w:rPr>
        <w:t xml:space="preserve"> </w:t>
      </w:r>
      <w:r w:rsidRPr="0048184E">
        <w:rPr>
          <w:rFonts w:asciiTheme="minorHAnsi" w:hAnsiTheme="minorHAnsi"/>
          <w:sz w:val="18"/>
          <w:szCs w:val="18"/>
        </w:rPr>
        <w:t>modernu</w:t>
      </w:r>
      <w:r w:rsidRPr="0048184E">
        <w:rPr>
          <w:rFonts w:asciiTheme="minorHAnsi" w:hAnsiTheme="minorHAnsi"/>
          <w:sz w:val="18"/>
          <w:szCs w:val="18"/>
          <w:lang w:val="sr-Latn-ME"/>
        </w:rPr>
        <w:t xml:space="preserve">, </w:t>
      </w:r>
      <w:r w:rsidRPr="0048184E">
        <w:rPr>
          <w:rFonts w:asciiTheme="minorHAnsi" w:hAnsiTheme="minorHAnsi"/>
          <w:sz w:val="18"/>
          <w:szCs w:val="18"/>
        </w:rPr>
        <w:t>resursno</w:t>
      </w:r>
      <w:r w:rsidRPr="0048184E">
        <w:rPr>
          <w:rFonts w:asciiTheme="minorHAnsi" w:hAnsiTheme="minorHAnsi"/>
          <w:sz w:val="18"/>
          <w:szCs w:val="18"/>
          <w:lang w:val="sr-Latn-ME"/>
        </w:rPr>
        <w:t xml:space="preserve"> </w:t>
      </w:r>
      <w:r w:rsidRPr="0048184E">
        <w:rPr>
          <w:rFonts w:asciiTheme="minorHAnsi" w:hAnsiTheme="minorHAnsi"/>
          <w:sz w:val="18"/>
          <w:szCs w:val="18"/>
        </w:rPr>
        <w:t>djelotvornu</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konkurentnu</w:t>
      </w:r>
      <w:r w:rsidRPr="0048184E">
        <w:rPr>
          <w:rFonts w:asciiTheme="minorHAnsi" w:hAnsiTheme="minorHAnsi"/>
          <w:sz w:val="18"/>
          <w:szCs w:val="18"/>
          <w:lang w:val="sr-Latn-ME"/>
        </w:rPr>
        <w:t xml:space="preserve"> </w:t>
      </w:r>
      <w:r w:rsidRPr="0048184E">
        <w:rPr>
          <w:rFonts w:asciiTheme="minorHAnsi" w:hAnsiTheme="minorHAnsi"/>
          <w:sz w:val="18"/>
          <w:szCs w:val="18"/>
        </w:rPr>
        <w:t>ekonomiju</w:t>
      </w:r>
      <w:r w:rsidRPr="0048184E">
        <w:rPr>
          <w:rFonts w:asciiTheme="minorHAnsi" w:hAnsiTheme="minorHAnsi"/>
          <w:sz w:val="18"/>
          <w:szCs w:val="18"/>
          <w:lang w:val="sr-Latn-ME"/>
        </w:rPr>
        <w:t xml:space="preserve"> </w:t>
      </w:r>
      <w:r w:rsidRPr="0048184E">
        <w:rPr>
          <w:rFonts w:asciiTheme="minorHAnsi" w:hAnsiTheme="minorHAnsi"/>
          <w:sz w:val="18"/>
          <w:szCs w:val="18"/>
        </w:rPr>
        <w:t>sa</w:t>
      </w:r>
      <w:r w:rsidRPr="0048184E">
        <w:rPr>
          <w:rFonts w:asciiTheme="minorHAnsi" w:hAnsiTheme="minorHAnsi"/>
          <w:sz w:val="18"/>
          <w:szCs w:val="18"/>
          <w:lang w:val="sr-Latn-ME"/>
        </w:rPr>
        <w:t xml:space="preserve"> </w:t>
      </w:r>
      <w:r w:rsidRPr="0048184E">
        <w:rPr>
          <w:rFonts w:asciiTheme="minorHAnsi" w:hAnsiTheme="minorHAnsi"/>
          <w:sz w:val="18"/>
          <w:szCs w:val="18"/>
        </w:rPr>
        <w:t>ciljevima</w:t>
      </w:r>
      <w:r w:rsidRPr="0048184E">
        <w:rPr>
          <w:rFonts w:asciiTheme="minorHAnsi" w:hAnsiTheme="minorHAnsi"/>
          <w:sz w:val="18"/>
          <w:szCs w:val="18"/>
          <w:lang w:val="sr-Latn-ME"/>
        </w:rPr>
        <w:t xml:space="preserve"> </w:t>
      </w:r>
      <w:r w:rsidRPr="0048184E">
        <w:rPr>
          <w:rFonts w:asciiTheme="minorHAnsi" w:hAnsiTheme="minorHAnsi"/>
          <w:sz w:val="18"/>
          <w:szCs w:val="18"/>
        </w:rPr>
        <w:t>da</w:t>
      </w:r>
      <w:r w:rsidRPr="0048184E">
        <w:rPr>
          <w:rFonts w:asciiTheme="minorHAnsi" w:hAnsiTheme="minorHAnsi"/>
          <w:sz w:val="18"/>
          <w:szCs w:val="18"/>
          <w:lang w:val="sr-Latn-ME"/>
        </w:rPr>
        <w:t>: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do</w:t>
      </w:r>
      <w:r w:rsidRPr="0048184E">
        <w:rPr>
          <w:rFonts w:asciiTheme="minorHAnsi" w:hAnsiTheme="minorHAnsi"/>
          <w:sz w:val="18"/>
          <w:szCs w:val="18"/>
          <w:lang w:val="sr-Latn-ME"/>
        </w:rPr>
        <w:t xml:space="preserve"> 2050. </w:t>
      </w:r>
      <w:r w:rsidRPr="0048184E">
        <w:rPr>
          <w:rFonts w:asciiTheme="minorHAnsi" w:hAnsiTheme="minorHAnsi"/>
          <w:sz w:val="18"/>
          <w:szCs w:val="18"/>
        </w:rPr>
        <w:t>nema</w:t>
      </w:r>
      <w:r w:rsidRPr="0048184E">
        <w:rPr>
          <w:rFonts w:asciiTheme="minorHAnsi" w:hAnsiTheme="minorHAnsi"/>
          <w:sz w:val="18"/>
          <w:szCs w:val="18"/>
          <w:lang w:val="sr-Latn-ME"/>
        </w:rPr>
        <w:t xml:space="preserve"> </w:t>
      </w:r>
      <w:r w:rsidRPr="0048184E">
        <w:rPr>
          <w:rFonts w:asciiTheme="minorHAnsi" w:hAnsiTheme="minorHAnsi"/>
          <w:sz w:val="18"/>
          <w:szCs w:val="18"/>
        </w:rPr>
        <w:t>neto</w:t>
      </w:r>
      <w:r w:rsidRPr="0048184E">
        <w:rPr>
          <w:rFonts w:asciiTheme="minorHAnsi" w:hAnsiTheme="minorHAnsi"/>
          <w:sz w:val="18"/>
          <w:szCs w:val="18"/>
          <w:lang w:val="sr-Latn-ME"/>
        </w:rPr>
        <w:t xml:space="preserve"> </w:t>
      </w:r>
      <w:r w:rsidRPr="0048184E">
        <w:rPr>
          <w:rFonts w:asciiTheme="minorHAnsi" w:hAnsiTheme="minorHAnsi"/>
          <w:sz w:val="18"/>
          <w:szCs w:val="18"/>
        </w:rPr>
        <w:t>emisija</w:t>
      </w:r>
      <w:r w:rsidRPr="0048184E">
        <w:rPr>
          <w:rFonts w:asciiTheme="minorHAnsi" w:hAnsiTheme="minorHAnsi"/>
          <w:sz w:val="18"/>
          <w:szCs w:val="18"/>
          <w:lang w:val="sr-Latn-ME"/>
        </w:rPr>
        <w:t xml:space="preserve"> </w:t>
      </w:r>
      <w:r w:rsidRPr="0048184E">
        <w:rPr>
          <w:rFonts w:asciiTheme="minorHAnsi" w:hAnsiTheme="minorHAnsi"/>
          <w:sz w:val="18"/>
          <w:szCs w:val="18"/>
        </w:rPr>
        <w:t>gasova</w:t>
      </w:r>
      <w:r w:rsidRPr="0048184E">
        <w:rPr>
          <w:rFonts w:asciiTheme="minorHAnsi" w:hAnsiTheme="minorHAnsi"/>
          <w:sz w:val="18"/>
          <w:szCs w:val="18"/>
          <w:lang w:val="sr-Latn-ME"/>
        </w:rPr>
        <w:t xml:space="preserve"> </w:t>
      </w:r>
      <w:r w:rsidRPr="0048184E">
        <w:rPr>
          <w:rFonts w:asciiTheme="minorHAnsi" w:hAnsiTheme="minorHAnsi"/>
          <w:sz w:val="18"/>
          <w:szCs w:val="18"/>
        </w:rPr>
        <w:t>sa</w:t>
      </w:r>
      <w:r w:rsidRPr="0048184E">
        <w:rPr>
          <w:rFonts w:asciiTheme="minorHAnsi" w:hAnsiTheme="minorHAnsi"/>
          <w:sz w:val="18"/>
          <w:szCs w:val="18"/>
          <w:lang w:val="sr-Latn-ME"/>
        </w:rPr>
        <w:t xml:space="preserve"> </w:t>
      </w:r>
      <w:r w:rsidRPr="0048184E">
        <w:rPr>
          <w:rFonts w:asciiTheme="minorHAnsi" w:hAnsiTheme="minorHAnsi"/>
          <w:sz w:val="18"/>
          <w:szCs w:val="18"/>
        </w:rPr>
        <w:t>efektom</w:t>
      </w:r>
      <w:r w:rsidRPr="0048184E">
        <w:rPr>
          <w:rFonts w:asciiTheme="minorHAnsi" w:hAnsiTheme="minorHAnsi"/>
          <w:sz w:val="18"/>
          <w:szCs w:val="18"/>
          <w:lang w:val="sr-Latn-ME"/>
        </w:rPr>
        <w:t xml:space="preserve"> </w:t>
      </w:r>
      <w:r w:rsidRPr="0048184E">
        <w:rPr>
          <w:rFonts w:asciiTheme="minorHAnsi" w:hAnsiTheme="minorHAnsi"/>
          <w:sz w:val="18"/>
          <w:szCs w:val="18"/>
        </w:rPr>
        <w:t>staklene</w:t>
      </w:r>
      <w:r w:rsidRPr="0048184E">
        <w:rPr>
          <w:rFonts w:asciiTheme="minorHAnsi" w:hAnsiTheme="minorHAnsi"/>
          <w:sz w:val="18"/>
          <w:szCs w:val="18"/>
          <w:lang w:val="sr-Latn-ME"/>
        </w:rPr>
        <w:t xml:space="preserve"> </w:t>
      </w:r>
      <w:r w:rsidRPr="0048184E">
        <w:rPr>
          <w:rFonts w:asciiTheme="minorHAnsi" w:hAnsiTheme="minorHAnsi"/>
          <w:sz w:val="18"/>
          <w:szCs w:val="18"/>
        </w:rPr>
        <w:t>ba</w:t>
      </w:r>
      <w:r w:rsidRPr="0048184E">
        <w:rPr>
          <w:rFonts w:asciiTheme="minorHAnsi" w:hAnsiTheme="minorHAnsi"/>
          <w:sz w:val="18"/>
          <w:szCs w:val="18"/>
          <w:lang w:val="sr-Latn-ME"/>
        </w:rPr>
        <w:t>š</w:t>
      </w:r>
      <w:r w:rsidRPr="0048184E">
        <w:rPr>
          <w:rFonts w:asciiTheme="minorHAnsi" w:hAnsiTheme="minorHAnsi"/>
          <w:sz w:val="18"/>
          <w:szCs w:val="18"/>
        </w:rPr>
        <w:t>te</w:t>
      </w:r>
      <w:r w:rsidRPr="0048184E">
        <w:rPr>
          <w:rFonts w:asciiTheme="minorHAnsi" w:hAnsiTheme="minorHAnsi"/>
          <w:sz w:val="18"/>
          <w:szCs w:val="18"/>
          <w:lang w:val="sr-Latn-ME"/>
        </w:rPr>
        <w:t>; (</w:t>
      </w:r>
      <w:r w:rsidRPr="0048184E">
        <w:rPr>
          <w:rFonts w:asciiTheme="minorHAnsi" w:hAnsiTheme="minorHAnsi"/>
          <w:sz w:val="18"/>
          <w:szCs w:val="18"/>
        </w:rPr>
        <w:t>ii</w:t>
      </w:r>
      <w:r w:rsidRPr="0048184E">
        <w:rPr>
          <w:rFonts w:asciiTheme="minorHAnsi" w:hAnsiTheme="minorHAnsi"/>
          <w:sz w:val="18"/>
          <w:szCs w:val="18"/>
          <w:lang w:val="sr-Latn-ME"/>
        </w:rPr>
        <w:t xml:space="preserve">) </w:t>
      </w:r>
      <w:r w:rsidRPr="0048184E">
        <w:rPr>
          <w:rFonts w:asciiTheme="minorHAnsi" w:hAnsiTheme="minorHAnsi"/>
          <w:sz w:val="18"/>
          <w:szCs w:val="18"/>
        </w:rPr>
        <w:t>ekonomski</w:t>
      </w:r>
      <w:r w:rsidRPr="0048184E">
        <w:rPr>
          <w:rFonts w:asciiTheme="minorHAnsi" w:hAnsiTheme="minorHAnsi"/>
          <w:sz w:val="18"/>
          <w:szCs w:val="18"/>
          <w:lang w:val="sr-Latn-ME"/>
        </w:rPr>
        <w:t xml:space="preserve"> </w:t>
      </w:r>
      <w:r w:rsidRPr="0048184E">
        <w:rPr>
          <w:rFonts w:asciiTheme="minorHAnsi" w:hAnsiTheme="minorHAnsi"/>
          <w:sz w:val="18"/>
          <w:szCs w:val="18"/>
        </w:rPr>
        <w:t>rast</w:t>
      </w:r>
      <w:r w:rsidRPr="0048184E">
        <w:rPr>
          <w:rFonts w:asciiTheme="minorHAnsi" w:hAnsiTheme="minorHAnsi"/>
          <w:sz w:val="18"/>
          <w:szCs w:val="18"/>
          <w:lang w:val="sr-Latn-ME"/>
        </w:rPr>
        <w:t xml:space="preserve"> </w:t>
      </w:r>
      <w:r w:rsidRPr="0048184E">
        <w:rPr>
          <w:rFonts w:asciiTheme="minorHAnsi" w:hAnsiTheme="minorHAnsi"/>
          <w:sz w:val="18"/>
          <w:szCs w:val="18"/>
        </w:rPr>
        <w:t>ne</w:t>
      </w:r>
      <w:r w:rsidRPr="0048184E">
        <w:rPr>
          <w:rFonts w:asciiTheme="minorHAnsi" w:hAnsiTheme="minorHAnsi"/>
          <w:sz w:val="18"/>
          <w:szCs w:val="18"/>
          <w:lang w:val="sr-Latn-ME"/>
        </w:rPr>
        <w:t xml:space="preserve"> </w:t>
      </w:r>
      <w:r w:rsidRPr="0048184E">
        <w:rPr>
          <w:rFonts w:asciiTheme="minorHAnsi" w:hAnsiTheme="minorHAnsi"/>
          <w:sz w:val="18"/>
          <w:szCs w:val="18"/>
        </w:rPr>
        <w:t>zavisi</w:t>
      </w:r>
      <w:r w:rsidRPr="0048184E">
        <w:rPr>
          <w:rFonts w:asciiTheme="minorHAnsi" w:hAnsiTheme="minorHAnsi"/>
          <w:sz w:val="18"/>
          <w:szCs w:val="18"/>
          <w:lang w:val="sr-Latn-ME"/>
        </w:rPr>
        <w:t xml:space="preserve"> </w:t>
      </w:r>
      <w:r w:rsidRPr="0048184E">
        <w:rPr>
          <w:rFonts w:asciiTheme="minorHAnsi" w:hAnsiTheme="minorHAnsi"/>
          <w:sz w:val="18"/>
          <w:szCs w:val="18"/>
        </w:rPr>
        <w:t>od</w:t>
      </w:r>
      <w:r w:rsidRPr="0048184E">
        <w:rPr>
          <w:rFonts w:asciiTheme="minorHAnsi" w:hAnsiTheme="minorHAnsi"/>
          <w:sz w:val="18"/>
          <w:szCs w:val="18"/>
          <w:lang w:val="sr-Latn-ME"/>
        </w:rPr>
        <w:t xml:space="preserve"> </w:t>
      </w:r>
      <w:r w:rsidRPr="0048184E">
        <w:rPr>
          <w:rFonts w:asciiTheme="minorHAnsi" w:hAnsiTheme="minorHAnsi"/>
          <w:sz w:val="18"/>
          <w:szCs w:val="18"/>
        </w:rPr>
        <w:t>upotrebe</w:t>
      </w:r>
      <w:r w:rsidRPr="0048184E">
        <w:rPr>
          <w:rFonts w:asciiTheme="minorHAnsi" w:hAnsiTheme="minorHAnsi"/>
          <w:sz w:val="18"/>
          <w:szCs w:val="18"/>
          <w:lang w:val="sr-Latn-ME"/>
        </w:rPr>
        <w:t xml:space="preserve"> </w:t>
      </w:r>
      <w:r w:rsidRPr="0048184E">
        <w:rPr>
          <w:rFonts w:asciiTheme="minorHAnsi" w:hAnsiTheme="minorHAnsi"/>
          <w:sz w:val="18"/>
          <w:szCs w:val="18"/>
        </w:rPr>
        <w:t>resursa</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iii</w:t>
      </w:r>
      <w:r w:rsidRPr="0048184E">
        <w:rPr>
          <w:rFonts w:asciiTheme="minorHAnsi" w:hAnsiTheme="minorHAnsi"/>
          <w:sz w:val="18"/>
          <w:szCs w:val="18"/>
          <w:lang w:val="sr-Latn-ME"/>
        </w:rPr>
        <w:t xml:space="preserve">) </w:t>
      </w:r>
      <w:r w:rsidRPr="0048184E">
        <w:rPr>
          <w:rFonts w:asciiTheme="minorHAnsi" w:hAnsiTheme="minorHAnsi"/>
          <w:sz w:val="18"/>
          <w:szCs w:val="18"/>
        </w:rPr>
        <w:t>nijedna</w:t>
      </w:r>
      <w:r w:rsidRPr="0048184E">
        <w:rPr>
          <w:rFonts w:asciiTheme="minorHAnsi" w:hAnsiTheme="minorHAnsi"/>
          <w:sz w:val="18"/>
          <w:szCs w:val="18"/>
          <w:lang w:val="sr-Latn-ME"/>
        </w:rPr>
        <w:t xml:space="preserve"> </w:t>
      </w:r>
      <w:r w:rsidRPr="0048184E">
        <w:rPr>
          <w:rFonts w:asciiTheme="minorHAnsi" w:hAnsiTheme="minorHAnsi"/>
          <w:sz w:val="18"/>
          <w:szCs w:val="18"/>
        </w:rPr>
        <w:t>osoba</w:t>
      </w:r>
      <w:r w:rsidRPr="0048184E">
        <w:rPr>
          <w:rFonts w:asciiTheme="minorHAnsi" w:hAnsiTheme="minorHAnsi"/>
          <w:sz w:val="18"/>
          <w:szCs w:val="18"/>
          <w:lang w:val="sr-Latn-ME"/>
        </w:rPr>
        <w:t xml:space="preserve"> </w:t>
      </w:r>
      <w:r w:rsidRPr="0048184E">
        <w:rPr>
          <w:rFonts w:asciiTheme="minorHAnsi" w:hAnsiTheme="minorHAnsi"/>
          <w:sz w:val="18"/>
          <w:szCs w:val="18"/>
        </w:rPr>
        <w:t>ni</w:t>
      </w:r>
      <w:r w:rsidRPr="0048184E">
        <w:rPr>
          <w:rFonts w:asciiTheme="minorHAnsi" w:hAnsiTheme="minorHAnsi"/>
          <w:sz w:val="18"/>
          <w:szCs w:val="18"/>
          <w:lang w:val="sr-Latn-ME"/>
        </w:rPr>
        <w:t xml:space="preserve"> </w:t>
      </w:r>
      <w:r w:rsidRPr="0048184E">
        <w:rPr>
          <w:rFonts w:asciiTheme="minorHAnsi" w:hAnsiTheme="minorHAnsi"/>
          <w:sz w:val="18"/>
          <w:szCs w:val="18"/>
        </w:rPr>
        <w:t>regija</w:t>
      </w:r>
      <w:r w:rsidRPr="0048184E">
        <w:rPr>
          <w:rFonts w:asciiTheme="minorHAnsi" w:hAnsiTheme="minorHAnsi"/>
          <w:sz w:val="18"/>
          <w:szCs w:val="18"/>
          <w:lang w:val="sr-Latn-ME"/>
        </w:rPr>
        <w:t xml:space="preserve"> </w:t>
      </w:r>
      <w:r w:rsidRPr="0048184E">
        <w:rPr>
          <w:rFonts w:asciiTheme="minorHAnsi" w:hAnsiTheme="minorHAnsi"/>
          <w:sz w:val="18"/>
          <w:szCs w:val="18"/>
        </w:rPr>
        <w:t>nijesu</w:t>
      </w:r>
      <w:r w:rsidRPr="0048184E">
        <w:rPr>
          <w:rFonts w:asciiTheme="minorHAnsi" w:hAnsiTheme="minorHAnsi"/>
          <w:sz w:val="18"/>
          <w:szCs w:val="18"/>
          <w:lang w:val="sr-Latn-ME"/>
        </w:rPr>
        <w:t xml:space="preserve"> </w:t>
      </w:r>
      <w:r w:rsidRPr="0048184E">
        <w:rPr>
          <w:rFonts w:asciiTheme="minorHAnsi" w:hAnsiTheme="minorHAnsi"/>
          <w:sz w:val="18"/>
          <w:szCs w:val="18"/>
        </w:rPr>
        <w:t>zanemarene</w:t>
      </w:r>
      <w:r w:rsidRPr="0048184E">
        <w:rPr>
          <w:rFonts w:asciiTheme="minorHAnsi" w:hAnsiTheme="minorHAnsi"/>
          <w:sz w:val="18"/>
          <w:szCs w:val="18"/>
          <w:lang w:val="sr-Latn-ME"/>
        </w:rPr>
        <w:t>.</w:t>
      </w:r>
    </w:p>
    <w:p w14:paraId="0FBC7B22" w14:textId="77777777" w:rsidR="00DB5A38" w:rsidRPr="0048184E" w:rsidRDefault="00DB5A38" w:rsidP="0048184E">
      <w:pPr>
        <w:pStyle w:val="NoSpacing"/>
        <w:jc w:val="both"/>
        <w:rPr>
          <w:rFonts w:asciiTheme="minorHAnsi" w:hAnsiTheme="minorHAnsi"/>
          <w:sz w:val="18"/>
          <w:szCs w:val="18"/>
          <w:lang w:val="sr-Latn-ME"/>
        </w:rPr>
      </w:pPr>
    </w:p>
    <w:p w14:paraId="4CCC8A30"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Potpisivanjem </w:t>
      </w:r>
      <w:r w:rsidRPr="0048184E">
        <w:rPr>
          <w:rFonts w:asciiTheme="minorHAnsi" w:hAnsiTheme="minorHAnsi"/>
          <w:b/>
          <w:bCs/>
          <w:sz w:val="18"/>
          <w:szCs w:val="18"/>
          <w:lang w:val="sr-Latn-ME"/>
        </w:rPr>
        <w:t>Zelene Agende za Zapadni Balkan</w:t>
      </w:r>
      <w:r w:rsidRPr="0048184E">
        <w:rPr>
          <w:rFonts w:asciiTheme="minorHAnsi" w:hAnsiTheme="minorHAnsi"/>
          <w:sz w:val="18"/>
          <w:szCs w:val="18"/>
          <w:lang w:val="sr-Latn-ME"/>
        </w:rPr>
        <w:t>, Crna Gora se obavezala na postizanje karbonske neutralnosti do 2050. godine. Usvajanjem Nacionalno utvrđenog doprinosa 3. juna 2021. godine, Crna Gora kao novu ciljnu vrijednost postavlja smanjenje emisija gasova sa efektom staklene bašte od 35% do 2030. godine, a u odnosu na 1990. godinu, odnosno smanjenje za 2117 kilotona do 2030. godine. Imajući u vidu globalni i evropski scenario za dostizanje niskokarbonskog razvoja, nužno je raditi na osmišljavanju i sprovođenju reformi kojima se podupiru klimatske ambicije.</w:t>
      </w:r>
    </w:p>
    <w:p w14:paraId="5DDE2E2D" w14:textId="77777777" w:rsidR="004D1ACA" w:rsidRPr="0048184E" w:rsidRDefault="004D1ACA" w:rsidP="0048184E">
      <w:pPr>
        <w:pStyle w:val="NoSpacing"/>
        <w:jc w:val="both"/>
        <w:rPr>
          <w:rFonts w:asciiTheme="minorHAnsi" w:hAnsiTheme="minorHAnsi"/>
          <w:sz w:val="18"/>
          <w:szCs w:val="18"/>
          <w:lang w:val="sr-Latn-ME"/>
        </w:rPr>
      </w:pPr>
    </w:p>
    <w:p w14:paraId="2F9E4CEA"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Kao što je ranije navedeno u dokumentu, SRR 2023-2027 je usklađena sa cijevima </w:t>
      </w:r>
      <w:r w:rsidRPr="0048184E">
        <w:rPr>
          <w:rFonts w:asciiTheme="minorHAnsi" w:hAnsiTheme="minorHAnsi"/>
          <w:b/>
          <w:bCs/>
          <w:sz w:val="18"/>
          <w:szCs w:val="18"/>
          <w:lang w:val="sr-Latn-ME"/>
        </w:rPr>
        <w:t xml:space="preserve">Strategije održivog razvoja Crne Gore za period do 2030. godine. </w:t>
      </w:r>
      <w:r w:rsidRPr="0048184E">
        <w:rPr>
          <w:rFonts w:asciiTheme="minorHAnsi" w:hAnsiTheme="minorHAnsi"/>
          <w:sz w:val="18"/>
          <w:szCs w:val="18"/>
          <w:lang w:val="sr-Latn-ME"/>
        </w:rPr>
        <w:t xml:space="preserve">U tom smislu, u definisanju jednog od strateških ciljeva SRR je </w:t>
      </w:r>
      <w:r w:rsidRPr="0048184E">
        <w:rPr>
          <w:rFonts w:asciiTheme="minorHAnsi" w:hAnsiTheme="minorHAnsi"/>
          <w:sz w:val="18"/>
          <w:szCs w:val="18"/>
        </w:rPr>
        <w:t>uzeto</w:t>
      </w:r>
      <w:r w:rsidRPr="0048184E">
        <w:rPr>
          <w:rFonts w:asciiTheme="minorHAnsi" w:hAnsiTheme="minorHAnsi"/>
          <w:sz w:val="18"/>
          <w:szCs w:val="18"/>
          <w:lang w:val="sr-Latn-ME"/>
        </w:rPr>
        <w:t xml:space="preserve"> </w:t>
      </w:r>
      <w:r w:rsidRPr="0048184E">
        <w:rPr>
          <w:rFonts w:asciiTheme="minorHAnsi" w:hAnsiTheme="minorHAnsi"/>
          <w:sz w:val="18"/>
          <w:szCs w:val="18"/>
        </w:rPr>
        <w:t>u</w:t>
      </w:r>
      <w:r w:rsidRPr="0048184E">
        <w:rPr>
          <w:rFonts w:asciiTheme="minorHAnsi" w:hAnsiTheme="minorHAnsi"/>
          <w:sz w:val="18"/>
          <w:szCs w:val="18"/>
          <w:lang w:val="sr-Latn-ME"/>
        </w:rPr>
        <w:t xml:space="preserve"> </w:t>
      </w:r>
      <w:r w:rsidRPr="0048184E">
        <w:rPr>
          <w:rFonts w:asciiTheme="minorHAnsi" w:hAnsiTheme="minorHAnsi"/>
          <w:sz w:val="18"/>
          <w:szCs w:val="18"/>
        </w:rPr>
        <w:t>obzir</w:t>
      </w:r>
      <w:r w:rsidRPr="0048184E">
        <w:rPr>
          <w:rFonts w:asciiTheme="minorHAnsi" w:hAnsiTheme="minorHAnsi"/>
          <w:sz w:val="18"/>
          <w:szCs w:val="18"/>
          <w:lang w:val="sr-Latn-ME"/>
        </w:rPr>
        <w:t xml:space="preserve"> </w:t>
      </w:r>
      <w:r w:rsidRPr="0048184E">
        <w:rPr>
          <w:rFonts w:asciiTheme="minorHAnsi" w:hAnsiTheme="minorHAnsi"/>
          <w:sz w:val="18"/>
          <w:szCs w:val="18"/>
        </w:rPr>
        <w:t>odr</w:t>
      </w:r>
      <w:r w:rsidRPr="0048184E">
        <w:rPr>
          <w:rFonts w:asciiTheme="minorHAnsi" w:hAnsiTheme="minorHAnsi"/>
          <w:sz w:val="18"/>
          <w:szCs w:val="18"/>
          <w:lang w:val="sr-Latn-ME"/>
        </w:rPr>
        <w:t>ž</w:t>
      </w:r>
      <w:r w:rsidRPr="0048184E">
        <w:rPr>
          <w:rFonts w:asciiTheme="minorHAnsi" w:hAnsiTheme="minorHAnsi"/>
          <w:sz w:val="18"/>
          <w:szCs w:val="18"/>
        </w:rPr>
        <w:t>ivog</w:t>
      </w:r>
      <w:r w:rsidRPr="0048184E">
        <w:rPr>
          <w:rFonts w:asciiTheme="minorHAnsi" w:hAnsiTheme="minorHAnsi"/>
          <w:sz w:val="18"/>
          <w:szCs w:val="18"/>
          <w:lang w:val="sr-Latn-ME"/>
        </w:rPr>
        <w:t xml:space="preserve"> </w:t>
      </w:r>
      <w:r w:rsidRPr="0048184E">
        <w:rPr>
          <w:rFonts w:asciiTheme="minorHAnsi" w:hAnsiTheme="minorHAnsi"/>
          <w:sz w:val="18"/>
          <w:szCs w:val="18"/>
        </w:rPr>
        <w:t>ekonomskog</w:t>
      </w:r>
      <w:r w:rsidRPr="0048184E">
        <w:rPr>
          <w:rFonts w:asciiTheme="minorHAnsi" w:hAnsiTheme="minorHAnsi"/>
          <w:sz w:val="18"/>
          <w:szCs w:val="18"/>
          <w:lang w:val="sr-Latn-ME"/>
        </w:rPr>
        <w:t xml:space="preserve"> </w:t>
      </w:r>
      <w:r w:rsidRPr="0048184E">
        <w:rPr>
          <w:rFonts w:asciiTheme="minorHAnsi" w:hAnsiTheme="minorHAnsi"/>
          <w:sz w:val="18"/>
          <w:szCs w:val="18"/>
        </w:rPr>
        <w:t>razvoja</w:t>
      </w:r>
      <w:r w:rsidRPr="0048184E">
        <w:rPr>
          <w:rFonts w:asciiTheme="minorHAnsi" w:hAnsiTheme="minorHAnsi"/>
          <w:sz w:val="18"/>
          <w:szCs w:val="18"/>
          <w:lang w:val="sr-Latn-ME"/>
        </w:rPr>
        <w:t xml:space="preserve"> </w:t>
      </w:r>
      <w:r w:rsidRPr="0048184E">
        <w:rPr>
          <w:rFonts w:asciiTheme="minorHAnsi" w:hAnsiTheme="minorHAnsi"/>
          <w:sz w:val="18"/>
          <w:szCs w:val="18"/>
        </w:rPr>
        <w:t>regiona</w:t>
      </w:r>
      <w:r w:rsidRPr="0048184E">
        <w:rPr>
          <w:rFonts w:asciiTheme="minorHAnsi" w:hAnsiTheme="minorHAnsi"/>
          <w:sz w:val="18"/>
          <w:szCs w:val="18"/>
          <w:lang w:val="sr-Latn-ME"/>
        </w:rPr>
        <w:t xml:space="preserve"> </w:t>
      </w:r>
      <w:r w:rsidRPr="0048184E">
        <w:rPr>
          <w:rFonts w:asciiTheme="minorHAnsi" w:hAnsiTheme="minorHAnsi"/>
          <w:sz w:val="18"/>
          <w:szCs w:val="18"/>
        </w:rPr>
        <w:t>kroz</w:t>
      </w:r>
      <w:r w:rsidRPr="0048184E">
        <w:rPr>
          <w:rFonts w:asciiTheme="minorHAnsi" w:hAnsiTheme="minorHAnsi"/>
          <w:sz w:val="18"/>
          <w:szCs w:val="18"/>
          <w:lang w:val="sr-Latn-ME"/>
        </w:rPr>
        <w:t xml:space="preserve"> </w:t>
      </w:r>
      <w:r w:rsidRPr="0048184E">
        <w:rPr>
          <w:rFonts w:asciiTheme="minorHAnsi" w:hAnsiTheme="minorHAnsi"/>
          <w:sz w:val="18"/>
          <w:szCs w:val="18"/>
        </w:rPr>
        <w:t>ja</w:t>
      </w:r>
      <w:r w:rsidRPr="0048184E">
        <w:rPr>
          <w:rFonts w:asciiTheme="minorHAnsi" w:hAnsiTheme="minorHAnsi"/>
          <w:sz w:val="18"/>
          <w:szCs w:val="18"/>
          <w:lang w:val="sr-Latn-ME"/>
        </w:rPr>
        <w:t>č</w:t>
      </w:r>
      <w:r w:rsidRPr="0048184E">
        <w:rPr>
          <w:rFonts w:asciiTheme="minorHAnsi" w:hAnsiTheme="minorHAnsi"/>
          <w:sz w:val="18"/>
          <w:szCs w:val="18"/>
        </w:rPr>
        <w:t>anje</w:t>
      </w:r>
      <w:r w:rsidRPr="0048184E">
        <w:rPr>
          <w:rFonts w:asciiTheme="minorHAnsi" w:hAnsiTheme="minorHAnsi"/>
          <w:sz w:val="18"/>
          <w:szCs w:val="18"/>
          <w:lang w:val="sr-Latn-ME"/>
        </w:rPr>
        <w:t xml:space="preserve"> </w:t>
      </w:r>
      <w:r w:rsidRPr="0048184E">
        <w:rPr>
          <w:rFonts w:asciiTheme="minorHAnsi" w:hAnsiTheme="minorHAnsi"/>
          <w:sz w:val="18"/>
          <w:szCs w:val="18"/>
        </w:rPr>
        <w:t>ljudskih</w:t>
      </w:r>
      <w:r w:rsidRPr="0048184E">
        <w:rPr>
          <w:rFonts w:asciiTheme="minorHAnsi" w:hAnsiTheme="minorHAnsi"/>
          <w:sz w:val="18"/>
          <w:szCs w:val="18"/>
          <w:lang w:val="sr-Latn-ME"/>
        </w:rPr>
        <w:t xml:space="preserve"> </w:t>
      </w:r>
      <w:r w:rsidRPr="0048184E">
        <w:rPr>
          <w:rFonts w:asciiTheme="minorHAnsi" w:hAnsiTheme="minorHAnsi"/>
          <w:sz w:val="18"/>
          <w:szCs w:val="18"/>
        </w:rPr>
        <w:t>potencijala</w:t>
      </w:r>
      <w:r w:rsidRPr="0048184E">
        <w:rPr>
          <w:rFonts w:asciiTheme="minorHAnsi" w:hAnsiTheme="minorHAnsi"/>
          <w:sz w:val="18"/>
          <w:szCs w:val="18"/>
          <w:lang w:val="sr-Latn-ME"/>
        </w:rPr>
        <w:t xml:space="preserve">, </w:t>
      </w:r>
      <w:r w:rsidRPr="0048184E">
        <w:rPr>
          <w:rFonts w:asciiTheme="minorHAnsi" w:hAnsiTheme="minorHAnsi"/>
          <w:sz w:val="18"/>
          <w:szCs w:val="18"/>
        </w:rPr>
        <w:t>podsticanje</w:t>
      </w:r>
      <w:r w:rsidRPr="0048184E">
        <w:rPr>
          <w:rFonts w:asciiTheme="minorHAnsi" w:hAnsiTheme="minorHAnsi"/>
          <w:sz w:val="18"/>
          <w:szCs w:val="18"/>
          <w:lang w:val="sr-Latn-ME"/>
        </w:rPr>
        <w:t xml:space="preserve"> </w:t>
      </w:r>
      <w:r w:rsidRPr="0048184E">
        <w:rPr>
          <w:rFonts w:asciiTheme="minorHAnsi" w:hAnsiTheme="minorHAnsi"/>
          <w:sz w:val="18"/>
          <w:szCs w:val="18"/>
        </w:rPr>
        <w:t>zapo</w:t>
      </w:r>
      <w:r w:rsidRPr="0048184E">
        <w:rPr>
          <w:rFonts w:asciiTheme="minorHAnsi" w:hAnsiTheme="minorHAnsi"/>
          <w:sz w:val="18"/>
          <w:szCs w:val="18"/>
          <w:lang w:val="sr-Latn-ME"/>
        </w:rPr>
        <w:t>š</w:t>
      </w:r>
      <w:r w:rsidRPr="0048184E">
        <w:rPr>
          <w:rFonts w:asciiTheme="minorHAnsi" w:hAnsiTheme="minorHAnsi"/>
          <w:sz w:val="18"/>
          <w:szCs w:val="18"/>
        </w:rPr>
        <w:t>ljavanja</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pobolj</w:t>
      </w:r>
      <w:r w:rsidRPr="0048184E">
        <w:rPr>
          <w:rFonts w:asciiTheme="minorHAnsi" w:hAnsiTheme="minorHAnsi"/>
          <w:sz w:val="18"/>
          <w:szCs w:val="18"/>
          <w:lang w:val="sr-Latn-ME"/>
        </w:rPr>
        <w:t>š</w:t>
      </w:r>
      <w:r w:rsidRPr="0048184E">
        <w:rPr>
          <w:rFonts w:asciiTheme="minorHAnsi" w:hAnsiTheme="minorHAnsi"/>
          <w:sz w:val="18"/>
          <w:szCs w:val="18"/>
        </w:rPr>
        <w:t>anje</w:t>
      </w:r>
      <w:r w:rsidRPr="0048184E">
        <w:rPr>
          <w:rFonts w:asciiTheme="minorHAnsi" w:hAnsiTheme="minorHAnsi"/>
          <w:sz w:val="18"/>
          <w:szCs w:val="18"/>
          <w:lang w:val="sr-Latn-ME"/>
        </w:rPr>
        <w:t xml:space="preserve"> </w:t>
      </w:r>
      <w:r w:rsidRPr="0048184E">
        <w:rPr>
          <w:rFonts w:asciiTheme="minorHAnsi" w:hAnsiTheme="minorHAnsi"/>
          <w:sz w:val="18"/>
          <w:szCs w:val="18"/>
        </w:rPr>
        <w:t>kvaliteta</w:t>
      </w:r>
      <w:r w:rsidRPr="0048184E">
        <w:rPr>
          <w:rFonts w:asciiTheme="minorHAnsi" w:hAnsiTheme="minorHAnsi"/>
          <w:sz w:val="18"/>
          <w:szCs w:val="18"/>
          <w:lang w:val="sr-Latn-ME"/>
        </w:rPr>
        <w:t xml:space="preserve"> ž</w:t>
      </w:r>
      <w:r w:rsidRPr="0048184E">
        <w:rPr>
          <w:rFonts w:asciiTheme="minorHAnsi" w:hAnsiTheme="minorHAnsi"/>
          <w:sz w:val="18"/>
          <w:szCs w:val="18"/>
        </w:rPr>
        <w:t>ivota</w:t>
      </w:r>
      <w:r w:rsidRPr="0048184E">
        <w:rPr>
          <w:rFonts w:asciiTheme="minorHAnsi" w:hAnsiTheme="minorHAnsi"/>
          <w:sz w:val="18"/>
          <w:szCs w:val="18"/>
          <w:lang w:val="sr-Latn-ME"/>
        </w:rPr>
        <w:t xml:space="preserve">. </w:t>
      </w:r>
      <w:r w:rsidRPr="0048184E">
        <w:rPr>
          <w:rFonts w:asciiTheme="minorHAnsi" w:hAnsiTheme="minorHAnsi"/>
          <w:sz w:val="18"/>
          <w:szCs w:val="18"/>
        </w:rPr>
        <w:t>Navedeni</w:t>
      </w:r>
      <w:r w:rsidRPr="0048184E">
        <w:rPr>
          <w:rFonts w:asciiTheme="minorHAnsi" w:hAnsiTheme="minorHAnsi"/>
          <w:sz w:val="18"/>
          <w:szCs w:val="18"/>
          <w:lang w:val="sr-Latn-ME"/>
        </w:rPr>
        <w:t xml:space="preserve"> </w:t>
      </w:r>
      <w:r w:rsidRPr="0048184E">
        <w:rPr>
          <w:rFonts w:asciiTheme="minorHAnsi" w:hAnsiTheme="minorHAnsi"/>
          <w:sz w:val="18"/>
          <w:szCs w:val="18"/>
        </w:rPr>
        <w:t>strate</w:t>
      </w:r>
      <w:r w:rsidRPr="0048184E">
        <w:rPr>
          <w:rFonts w:asciiTheme="minorHAnsi" w:hAnsiTheme="minorHAnsi"/>
          <w:sz w:val="18"/>
          <w:szCs w:val="18"/>
          <w:lang w:val="sr-Latn-ME"/>
        </w:rPr>
        <w:t>š</w:t>
      </w:r>
      <w:r w:rsidRPr="0048184E">
        <w:rPr>
          <w:rFonts w:asciiTheme="minorHAnsi" w:hAnsiTheme="minorHAnsi"/>
          <w:sz w:val="18"/>
          <w:szCs w:val="18"/>
        </w:rPr>
        <w:t>ki</w:t>
      </w:r>
      <w:r w:rsidRPr="0048184E">
        <w:rPr>
          <w:rFonts w:asciiTheme="minorHAnsi" w:hAnsiTheme="minorHAnsi"/>
          <w:sz w:val="18"/>
          <w:szCs w:val="18"/>
          <w:lang w:val="sr-Latn-ME"/>
        </w:rPr>
        <w:t xml:space="preserve"> </w:t>
      </w:r>
      <w:r w:rsidRPr="0048184E">
        <w:rPr>
          <w:rFonts w:asciiTheme="minorHAnsi" w:hAnsiTheme="minorHAnsi"/>
          <w:sz w:val="18"/>
          <w:szCs w:val="18"/>
        </w:rPr>
        <w:t>cilj</w:t>
      </w:r>
      <w:r w:rsidRPr="0048184E">
        <w:rPr>
          <w:rFonts w:asciiTheme="minorHAnsi" w:hAnsiTheme="minorHAnsi"/>
          <w:sz w:val="18"/>
          <w:szCs w:val="18"/>
          <w:lang w:val="sr-Latn-ME"/>
        </w:rPr>
        <w:t xml:space="preserve"> </w:t>
      </w:r>
      <w:r w:rsidRPr="0048184E">
        <w:rPr>
          <w:rFonts w:asciiTheme="minorHAnsi" w:hAnsiTheme="minorHAnsi"/>
          <w:sz w:val="18"/>
          <w:szCs w:val="18"/>
        </w:rPr>
        <w:t>dalje</w:t>
      </w:r>
      <w:r w:rsidRPr="0048184E">
        <w:rPr>
          <w:rFonts w:asciiTheme="minorHAnsi" w:hAnsiTheme="minorHAnsi"/>
          <w:sz w:val="18"/>
          <w:szCs w:val="18"/>
          <w:lang w:val="sr-Latn-ME"/>
        </w:rPr>
        <w:t xml:space="preserve"> </w:t>
      </w:r>
      <w:r w:rsidRPr="0048184E">
        <w:rPr>
          <w:rFonts w:asciiTheme="minorHAnsi" w:hAnsiTheme="minorHAnsi"/>
          <w:sz w:val="18"/>
          <w:szCs w:val="18"/>
        </w:rPr>
        <w:t>razra</w:t>
      </w:r>
      <w:r w:rsidRPr="0048184E">
        <w:rPr>
          <w:rFonts w:asciiTheme="minorHAnsi" w:hAnsiTheme="minorHAnsi"/>
          <w:sz w:val="18"/>
          <w:szCs w:val="18"/>
          <w:lang w:val="sr-Latn-ME"/>
        </w:rPr>
        <w:t>đ</w:t>
      </w:r>
      <w:r w:rsidRPr="0048184E">
        <w:rPr>
          <w:rFonts w:asciiTheme="minorHAnsi" w:hAnsiTheme="minorHAnsi"/>
          <w:sz w:val="18"/>
          <w:szCs w:val="18"/>
        </w:rPr>
        <w:t>uje</w:t>
      </w:r>
      <w:r w:rsidRPr="0048184E">
        <w:rPr>
          <w:rFonts w:asciiTheme="minorHAnsi" w:hAnsiTheme="minorHAnsi"/>
          <w:sz w:val="18"/>
          <w:szCs w:val="18"/>
          <w:lang w:val="sr-Latn-ME"/>
        </w:rPr>
        <w:t xml:space="preserve"> </w:t>
      </w:r>
      <w:r w:rsidRPr="0048184E">
        <w:rPr>
          <w:rFonts w:asciiTheme="minorHAnsi" w:hAnsiTheme="minorHAnsi"/>
          <w:sz w:val="18"/>
          <w:szCs w:val="18"/>
        </w:rPr>
        <w:t>kroz</w:t>
      </w:r>
      <w:r w:rsidRPr="0048184E">
        <w:rPr>
          <w:rFonts w:asciiTheme="minorHAnsi" w:hAnsiTheme="minorHAnsi"/>
          <w:sz w:val="18"/>
          <w:szCs w:val="18"/>
          <w:lang w:val="sr-Latn-ME"/>
        </w:rPr>
        <w:t xml:space="preserve"> </w:t>
      </w:r>
      <w:r w:rsidRPr="0048184E">
        <w:rPr>
          <w:rFonts w:asciiTheme="minorHAnsi" w:hAnsiTheme="minorHAnsi"/>
          <w:sz w:val="18"/>
          <w:szCs w:val="18"/>
        </w:rPr>
        <w:t>operativne</w:t>
      </w:r>
      <w:r w:rsidRPr="0048184E">
        <w:rPr>
          <w:rFonts w:asciiTheme="minorHAnsi" w:hAnsiTheme="minorHAnsi"/>
          <w:sz w:val="18"/>
          <w:szCs w:val="18"/>
          <w:lang w:val="sr-Latn-ME"/>
        </w:rPr>
        <w:t xml:space="preserve"> </w:t>
      </w:r>
      <w:r w:rsidRPr="0048184E">
        <w:rPr>
          <w:rFonts w:asciiTheme="minorHAnsi" w:hAnsiTheme="minorHAnsi"/>
          <w:sz w:val="18"/>
          <w:szCs w:val="18"/>
        </w:rPr>
        <w:t>ciljeve</w:t>
      </w:r>
      <w:r w:rsidRPr="0048184E">
        <w:rPr>
          <w:rFonts w:asciiTheme="minorHAnsi" w:hAnsiTheme="minorHAnsi"/>
          <w:sz w:val="18"/>
          <w:szCs w:val="18"/>
          <w:lang w:val="sr-Latn-ME"/>
        </w:rPr>
        <w:t xml:space="preserve"> </w:t>
      </w:r>
      <w:r w:rsidRPr="0048184E">
        <w:rPr>
          <w:rFonts w:asciiTheme="minorHAnsi" w:hAnsiTheme="minorHAnsi"/>
          <w:sz w:val="18"/>
          <w:szCs w:val="18"/>
        </w:rPr>
        <w:t>koji</w:t>
      </w:r>
      <w:r w:rsidRPr="0048184E">
        <w:rPr>
          <w:rFonts w:asciiTheme="minorHAnsi" w:hAnsiTheme="minorHAnsi"/>
          <w:sz w:val="18"/>
          <w:szCs w:val="18"/>
          <w:lang w:val="sr-Latn-ME"/>
        </w:rPr>
        <w:t xml:space="preserve"> </w:t>
      </w:r>
      <w:r w:rsidRPr="0048184E">
        <w:rPr>
          <w:rFonts w:asciiTheme="minorHAnsi" w:hAnsiTheme="minorHAnsi"/>
          <w:sz w:val="18"/>
          <w:szCs w:val="18"/>
        </w:rPr>
        <w:t>na</w:t>
      </w:r>
      <w:r w:rsidRPr="0048184E">
        <w:rPr>
          <w:rFonts w:asciiTheme="minorHAnsi" w:hAnsiTheme="minorHAnsi"/>
          <w:sz w:val="18"/>
          <w:szCs w:val="18"/>
          <w:lang w:val="sr-Latn-ME"/>
        </w:rPr>
        <w:t xml:space="preserve"> </w:t>
      </w:r>
      <w:r w:rsidRPr="0048184E">
        <w:rPr>
          <w:rFonts w:asciiTheme="minorHAnsi" w:hAnsiTheme="minorHAnsi"/>
          <w:sz w:val="18"/>
          <w:szCs w:val="18"/>
        </w:rPr>
        <w:t>nivou</w:t>
      </w:r>
      <w:r w:rsidRPr="0048184E">
        <w:rPr>
          <w:rFonts w:asciiTheme="minorHAnsi" w:hAnsiTheme="minorHAnsi"/>
          <w:sz w:val="18"/>
          <w:szCs w:val="18"/>
          <w:lang w:val="sr-Latn-ME"/>
        </w:rPr>
        <w:t xml:space="preserve"> </w:t>
      </w:r>
      <w:r w:rsidRPr="0048184E">
        <w:rPr>
          <w:rFonts w:asciiTheme="minorHAnsi" w:hAnsiTheme="minorHAnsi"/>
          <w:sz w:val="18"/>
          <w:szCs w:val="18"/>
        </w:rPr>
        <w:t>regiona</w:t>
      </w:r>
      <w:r w:rsidRPr="0048184E">
        <w:rPr>
          <w:rFonts w:asciiTheme="minorHAnsi" w:hAnsiTheme="minorHAnsi"/>
          <w:sz w:val="18"/>
          <w:szCs w:val="18"/>
          <w:lang w:val="sr-Latn-ME"/>
        </w:rPr>
        <w:t xml:space="preserve"> </w:t>
      </w:r>
      <w:r w:rsidRPr="0048184E">
        <w:rPr>
          <w:rFonts w:asciiTheme="minorHAnsi" w:hAnsiTheme="minorHAnsi"/>
          <w:sz w:val="18"/>
          <w:szCs w:val="18"/>
        </w:rPr>
        <w:t>uklju</w:t>
      </w:r>
      <w:r w:rsidRPr="0048184E">
        <w:rPr>
          <w:rFonts w:asciiTheme="minorHAnsi" w:hAnsiTheme="minorHAnsi"/>
          <w:sz w:val="18"/>
          <w:szCs w:val="18"/>
          <w:lang w:val="sr-Latn-ME"/>
        </w:rPr>
        <w:t>č</w:t>
      </w:r>
      <w:r w:rsidRPr="0048184E">
        <w:rPr>
          <w:rFonts w:asciiTheme="minorHAnsi" w:hAnsiTheme="minorHAnsi"/>
          <w:sz w:val="18"/>
          <w:szCs w:val="18"/>
        </w:rPr>
        <w:t>uju</w:t>
      </w:r>
      <w:r w:rsidRPr="0048184E">
        <w:rPr>
          <w:rFonts w:asciiTheme="minorHAnsi" w:hAnsiTheme="minorHAnsi"/>
          <w:sz w:val="18"/>
          <w:szCs w:val="18"/>
          <w:lang w:val="sr-Latn-ME"/>
        </w:rPr>
        <w:t xml:space="preserve"> </w:t>
      </w:r>
      <w:r w:rsidRPr="0048184E">
        <w:rPr>
          <w:rFonts w:asciiTheme="minorHAnsi" w:hAnsiTheme="minorHAnsi"/>
          <w:sz w:val="18"/>
          <w:szCs w:val="18"/>
        </w:rPr>
        <w:t>ja</w:t>
      </w:r>
      <w:r w:rsidRPr="0048184E">
        <w:rPr>
          <w:rFonts w:asciiTheme="minorHAnsi" w:hAnsiTheme="minorHAnsi"/>
          <w:sz w:val="18"/>
          <w:szCs w:val="18"/>
          <w:lang w:val="sr-Latn-ME"/>
        </w:rPr>
        <w:t>č</w:t>
      </w:r>
      <w:r w:rsidRPr="0048184E">
        <w:rPr>
          <w:rFonts w:asciiTheme="minorHAnsi" w:hAnsiTheme="minorHAnsi"/>
          <w:sz w:val="18"/>
          <w:szCs w:val="18"/>
        </w:rPr>
        <w:t>anje</w:t>
      </w:r>
      <w:r w:rsidRPr="0048184E">
        <w:rPr>
          <w:rFonts w:asciiTheme="minorHAnsi" w:hAnsiTheme="minorHAnsi"/>
          <w:sz w:val="18"/>
          <w:szCs w:val="18"/>
          <w:lang w:val="sr-Latn-ME"/>
        </w:rPr>
        <w:t xml:space="preserve"> </w:t>
      </w:r>
      <w:r w:rsidRPr="0048184E">
        <w:rPr>
          <w:rFonts w:asciiTheme="minorHAnsi" w:hAnsiTheme="minorHAnsi"/>
          <w:sz w:val="18"/>
          <w:szCs w:val="18"/>
        </w:rPr>
        <w:t>otpornosti</w:t>
      </w:r>
      <w:r w:rsidRPr="0048184E">
        <w:rPr>
          <w:rFonts w:asciiTheme="minorHAnsi" w:hAnsiTheme="minorHAnsi"/>
          <w:sz w:val="18"/>
          <w:szCs w:val="18"/>
          <w:lang w:val="sr-Latn-ME"/>
        </w:rPr>
        <w:t xml:space="preserve"> </w:t>
      </w:r>
      <w:r w:rsidRPr="0048184E">
        <w:rPr>
          <w:rFonts w:asciiTheme="minorHAnsi" w:hAnsiTheme="minorHAnsi"/>
          <w:sz w:val="18"/>
          <w:szCs w:val="18"/>
        </w:rPr>
        <w:t>poljoprivredne</w:t>
      </w:r>
      <w:r w:rsidRPr="0048184E">
        <w:rPr>
          <w:rFonts w:asciiTheme="minorHAnsi" w:hAnsiTheme="minorHAnsi"/>
          <w:sz w:val="18"/>
          <w:szCs w:val="18"/>
          <w:lang w:val="sr-Latn-ME"/>
        </w:rPr>
        <w:t xml:space="preserve"> </w:t>
      </w:r>
      <w:r w:rsidRPr="0048184E">
        <w:rPr>
          <w:rFonts w:asciiTheme="minorHAnsi" w:hAnsiTheme="minorHAnsi"/>
          <w:sz w:val="18"/>
          <w:szCs w:val="18"/>
        </w:rPr>
        <w:t>proizvodnje</w:t>
      </w:r>
      <w:r w:rsidRPr="0048184E">
        <w:rPr>
          <w:rFonts w:asciiTheme="minorHAnsi" w:hAnsiTheme="minorHAnsi"/>
          <w:sz w:val="18"/>
          <w:szCs w:val="18"/>
          <w:lang w:val="sr-Latn-ME"/>
        </w:rPr>
        <w:t xml:space="preserve">; </w:t>
      </w:r>
      <w:r w:rsidRPr="0048184E">
        <w:rPr>
          <w:rFonts w:asciiTheme="minorHAnsi" w:hAnsiTheme="minorHAnsi"/>
          <w:sz w:val="18"/>
          <w:szCs w:val="18"/>
        </w:rPr>
        <w:t>unaprje</w:t>
      </w:r>
      <w:r w:rsidRPr="0048184E">
        <w:rPr>
          <w:rFonts w:asciiTheme="minorHAnsi" w:hAnsiTheme="minorHAnsi"/>
          <w:sz w:val="18"/>
          <w:szCs w:val="18"/>
          <w:lang w:val="sr-Latn-ME"/>
        </w:rPr>
        <w:t>đ</w:t>
      </w:r>
      <w:r w:rsidRPr="0048184E">
        <w:rPr>
          <w:rFonts w:asciiTheme="minorHAnsi" w:hAnsiTheme="minorHAnsi"/>
          <w:sz w:val="18"/>
          <w:szCs w:val="18"/>
        </w:rPr>
        <w:t>enje</w:t>
      </w:r>
      <w:r w:rsidRPr="0048184E">
        <w:rPr>
          <w:rFonts w:asciiTheme="minorHAnsi" w:hAnsiTheme="minorHAnsi"/>
          <w:sz w:val="18"/>
          <w:szCs w:val="18"/>
          <w:lang w:val="sr-Latn-ME"/>
        </w:rPr>
        <w:t xml:space="preserve"> </w:t>
      </w:r>
      <w:r w:rsidRPr="0048184E">
        <w:rPr>
          <w:rFonts w:asciiTheme="minorHAnsi" w:hAnsiTheme="minorHAnsi"/>
          <w:sz w:val="18"/>
          <w:szCs w:val="18"/>
        </w:rPr>
        <w:t>saobra</w:t>
      </w:r>
      <w:r w:rsidRPr="0048184E">
        <w:rPr>
          <w:rFonts w:asciiTheme="minorHAnsi" w:hAnsiTheme="minorHAnsi"/>
          <w:sz w:val="18"/>
          <w:szCs w:val="18"/>
          <w:lang w:val="sr-Latn-ME"/>
        </w:rPr>
        <w:t>ć</w:t>
      </w:r>
      <w:r w:rsidRPr="0048184E">
        <w:rPr>
          <w:rFonts w:asciiTheme="minorHAnsi" w:hAnsiTheme="minorHAnsi"/>
          <w:sz w:val="18"/>
          <w:szCs w:val="18"/>
        </w:rPr>
        <w:t>ajne</w:t>
      </w:r>
      <w:r w:rsidRPr="0048184E">
        <w:rPr>
          <w:rFonts w:asciiTheme="minorHAnsi" w:hAnsiTheme="minorHAnsi"/>
          <w:sz w:val="18"/>
          <w:szCs w:val="18"/>
          <w:lang w:val="sr-Latn-ME"/>
        </w:rPr>
        <w:t xml:space="preserve"> </w:t>
      </w:r>
      <w:r w:rsidRPr="0048184E">
        <w:rPr>
          <w:rFonts w:asciiTheme="minorHAnsi" w:hAnsiTheme="minorHAnsi"/>
          <w:sz w:val="18"/>
          <w:szCs w:val="18"/>
        </w:rPr>
        <w:t>infrastrukture</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za</w:t>
      </w:r>
      <w:r w:rsidRPr="0048184E">
        <w:rPr>
          <w:rFonts w:asciiTheme="minorHAnsi" w:hAnsiTheme="minorHAnsi"/>
          <w:sz w:val="18"/>
          <w:szCs w:val="18"/>
          <w:lang w:val="sr-Latn-ME"/>
        </w:rPr>
        <w:t>š</w:t>
      </w:r>
      <w:r w:rsidRPr="0048184E">
        <w:rPr>
          <w:rFonts w:asciiTheme="minorHAnsi" w:hAnsiTheme="minorHAnsi"/>
          <w:sz w:val="18"/>
          <w:szCs w:val="18"/>
          <w:lang w:val="en-GB"/>
        </w:rPr>
        <w:t>titu</w:t>
      </w:r>
      <w:r w:rsidRPr="0048184E">
        <w:rPr>
          <w:rFonts w:asciiTheme="minorHAnsi" w:hAnsiTheme="minorHAnsi"/>
          <w:sz w:val="18"/>
          <w:szCs w:val="18"/>
          <w:lang w:val="sr-Latn-ME"/>
        </w:rPr>
        <w:t xml:space="preserve"> ž</w:t>
      </w:r>
      <w:r w:rsidRPr="0048184E">
        <w:rPr>
          <w:rFonts w:asciiTheme="minorHAnsi" w:hAnsiTheme="minorHAnsi"/>
          <w:sz w:val="18"/>
          <w:szCs w:val="18"/>
          <w:lang w:val="en-GB"/>
        </w:rPr>
        <w:t>ivotne</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sredine</w:t>
      </w:r>
      <w:r w:rsidRPr="0048184E">
        <w:rPr>
          <w:rFonts w:asciiTheme="minorHAnsi" w:hAnsiTheme="minorHAnsi"/>
          <w:sz w:val="18"/>
          <w:szCs w:val="18"/>
          <w:lang w:val="sr-Latn-ME"/>
        </w:rPr>
        <w:t xml:space="preserve">, razvoj energetike </w:t>
      </w:r>
      <w:r w:rsidRPr="0048184E">
        <w:rPr>
          <w:rFonts w:asciiTheme="minorHAnsi" w:hAnsiTheme="minorHAnsi"/>
          <w:sz w:val="18"/>
          <w:szCs w:val="18"/>
          <w:lang w:val="en-GB"/>
        </w:rPr>
        <w:t>i</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ubla</w:t>
      </w:r>
      <w:r w:rsidRPr="0048184E">
        <w:rPr>
          <w:rFonts w:asciiTheme="minorHAnsi" w:hAnsiTheme="minorHAnsi"/>
          <w:sz w:val="18"/>
          <w:szCs w:val="18"/>
          <w:lang w:val="sr-Latn-ME"/>
        </w:rPr>
        <w:t>ž</w:t>
      </w:r>
      <w:r w:rsidRPr="0048184E">
        <w:rPr>
          <w:rFonts w:asciiTheme="minorHAnsi" w:hAnsiTheme="minorHAnsi"/>
          <w:sz w:val="18"/>
          <w:szCs w:val="18"/>
          <w:lang w:val="en-GB"/>
        </w:rPr>
        <w:t>avanje</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negativnih</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efekata</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klimatskih</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promjena</w:t>
      </w:r>
      <w:r w:rsidRPr="0048184E">
        <w:rPr>
          <w:rFonts w:asciiTheme="minorHAnsi" w:hAnsiTheme="minorHAnsi"/>
          <w:sz w:val="18"/>
          <w:szCs w:val="18"/>
          <w:lang w:val="sr-Latn-ME"/>
        </w:rPr>
        <w:t>.</w:t>
      </w:r>
    </w:p>
    <w:p w14:paraId="66F97B4E" w14:textId="77777777" w:rsidR="004D1ACA" w:rsidRPr="0048184E" w:rsidRDefault="004D1ACA" w:rsidP="0048184E">
      <w:pPr>
        <w:pStyle w:val="NoSpacing"/>
        <w:jc w:val="both"/>
        <w:rPr>
          <w:rFonts w:asciiTheme="minorHAnsi" w:hAnsiTheme="minorHAnsi"/>
          <w:sz w:val="18"/>
          <w:szCs w:val="18"/>
          <w:lang w:val="sr-Latn-ME"/>
        </w:rPr>
      </w:pPr>
    </w:p>
    <w:p w14:paraId="0BFC586C"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Aktivnostima u okviru operativnih ciljeva SRR 2023-2027, adresiraće se nekoliko izazova kada je u pitanju zaštita životne sredine i dekarbonizacija u Crnoj Gori. To uključuje pitanje zagađenosti vazduha  proizvodnjom u Termoelektrani u Pljevljima koja proizvodi oko 50% električne energije u zemlji, kao i zagađenost vazduha u Podgorici, Bijelom Polju i Nikšiću. </w:t>
      </w:r>
    </w:p>
    <w:p w14:paraId="6AD8EF17" w14:textId="77777777" w:rsidR="004D1ACA" w:rsidRPr="0048184E" w:rsidRDefault="004D1ACA" w:rsidP="0048184E">
      <w:pPr>
        <w:pStyle w:val="NoSpacing"/>
        <w:jc w:val="both"/>
        <w:rPr>
          <w:rFonts w:asciiTheme="minorHAnsi" w:hAnsiTheme="minorHAnsi"/>
          <w:sz w:val="18"/>
          <w:szCs w:val="18"/>
          <w:lang w:val="sr-Latn-ME"/>
        </w:rPr>
      </w:pPr>
    </w:p>
    <w:p w14:paraId="1F59269D"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Dodatno, kroz aktivnosti u okviru SRR 2023-2027 podržaće se upravljanje otpadom i prečišćavanje otpadnih voda. U cilju smanjenja emisija gasova s efektom staklene bašte iz otpada, te smanjenja generisanja otpada, potrebno je raditi na zamjeni korišćenja biotičkih i novih sintetičkih materija recikliranim otpadom i preduzimati korake ka korišćenju otpada kao resursa. U kontekstu uvođenja E-mobilnosti infrastruktura je djelimično razvijena i ne čini cjelinu, jer nema dovoljno dodatnih javnih mjesta za punjenje električnih vozila. Integracija korišćenja obnovljivih izvora energije u svrhe E-mobilnosti doprinijela bi dekarbonizaciji uz najniži trošak</w:t>
      </w:r>
      <w:r w:rsidRPr="0048184E">
        <w:rPr>
          <w:rFonts w:asciiTheme="minorHAnsi" w:hAnsiTheme="minorHAnsi"/>
          <w:sz w:val="18"/>
          <w:szCs w:val="18"/>
          <w:vertAlign w:val="superscript"/>
          <w:lang w:val="sr-Latn-ME"/>
        </w:rPr>
        <w:footnoteReference w:id="19"/>
      </w:r>
      <w:r w:rsidRPr="0048184E">
        <w:rPr>
          <w:rFonts w:asciiTheme="minorHAnsi" w:hAnsiTheme="minorHAnsi"/>
          <w:sz w:val="18"/>
          <w:szCs w:val="18"/>
          <w:lang w:val="sr-Latn-ME"/>
        </w:rPr>
        <w:t xml:space="preserve">. </w:t>
      </w:r>
    </w:p>
    <w:p w14:paraId="3A2B262F" w14:textId="77777777" w:rsidR="004D1ACA" w:rsidRPr="0048184E" w:rsidRDefault="004D1ACA" w:rsidP="0048184E">
      <w:pPr>
        <w:pStyle w:val="NoSpacing"/>
        <w:jc w:val="both"/>
        <w:rPr>
          <w:rFonts w:asciiTheme="minorHAnsi" w:hAnsiTheme="minorHAnsi"/>
          <w:sz w:val="18"/>
          <w:szCs w:val="18"/>
          <w:lang w:val="sr-Latn-ME"/>
        </w:rPr>
      </w:pPr>
    </w:p>
    <w:p w14:paraId="2464A80D" w14:textId="4C21051C" w:rsidR="004630DF" w:rsidRDefault="004D1ACA" w:rsidP="0048184E">
      <w:pPr>
        <w:pStyle w:val="NoSpacing"/>
        <w:jc w:val="both"/>
        <w:rPr>
          <w:rFonts w:asciiTheme="minorHAnsi" w:hAnsiTheme="minorHAnsi"/>
          <w:sz w:val="18"/>
          <w:szCs w:val="18"/>
          <w:lang w:val="pl-PL"/>
        </w:rPr>
      </w:pPr>
      <w:r w:rsidRPr="0048184E">
        <w:rPr>
          <w:rFonts w:asciiTheme="minorHAnsi" w:hAnsiTheme="minorHAnsi"/>
          <w:sz w:val="18"/>
          <w:szCs w:val="18"/>
          <w:lang w:val="sr-Latn-ME"/>
        </w:rPr>
        <w:t xml:space="preserve">Takođe, implementacijom aktivnosti u okviru operativnih ciljeva SRR, doprinijeće se daljem razvoju energetike u funkciji zaštite životne sredine i odgovoru na izazove poput </w:t>
      </w:r>
      <w:r w:rsidRPr="0048184E">
        <w:rPr>
          <w:rFonts w:asciiTheme="minorHAnsi" w:hAnsiTheme="minorHAnsi"/>
          <w:sz w:val="18"/>
          <w:szCs w:val="18"/>
        </w:rPr>
        <w:t>nekontrolisane</w:t>
      </w:r>
      <w:r w:rsidRPr="0048184E">
        <w:rPr>
          <w:rFonts w:asciiTheme="minorHAnsi" w:hAnsiTheme="minorHAnsi"/>
          <w:sz w:val="18"/>
          <w:szCs w:val="18"/>
          <w:lang w:val="sr-Latn-ME"/>
        </w:rPr>
        <w:t xml:space="preserve"> </w:t>
      </w:r>
      <w:r w:rsidRPr="0048184E">
        <w:rPr>
          <w:rFonts w:asciiTheme="minorHAnsi" w:hAnsiTheme="minorHAnsi"/>
          <w:sz w:val="18"/>
          <w:szCs w:val="18"/>
        </w:rPr>
        <w:t>upotreba</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kroz</w:t>
      </w:r>
      <w:r w:rsidRPr="0048184E">
        <w:rPr>
          <w:rFonts w:asciiTheme="minorHAnsi" w:hAnsiTheme="minorHAnsi"/>
          <w:sz w:val="18"/>
          <w:szCs w:val="18"/>
          <w:lang w:val="sr-Latn-ME"/>
        </w:rPr>
        <w:t xml:space="preserve"> </w:t>
      </w:r>
      <w:r w:rsidRPr="0048184E">
        <w:rPr>
          <w:rFonts w:asciiTheme="minorHAnsi" w:hAnsiTheme="minorHAnsi"/>
          <w:sz w:val="18"/>
          <w:szCs w:val="18"/>
        </w:rPr>
        <w:t>nekontrolisanu</w:t>
      </w:r>
      <w:r w:rsidRPr="0048184E">
        <w:rPr>
          <w:rFonts w:asciiTheme="minorHAnsi" w:hAnsiTheme="minorHAnsi"/>
          <w:sz w:val="18"/>
          <w:szCs w:val="18"/>
          <w:lang w:val="sr-Latn-ME"/>
        </w:rPr>
        <w:t xml:space="preserve"> </w:t>
      </w:r>
      <w:r w:rsidRPr="0048184E">
        <w:rPr>
          <w:rFonts w:asciiTheme="minorHAnsi" w:hAnsiTheme="minorHAnsi"/>
          <w:sz w:val="18"/>
          <w:szCs w:val="18"/>
        </w:rPr>
        <w:t>sje</w:t>
      </w:r>
      <w:r w:rsidRPr="0048184E">
        <w:rPr>
          <w:rFonts w:asciiTheme="minorHAnsi" w:hAnsiTheme="minorHAnsi"/>
          <w:sz w:val="18"/>
          <w:szCs w:val="18"/>
          <w:lang w:val="sr-Latn-ME"/>
        </w:rPr>
        <w:t>č</w:t>
      </w:r>
      <w:r w:rsidRPr="0048184E">
        <w:rPr>
          <w:rFonts w:asciiTheme="minorHAnsi" w:hAnsiTheme="minorHAnsi"/>
          <w:sz w:val="18"/>
          <w:szCs w:val="18"/>
        </w:rPr>
        <w:t>u</w:t>
      </w:r>
      <w:r w:rsidRPr="0048184E">
        <w:rPr>
          <w:rFonts w:asciiTheme="minorHAnsi" w:hAnsiTheme="minorHAnsi"/>
          <w:sz w:val="18"/>
          <w:szCs w:val="18"/>
          <w:lang w:val="sr-Latn-ME"/>
        </w:rPr>
        <w:t xml:space="preserve"> š</w:t>
      </w:r>
      <w:r w:rsidRPr="0048184E">
        <w:rPr>
          <w:rFonts w:asciiTheme="minorHAnsi" w:hAnsiTheme="minorHAnsi"/>
          <w:sz w:val="18"/>
          <w:szCs w:val="18"/>
        </w:rPr>
        <w:t>uma</w:t>
      </w:r>
      <w:r w:rsidRPr="0048184E">
        <w:rPr>
          <w:rFonts w:asciiTheme="minorHAnsi" w:hAnsiTheme="minorHAnsi"/>
          <w:sz w:val="18"/>
          <w:szCs w:val="18"/>
          <w:lang w:val="sr-Latn-ME"/>
        </w:rPr>
        <w:t xml:space="preserve">, </w:t>
      </w:r>
      <w:r w:rsidRPr="0048184E">
        <w:rPr>
          <w:rFonts w:asciiTheme="minorHAnsi" w:hAnsiTheme="minorHAnsi"/>
          <w:sz w:val="18"/>
          <w:szCs w:val="18"/>
        </w:rPr>
        <w:t>neefikasno</w:t>
      </w:r>
      <w:r w:rsidRPr="0048184E">
        <w:rPr>
          <w:rFonts w:asciiTheme="minorHAnsi" w:hAnsiTheme="minorHAnsi"/>
          <w:sz w:val="18"/>
          <w:szCs w:val="18"/>
          <w:lang w:val="sr-Latn-ME"/>
        </w:rPr>
        <w:t xml:space="preserve"> </w:t>
      </w:r>
      <w:r w:rsidRPr="0048184E">
        <w:rPr>
          <w:rFonts w:asciiTheme="minorHAnsi" w:hAnsiTheme="minorHAnsi"/>
          <w:sz w:val="18"/>
          <w:szCs w:val="18"/>
        </w:rPr>
        <w:t>kori</w:t>
      </w:r>
      <w:r w:rsidRPr="0048184E">
        <w:rPr>
          <w:rFonts w:asciiTheme="minorHAnsi" w:hAnsiTheme="minorHAnsi"/>
          <w:sz w:val="18"/>
          <w:szCs w:val="18"/>
          <w:lang w:val="sr-Latn-ME"/>
        </w:rPr>
        <w:t>šć</w:t>
      </w:r>
      <w:r w:rsidRPr="0048184E">
        <w:rPr>
          <w:rFonts w:asciiTheme="minorHAnsi" w:hAnsiTheme="minorHAnsi"/>
          <w:sz w:val="18"/>
          <w:szCs w:val="18"/>
        </w:rPr>
        <w:t>enje</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za</w:t>
      </w:r>
      <w:r w:rsidRPr="0048184E">
        <w:rPr>
          <w:rFonts w:asciiTheme="minorHAnsi" w:hAnsiTheme="minorHAnsi"/>
          <w:sz w:val="18"/>
          <w:szCs w:val="18"/>
          <w:lang w:val="sr-Latn-ME"/>
        </w:rPr>
        <w:t xml:space="preserve"> </w:t>
      </w:r>
      <w:r w:rsidRPr="0048184E">
        <w:rPr>
          <w:rFonts w:asciiTheme="minorHAnsi" w:hAnsiTheme="minorHAnsi"/>
          <w:sz w:val="18"/>
          <w:szCs w:val="18"/>
        </w:rPr>
        <w:t>pripremu</w:t>
      </w:r>
      <w:r w:rsidRPr="0048184E">
        <w:rPr>
          <w:rFonts w:asciiTheme="minorHAnsi" w:hAnsiTheme="minorHAnsi"/>
          <w:sz w:val="18"/>
          <w:szCs w:val="18"/>
          <w:lang w:val="sr-Latn-ME"/>
        </w:rPr>
        <w:t xml:space="preserve"> </w:t>
      </w:r>
      <w:r w:rsidRPr="0048184E">
        <w:rPr>
          <w:rFonts w:asciiTheme="minorHAnsi" w:hAnsiTheme="minorHAnsi"/>
          <w:sz w:val="18"/>
          <w:szCs w:val="18"/>
        </w:rPr>
        <w:t>sanitarne</w:t>
      </w:r>
      <w:r w:rsidRPr="0048184E">
        <w:rPr>
          <w:rFonts w:asciiTheme="minorHAnsi" w:hAnsiTheme="minorHAnsi"/>
          <w:sz w:val="18"/>
          <w:szCs w:val="18"/>
          <w:lang w:val="sr-Latn-ME"/>
        </w:rPr>
        <w:t xml:space="preserve"> </w:t>
      </w:r>
      <w:r w:rsidRPr="0048184E">
        <w:rPr>
          <w:rFonts w:asciiTheme="minorHAnsi" w:hAnsiTheme="minorHAnsi"/>
          <w:sz w:val="18"/>
          <w:szCs w:val="18"/>
        </w:rPr>
        <w:t>tople</w:t>
      </w:r>
      <w:r w:rsidRPr="0048184E">
        <w:rPr>
          <w:rFonts w:asciiTheme="minorHAnsi" w:hAnsiTheme="minorHAnsi"/>
          <w:sz w:val="18"/>
          <w:szCs w:val="18"/>
          <w:lang w:val="sr-Latn-ME"/>
        </w:rPr>
        <w:t xml:space="preserve"> </w:t>
      </w:r>
      <w:r w:rsidRPr="0048184E">
        <w:rPr>
          <w:rFonts w:asciiTheme="minorHAnsi" w:hAnsiTheme="minorHAnsi"/>
          <w:sz w:val="18"/>
          <w:szCs w:val="18"/>
        </w:rPr>
        <w:t>vode</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zagrijavanje</w:t>
      </w:r>
      <w:r w:rsidRPr="0048184E">
        <w:rPr>
          <w:rFonts w:asciiTheme="minorHAnsi" w:hAnsiTheme="minorHAnsi"/>
          <w:sz w:val="18"/>
          <w:szCs w:val="18"/>
          <w:lang w:val="sr-Latn-ME"/>
        </w:rPr>
        <w:t xml:space="preserve"> </w:t>
      </w:r>
      <w:r w:rsidRPr="0048184E">
        <w:rPr>
          <w:rFonts w:asciiTheme="minorHAnsi" w:hAnsiTheme="minorHAnsi"/>
          <w:sz w:val="18"/>
          <w:szCs w:val="18"/>
        </w:rPr>
        <w:t>prostorija</w:t>
      </w:r>
      <w:r w:rsidRPr="0048184E">
        <w:rPr>
          <w:rFonts w:asciiTheme="minorHAnsi" w:hAnsiTheme="minorHAnsi"/>
          <w:sz w:val="18"/>
          <w:szCs w:val="18"/>
          <w:lang w:val="sr-Latn-ME"/>
        </w:rPr>
        <w:t xml:space="preserve">, </w:t>
      </w:r>
      <w:r w:rsidRPr="0048184E">
        <w:rPr>
          <w:rFonts w:asciiTheme="minorHAnsi" w:hAnsiTheme="minorHAnsi"/>
          <w:sz w:val="18"/>
          <w:szCs w:val="18"/>
        </w:rPr>
        <w:t>neiskori</w:t>
      </w:r>
      <w:r w:rsidRPr="0048184E">
        <w:rPr>
          <w:rFonts w:asciiTheme="minorHAnsi" w:hAnsiTheme="minorHAnsi"/>
          <w:sz w:val="18"/>
          <w:szCs w:val="18"/>
          <w:lang w:val="sr-Latn-ME"/>
        </w:rPr>
        <w:t>šć</w:t>
      </w:r>
      <w:r w:rsidRPr="0048184E">
        <w:rPr>
          <w:rFonts w:asciiTheme="minorHAnsi" w:hAnsiTheme="minorHAnsi"/>
          <w:sz w:val="18"/>
          <w:szCs w:val="18"/>
        </w:rPr>
        <w:t>ene</w:t>
      </w:r>
      <w:r w:rsidRPr="0048184E">
        <w:rPr>
          <w:rFonts w:asciiTheme="minorHAnsi" w:hAnsiTheme="minorHAnsi"/>
          <w:sz w:val="18"/>
          <w:szCs w:val="18"/>
          <w:lang w:val="sr-Latn-ME"/>
        </w:rPr>
        <w:t xml:space="preserve"> </w:t>
      </w:r>
      <w:r w:rsidRPr="0048184E">
        <w:rPr>
          <w:rFonts w:asciiTheme="minorHAnsi" w:hAnsiTheme="minorHAnsi"/>
          <w:sz w:val="18"/>
          <w:szCs w:val="18"/>
        </w:rPr>
        <w:t>mogu</w:t>
      </w:r>
      <w:r w:rsidRPr="0048184E">
        <w:rPr>
          <w:rFonts w:asciiTheme="minorHAnsi" w:hAnsiTheme="minorHAnsi"/>
          <w:sz w:val="18"/>
          <w:szCs w:val="18"/>
          <w:lang w:val="sr-Latn-ME"/>
        </w:rPr>
        <w:t>ć</w:t>
      </w:r>
      <w:r w:rsidRPr="0048184E">
        <w:rPr>
          <w:rFonts w:asciiTheme="minorHAnsi" w:hAnsiTheme="minorHAnsi"/>
          <w:sz w:val="18"/>
          <w:szCs w:val="18"/>
        </w:rPr>
        <w:t>nosti</w:t>
      </w:r>
      <w:r w:rsidRPr="0048184E">
        <w:rPr>
          <w:rFonts w:asciiTheme="minorHAnsi" w:hAnsiTheme="minorHAnsi"/>
          <w:sz w:val="18"/>
          <w:szCs w:val="18"/>
          <w:lang w:val="sr-Latn-ME"/>
        </w:rPr>
        <w:t xml:space="preserve"> </w:t>
      </w:r>
      <w:r w:rsidRPr="0048184E">
        <w:rPr>
          <w:rFonts w:asciiTheme="minorHAnsi" w:hAnsiTheme="minorHAnsi"/>
          <w:sz w:val="18"/>
          <w:szCs w:val="18"/>
        </w:rPr>
        <w:t>upotrebe</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za</w:t>
      </w:r>
      <w:r w:rsidRPr="0048184E">
        <w:rPr>
          <w:rFonts w:asciiTheme="minorHAnsi" w:hAnsiTheme="minorHAnsi"/>
          <w:sz w:val="18"/>
          <w:szCs w:val="18"/>
          <w:lang w:val="sr-Latn-ME"/>
        </w:rPr>
        <w:t xml:space="preserve"> </w:t>
      </w:r>
      <w:r w:rsidRPr="0048184E">
        <w:rPr>
          <w:rFonts w:asciiTheme="minorHAnsi" w:hAnsiTheme="minorHAnsi"/>
          <w:sz w:val="18"/>
          <w:szCs w:val="18"/>
        </w:rPr>
        <w:t>proizvodnju</w:t>
      </w:r>
      <w:r w:rsidRPr="0048184E">
        <w:rPr>
          <w:rFonts w:asciiTheme="minorHAnsi" w:hAnsiTheme="minorHAnsi"/>
          <w:sz w:val="18"/>
          <w:szCs w:val="18"/>
          <w:lang w:val="sr-Latn-ME"/>
        </w:rPr>
        <w:t xml:space="preserve"> </w:t>
      </w:r>
      <w:r w:rsidRPr="0048184E">
        <w:rPr>
          <w:rFonts w:asciiTheme="minorHAnsi" w:hAnsiTheme="minorHAnsi"/>
          <w:sz w:val="18"/>
          <w:szCs w:val="18"/>
        </w:rPr>
        <w:t>drvnog</w:t>
      </w:r>
      <w:r w:rsidRPr="0048184E">
        <w:rPr>
          <w:rFonts w:asciiTheme="minorHAnsi" w:hAnsiTheme="minorHAnsi"/>
          <w:sz w:val="18"/>
          <w:szCs w:val="18"/>
          <w:lang w:val="sr-Latn-ME"/>
        </w:rPr>
        <w:t xml:space="preserve"> </w:t>
      </w:r>
      <w:r w:rsidRPr="0048184E">
        <w:rPr>
          <w:rFonts w:asciiTheme="minorHAnsi" w:hAnsiTheme="minorHAnsi"/>
          <w:sz w:val="18"/>
          <w:szCs w:val="18"/>
        </w:rPr>
        <w:t>goriva</w:t>
      </w:r>
      <w:r w:rsidRPr="0048184E">
        <w:rPr>
          <w:rFonts w:asciiTheme="minorHAnsi" w:hAnsiTheme="minorHAnsi"/>
          <w:sz w:val="18"/>
          <w:szCs w:val="18"/>
          <w:lang w:val="sr-Latn-ME"/>
        </w:rPr>
        <w:t xml:space="preserve">, </w:t>
      </w:r>
      <w:r w:rsidRPr="0048184E">
        <w:rPr>
          <w:rFonts w:asciiTheme="minorHAnsi" w:hAnsiTheme="minorHAnsi"/>
          <w:sz w:val="18"/>
          <w:szCs w:val="18"/>
        </w:rPr>
        <w:t>ili</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za</w:t>
      </w:r>
      <w:r w:rsidRPr="0048184E">
        <w:rPr>
          <w:rFonts w:asciiTheme="minorHAnsi" w:hAnsiTheme="minorHAnsi"/>
          <w:sz w:val="18"/>
          <w:szCs w:val="18"/>
          <w:lang w:val="sr-Latn-ME"/>
        </w:rPr>
        <w:t xml:space="preserve"> </w:t>
      </w:r>
      <w:r w:rsidRPr="0048184E">
        <w:rPr>
          <w:rFonts w:asciiTheme="minorHAnsi" w:hAnsiTheme="minorHAnsi"/>
          <w:sz w:val="18"/>
          <w:szCs w:val="18"/>
        </w:rPr>
        <w:t>daljinsko</w:t>
      </w:r>
      <w:r w:rsidRPr="0048184E">
        <w:rPr>
          <w:rFonts w:asciiTheme="minorHAnsi" w:hAnsiTheme="minorHAnsi"/>
          <w:sz w:val="18"/>
          <w:szCs w:val="18"/>
          <w:lang w:val="sr-Latn-ME"/>
        </w:rPr>
        <w:t xml:space="preserve"> </w:t>
      </w:r>
      <w:r w:rsidRPr="0048184E">
        <w:rPr>
          <w:rFonts w:asciiTheme="minorHAnsi" w:hAnsiTheme="minorHAnsi"/>
          <w:sz w:val="18"/>
          <w:szCs w:val="18"/>
        </w:rPr>
        <w:t>grijanje</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Navedeno je uglavnom karakteristično za Sjeverni region.</w:t>
      </w:r>
      <w:bookmarkStart w:id="12" w:name="_Toc8640521"/>
      <w:bookmarkStart w:id="13" w:name="_Toc166215783"/>
    </w:p>
    <w:p w14:paraId="29CDE1F5" w14:textId="64A7049B" w:rsidR="00CA1DB5" w:rsidRDefault="00CA1DB5" w:rsidP="0048184E">
      <w:pPr>
        <w:pStyle w:val="NoSpacing"/>
        <w:jc w:val="both"/>
        <w:rPr>
          <w:rFonts w:asciiTheme="minorHAnsi" w:hAnsiTheme="minorHAnsi"/>
          <w:sz w:val="18"/>
          <w:szCs w:val="18"/>
          <w:lang w:val="pl-PL"/>
        </w:rPr>
      </w:pPr>
    </w:p>
    <w:p w14:paraId="766897BB" w14:textId="40C072F4" w:rsidR="00CA1DB5" w:rsidRPr="0048184E" w:rsidRDefault="00543853" w:rsidP="0048184E">
      <w:pPr>
        <w:pStyle w:val="NoSpacing"/>
        <w:jc w:val="both"/>
        <w:rPr>
          <w:rFonts w:asciiTheme="minorHAnsi" w:hAnsiTheme="minorHAnsi"/>
          <w:sz w:val="18"/>
          <w:szCs w:val="18"/>
          <w:lang w:val="pl-PL"/>
        </w:rPr>
      </w:pPr>
      <w:r>
        <w:rPr>
          <w:rFonts w:asciiTheme="minorHAnsi" w:hAnsiTheme="minorHAnsi"/>
          <w:sz w:val="18"/>
          <w:szCs w:val="18"/>
          <w:lang w:val="pl-PL"/>
        </w:rPr>
        <w:t xml:space="preserve">U nastavku, za svaki operativni cilj data je procjena uticaja cilja na životnu sredinu, što je odrađeno prilikom izrade Strategije 2023. godine. Imajući u vidu da predmetna revidirana Strategija nije značajno promijenila segmente koji utiču na životnu sredinu, ocjena je da nije potrebno posebno sprovesti proces procjene uticaja na životnu sredinu. </w:t>
      </w:r>
    </w:p>
    <w:p w14:paraId="448FBF6F" w14:textId="77777777" w:rsidR="004630DF" w:rsidRPr="0048184E" w:rsidRDefault="004630DF" w:rsidP="0048184E">
      <w:pPr>
        <w:pStyle w:val="NoSpacing"/>
        <w:jc w:val="both"/>
        <w:rPr>
          <w:rFonts w:asciiTheme="minorHAnsi" w:hAnsiTheme="minorHAnsi"/>
          <w:sz w:val="18"/>
          <w:szCs w:val="18"/>
          <w:lang w:val="pl-PL"/>
        </w:rPr>
      </w:pPr>
    </w:p>
    <w:p w14:paraId="59AFCE74" w14:textId="77777777" w:rsidR="00223F35" w:rsidRPr="003C2A72" w:rsidRDefault="00223F35" w:rsidP="0048184E">
      <w:pPr>
        <w:pStyle w:val="Heading11"/>
        <w:spacing w:before="0"/>
        <w:rPr>
          <w:color w:val="4472C4" w:themeColor="accent5"/>
          <w:szCs w:val="32"/>
          <w:lang w:val="sr-Latn-ME"/>
        </w:rPr>
      </w:pPr>
      <w:bookmarkStart w:id="14" w:name="_Toc205215830"/>
      <w:r w:rsidRPr="003C2A72">
        <w:rPr>
          <w:color w:val="4472C4" w:themeColor="accent5"/>
          <w:szCs w:val="32"/>
          <w:lang w:val="sr-Latn-ME"/>
        </w:rPr>
        <w:t>II. ANALIZA STANJA</w:t>
      </w:r>
      <w:bookmarkEnd w:id="12"/>
      <w:bookmarkEnd w:id="13"/>
      <w:bookmarkEnd w:id="14"/>
    </w:p>
    <w:p w14:paraId="48901CC5" w14:textId="77777777" w:rsidR="004630DF" w:rsidRPr="0048184E" w:rsidRDefault="004630DF" w:rsidP="0048184E">
      <w:pPr>
        <w:spacing w:after="0" w:line="240" w:lineRule="auto"/>
        <w:rPr>
          <w:sz w:val="18"/>
          <w:szCs w:val="18"/>
          <w:lang w:val="sr-Latn-ME"/>
        </w:rPr>
      </w:pPr>
    </w:p>
    <w:p w14:paraId="5BAC893B" w14:textId="77777777" w:rsidR="00A22811" w:rsidRPr="0048184E" w:rsidRDefault="00A22811"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U okviru analize postojećeg stanja dat je </w:t>
      </w:r>
      <w:r w:rsidR="00FF5B10" w:rsidRPr="0048184E">
        <w:rPr>
          <w:rFonts w:asciiTheme="minorHAnsi" w:hAnsiTheme="minorHAnsi" w:cstheme="minorHAnsi"/>
          <w:sz w:val="18"/>
          <w:szCs w:val="18"/>
          <w:lang w:val="sr-Latn-ME"/>
        </w:rPr>
        <w:t xml:space="preserve">presjek ključnih efekata i rezultata implementacije SRR 2023-2027. u prve dvije godine implementacije (2023. i 2024. godine), </w:t>
      </w:r>
      <w:r w:rsidRPr="0048184E">
        <w:rPr>
          <w:rFonts w:asciiTheme="minorHAnsi" w:hAnsiTheme="minorHAnsi" w:cstheme="minorHAnsi"/>
          <w:sz w:val="18"/>
          <w:szCs w:val="18"/>
          <w:lang w:val="sr-Latn-ME"/>
        </w:rPr>
        <w:t>kratak osvrt na opšte makroeko</w:t>
      </w:r>
      <w:r w:rsidR="00FF5B10" w:rsidRPr="0048184E">
        <w:rPr>
          <w:rFonts w:asciiTheme="minorHAnsi" w:hAnsiTheme="minorHAnsi" w:cstheme="minorHAnsi"/>
          <w:sz w:val="18"/>
          <w:szCs w:val="18"/>
          <w:lang w:val="sr-Latn-ME"/>
        </w:rPr>
        <w:t xml:space="preserve">nomske indikatore razvijenosti, demografska kretanja, indikatore u vezi sa rizikom siromaštva, </w:t>
      </w:r>
      <w:r w:rsidRPr="0048184E">
        <w:rPr>
          <w:rFonts w:asciiTheme="minorHAnsi" w:hAnsiTheme="minorHAnsi" w:cstheme="minorHAnsi"/>
          <w:sz w:val="18"/>
          <w:szCs w:val="18"/>
          <w:lang w:val="sr-Latn-ME"/>
        </w:rPr>
        <w:t>analizu zainteresovanih strana i SWOT analiza po regionima, kao i pregled ključnih izazova u kojima nastaje regionalna razvojna p</w:t>
      </w:r>
      <w:r w:rsidR="00B26027">
        <w:rPr>
          <w:rFonts w:asciiTheme="minorHAnsi" w:hAnsiTheme="minorHAnsi" w:cstheme="minorHAnsi"/>
          <w:sz w:val="18"/>
          <w:szCs w:val="18"/>
          <w:lang w:val="sr-Latn-ME"/>
        </w:rPr>
        <w:t xml:space="preserve">olitika za naredni </w:t>
      </w:r>
      <w:r w:rsidRPr="0048184E">
        <w:rPr>
          <w:rFonts w:asciiTheme="minorHAnsi" w:hAnsiTheme="minorHAnsi" w:cstheme="minorHAnsi"/>
          <w:sz w:val="18"/>
          <w:szCs w:val="18"/>
          <w:lang w:val="sr-Latn-ME"/>
        </w:rPr>
        <w:t xml:space="preserve">period. </w:t>
      </w:r>
    </w:p>
    <w:p w14:paraId="05198A35" w14:textId="77777777" w:rsidR="00223F35" w:rsidRPr="0048184E" w:rsidRDefault="00223F35" w:rsidP="0048184E">
      <w:pPr>
        <w:spacing w:after="0" w:line="240" w:lineRule="auto"/>
        <w:jc w:val="both"/>
        <w:rPr>
          <w:rFonts w:cstheme="minorHAnsi"/>
          <w:sz w:val="18"/>
          <w:szCs w:val="18"/>
          <w:lang w:val="sr-Latn-ME"/>
        </w:rPr>
      </w:pPr>
    </w:p>
    <w:p w14:paraId="3FD7CAB4" w14:textId="77777777" w:rsidR="00223F35" w:rsidRPr="003C2A72" w:rsidRDefault="00223F35" w:rsidP="0048184E">
      <w:pPr>
        <w:pStyle w:val="Heading2"/>
        <w:numPr>
          <w:ilvl w:val="0"/>
          <w:numId w:val="27"/>
        </w:numPr>
        <w:spacing w:before="0" w:line="240" w:lineRule="auto"/>
        <w:rPr>
          <w:rFonts w:asciiTheme="minorHAnsi" w:hAnsiTheme="minorHAnsi"/>
        </w:rPr>
      </w:pPr>
      <w:bookmarkStart w:id="15" w:name="_Toc205215831"/>
      <w:r w:rsidRPr="003C2A72">
        <w:rPr>
          <w:rFonts w:asciiTheme="minorHAnsi" w:hAnsiTheme="minorHAnsi"/>
        </w:rPr>
        <w:t>Ključni efekti i rezultati implementacije SRR u 2023. i 2024.godini</w:t>
      </w:r>
      <w:bookmarkEnd w:id="15"/>
    </w:p>
    <w:p w14:paraId="54881EC0" w14:textId="77777777" w:rsidR="004630DF" w:rsidRPr="0048184E" w:rsidRDefault="004630DF" w:rsidP="0048184E">
      <w:pPr>
        <w:spacing w:after="0" w:line="240" w:lineRule="auto"/>
        <w:rPr>
          <w:sz w:val="18"/>
          <w:szCs w:val="18"/>
          <w:lang w:val="sr-Latn-ME"/>
        </w:rPr>
      </w:pPr>
    </w:p>
    <w:p w14:paraId="051090E8"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lastRenderedPageBreak/>
        <w:t xml:space="preserve">SRR </w:t>
      </w:r>
      <w:r w:rsidR="00FF5B10" w:rsidRPr="0048184E">
        <w:rPr>
          <w:rFonts w:cstheme="minorHAnsi"/>
          <w:sz w:val="18"/>
          <w:szCs w:val="18"/>
          <w:lang w:val="sr-Latn-ME"/>
        </w:rPr>
        <w:t xml:space="preserve">2023-2027 </w:t>
      </w:r>
      <w:r w:rsidRPr="0048184E">
        <w:rPr>
          <w:rFonts w:cstheme="minorHAnsi"/>
          <w:sz w:val="18"/>
          <w:szCs w:val="18"/>
          <w:lang w:val="sr-Latn-ME"/>
        </w:rPr>
        <w:t>u okviru dijela „Implementacija i monitoring“ utvrđen je način praćenja i izvještavanja o stepenu realizacije definisanih indikatora i aktivnosti</w:t>
      </w:r>
      <w:r w:rsidR="00FF5B10" w:rsidRPr="0048184E">
        <w:rPr>
          <w:rFonts w:cstheme="minorHAnsi"/>
          <w:sz w:val="18"/>
          <w:szCs w:val="18"/>
          <w:lang w:val="sr-Latn-ME"/>
        </w:rPr>
        <w:t xml:space="preserve"> Strategije</w:t>
      </w:r>
      <w:r w:rsidRPr="0048184E">
        <w:rPr>
          <w:rFonts w:cstheme="minorHAnsi"/>
          <w:sz w:val="18"/>
          <w:szCs w:val="18"/>
          <w:lang w:val="sr-Latn-ME"/>
        </w:rPr>
        <w:t>. Tako je predviđeno da u skladu sa važećom Metodologijom razvijanja politika, izrade i praćenja sprovođenja strateških dokumenata</w:t>
      </w:r>
      <w:r w:rsidR="00FF5B10" w:rsidRPr="0048184E">
        <w:rPr>
          <w:rFonts w:cstheme="minorHAnsi"/>
          <w:sz w:val="18"/>
          <w:szCs w:val="18"/>
          <w:lang w:val="sr-Latn-ME"/>
        </w:rPr>
        <w:t>,</w:t>
      </w:r>
      <w:r w:rsidRPr="0048184E">
        <w:rPr>
          <w:rFonts w:cstheme="minorHAnsi"/>
          <w:sz w:val="18"/>
          <w:szCs w:val="18"/>
          <w:lang w:val="sr-Latn-ME"/>
        </w:rPr>
        <w:t xml:space="preserve"> institucije u čijoj nadležnosti je realizacija pojedinačnih aktivnosti, dostavljaju izvještaj resornom ministarstvu nadležnom za pol</w:t>
      </w:r>
      <w:r w:rsidR="00FF5B10" w:rsidRPr="0048184E">
        <w:rPr>
          <w:rFonts w:cstheme="minorHAnsi"/>
          <w:sz w:val="18"/>
          <w:szCs w:val="18"/>
          <w:lang w:val="sr-Latn-ME"/>
        </w:rPr>
        <w:t>itiku regionalnog razvoja izvješ</w:t>
      </w:r>
      <w:r w:rsidRPr="0048184E">
        <w:rPr>
          <w:rFonts w:cstheme="minorHAnsi"/>
          <w:sz w:val="18"/>
          <w:szCs w:val="18"/>
          <w:lang w:val="sr-Latn-ME"/>
        </w:rPr>
        <w:t>taj o realizaciji strateških i operativnih ciljeva. Navedeno je predstavljalo osnovu za pripremu godišnjih izvještaja o ostvarenosti akcionog plana. Do sada su pripremljenja dva izvještaja i to za 2023. godinu i 2024. godinu, dok završni izvještaj nije pripreman iz r</w:t>
      </w:r>
      <w:r w:rsidR="00FF5B10" w:rsidRPr="0048184E">
        <w:rPr>
          <w:rFonts w:cstheme="minorHAnsi"/>
          <w:sz w:val="18"/>
          <w:szCs w:val="18"/>
          <w:lang w:val="sr-Latn-ME"/>
        </w:rPr>
        <w:t>azloga što je SRR 2023-2027</w:t>
      </w:r>
      <w:r w:rsidRPr="0048184E">
        <w:rPr>
          <w:rFonts w:cstheme="minorHAnsi"/>
          <w:sz w:val="18"/>
          <w:szCs w:val="18"/>
          <w:lang w:val="sr-Latn-ME"/>
        </w:rPr>
        <w:t xml:space="preserve"> još uvijek na snazi ( 2027.). </w:t>
      </w:r>
    </w:p>
    <w:p w14:paraId="6793CFFF" w14:textId="77777777" w:rsidR="00223F35" w:rsidRPr="0048184E" w:rsidRDefault="00223F35" w:rsidP="0048184E">
      <w:pPr>
        <w:spacing w:after="0" w:line="240" w:lineRule="auto"/>
        <w:jc w:val="both"/>
        <w:rPr>
          <w:rFonts w:cstheme="minorHAnsi"/>
          <w:sz w:val="18"/>
          <w:szCs w:val="18"/>
          <w:lang w:val="sr-Latn-ME"/>
        </w:rPr>
      </w:pPr>
    </w:p>
    <w:p w14:paraId="2C9F60ED"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Implementacija SRR</w:t>
      </w:r>
      <w:r w:rsidR="00FF5B10" w:rsidRPr="0048184E">
        <w:rPr>
          <w:rFonts w:cstheme="minorHAnsi"/>
          <w:sz w:val="18"/>
          <w:szCs w:val="18"/>
          <w:lang w:val="pl-PL"/>
        </w:rPr>
        <w:t xml:space="preserve"> 2023-2027</w:t>
      </w:r>
      <w:r w:rsidRPr="0048184E">
        <w:rPr>
          <w:rFonts w:cstheme="minorHAnsi"/>
          <w:sz w:val="18"/>
          <w:szCs w:val="18"/>
          <w:lang w:val="pl-PL"/>
        </w:rPr>
        <w:t xml:space="preserve"> u posmatranom periodu koji obuhvata 2023. i 2024. godinu, odvijala se u specifičnom političkom momentu, koji je rezultirao značajnim kadrovskim i organizacioni promjenama u </w:t>
      </w:r>
      <w:r w:rsidR="00FF5B10" w:rsidRPr="0048184E">
        <w:rPr>
          <w:rFonts w:cstheme="minorHAnsi"/>
          <w:sz w:val="18"/>
          <w:szCs w:val="18"/>
          <w:lang w:val="pl-PL"/>
        </w:rPr>
        <w:t>VCG</w:t>
      </w:r>
      <w:r w:rsidRPr="0048184E">
        <w:rPr>
          <w:rFonts w:cstheme="minorHAnsi"/>
          <w:sz w:val="18"/>
          <w:szCs w:val="18"/>
          <w:lang w:val="pl-PL"/>
        </w:rPr>
        <w:t xml:space="preserve"> i njenim organima uprave</w:t>
      </w:r>
      <w:r w:rsidRPr="0048184E">
        <w:rPr>
          <w:rStyle w:val="FootnoteReference"/>
          <w:rFonts w:cstheme="minorHAnsi"/>
          <w:sz w:val="18"/>
          <w:szCs w:val="18"/>
          <w:lang w:val="pl-PL"/>
        </w:rPr>
        <w:footnoteReference w:id="20"/>
      </w:r>
      <w:r w:rsidR="00FF5B10" w:rsidRPr="0048184E">
        <w:rPr>
          <w:rFonts w:cstheme="minorHAnsi"/>
          <w:sz w:val="18"/>
          <w:szCs w:val="18"/>
          <w:lang w:val="pl-PL"/>
        </w:rPr>
        <w:t>. Sve to je dovelo do velikog broja</w:t>
      </w:r>
      <w:r w:rsidRPr="0048184E">
        <w:rPr>
          <w:rFonts w:cstheme="minorHAnsi"/>
          <w:sz w:val="18"/>
          <w:szCs w:val="18"/>
          <w:lang w:val="pl-PL"/>
        </w:rPr>
        <w:t xml:space="preserve"> kadrovskih promjena koje su uslovljavale promjenu dinamike realizacije aktivnosti i uticale da ostvareni stepen realizacije aktivnosti tokom izvještajnog perioda bude niži od planiranog. Međutim, i pored nastalih izazova tokom implementacije i monitoringa, uložen je dodatni napor u cilju što dosljednijeg sprovođenja aktivnosti u pravcu realizacije ciljeva predviđenih strateškim dokumentom. Posebno je bilo izazovno pripremiti izvještaj za </w:t>
      </w:r>
      <w:r w:rsidR="00FF5B10" w:rsidRPr="0048184E">
        <w:rPr>
          <w:rFonts w:cstheme="minorHAnsi"/>
          <w:sz w:val="18"/>
          <w:szCs w:val="18"/>
          <w:lang w:val="pl-PL"/>
        </w:rPr>
        <w:t>2024.godinu imajući u vidu da a</w:t>
      </w:r>
      <w:r w:rsidRPr="0048184E">
        <w:rPr>
          <w:rFonts w:cstheme="minorHAnsi"/>
          <w:sz w:val="18"/>
          <w:szCs w:val="18"/>
          <w:lang w:val="pl-PL"/>
        </w:rPr>
        <w:t xml:space="preserve">kcioni plan za tu godinu nije bio usvojen, pa je izvještaj dao </w:t>
      </w:r>
      <w:r w:rsidRPr="0048184E">
        <w:rPr>
          <w:rFonts w:cstheme="minorHAnsi"/>
          <w:sz w:val="18"/>
          <w:szCs w:val="18"/>
          <w:lang w:val="sr-Latn-ME"/>
        </w:rPr>
        <w:t>pregled realizovanih projekat</w:t>
      </w:r>
      <w:r w:rsidR="00FF5B10" w:rsidRPr="0048184E">
        <w:rPr>
          <w:rFonts w:cstheme="minorHAnsi"/>
          <w:sz w:val="18"/>
          <w:szCs w:val="18"/>
          <w:lang w:val="sr-Latn-ME"/>
        </w:rPr>
        <w:t>a u svhru sprovođenja SRR 2023-2027</w:t>
      </w:r>
      <w:r w:rsidRPr="0048184E">
        <w:rPr>
          <w:rFonts w:cstheme="minorHAnsi"/>
          <w:sz w:val="18"/>
          <w:szCs w:val="18"/>
          <w:lang w:val="sr-Latn-ME"/>
        </w:rPr>
        <w:t>, bez podataka o poređenju reali</w:t>
      </w:r>
      <w:r w:rsidR="00FF5B10" w:rsidRPr="0048184E">
        <w:rPr>
          <w:rFonts w:cstheme="minorHAnsi"/>
          <w:sz w:val="18"/>
          <w:szCs w:val="18"/>
          <w:lang w:val="sr-Latn-ME"/>
        </w:rPr>
        <w:t>zacije u odnosu na Plan (stepen</w:t>
      </w:r>
      <w:r w:rsidRPr="0048184E">
        <w:rPr>
          <w:rFonts w:cstheme="minorHAnsi"/>
          <w:sz w:val="18"/>
          <w:szCs w:val="18"/>
          <w:lang w:val="sr-Latn-ME"/>
        </w:rPr>
        <w:t xml:space="preserve"> realizacije).</w:t>
      </w:r>
    </w:p>
    <w:p w14:paraId="79561E2A" w14:textId="77777777" w:rsidR="00223F35" w:rsidRPr="0048184E" w:rsidRDefault="00223F35" w:rsidP="0048184E">
      <w:pPr>
        <w:spacing w:after="0" w:line="240" w:lineRule="auto"/>
        <w:jc w:val="both"/>
        <w:rPr>
          <w:rFonts w:cstheme="minorHAnsi"/>
          <w:sz w:val="18"/>
          <w:szCs w:val="18"/>
          <w:lang w:val="sr-Latn-ME"/>
        </w:rPr>
      </w:pPr>
    </w:p>
    <w:p w14:paraId="77D028B1"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Iz</w:t>
      </w:r>
      <w:r w:rsidRPr="0048184E">
        <w:rPr>
          <w:rFonts w:cstheme="minorHAnsi"/>
          <w:sz w:val="18"/>
          <w:szCs w:val="18"/>
          <w:lang w:val="sr-Latn-ME"/>
        </w:rPr>
        <w:t xml:space="preserve"> </w:t>
      </w:r>
      <w:r w:rsidRPr="0048184E">
        <w:rPr>
          <w:rFonts w:cstheme="minorHAnsi"/>
          <w:sz w:val="18"/>
          <w:szCs w:val="18"/>
          <w:lang w:val="pl-PL"/>
        </w:rPr>
        <w:t>izvje</w:t>
      </w:r>
      <w:r w:rsidRPr="0048184E">
        <w:rPr>
          <w:rFonts w:cstheme="minorHAnsi"/>
          <w:sz w:val="18"/>
          <w:szCs w:val="18"/>
          <w:lang w:val="sr-Latn-ME"/>
        </w:rPr>
        <w:t>š</w:t>
      </w:r>
      <w:r w:rsidRPr="0048184E">
        <w:rPr>
          <w:rFonts w:cstheme="minorHAnsi"/>
          <w:sz w:val="18"/>
          <w:szCs w:val="18"/>
          <w:lang w:val="pl-PL"/>
        </w:rPr>
        <w:t>taja</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2023</w:t>
      </w:r>
      <w:r w:rsidR="00FF5B10" w:rsidRPr="0048184E">
        <w:rPr>
          <w:rFonts w:cstheme="minorHAnsi"/>
          <w:sz w:val="18"/>
          <w:szCs w:val="18"/>
          <w:lang w:val="sr-Latn-ME"/>
        </w:rPr>
        <w:t>.</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2024.</w:t>
      </w:r>
      <w:r w:rsidRPr="0048184E">
        <w:rPr>
          <w:rFonts w:cstheme="minorHAnsi"/>
          <w:sz w:val="18"/>
          <w:szCs w:val="18"/>
          <w:lang w:val="pl-PL"/>
        </w:rPr>
        <w:t>godinu</w:t>
      </w:r>
      <w:r w:rsidRPr="0048184E">
        <w:rPr>
          <w:rFonts w:cstheme="minorHAnsi"/>
          <w:sz w:val="18"/>
          <w:szCs w:val="18"/>
          <w:lang w:val="sr-Latn-ME"/>
        </w:rPr>
        <w:t xml:space="preserve"> </w:t>
      </w:r>
      <w:r w:rsidRPr="0048184E">
        <w:rPr>
          <w:rFonts w:cstheme="minorHAnsi"/>
          <w:sz w:val="18"/>
          <w:szCs w:val="18"/>
          <w:lang w:val="pl-PL"/>
        </w:rPr>
        <w:t>se</w:t>
      </w:r>
      <w:r w:rsidRPr="0048184E">
        <w:rPr>
          <w:rFonts w:cstheme="minorHAnsi"/>
          <w:sz w:val="18"/>
          <w:szCs w:val="18"/>
          <w:lang w:val="sr-Latn-ME"/>
        </w:rPr>
        <w:t xml:space="preserve"> </w:t>
      </w:r>
      <w:r w:rsidRPr="0048184E">
        <w:rPr>
          <w:rFonts w:cstheme="minorHAnsi"/>
          <w:sz w:val="18"/>
          <w:szCs w:val="18"/>
          <w:lang w:val="pl-PL"/>
        </w:rPr>
        <w:t>mo</w:t>
      </w:r>
      <w:r w:rsidRPr="0048184E">
        <w:rPr>
          <w:rFonts w:cstheme="minorHAnsi"/>
          <w:sz w:val="18"/>
          <w:szCs w:val="18"/>
          <w:lang w:val="sr-Latn-ME"/>
        </w:rPr>
        <w:t>ž</w:t>
      </w:r>
      <w:r w:rsidRPr="0048184E">
        <w:rPr>
          <w:rFonts w:cstheme="minorHAnsi"/>
          <w:sz w:val="18"/>
          <w:szCs w:val="18"/>
          <w:lang w:val="pl-PL"/>
        </w:rPr>
        <w:t>e</w:t>
      </w:r>
      <w:r w:rsidRPr="0048184E">
        <w:rPr>
          <w:rFonts w:cstheme="minorHAnsi"/>
          <w:sz w:val="18"/>
          <w:szCs w:val="18"/>
          <w:lang w:val="sr-Latn-ME"/>
        </w:rPr>
        <w:t xml:space="preserve"> </w:t>
      </w:r>
      <w:r w:rsidRPr="0048184E">
        <w:rPr>
          <w:rFonts w:cstheme="minorHAnsi"/>
          <w:sz w:val="18"/>
          <w:szCs w:val="18"/>
          <w:lang w:val="pl-PL"/>
        </w:rPr>
        <w:t>vidjeti</w:t>
      </w:r>
      <w:r w:rsidRPr="0048184E">
        <w:rPr>
          <w:rFonts w:cstheme="minorHAnsi"/>
          <w:sz w:val="18"/>
          <w:szCs w:val="18"/>
          <w:lang w:val="sr-Latn-ME"/>
        </w:rPr>
        <w:t xml:space="preserve">  </w:t>
      </w:r>
      <w:r w:rsidRPr="0048184E">
        <w:rPr>
          <w:rFonts w:cstheme="minorHAnsi"/>
          <w:sz w:val="18"/>
          <w:szCs w:val="18"/>
          <w:lang w:val="pl-PL"/>
        </w:rPr>
        <w:t>da</w:t>
      </w:r>
      <w:r w:rsidRPr="0048184E">
        <w:rPr>
          <w:rFonts w:cstheme="minorHAnsi"/>
          <w:sz w:val="18"/>
          <w:szCs w:val="18"/>
          <w:lang w:val="sr-Latn-ME"/>
        </w:rPr>
        <w:t xml:space="preserve"> </w:t>
      </w:r>
      <w:r w:rsidRPr="0048184E">
        <w:rPr>
          <w:rFonts w:cstheme="minorHAnsi"/>
          <w:sz w:val="18"/>
          <w:szCs w:val="18"/>
          <w:lang w:val="pl-PL"/>
        </w:rPr>
        <w:t>postoje</w:t>
      </w:r>
      <w:r w:rsidRPr="0048184E">
        <w:rPr>
          <w:rFonts w:cstheme="minorHAnsi"/>
          <w:sz w:val="18"/>
          <w:szCs w:val="18"/>
          <w:lang w:val="sr-Latn-ME"/>
        </w:rPr>
        <w:t xml:space="preserve"> </w:t>
      </w:r>
      <w:r w:rsidRPr="0048184E">
        <w:rPr>
          <w:rFonts w:cstheme="minorHAnsi"/>
          <w:sz w:val="18"/>
          <w:szCs w:val="18"/>
          <w:lang w:val="pl-PL"/>
        </w:rPr>
        <w:t>ka</w:t>
      </w:r>
      <w:r w:rsidRPr="0048184E">
        <w:rPr>
          <w:rFonts w:cstheme="minorHAnsi"/>
          <w:sz w:val="18"/>
          <w:szCs w:val="18"/>
          <w:lang w:val="sr-Latn-ME"/>
        </w:rPr>
        <w:t>š</w:t>
      </w:r>
      <w:r w:rsidRPr="0048184E">
        <w:rPr>
          <w:rFonts w:cstheme="minorHAnsi"/>
          <w:sz w:val="18"/>
          <w:szCs w:val="18"/>
          <w:lang w:val="pl-PL"/>
        </w:rPr>
        <w:t>njenja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realizaciji</w:t>
      </w:r>
      <w:r w:rsidRPr="0048184E">
        <w:rPr>
          <w:rFonts w:cstheme="minorHAnsi"/>
          <w:sz w:val="18"/>
          <w:szCs w:val="18"/>
          <w:lang w:val="sr-Latn-ME"/>
        </w:rPr>
        <w:t xml:space="preserve"> </w:t>
      </w:r>
      <w:r w:rsidRPr="0048184E">
        <w:rPr>
          <w:rFonts w:cstheme="minorHAnsi"/>
          <w:sz w:val="18"/>
          <w:szCs w:val="18"/>
          <w:lang w:val="pl-PL"/>
        </w:rPr>
        <w:t>odre</w:t>
      </w:r>
      <w:r w:rsidRPr="0048184E">
        <w:rPr>
          <w:rFonts w:cstheme="minorHAnsi"/>
          <w:sz w:val="18"/>
          <w:szCs w:val="18"/>
          <w:lang w:val="sr-Latn-ME"/>
        </w:rPr>
        <w:t>đ</w:t>
      </w:r>
      <w:r w:rsidRPr="0048184E">
        <w:rPr>
          <w:rFonts w:cstheme="minorHAnsi"/>
          <w:sz w:val="18"/>
          <w:szCs w:val="18"/>
          <w:lang w:val="pl-PL"/>
        </w:rPr>
        <w:t>enog</w:t>
      </w:r>
      <w:r w:rsidRPr="0048184E">
        <w:rPr>
          <w:rFonts w:cstheme="minorHAnsi"/>
          <w:sz w:val="18"/>
          <w:szCs w:val="18"/>
          <w:lang w:val="sr-Latn-ME"/>
        </w:rPr>
        <w:t xml:space="preserve"> </w:t>
      </w:r>
      <w:r w:rsidRPr="0048184E">
        <w:rPr>
          <w:rFonts w:cstheme="minorHAnsi"/>
          <w:sz w:val="18"/>
          <w:szCs w:val="18"/>
          <w:lang w:val="pl-PL"/>
        </w:rPr>
        <w:t>broja</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š</w:t>
      </w:r>
      <w:r w:rsidRPr="0048184E">
        <w:rPr>
          <w:rFonts w:cstheme="minorHAnsi"/>
          <w:sz w:val="18"/>
          <w:szCs w:val="18"/>
          <w:lang w:val="pl-PL"/>
        </w:rPr>
        <w:t>ta</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pored</w:t>
      </w:r>
      <w:r w:rsidRPr="0048184E">
        <w:rPr>
          <w:rFonts w:cstheme="minorHAnsi"/>
          <w:sz w:val="18"/>
          <w:szCs w:val="18"/>
          <w:lang w:val="sr-Latn-ME"/>
        </w:rPr>
        <w:t xml:space="preserve"> </w:t>
      </w:r>
      <w:r w:rsidRPr="0048184E">
        <w:rPr>
          <w:rFonts w:cstheme="minorHAnsi"/>
          <w:sz w:val="18"/>
          <w:szCs w:val="18"/>
          <w:lang w:val="pl-PL"/>
        </w:rPr>
        <w:t>identifikovanih</w:t>
      </w:r>
      <w:r w:rsidRPr="0048184E">
        <w:rPr>
          <w:rFonts w:cstheme="minorHAnsi"/>
          <w:sz w:val="18"/>
          <w:szCs w:val="18"/>
          <w:lang w:val="sr-Latn-ME"/>
        </w:rPr>
        <w:t xml:space="preserve"> </w:t>
      </w:r>
      <w:r w:rsidRPr="0048184E">
        <w:rPr>
          <w:rFonts w:cstheme="minorHAnsi"/>
          <w:sz w:val="18"/>
          <w:szCs w:val="18"/>
          <w:lang w:val="pl-PL"/>
        </w:rPr>
        <w:t>izazova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izvje</w:t>
      </w:r>
      <w:r w:rsidRPr="0048184E">
        <w:rPr>
          <w:rFonts w:cstheme="minorHAnsi"/>
          <w:sz w:val="18"/>
          <w:szCs w:val="18"/>
          <w:lang w:val="sr-Latn-ME"/>
        </w:rPr>
        <w:t>š</w:t>
      </w:r>
      <w:r w:rsidRPr="0048184E">
        <w:rPr>
          <w:rFonts w:cstheme="minorHAnsi"/>
          <w:sz w:val="18"/>
          <w:szCs w:val="18"/>
          <w:lang w:val="pl-PL"/>
        </w:rPr>
        <w:t>tajima</w:t>
      </w:r>
      <w:r w:rsidRPr="0048184E">
        <w:rPr>
          <w:rFonts w:cstheme="minorHAnsi"/>
          <w:sz w:val="18"/>
          <w:szCs w:val="18"/>
          <w:lang w:val="sr-Latn-ME"/>
        </w:rPr>
        <w:t xml:space="preserve">, </w:t>
      </w:r>
      <w:r w:rsidRPr="0048184E">
        <w:rPr>
          <w:rFonts w:cstheme="minorHAnsi"/>
          <w:sz w:val="18"/>
          <w:szCs w:val="18"/>
          <w:lang w:val="pl-PL"/>
        </w:rPr>
        <w:t>uticalo</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da</w:t>
      </w:r>
      <w:r w:rsidRPr="0048184E">
        <w:rPr>
          <w:rFonts w:cstheme="minorHAnsi"/>
          <w:sz w:val="18"/>
          <w:szCs w:val="18"/>
          <w:lang w:val="sr-Latn-ME"/>
        </w:rPr>
        <w:t xml:space="preserve"> </w:t>
      </w:r>
      <w:r w:rsidRPr="0048184E">
        <w:rPr>
          <w:rFonts w:cstheme="minorHAnsi"/>
          <w:sz w:val="18"/>
          <w:szCs w:val="18"/>
          <w:lang w:val="pl-PL"/>
        </w:rPr>
        <w:t>pojedine</w:t>
      </w:r>
      <w:r w:rsidRPr="0048184E">
        <w:rPr>
          <w:rFonts w:cstheme="minorHAnsi"/>
          <w:sz w:val="18"/>
          <w:szCs w:val="18"/>
          <w:lang w:val="sr-Latn-ME"/>
        </w:rPr>
        <w:t xml:space="preserve"> </w:t>
      </w:r>
      <w:r w:rsidRPr="0048184E">
        <w:rPr>
          <w:rFonts w:cstheme="minorHAnsi"/>
          <w:sz w:val="18"/>
          <w:szCs w:val="18"/>
          <w:lang w:val="pl-PL"/>
        </w:rPr>
        <w:t>institucije</w:t>
      </w:r>
      <w:r w:rsidRPr="0048184E">
        <w:rPr>
          <w:rFonts w:cstheme="minorHAnsi"/>
          <w:sz w:val="18"/>
          <w:szCs w:val="18"/>
          <w:lang w:val="sr-Latn-ME"/>
        </w:rPr>
        <w:t xml:space="preserve">, </w:t>
      </w:r>
      <w:r w:rsidRPr="0048184E">
        <w:rPr>
          <w:rFonts w:cstheme="minorHAnsi"/>
          <w:sz w:val="18"/>
          <w:szCs w:val="18"/>
          <w:lang w:val="pl-PL"/>
        </w:rPr>
        <w:t>ili</w:t>
      </w:r>
      <w:r w:rsidRPr="0048184E">
        <w:rPr>
          <w:rFonts w:cstheme="minorHAnsi"/>
          <w:sz w:val="18"/>
          <w:szCs w:val="18"/>
          <w:lang w:val="sr-Latn-ME"/>
        </w:rPr>
        <w:t xml:space="preserve"> </w:t>
      </w:r>
      <w:r w:rsidRPr="0048184E">
        <w:rPr>
          <w:rFonts w:cstheme="minorHAnsi"/>
          <w:sz w:val="18"/>
          <w:szCs w:val="18"/>
          <w:lang w:val="pl-PL"/>
        </w:rPr>
        <w:t>organizacione</w:t>
      </w:r>
      <w:r w:rsidRPr="0048184E">
        <w:rPr>
          <w:rFonts w:cstheme="minorHAnsi"/>
          <w:sz w:val="18"/>
          <w:szCs w:val="18"/>
          <w:lang w:val="sr-Latn-ME"/>
        </w:rPr>
        <w:t xml:space="preserve"> </w:t>
      </w:r>
      <w:r w:rsidRPr="0048184E">
        <w:rPr>
          <w:rFonts w:cstheme="minorHAnsi"/>
          <w:sz w:val="18"/>
          <w:szCs w:val="18"/>
          <w:lang w:val="pl-PL"/>
        </w:rPr>
        <w:t>jedinice</w:t>
      </w:r>
      <w:r w:rsidRPr="0048184E">
        <w:rPr>
          <w:rFonts w:cstheme="minorHAnsi"/>
          <w:sz w:val="18"/>
          <w:szCs w:val="18"/>
          <w:lang w:val="sr-Latn-ME"/>
        </w:rPr>
        <w:t xml:space="preserve"> </w:t>
      </w:r>
      <w:r w:rsidRPr="0048184E">
        <w:rPr>
          <w:rFonts w:cstheme="minorHAnsi"/>
          <w:sz w:val="18"/>
          <w:szCs w:val="18"/>
          <w:lang w:val="pl-PL"/>
        </w:rPr>
        <w:t>unutar</w:t>
      </w:r>
      <w:r w:rsidRPr="0048184E">
        <w:rPr>
          <w:rFonts w:cstheme="minorHAnsi"/>
          <w:sz w:val="18"/>
          <w:szCs w:val="18"/>
          <w:lang w:val="sr-Latn-ME"/>
        </w:rPr>
        <w:t xml:space="preserve"> </w:t>
      </w:r>
      <w:r w:rsidRPr="0048184E">
        <w:rPr>
          <w:rFonts w:cstheme="minorHAnsi"/>
          <w:sz w:val="18"/>
          <w:szCs w:val="18"/>
          <w:lang w:val="pl-PL"/>
        </w:rPr>
        <w:t>organa</w:t>
      </w:r>
      <w:r w:rsidRPr="0048184E">
        <w:rPr>
          <w:rFonts w:cstheme="minorHAnsi"/>
          <w:sz w:val="18"/>
          <w:szCs w:val="18"/>
          <w:lang w:val="sr-Latn-ME"/>
        </w:rPr>
        <w:t xml:space="preserve">, </w:t>
      </w:r>
      <w:r w:rsidRPr="0048184E">
        <w:rPr>
          <w:rFonts w:cstheme="minorHAnsi"/>
          <w:sz w:val="18"/>
          <w:szCs w:val="18"/>
          <w:lang w:val="pl-PL"/>
        </w:rPr>
        <w:t>nijesu</w:t>
      </w:r>
      <w:r w:rsidRPr="0048184E">
        <w:rPr>
          <w:rFonts w:cstheme="minorHAnsi"/>
          <w:sz w:val="18"/>
          <w:szCs w:val="18"/>
          <w:lang w:val="sr-Latn-ME"/>
        </w:rPr>
        <w:t xml:space="preserve"> </w:t>
      </w:r>
      <w:r w:rsidRPr="0048184E">
        <w:rPr>
          <w:rFonts w:cstheme="minorHAnsi"/>
          <w:sz w:val="18"/>
          <w:szCs w:val="18"/>
          <w:lang w:val="pl-PL"/>
        </w:rPr>
        <w:t>prepoznale</w:t>
      </w:r>
      <w:r w:rsidRPr="0048184E">
        <w:rPr>
          <w:rFonts w:cstheme="minorHAnsi"/>
          <w:sz w:val="18"/>
          <w:szCs w:val="18"/>
          <w:lang w:val="sr-Latn-ME"/>
        </w:rPr>
        <w:t xml:space="preserve"> </w:t>
      </w:r>
      <w:r w:rsidRPr="0048184E">
        <w:rPr>
          <w:rFonts w:cstheme="minorHAnsi"/>
          <w:sz w:val="18"/>
          <w:szCs w:val="18"/>
          <w:lang w:val="pl-PL"/>
        </w:rPr>
        <w:t>svoj</w:t>
      </w:r>
      <w:r w:rsidRPr="0048184E">
        <w:rPr>
          <w:rFonts w:cstheme="minorHAnsi"/>
          <w:sz w:val="18"/>
          <w:szCs w:val="18"/>
          <w:lang w:val="sr-Latn-ME"/>
        </w:rPr>
        <w:t xml:space="preserve"> </w:t>
      </w:r>
      <w:r w:rsidRPr="0048184E">
        <w:rPr>
          <w:rFonts w:cstheme="minorHAnsi"/>
          <w:sz w:val="18"/>
          <w:szCs w:val="18"/>
          <w:lang w:val="pl-PL"/>
        </w:rPr>
        <w:t>resor</w:t>
      </w:r>
      <w:r w:rsidRPr="0048184E">
        <w:rPr>
          <w:rFonts w:cstheme="minorHAnsi"/>
          <w:sz w:val="18"/>
          <w:szCs w:val="18"/>
          <w:lang w:val="sr-Latn-ME"/>
        </w:rPr>
        <w:t xml:space="preserve"> </w:t>
      </w:r>
      <w:r w:rsidRPr="0048184E">
        <w:rPr>
          <w:rFonts w:cstheme="minorHAnsi"/>
          <w:sz w:val="18"/>
          <w:szCs w:val="18"/>
          <w:lang w:val="pl-PL"/>
        </w:rPr>
        <w:t>kao</w:t>
      </w:r>
      <w:r w:rsidRPr="0048184E">
        <w:rPr>
          <w:rFonts w:cstheme="minorHAnsi"/>
          <w:sz w:val="18"/>
          <w:szCs w:val="18"/>
          <w:lang w:val="sr-Latn-ME"/>
        </w:rPr>
        <w:t xml:space="preserve"> </w:t>
      </w:r>
      <w:r w:rsidRPr="0048184E">
        <w:rPr>
          <w:rFonts w:cstheme="minorHAnsi"/>
          <w:sz w:val="18"/>
          <w:szCs w:val="18"/>
          <w:lang w:val="pl-PL"/>
        </w:rPr>
        <w:t>nosioca</w:t>
      </w:r>
      <w:r w:rsidRPr="0048184E">
        <w:rPr>
          <w:rFonts w:cstheme="minorHAnsi"/>
          <w:sz w:val="18"/>
          <w:szCs w:val="18"/>
          <w:lang w:val="sr-Latn-ME"/>
        </w:rPr>
        <w:t xml:space="preserve"> </w:t>
      </w:r>
      <w:r w:rsidRPr="0048184E">
        <w:rPr>
          <w:rFonts w:cstheme="minorHAnsi"/>
          <w:sz w:val="18"/>
          <w:szCs w:val="18"/>
          <w:lang w:val="pl-PL"/>
        </w:rPr>
        <w:t>ili</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č</w:t>
      </w:r>
      <w:r w:rsidRPr="0048184E">
        <w:rPr>
          <w:rFonts w:cstheme="minorHAnsi"/>
          <w:sz w:val="18"/>
          <w:szCs w:val="18"/>
          <w:lang w:val="pl-PL"/>
        </w:rPr>
        <w:t>esnika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sprovo</w:t>
      </w:r>
      <w:r w:rsidRPr="0048184E">
        <w:rPr>
          <w:rFonts w:cstheme="minorHAnsi"/>
          <w:sz w:val="18"/>
          <w:szCs w:val="18"/>
          <w:lang w:val="sr-Latn-ME"/>
        </w:rPr>
        <w:t>đ</w:t>
      </w:r>
      <w:r w:rsidRPr="0048184E">
        <w:rPr>
          <w:rFonts w:cstheme="minorHAnsi"/>
          <w:sz w:val="18"/>
          <w:szCs w:val="18"/>
          <w:lang w:val="pl-PL"/>
        </w:rPr>
        <w:t>enju</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skladu</w:t>
      </w:r>
      <w:r w:rsidRPr="0048184E">
        <w:rPr>
          <w:rFonts w:cstheme="minorHAnsi"/>
          <w:sz w:val="18"/>
          <w:szCs w:val="18"/>
          <w:lang w:val="sr-Latn-ME"/>
        </w:rPr>
        <w:t xml:space="preserve"> </w:t>
      </w:r>
      <w:r w:rsidRPr="0048184E">
        <w:rPr>
          <w:rFonts w:cstheme="minorHAnsi"/>
          <w:sz w:val="18"/>
          <w:szCs w:val="18"/>
          <w:lang w:val="pl-PL"/>
        </w:rPr>
        <w:t>sa</w:t>
      </w:r>
      <w:r w:rsidRPr="0048184E">
        <w:rPr>
          <w:rFonts w:cstheme="minorHAnsi"/>
          <w:sz w:val="18"/>
          <w:szCs w:val="18"/>
          <w:lang w:val="sr-Latn-ME"/>
        </w:rPr>
        <w:t xml:space="preserve"> </w:t>
      </w:r>
      <w:r w:rsidRPr="0048184E">
        <w:rPr>
          <w:rFonts w:cstheme="minorHAnsi"/>
          <w:sz w:val="18"/>
          <w:szCs w:val="18"/>
          <w:lang w:val="pl-PL"/>
        </w:rPr>
        <w:t>SRR</w:t>
      </w:r>
      <w:r w:rsidR="00FF5B10" w:rsidRPr="0048184E">
        <w:rPr>
          <w:rFonts w:cstheme="minorHAnsi"/>
          <w:sz w:val="18"/>
          <w:szCs w:val="18"/>
          <w:lang w:val="sr-Latn-ME"/>
        </w:rPr>
        <w:t xml:space="preserve"> 2023-2027</w:t>
      </w:r>
      <w:r w:rsidRPr="0048184E">
        <w:rPr>
          <w:rFonts w:cstheme="minorHAnsi"/>
          <w:sz w:val="18"/>
          <w:szCs w:val="18"/>
          <w:lang w:val="sr-Latn-ME"/>
        </w:rPr>
        <w:t xml:space="preserve">. </w:t>
      </w:r>
      <w:r w:rsidRPr="0048184E">
        <w:rPr>
          <w:rFonts w:cstheme="minorHAnsi"/>
          <w:sz w:val="18"/>
          <w:szCs w:val="18"/>
          <w:lang w:val="pl-PL"/>
        </w:rPr>
        <w:t>Tako</w:t>
      </w:r>
      <w:r w:rsidRPr="0048184E">
        <w:rPr>
          <w:rFonts w:cstheme="minorHAnsi"/>
          <w:sz w:val="18"/>
          <w:szCs w:val="18"/>
          <w:lang w:val="sr-Latn-ME"/>
        </w:rPr>
        <w:t>đ</w:t>
      </w:r>
      <w:r w:rsidRPr="0048184E">
        <w:rPr>
          <w:rFonts w:cstheme="minorHAnsi"/>
          <w:sz w:val="18"/>
          <w:szCs w:val="18"/>
          <w:lang w:val="pl-PL"/>
        </w:rPr>
        <w:t>e</w:t>
      </w:r>
      <w:r w:rsidRPr="0048184E">
        <w:rPr>
          <w:rFonts w:cstheme="minorHAnsi"/>
          <w:sz w:val="18"/>
          <w:szCs w:val="18"/>
          <w:lang w:val="sr-Latn-ME"/>
        </w:rPr>
        <w:t xml:space="preserve">, iz izvještaja za 2023.godinu može se zaključiti da je najveći broj aktivnosti  djelimično realizovan, odnosno aktivnosti nijesu realizovane u potpunosti u skladu sa predviđenim rokovima usljed uticaja različitih okolnosti. Prilikom realizacije aktivnosti prepoznati su sljedeći problemi, odnosno izazovi: nedostatak administrativnih kapaciteta usljed kadrovskih i organizacionih promjena; zahtjevi za dodatnim radovima u toku samog projekta od strane krajnjeg korisnika ili zbog nedostataka samog projekta; neadekvatno planiranje i pravovremeno pokretanje aktivnosti uslijed čega dolazi do promjene u dinamici realizacije projekata; složene procedure javnih nabavki; neriješeni imovinsko-pravni odnosi i postupak eksproprijacije; nedostatak finansijskih sredstava za realizaciju radova; nedostatak planske dokumentacije; nepoštovanje rokova od strane izvođača; nepredviđene okolnosti i vremenski uslovi za izvođenje građevinskih radova i dr. Takođe, pojedine aktivnosti nijesu u potpunosti realizovane zbog nedostatka interesovanja krajnjih korisnika, posebno kada je u pitanju zajednička saradnja.  </w:t>
      </w:r>
    </w:p>
    <w:p w14:paraId="07B5FCD3" w14:textId="77777777" w:rsidR="00223F35" w:rsidRPr="0048184E" w:rsidRDefault="00223F35" w:rsidP="0048184E">
      <w:pPr>
        <w:spacing w:after="0" w:line="240" w:lineRule="auto"/>
        <w:jc w:val="both"/>
        <w:rPr>
          <w:rFonts w:cstheme="minorHAnsi"/>
          <w:sz w:val="18"/>
          <w:szCs w:val="18"/>
          <w:lang w:val="sr-Latn-ME"/>
        </w:rPr>
      </w:pPr>
    </w:p>
    <w:p w14:paraId="6BB0DB21"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kona</w:t>
      </w:r>
      <w:r w:rsidRPr="0048184E">
        <w:rPr>
          <w:rFonts w:cstheme="minorHAnsi"/>
          <w:sz w:val="18"/>
          <w:szCs w:val="18"/>
          <w:lang w:val="sr-Latn-ME"/>
        </w:rPr>
        <w:t>č</w:t>
      </w:r>
      <w:r w:rsidRPr="0048184E">
        <w:rPr>
          <w:rFonts w:cstheme="minorHAnsi"/>
          <w:sz w:val="18"/>
          <w:szCs w:val="18"/>
          <w:lang w:val="pl-PL"/>
        </w:rPr>
        <w:t>nom</w:t>
      </w:r>
      <w:r w:rsidRPr="0048184E">
        <w:rPr>
          <w:rFonts w:cstheme="minorHAnsi"/>
          <w:sz w:val="18"/>
          <w:szCs w:val="18"/>
          <w:lang w:val="sr-Latn-ME"/>
        </w:rPr>
        <w:t xml:space="preserve">, </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uticalo</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izostanak</w:t>
      </w:r>
      <w:r w:rsidRPr="0048184E">
        <w:rPr>
          <w:rFonts w:cstheme="minorHAnsi"/>
          <w:sz w:val="18"/>
          <w:szCs w:val="18"/>
          <w:lang w:val="sr-Latn-ME"/>
        </w:rPr>
        <w:t xml:space="preserve"> </w:t>
      </w:r>
      <w:r w:rsidRPr="0048184E">
        <w:rPr>
          <w:rFonts w:cstheme="minorHAnsi"/>
          <w:sz w:val="18"/>
          <w:szCs w:val="18"/>
          <w:lang w:val="pl-PL"/>
        </w:rPr>
        <w:t>napretka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pojedinim</w:t>
      </w:r>
      <w:r w:rsidRPr="0048184E">
        <w:rPr>
          <w:rFonts w:cstheme="minorHAnsi"/>
          <w:sz w:val="18"/>
          <w:szCs w:val="18"/>
          <w:lang w:val="sr-Latn-ME"/>
        </w:rPr>
        <w:t xml:space="preserve"> </w:t>
      </w:r>
      <w:r w:rsidRPr="0048184E">
        <w:rPr>
          <w:rFonts w:cstheme="minorHAnsi"/>
          <w:sz w:val="18"/>
          <w:szCs w:val="18"/>
          <w:lang w:val="pl-PL"/>
        </w:rPr>
        <w:t>oblastima</w:t>
      </w:r>
      <w:r w:rsidRPr="0048184E">
        <w:rPr>
          <w:rFonts w:cstheme="minorHAnsi"/>
          <w:sz w:val="18"/>
          <w:szCs w:val="18"/>
          <w:lang w:val="sr-Latn-ME"/>
        </w:rPr>
        <w:t xml:space="preserve">, </w:t>
      </w:r>
      <w:r w:rsidRPr="0048184E">
        <w:rPr>
          <w:rFonts w:cstheme="minorHAnsi"/>
          <w:sz w:val="18"/>
          <w:szCs w:val="18"/>
          <w:lang w:val="pl-PL"/>
        </w:rPr>
        <w:t>dovelo</w:t>
      </w:r>
      <w:r w:rsidRPr="0048184E">
        <w:rPr>
          <w:rFonts w:cstheme="minorHAnsi"/>
          <w:sz w:val="18"/>
          <w:szCs w:val="18"/>
          <w:lang w:val="sr-Latn-ME"/>
        </w:rPr>
        <w:t xml:space="preserve"> </w:t>
      </w:r>
      <w:r w:rsidRPr="0048184E">
        <w:rPr>
          <w:rFonts w:cstheme="minorHAnsi"/>
          <w:sz w:val="18"/>
          <w:szCs w:val="18"/>
          <w:lang w:val="pl-PL"/>
        </w:rPr>
        <w:t>do</w:t>
      </w:r>
      <w:r w:rsidRPr="0048184E">
        <w:rPr>
          <w:rFonts w:cstheme="minorHAnsi"/>
          <w:sz w:val="18"/>
          <w:szCs w:val="18"/>
          <w:lang w:val="sr-Latn-ME"/>
        </w:rPr>
        <w:t xml:space="preserve"> </w:t>
      </w:r>
      <w:r w:rsidRPr="0048184E">
        <w:rPr>
          <w:rFonts w:cstheme="minorHAnsi"/>
          <w:sz w:val="18"/>
          <w:szCs w:val="18"/>
          <w:lang w:val="pl-PL"/>
        </w:rPr>
        <w:t>redefinisanja</w:t>
      </w:r>
      <w:r w:rsidRPr="0048184E">
        <w:rPr>
          <w:rFonts w:cstheme="minorHAnsi"/>
          <w:sz w:val="18"/>
          <w:szCs w:val="18"/>
          <w:lang w:val="sr-Latn-ME"/>
        </w:rPr>
        <w:t xml:space="preserve"> </w:t>
      </w:r>
      <w:r w:rsidRPr="0048184E">
        <w:rPr>
          <w:rFonts w:cstheme="minorHAnsi"/>
          <w:sz w:val="18"/>
          <w:szCs w:val="18"/>
          <w:lang w:val="pl-PL"/>
        </w:rPr>
        <w:t>rokova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nametnulo</w:t>
      </w:r>
      <w:r w:rsidRPr="0048184E">
        <w:rPr>
          <w:rFonts w:cstheme="minorHAnsi"/>
          <w:sz w:val="18"/>
          <w:szCs w:val="18"/>
          <w:lang w:val="sr-Latn-ME"/>
        </w:rPr>
        <w:t xml:space="preserve"> </w:t>
      </w:r>
      <w:r w:rsidRPr="0048184E">
        <w:rPr>
          <w:rFonts w:cstheme="minorHAnsi"/>
          <w:sz w:val="18"/>
          <w:szCs w:val="18"/>
          <w:lang w:val="pl-PL"/>
        </w:rPr>
        <w:t>potrebu</w:t>
      </w:r>
      <w:r w:rsidRPr="0048184E">
        <w:rPr>
          <w:rFonts w:cstheme="minorHAnsi"/>
          <w:sz w:val="18"/>
          <w:szCs w:val="18"/>
          <w:lang w:val="sr-Latn-ME"/>
        </w:rPr>
        <w:t xml:space="preserve"> </w:t>
      </w:r>
      <w:r w:rsidRPr="0048184E">
        <w:rPr>
          <w:rFonts w:cstheme="minorHAnsi"/>
          <w:sz w:val="18"/>
          <w:szCs w:val="18"/>
          <w:lang w:val="pl-PL"/>
        </w:rPr>
        <w:t>ponovnog</w:t>
      </w:r>
      <w:r w:rsidRPr="0048184E">
        <w:rPr>
          <w:rFonts w:cstheme="minorHAnsi"/>
          <w:sz w:val="18"/>
          <w:szCs w:val="18"/>
          <w:lang w:val="sr-Latn-ME"/>
        </w:rPr>
        <w:t xml:space="preserve"> </w:t>
      </w:r>
      <w:r w:rsidRPr="0048184E">
        <w:rPr>
          <w:rFonts w:cstheme="minorHAnsi"/>
          <w:sz w:val="18"/>
          <w:szCs w:val="18"/>
          <w:lang w:val="pl-PL"/>
        </w:rPr>
        <w:t>razmatranja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definisanja</w:t>
      </w:r>
      <w:r w:rsidRPr="0048184E">
        <w:rPr>
          <w:rFonts w:cstheme="minorHAnsi"/>
          <w:sz w:val="18"/>
          <w:szCs w:val="18"/>
          <w:lang w:val="sr-Latn-ME"/>
        </w:rPr>
        <w:t xml:space="preserve"> </w:t>
      </w:r>
      <w:r w:rsidRPr="0048184E">
        <w:rPr>
          <w:rFonts w:cstheme="minorHAnsi"/>
          <w:sz w:val="18"/>
          <w:szCs w:val="18"/>
          <w:lang w:val="pl-PL"/>
        </w:rPr>
        <w:t>nadle</w:t>
      </w:r>
      <w:r w:rsidRPr="0048184E">
        <w:rPr>
          <w:rFonts w:cstheme="minorHAnsi"/>
          <w:sz w:val="18"/>
          <w:szCs w:val="18"/>
          <w:lang w:val="sr-Latn-ME"/>
        </w:rPr>
        <w:t>ž</w:t>
      </w:r>
      <w:r w:rsidRPr="0048184E">
        <w:rPr>
          <w:rFonts w:cstheme="minorHAnsi"/>
          <w:sz w:val="18"/>
          <w:szCs w:val="18"/>
          <w:lang w:val="pl-PL"/>
        </w:rPr>
        <w:t>nosti</w:t>
      </w:r>
      <w:r w:rsidRPr="0048184E">
        <w:rPr>
          <w:rFonts w:cstheme="minorHAnsi"/>
          <w:sz w:val="18"/>
          <w:szCs w:val="18"/>
          <w:lang w:val="sr-Latn-ME"/>
        </w:rPr>
        <w:t xml:space="preserve"> </w:t>
      </w:r>
      <w:r w:rsidR="00FF5B10" w:rsidRPr="0048184E">
        <w:rPr>
          <w:rFonts w:cstheme="minorHAnsi"/>
          <w:sz w:val="18"/>
          <w:szCs w:val="18"/>
          <w:lang w:val="pl-PL"/>
        </w:rPr>
        <w:t>za</w:t>
      </w:r>
      <w:r w:rsidR="00FF5B10" w:rsidRPr="0048184E">
        <w:rPr>
          <w:rFonts w:cstheme="minorHAnsi"/>
          <w:sz w:val="18"/>
          <w:szCs w:val="18"/>
          <w:lang w:val="sr-Latn-ME"/>
        </w:rPr>
        <w:t xml:space="preserve"> </w:t>
      </w:r>
      <w:r w:rsidR="00FF5B10" w:rsidRPr="0048184E">
        <w:rPr>
          <w:rFonts w:cstheme="minorHAnsi"/>
          <w:sz w:val="18"/>
          <w:szCs w:val="18"/>
          <w:lang w:val="pl-PL"/>
        </w:rPr>
        <w:t>pojedine</w:t>
      </w:r>
      <w:r w:rsidR="00FF5B10" w:rsidRPr="0048184E">
        <w:rPr>
          <w:rFonts w:cstheme="minorHAnsi"/>
          <w:sz w:val="18"/>
          <w:szCs w:val="18"/>
          <w:lang w:val="sr-Latn-ME"/>
        </w:rPr>
        <w:t xml:space="preserve"> </w:t>
      </w:r>
      <w:r w:rsidR="00FF5B10" w:rsidRPr="0048184E">
        <w:rPr>
          <w:rFonts w:cstheme="minorHAnsi"/>
          <w:sz w:val="18"/>
          <w:szCs w:val="18"/>
          <w:lang w:val="pl-PL"/>
        </w:rPr>
        <w:t>aktivnosti</w:t>
      </w:r>
      <w:r w:rsidR="00FF5B10" w:rsidRPr="0048184E">
        <w:rPr>
          <w:rFonts w:cstheme="minorHAnsi"/>
          <w:sz w:val="18"/>
          <w:szCs w:val="18"/>
          <w:lang w:val="sr-Latn-ME"/>
        </w:rPr>
        <w:t xml:space="preserve"> </w:t>
      </w:r>
      <w:r w:rsidR="00FF5B10" w:rsidRPr="0048184E">
        <w:rPr>
          <w:rFonts w:cstheme="minorHAnsi"/>
          <w:sz w:val="18"/>
          <w:szCs w:val="18"/>
          <w:lang w:val="pl-PL"/>
        </w:rPr>
        <w:t>o</w:t>
      </w:r>
      <w:r w:rsidR="00FF5B10" w:rsidRPr="0048184E">
        <w:rPr>
          <w:rFonts w:cstheme="minorHAnsi"/>
          <w:sz w:val="18"/>
          <w:szCs w:val="18"/>
          <w:lang w:val="sr-Latn-ME"/>
        </w:rPr>
        <w:t xml:space="preserve"> č</w:t>
      </w:r>
      <w:r w:rsidR="00FF5B10" w:rsidRPr="0048184E">
        <w:rPr>
          <w:rFonts w:cstheme="minorHAnsi"/>
          <w:sz w:val="18"/>
          <w:szCs w:val="18"/>
          <w:lang w:val="pl-PL"/>
        </w:rPr>
        <w:t>emu</w:t>
      </w:r>
      <w:r w:rsidR="00FF5B10" w:rsidRPr="0048184E">
        <w:rPr>
          <w:rFonts w:cstheme="minorHAnsi"/>
          <w:sz w:val="18"/>
          <w:szCs w:val="18"/>
          <w:lang w:val="sr-Latn-ME"/>
        </w:rPr>
        <w:t xml:space="preserve"> ć</w:t>
      </w:r>
      <w:r w:rsidR="00FF5B10" w:rsidRPr="0048184E">
        <w:rPr>
          <w:rFonts w:cstheme="minorHAnsi"/>
          <w:sz w:val="18"/>
          <w:szCs w:val="18"/>
          <w:lang w:val="pl-PL"/>
        </w:rPr>
        <w:t>e</w:t>
      </w:r>
      <w:r w:rsidR="00FF5B10" w:rsidRPr="0048184E">
        <w:rPr>
          <w:rFonts w:cstheme="minorHAnsi"/>
          <w:sz w:val="18"/>
          <w:szCs w:val="18"/>
          <w:lang w:val="sr-Latn-ME"/>
        </w:rPr>
        <w:t xml:space="preserve"> </w:t>
      </w:r>
      <w:r w:rsidR="00FF5B10" w:rsidRPr="0048184E">
        <w:rPr>
          <w:rFonts w:cstheme="minorHAnsi"/>
          <w:sz w:val="18"/>
          <w:szCs w:val="18"/>
          <w:lang w:val="pl-PL"/>
        </w:rPr>
        <w:t>se</w:t>
      </w:r>
      <w:r w:rsidR="00FF5B10" w:rsidRPr="0048184E">
        <w:rPr>
          <w:rFonts w:cstheme="minorHAnsi"/>
          <w:sz w:val="18"/>
          <w:szCs w:val="18"/>
          <w:lang w:val="sr-Latn-ME"/>
        </w:rPr>
        <w:t xml:space="preserve"> </w:t>
      </w:r>
      <w:r w:rsidR="00FF5B10" w:rsidRPr="0048184E">
        <w:rPr>
          <w:rFonts w:cstheme="minorHAnsi"/>
          <w:sz w:val="18"/>
          <w:szCs w:val="18"/>
          <w:lang w:val="pl-PL"/>
        </w:rPr>
        <w:t>posebno</w:t>
      </w:r>
      <w:r w:rsidR="00FF5B10" w:rsidRPr="0048184E">
        <w:rPr>
          <w:rFonts w:cstheme="minorHAnsi"/>
          <w:sz w:val="18"/>
          <w:szCs w:val="18"/>
          <w:lang w:val="sr-Latn-ME"/>
        </w:rPr>
        <w:t xml:space="preserve"> </w:t>
      </w:r>
      <w:r w:rsidR="00FF5B10" w:rsidRPr="0048184E">
        <w:rPr>
          <w:rFonts w:cstheme="minorHAnsi"/>
          <w:sz w:val="18"/>
          <w:szCs w:val="18"/>
          <w:lang w:val="pl-PL"/>
        </w:rPr>
        <w:t>voditi</w:t>
      </w:r>
      <w:r w:rsidR="00FF5B10" w:rsidRPr="0048184E">
        <w:rPr>
          <w:rFonts w:cstheme="minorHAnsi"/>
          <w:sz w:val="18"/>
          <w:szCs w:val="18"/>
          <w:lang w:val="sr-Latn-ME"/>
        </w:rPr>
        <w:t xml:space="preserve"> </w:t>
      </w:r>
      <w:r w:rsidR="00FF5B10" w:rsidRPr="0048184E">
        <w:rPr>
          <w:rFonts w:cstheme="minorHAnsi"/>
          <w:sz w:val="18"/>
          <w:szCs w:val="18"/>
          <w:lang w:val="pl-PL"/>
        </w:rPr>
        <w:t>ra</w:t>
      </w:r>
      <w:r w:rsidR="00FF5B10" w:rsidRPr="0048184E">
        <w:rPr>
          <w:rFonts w:cstheme="minorHAnsi"/>
          <w:sz w:val="18"/>
          <w:szCs w:val="18"/>
          <w:lang w:val="sr-Latn-ME"/>
        </w:rPr>
        <w:t>č</w:t>
      </w:r>
      <w:r w:rsidR="00FF5B10" w:rsidRPr="0048184E">
        <w:rPr>
          <w:rFonts w:cstheme="minorHAnsi"/>
          <w:sz w:val="18"/>
          <w:szCs w:val="18"/>
          <w:lang w:val="pl-PL"/>
        </w:rPr>
        <w:t>una</w:t>
      </w:r>
      <w:r w:rsidR="00FF5B10" w:rsidRPr="0048184E">
        <w:rPr>
          <w:rFonts w:cstheme="minorHAnsi"/>
          <w:sz w:val="18"/>
          <w:szCs w:val="18"/>
          <w:lang w:val="sr-Latn-ME"/>
        </w:rPr>
        <w:t xml:space="preserve"> </w:t>
      </w:r>
      <w:r w:rsidR="00FF5B10" w:rsidRPr="0048184E">
        <w:rPr>
          <w:rFonts w:cstheme="minorHAnsi"/>
          <w:sz w:val="18"/>
          <w:szCs w:val="18"/>
          <w:lang w:val="pl-PL"/>
        </w:rPr>
        <w:t>u</w:t>
      </w:r>
      <w:r w:rsidR="00FF5B10" w:rsidRPr="0048184E">
        <w:rPr>
          <w:rFonts w:cstheme="minorHAnsi"/>
          <w:sz w:val="18"/>
          <w:szCs w:val="18"/>
          <w:lang w:val="sr-Latn-ME"/>
        </w:rPr>
        <w:t xml:space="preserve"> </w:t>
      </w:r>
      <w:r w:rsidR="00FF5B10" w:rsidRPr="0048184E">
        <w:rPr>
          <w:rFonts w:cstheme="minorHAnsi"/>
          <w:sz w:val="18"/>
          <w:szCs w:val="18"/>
          <w:lang w:val="pl-PL"/>
        </w:rPr>
        <w:t>ovom</w:t>
      </w:r>
      <w:r w:rsidR="00FF5B10" w:rsidRPr="0048184E">
        <w:rPr>
          <w:rFonts w:cstheme="minorHAnsi"/>
          <w:sz w:val="18"/>
          <w:szCs w:val="18"/>
          <w:lang w:val="sr-Latn-ME"/>
        </w:rPr>
        <w:t xml:space="preserve"> </w:t>
      </w:r>
      <w:r w:rsidR="00FF5B10" w:rsidRPr="0048184E">
        <w:rPr>
          <w:rFonts w:cstheme="minorHAnsi"/>
          <w:sz w:val="18"/>
          <w:szCs w:val="18"/>
          <w:lang w:val="pl-PL"/>
        </w:rPr>
        <w:t>strate</w:t>
      </w:r>
      <w:r w:rsidR="00FF5B10" w:rsidRPr="0048184E">
        <w:rPr>
          <w:rFonts w:cstheme="minorHAnsi"/>
          <w:sz w:val="18"/>
          <w:szCs w:val="18"/>
          <w:lang w:val="sr-Latn-ME"/>
        </w:rPr>
        <w:t>š</w:t>
      </w:r>
      <w:r w:rsidR="00FF5B10" w:rsidRPr="0048184E">
        <w:rPr>
          <w:rFonts w:cstheme="minorHAnsi"/>
          <w:sz w:val="18"/>
          <w:szCs w:val="18"/>
          <w:lang w:val="pl-PL"/>
        </w:rPr>
        <w:t>kom</w:t>
      </w:r>
      <w:r w:rsidR="00FF5B10" w:rsidRPr="0048184E">
        <w:rPr>
          <w:rFonts w:cstheme="minorHAnsi"/>
          <w:sz w:val="18"/>
          <w:szCs w:val="18"/>
          <w:lang w:val="sr-Latn-ME"/>
        </w:rPr>
        <w:t xml:space="preserve"> (</w:t>
      </w:r>
      <w:r w:rsidR="00FF5B10" w:rsidRPr="0048184E">
        <w:rPr>
          <w:rFonts w:cstheme="minorHAnsi"/>
          <w:sz w:val="18"/>
          <w:szCs w:val="18"/>
          <w:lang w:val="pl-PL"/>
        </w:rPr>
        <w:t>revidovanom</w:t>
      </w:r>
      <w:r w:rsidR="00FF5B10" w:rsidRPr="0048184E">
        <w:rPr>
          <w:rFonts w:cstheme="minorHAnsi"/>
          <w:sz w:val="18"/>
          <w:szCs w:val="18"/>
          <w:lang w:val="sr-Latn-ME"/>
        </w:rPr>
        <w:t xml:space="preserve">) </w:t>
      </w:r>
      <w:r w:rsidR="00FF5B10" w:rsidRPr="0048184E">
        <w:rPr>
          <w:rFonts w:cstheme="minorHAnsi"/>
          <w:sz w:val="18"/>
          <w:szCs w:val="18"/>
          <w:lang w:val="pl-PL"/>
        </w:rPr>
        <w:t>dokumentu</w:t>
      </w:r>
      <w:r w:rsidR="00FF5B10" w:rsidRPr="0048184E">
        <w:rPr>
          <w:rFonts w:cstheme="minorHAnsi"/>
          <w:sz w:val="18"/>
          <w:szCs w:val="18"/>
          <w:lang w:val="sr-Latn-ME"/>
        </w:rPr>
        <w:t xml:space="preserve">. </w:t>
      </w:r>
      <w:r w:rsidRPr="0048184E">
        <w:rPr>
          <w:rFonts w:cstheme="minorHAnsi"/>
          <w:sz w:val="18"/>
          <w:szCs w:val="18"/>
          <w:lang w:val="sr-Latn-ME"/>
        </w:rPr>
        <w:t xml:space="preserve"> </w:t>
      </w:r>
    </w:p>
    <w:p w14:paraId="7AD36ED4" w14:textId="77777777" w:rsidR="00FF5B10" w:rsidRPr="0048184E" w:rsidRDefault="00FF5B10" w:rsidP="0048184E">
      <w:pPr>
        <w:spacing w:after="0" w:line="240" w:lineRule="auto"/>
        <w:jc w:val="both"/>
        <w:rPr>
          <w:rFonts w:cstheme="minorHAnsi"/>
          <w:sz w:val="18"/>
          <w:szCs w:val="18"/>
          <w:lang w:val="sr-Latn-ME"/>
        </w:rPr>
      </w:pPr>
    </w:p>
    <w:p w14:paraId="1C4FC64F"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Iako</w:t>
      </w:r>
      <w:r w:rsidRPr="0048184E">
        <w:rPr>
          <w:rFonts w:cstheme="minorHAnsi"/>
          <w:sz w:val="18"/>
          <w:szCs w:val="18"/>
          <w:lang w:val="sr-Latn-ME"/>
        </w:rPr>
        <w:t xml:space="preserve"> </w:t>
      </w:r>
      <w:r w:rsidRPr="0048184E">
        <w:rPr>
          <w:rFonts w:cstheme="minorHAnsi"/>
          <w:sz w:val="18"/>
          <w:szCs w:val="18"/>
          <w:lang w:val="pl-PL"/>
        </w:rPr>
        <w:t>broj</w:t>
      </w:r>
      <w:r w:rsidRPr="0048184E">
        <w:rPr>
          <w:rFonts w:cstheme="minorHAnsi"/>
          <w:sz w:val="18"/>
          <w:szCs w:val="18"/>
          <w:lang w:val="sr-Latn-ME"/>
        </w:rPr>
        <w:t xml:space="preserve"> </w:t>
      </w:r>
      <w:r w:rsidRPr="0048184E">
        <w:rPr>
          <w:rFonts w:cstheme="minorHAnsi"/>
          <w:sz w:val="18"/>
          <w:szCs w:val="18"/>
          <w:lang w:val="pl-PL"/>
        </w:rPr>
        <w:t>realizovanih</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nije</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potpunosti</w:t>
      </w:r>
      <w:r w:rsidRPr="0048184E">
        <w:rPr>
          <w:rFonts w:cstheme="minorHAnsi"/>
          <w:sz w:val="18"/>
          <w:szCs w:val="18"/>
          <w:lang w:val="sr-Latn-ME"/>
        </w:rPr>
        <w:t xml:space="preserve"> </w:t>
      </w:r>
      <w:r w:rsidRPr="0048184E">
        <w:rPr>
          <w:rFonts w:cstheme="minorHAnsi"/>
          <w:sz w:val="18"/>
          <w:szCs w:val="18"/>
          <w:lang w:val="pl-PL"/>
        </w:rPr>
        <w:t>zadovoljavaju</w:t>
      </w:r>
      <w:r w:rsidRPr="0048184E">
        <w:rPr>
          <w:rFonts w:cstheme="minorHAnsi"/>
          <w:sz w:val="18"/>
          <w:szCs w:val="18"/>
          <w:lang w:val="sr-Latn-ME"/>
        </w:rPr>
        <w:t>ć</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one</w:t>
      </w:r>
      <w:r w:rsidRPr="0048184E">
        <w:rPr>
          <w:rFonts w:cstheme="minorHAnsi"/>
          <w:sz w:val="18"/>
          <w:szCs w:val="18"/>
          <w:lang w:val="sr-Latn-ME"/>
        </w:rPr>
        <w:t xml:space="preserve"> </w:t>
      </w:r>
      <w:r w:rsidRPr="0048184E">
        <w:rPr>
          <w:rFonts w:cstheme="minorHAnsi"/>
          <w:sz w:val="18"/>
          <w:szCs w:val="18"/>
          <w:lang w:val="pl-PL"/>
        </w:rPr>
        <w:t>koje</w:t>
      </w:r>
      <w:r w:rsidRPr="0048184E">
        <w:rPr>
          <w:rFonts w:cstheme="minorHAnsi"/>
          <w:sz w:val="18"/>
          <w:szCs w:val="18"/>
          <w:lang w:val="sr-Latn-ME"/>
        </w:rPr>
        <w:t xml:space="preserve"> </w:t>
      </w:r>
      <w:r w:rsidRPr="0048184E">
        <w:rPr>
          <w:rFonts w:cstheme="minorHAnsi"/>
          <w:sz w:val="18"/>
          <w:szCs w:val="18"/>
          <w:lang w:val="pl-PL"/>
        </w:rPr>
        <w:t>su</w:t>
      </w:r>
      <w:r w:rsidRPr="0048184E">
        <w:rPr>
          <w:rFonts w:cstheme="minorHAnsi"/>
          <w:sz w:val="18"/>
          <w:szCs w:val="18"/>
          <w:lang w:val="sr-Latn-ME"/>
        </w:rPr>
        <w:t xml:space="preserve"> </w:t>
      </w:r>
      <w:r w:rsidRPr="0048184E">
        <w:rPr>
          <w:rFonts w:cstheme="minorHAnsi"/>
          <w:sz w:val="18"/>
          <w:szCs w:val="18"/>
          <w:lang w:val="pl-PL"/>
        </w:rPr>
        <w:t>realizovane</w:t>
      </w:r>
      <w:r w:rsidRPr="0048184E">
        <w:rPr>
          <w:rFonts w:cstheme="minorHAnsi"/>
          <w:sz w:val="18"/>
          <w:szCs w:val="18"/>
          <w:lang w:val="sr-Latn-ME"/>
        </w:rPr>
        <w:t xml:space="preserve"> </w:t>
      </w:r>
      <w:r w:rsidRPr="0048184E">
        <w:rPr>
          <w:rFonts w:cstheme="minorHAnsi"/>
          <w:sz w:val="18"/>
          <w:szCs w:val="18"/>
          <w:lang w:val="pl-PL"/>
        </w:rPr>
        <w:t>jasno</w:t>
      </w:r>
      <w:r w:rsidRPr="0048184E">
        <w:rPr>
          <w:rFonts w:cstheme="minorHAnsi"/>
          <w:sz w:val="18"/>
          <w:szCs w:val="18"/>
          <w:lang w:val="sr-Latn-ME"/>
        </w:rPr>
        <w:t xml:space="preserve"> </w:t>
      </w:r>
      <w:r w:rsidRPr="0048184E">
        <w:rPr>
          <w:rFonts w:cstheme="minorHAnsi"/>
          <w:sz w:val="18"/>
          <w:szCs w:val="18"/>
          <w:lang w:val="pl-PL"/>
        </w:rPr>
        <w:t>ukazuju</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napore</w:t>
      </w:r>
      <w:r w:rsidRPr="0048184E">
        <w:rPr>
          <w:rFonts w:cstheme="minorHAnsi"/>
          <w:sz w:val="18"/>
          <w:szCs w:val="18"/>
          <w:lang w:val="sr-Latn-ME"/>
        </w:rPr>
        <w:t xml:space="preserve"> </w:t>
      </w:r>
      <w:r w:rsidR="00B26027">
        <w:rPr>
          <w:rFonts w:cstheme="minorHAnsi"/>
          <w:sz w:val="18"/>
          <w:szCs w:val="18"/>
          <w:lang w:val="pl-PL"/>
        </w:rPr>
        <w:t>MIRN</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drugih</w:t>
      </w:r>
      <w:r w:rsidRPr="0048184E">
        <w:rPr>
          <w:rFonts w:cstheme="minorHAnsi"/>
          <w:sz w:val="18"/>
          <w:szCs w:val="18"/>
          <w:lang w:val="sr-Latn-ME"/>
        </w:rPr>
        <w:t xml:space="preserve"> </w:t>
      </w:r>
      <w:r w:rsidRPr="0048184E">
        <w:rPr>
          <w:rFonts w:cstheme="minorHAnsi"/>
          <w:sz w:val="18"/>
          <w:szCs w:val="18"/>
          <w:lang w:val="pl-PL"/>
        </w:rPr>
        <w:t>nadle</w:t>
      </w:r>
      <w:r w:rsidRPr="0048184E">
        <w:rPr>
          <w:rFonts w:cstheme="minorHAnsi"/>
          <w:sz w:val="18"/>
          <w:szCs w:val="18"/>
          <w:lang w:val="sr-Latn-ME"/>
        </w:rPr>
        <w:t>ž</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organa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ostvarivanju</w:t>
      </w:r>
      <w:r w:rsidRPr="0048184E">
        <w:rPr>
          <w:rFonts w:cstheme="minorHAnsi"/>
          <w:sz w:val="18"/>
          <w:szCs w:val="18"/>
          <w:lang w:val="sr-Latn-ME"/>
        </w:rPr>
        <w:t xml:space="preserve"> </w:t>
      </w:r>
      <w:r w:rsidRPr="0048184E">
        <w:rPr>
          <w:rFonts w:cstheme="minorHAnsi"/>
          <w:sz w:val="18"/>
          <w:szCs w:val="18"/>
          <w:lang w:val="pl-PL"/>
        </w:rPr>
        <w:t>definisanim ciljeva</w:t>
      </w:r>
      <w:r w:rsidRPr="0048184E">
        <w:rPr>
          <w:rFonts w:cstheme="minorHAnsi"/>
          <w:sz w:val="18"/>
          <w:szCs w:val="18"/>
          <w:lang w:val="sr-Latn-ME"/>
        </w:rPr>
        <w:t xml:space="preserve">. Realizacija planiranih aktivnosti doprinijele su </w:t>
      </w:r>
      <w:r w:rsidR="00FF5B10" w:rsidRPr="0048184E">
        <w:rPr>
          <w:rFonts w:cstheme="minorHAnsi"/>
          <w:sz w:val="18"/>
          <w:szCs w:val="18"/>
          <w:lang w:val="sr-Latn-ME"/>
        </w:rPr>
        <w:t xml:space="preserve">jednim dijelom </w:t>
      </w:r>
      <w:r w:rsidRPr="0048184E">
        <w:rPr>
          <w:rFonts w:cstheme="minorHAnsi"/>
          <w:sz w:val="18"/>
          <w:szCs w:val="18"/>
          <w:lang w:val="sr-Latn-ME"/>
        </w:rPr>
        <w:t xml:space="preserve">povećanju kvaliteta života svih građana, poboljšanju zapošljivosti i rasta dohotka, čime se </w:t>
      </w:r>
      <w:r w:rsidR="00FF5B10" w:rsidRPr="0048184E">
        <w:rPr>
          <w:rFonts w:cstheme="minorHAnsi"/>
          <w:sz w:val="18"/>
          <w:szCs w:val="18"/>
          <w:lang w:val="sr-Latn-ME"/>
        </w:rPr>
        <w:t>doprinosi smanjivanju</w:t>
      </w:r>
      <w:r w:rsidRPr="0048184E">
        <w:rPr>
          <w:rFonts w:cstheme="minorHAnsi"/>
          <w:sz w:val="18"/>
          <w:szCs w:val="18"/>
          <w:lang w:val="sr-Latn-ME"/>
        </w:rPr>
        <w:t xml:space="preserve"> rizik</w:t>
      </w:r>
      <w:r w:rsidR="00FF5B10" w:rsidRPr="0048184E">
        <w:rPr>
          <w:rFonts w:cstheme="minorHAnsi"/>
          <w:sz w:val="18"/>
          <w:szCs w:val="18"/>
          <w:lang w:val="sr-Latn-ME"/>
        </w:rPr>
        <w:t>a</w:t>
      </w:r>
      <w:r w:rsidRPr="0048184E">
        <w:rPr>
          <w:rFonts w:cstheme="minorHAnsi"/>
          <w:sz w:val="18"/>
          <w:szCs w:val="18"/>
          <w:lang w:val="sr-Latn-ME"/>
        </w:rPr>
        <w:t xml:space="preserve"> od siromaštva i </w:t>
      </w:r>
      <w:r w:rsidR="00FF5B10" w:rsidRPr="0048184E">
        <w:rPr>
          <w:rFonts w:cstheme="minorHAnsi"/>
          <w:sz w:val="18"/>
          <w:szCs w:val="18"/>
          <w:lang w:val="sr-Latn-ME"/>
        </w:rPr>
        <w:t>sprečavaju migracija</w:t>
      </w:r>
      <w:r w:rsidRPr="0048184E">
        <w:rPr>
          <w:rFonts w:cstheme="minorHAnsi"/>
          <w:sz w:val="18"/>
          <w:szCs w:val="18"/>
          <w:lang w:val="sr-Latn-ME"/>
        </w:rPr>
        <w:t>.</w:t>
      </w:r>
    </w:p>
    <w:p w14:paraId="3B7791F3" w14:textId="77777777" w:rsidR="00223F35" w:rsidRPr="0048184E" w:rsidRDefault="00223F35" w:rsidP="0048184E">
      <w:pPr>
        <w:spacing w:after="0" w:line="240" w:lineRule="auto"/>
        <w:jc w:val="both"/>
        <w:rPr>
          <w:rFonts w:cstheme="minorHAnsi"/>
          <w:sz w:val="18"/>
          <w:szCs w:val="18"/>
          <w:lang w:val="sr-Latn-ME"/>
        </w:rPr>
      </w:pPr>
    </w:p>
    <w:p w14:paraId="7526FB87"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Kratak osvrt na ključna dostignuća u 2023. i 2024.</w:t>
      </w:r>
      <w:r w:rsidR="00B26027">
        <w:rPr>
          <w:rFonts w:cstheme="minorHAnsi"/>
          <w:sz w:val="18"/>
          <w:szCs w:val="18"/>
          <w:lang w:val="sr-Latn-ME"/>
        </w:rPr>
        <w:t xml:space="preserve"> </w:t>
      </w:r>
      <w:r w:rsidRPr="0048184E">
        <w:rPr>
          <w:rFonts w:cstheme="minorHAnsi"/>
          <w:sz w:val="18"/>
          <w:szCs w:val="18"/>
          <w:lang w:val="sr-Latn-ME"/>
        </w:rPr>
        <w:t>godini:</w:t>
      </w:r>
    </w:p>
    <w:p w14:paraId="738C6B97" w14:textId="77777777" w:rsidR="00223F35" w:rsidRPr="0048184E" w:rsidRDefault="00223F35" w:rsidP="0048184E">
      <w:pPr>
        <w:spacing w:after="0" w:line="240" w:lineRule="auto"/>
        <w:jc w:val="both"/>
        <w:rPr>
          <w:rFonts w:cstheme="minorHAnsi"/>
          <w:sz w:val="18"/>
          <w:szCs w:val="18"/>
          <w:lang w:val="sr-Latn-ME"/>
        </w:rPr>
      </w:pPr>
    </w:p>
    <w:p w14:paraId="6D08824E" w14:textId="77777777" w:rsidR="00223F35" w:rsidRPr="0048184E" w:rsidRDefault="00B26027" w:rsidP="0048184E">
      <w:pPr>
        <w:pStyle w:val="ListParagraph"/>
        <w:numPr>
          <w:ilvl w:val="0"/>
          <w:numId w:val="20"/>
        </w:numPr>
        <w:spacing w:after="0" w:line="240" w:lineRule="auto"/>
        <w:jc w:val="both"/>
        <w:rPr>
          <w:rFonts w:cstheme="minorHAnsi"/>
          <w:sz w:val="18"/>
          <w:szCs w:val="18"/>
          <w:lang w:val="sr-Latn-ME"/>
        </w:rPr>
      </w:pPr>
      <w:r>
        <w:rPr>
          <w:rFonts w:cstheme="minorHAnsi"/>
          <w:sz w:val="18"/>
          <w:szCs w:val="18"/>
          <w:lang w:val="sr-Latn-ME"/>
        </w:rPr>
        <w:t>u</w:t>
      </w:r>
      <w:r w:rsidR="00223F35" w:rsidRPr="0048184E">
        <w:rPr>
          <w:rFonts w:cstheme="minorHAnsi"/>
          <w:sz w:val="18"/>
          <w:szCs w:val="18"/>
          <w:lang w:val="sr-Latn-ME"/>
        </w:rPr>
        <w:t xml:space="preserve">spostavljena je bolja koordinacija politike regionalnog razvoja osnivanjem Ministarstva za investiciono-regionalni razvoj i saradnju sa nevladinim organizacijama, </w:t>
      </w:r>
    </w:p>
    <w:p w14:paraId="7A7BCD50" w14:textId="77777777" w:rsidR="00223F35" w:rsidRPr="0048184E" w:rsidRDefault="00223F35"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 xml:space="preserve">nastavljen je pozitivan trend povećanja broja projekata JLS koji se finansiraju iz EU fondova. Ipak, podaci pokazuju da nije došlo do jačanja fiskalnih pozicija manje razvijenih opština, već da je porastao broj JLS koje ostvaruju pravo na sredstva iz Egalizacionog fonda na ukupno 19 (13 u Sjevernom, 4 u Središnjem i 2 u Primorskom regionu). </w:t>
      </w:r>
    </w:p>
    <w:p w14:paraId="7A807450" w14:textId="77777777" w:rsidR="00223F35" w:rsidRPr="0048184E" w:rsidRDefault="00FF5B10"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pl-PL"/>
        </w:rPr>
        <w:t xml:space="preserve">u </w:t>
      </w:r>
      <w:r w:rsidR="00223F35" w:rsidRPr="0048184E">
        <w:rPr>
          <w:rFonts w:cstheme="minorHAnsi"/>
          <w:sz w:val="18"/>
          <w:szCs w:val="18"/>
          <w:lang w:val="pl-PL"/>
        </w:rPr>
        <w:t xml:space="preserve">oblasti zapošljavanja ostvaren je vidan napredak. Prema podacima Ankete o radnoj snazi iz 2023. godine, anketna stopa nezaposlenosti iznosila je 31,9% u Sjevernom regionu, 10,1% u Središnjem regionu i 3,1% u Primorskom regionu. U istom periodu, stope zaposlenosti bile su 33,9% u Sjevernom regionu, 60,9% u Središnjem regionu i čak 71,4% u Primorskom regionu. Anketna stopa nezaposlenosti u 2024.godini iznosila je 25,7% u Sjevernom regionu, u Središnjem regionu 8,4% i 2% u Primorskom region. U istom periodu, stope zaposlenosti bile su 43,5% u Sjevernom regionu, 62,3% u Središnjem regionu i 60% u Primorskom regionu. </w:t>
      </w:r>
    </w:p>
    <w:p w14:paraId="2CFB23D0" w14:textId="77777777" w:rsidR="00223F35" w:rsidRPr="0048184E" w:rsidRDefault="00223F35"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 xml:space="preserve">pokrenute su aktivnosti usmjerene na poboljšanje kvaliteta obrazovanja, zdravstvene i socijalne zaštite kroz jačanje infrastrukture, pa je rađeno na </w:t>
      </w:r>
      <w:r w:rsidRPr="0048184E">
        <w:rPr>
          <w:rFonts w:cstheme="minorHAnsi"/>
          <w:sz w:val="18"/>
          <w:szCs w:val="18"/>
          <w:lang w:val="pl-PL"/>
        </w:rPr>
        <w:t>adaptaciji</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rekonstrukciji</w:t>
      </w:r>
      <w:r w:rsidRPr="0048184E">
        <w:rPr>
          <w:rFonts w:cstheme="minorHAnsi"/>
          <w:sz w:val="18"/>
          <w:szCs w:val="18"/>
          <w:lang w:val="sr-Latn-ME"/>
        </w:rPr>
        <w:t xml:space="preserve"> </w:t>
      </w:r>
      <w:r w:rsidRPr="0048184E">
        <w:rPr>
          <w:rFonts w:cstheme="minorHAnsi"/>
          <w:sz w:val="18"/>
          <w:szCs w:val="18"/>
          <w:lang w:val="pl-PL"/>
        </w:rPr>
        <w:t>vrti</w:t>
      </w:r>
      <w:r w:rsidRPr="0048184E">
        <w:rPr>
          <w:rFonts w:cstheme="minorHAnsi"/>
          <w:sz w:val="18"/>
          <w:szCs w:val="18"/>
          <w:lang w:val="sr-Latn-ME"/>
        </w:rPr>
        <w:t>ć</w:t>
      </w:r>
      <w:r w:rsidRPr="0048184E">
        <w:rPr>
          <w:rFonts w:cstheme="minorHAnsi"/>
          <w:sz w:val="18"/>
          <w:szCs w:val="18"/>
          <w:lang w:val="pl-PL"/>
        </w:rPr>
        <w:t>a</w:t>
      </w:r>
      <w:r w:rsidRPr="0048184E">
        <w:rPr>
          <w:rFonts w:cstheme="minorHAnsi"/>
          <w:sz w:val="18"/>
          <w:szCs w:val="18"/>
          <w:lang w:val="sr-Latn-ME"/>
        </w:rPr>
        <w:t>, š</w:t>
      </w:r>
      <w:r w:rsidRPr="0048184E">
        <w:rPr>
          <w:rFonts w:cstheme="minorHAnsi"/>
          <w:sz w:val="18"/>
          <w:szCs w:val="18"/>
          <w:lang w:val="pl-PL"/>
        </w:rPr>
        <w:t>kola</w:t>
      </w:r>
      <w:r w:rsidRPr="0048184E">
        <w:rPr>
          <w:rFonts w:cstheme="minorHAnsi"/>
          <w:sz w:val="18"/>
          <w:szCs w:val="18"/>
          <w:lang w:val="sr-Latn-ME"/>
        </w:rPr>
        <w:t xml:space="preserve">, </w:t>
      </w:r>
      <w:r w:rsidRPr="0048184E">
        <w:rPr>
          <w:rFonts w:cstheme="minorHAnsi"/>
          <w:sz w:val="18"/>
          <w:szCs w:val="18"/>
          <w:lang w:val="pl-PL"/>
        </w:rPr>
        <w:t>objekata</w:t>
      </w:r>
      <w:r w:rsidRPr="0048184E">
        <w:rPr>
          <w:rFonts w:cstheme="minorHAnsi"/>
          <w:sz w:val="18"/>
          <w:szCs w:val="18"/>
          <w:lang w:val="sr-Latn-ME"/>
        </w:rPr>
        <w:t xml:space="preserve"> </w:t>
      </w:r>
      <w:r w:rsidRPr="0048184E">
        <w:rPr>
          <w:rFonts w:cstheme="minorHAnsi"/>
          <w:sz w:val="18"/>
          <w:szCs w:val="18"/>
          <w:lang w:val="pl-PL"/>
        </w:rPr>
        <w:t>socijalne</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zdravstvene</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š</w:t>
      </w:r>
      <w:r w:rsidRPr="0048184E">
        <w:rPr>
          <w:rFonts w:cstheme="minorHAnsi"/>
          <w:sz w:val="18"/>
          <w:szCs w:val="18"/>
          <w:lang w:val="pl-PL"/>
        </w:rPr>
        <w:t>tite</w:t>
      </w:r>
      <w:r w:rsidRPr="0048184E">
        <w:rPr>
          <w:rFonts w:cstheme="minorHAnsi"/>
          <w:sz w:val="18"/>
          <w:szCs w:val="18"/>
          <w:lang w:val="sr-Latn-ME"/>
        </w:rPr>
        <w:t>.</w:t>
      </w:r>
    </w:p>
    <w:p w14:paraId="3999BB0E" w14:textId="77777777" w:rsidR="00223F35" w:rsidRPr="0048184E" w:rsidRDefault="00223F35"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sr-Latn-ME"/>
        </w:rPr>
        <w:t xml:space="preserve">sprovedene su aktivnosti usmjerene na unapređenje znanja i vještina, uključujući podsticanje proučavanja STEM programa (programa prirodnih nauka) u osnovnim, srednjim školama i na fakultetima. Program je implementiran u 163 osnovne škole, 50 srednjih škola i 3 ustanove visokog obrazovanja. </w:t>
      </w:r>
    </w:p>
    <w:p w14:paraId="59A9CF6B"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pl-PL"/>
        </w:rPr>
        <w:lastRenderedPageBreak/>
        <w:t>u</w:t>
      </w:r>
      <w:r w:rsidR="00223F35" w:rsidRPr="0048184E">
        <w:rPr>
          <w:rFonts w:cstheme="minorHAnsi"/>
          <w:sz w:val="18"/>
          <w:szCs w:val="18"/>
          <w:lang w:val="sr-Latn-ME"/>
        </w:rPr>
        <w:t xml:space="preserve"> cilju povećanja regionalne konkurentnosti, realizovane su značajne investicije u infrastrukturu za širokopojasni pristup internetu, kao i u unaprjeđenje institucionalne infrastrukture za razvoj preduzetništva i inovacija, poput radova na Naučno-tehnološkom parku u Podgorici i Domu digitalne revolucije u Nikšiću. </w:t>
      </w:r>
    </w:p>
    <w:p w14:paraId="628712B6"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p</w:t>
      </w:r>
      <w:r w:rsidR="00223F35" w:rsidRPr="0048184E">
        <w:rPr>
          <w:rFonts w:cstheme="minorHAnsi"/>
          <w:sz w:val="18"/>
          <w:szCs w:val="18"/>
          <w:lang w:val="sr-Latn-ME"/>
        </w:rPr>
        <w:t xml:space="preserve">odrška preduzećima za unaprjeđenje konkurentnosti obezbijeđena je kroz kreditna sredstva za 459 korisnika u 2023.godini u iznosu od 188,2 mil. eura, kao i kroz različite programe podrške za preko 400 korisnika u vrijednosti od 6 mil. eura. </w:t>
      </w:r>
      <w:r w:rsidR="00223F35" w:rsidRPr="0048184E">
        <w:rPr>
          <w:rFonts w:cstheme="minorHAnsi"/>
          <w:sz w:val="18"/>
          <w:szCs w:val="18"/>
          <w:lang w:val="pl-PL"/>
        </w:rPr>
        <w:t>P</w:t>
      </w:r>
      <w:r w:rsidR="00223F35" w:rsidRPr="0048184E">
        <w:rPr>
          <w:rFonts w:cstheme="minorHAnsi"/>
          <w:sz w:val="18"/>
          <w:szCs w:val="18"/>
          <w:lang w:val="sr-Latn-ME"/>
        </w:rPr>
        <w:t xml:space="preserve">odrška preduzećima za unaprjeđenje konkurentnosti u 2024. godini obezbijeđena je kroz kreditna sredstva IRF-a za 414 korisnika u iznosu od 186,1 mil. EUR, kao i kroz različite programe podrške državnog budžeta. </w:t>
      </w:r>
    </w:p>
    <w:p w14:paraId="72E5BDF6" w14:textId="17E21DA1" w:rsidR="00223F35" w:rsidRPr="0048184E" w:rsidRDefault="00223F35"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pl-PL"/>
        </w:rPr>
        <w:t>značajni</w:t>
      </w:r>
      <w:r w:rsidRPr="0048184E">
        <w:rPr>
          <w:rFonts w:cstheme="minorHAnsi"/>
          <w:sz w:val="18"/>
          <w:szCs w:val="18"/>
          <w:lang w:val="sr-Latn-ME"/>
        </w:rPr>
        <w:t xml:space="preserve"> rezultati zabilježeni su u oblasti turizma, gdje je ostvareno 16.389.279 noćenja</w:t>
      </w:r>
      <w:r w:rsidR="00C43A75">
        <w:rPr>
          <w:rFonts w:cstheme="minorHAnsi"/>
          <w:sz w:val="18"/>
          <w:szCs w:val="18"/>
          <w:lang w:val="sr-Latn-ME"/>
        </w:rPr>
        <w:t xml:space="preserve"> u 2023. godini</w:t>
      </w:r>
      <w:r w:rsidRPr="0048184E">
        <w:rPr>
          <w:rFonts w:cstheme="minorHAnsi"/>
          <w:sz w:val="18"/>
          <w:szCs w:val="18"/>
          <w:lang w:val="sr-Latn-ME"/>
        </w:rPr>
        <w:t>, što predstavlja rast od 3</w:t>
      </w:r>
      <w:r w:rsidR="00BD00C4">
        <w:rPr>
          <w:rFonts w:cstheme="minorHAnsi"/>
          <w:sz w:val="18"/>
          <w:szCs w:val="18"/>
          <w:lang w:val="sr-Latn-ME"/>
        </w:rPr>
        <w:t>2</w:t>
      </w:r>
      <w:r w:rsidRPr="0048184E">
        <w:rPr>
          <w:rFonts w:cstheme="minorHAnsi"/>
          <w:sz w:val="18"/>
          <w:szCs w:val="18"/>
          <w:lang w:val="sr-Latn-ME"/>
        </w:rPr>
        <w:t>%</w:t>
      </w:r>
      <w:r w:rsidR="0085124C">
        <w:rPr>
          <w:rFonts w:cstheme="minorHAnsi"/>
          <w:sz w:val="18"/>
          <w:szCs w:val="18"/>
          <w:lang w:val="sr-Latn-ME"/>
        </w:rPr>
        <w:t xml:space="preserve"> u odnosu na 2022. godinu</w:t>
      </w:r>
      <w:r w:rsidRPr="0048184E">
        <w:rPr>
          <w:rFonts w:cstheme="minorHAnsi"/>
          <w:sz w:val="18"/>
          <w:szCs w:val="18"/>
          <w:lang w:val="sr-Latn-ME"/>
        </w:rPr>
        <w:t xml:space="preserve">. Posmatrano po regionima, u Sjevernom regionu ostvareno je 387.949 noćenja (rast od 27,7%), u Središnjem regionu 549.221 noćenja (rast od 18,6%), dok je u Primorskom ostvareno 15.452.109 noćenja (rast od 32,5%). </w:t>
      </w:r>
    </w:p>
    <w:p w14:paraId="72B56B25" w14:textId="77777777" w:rsidR="00223F35" w:rsidRPr="0048184E" w:rsidRDefault="00FF5B10"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sr-Latn-ME"/>
        </w:rPr>
        <w:t>n</w:t>
      </w:r>
      <w:r w:rsidR="00223F35" w:rsidRPr="0048184E">
        <w:rPr>
          <w:rFonts w:cstheme="minorHAnsi"/>
          <w:sz w:val="18"/>
          <w:szCs w:val="18"/>
          <w:lang w:val="sr-Latn-ME"/>
        </w:rPr>
        <w:t>apredak je ostvaren i u oblasti poljoprivrede. Prema podacima Registra poljoprivrednih gazdinstava, broj poljoprivrednih gazdinstava u 2023. godini dostigao je 20.508, što predstavlja povećanje od 2.575 ili 14,4% u odnosu na prethodnu godinu. Posmatrano po regionima, broj poljoprivrednih gazdinstava porastao je u Sjevernom regionu na 10.890 (rast od 13,0%), Središnjem regionu na 7.241 (rast od 15,6%) i Primorskom na 2.277 (rast od 16,9%).</w:t>
      </w:r>
    </w:p>
    <w:p w14:paraId="34DC501F"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pl-PL"/>
        </w:rPr>
        <w:t>u</w:t>
      </w:r>
      <w:r w:rsidR="00223F35" w:rsidRPr="0048184E">
        <w:rPr>
          <w:rFonts w:cstheme="minorHAnsi"/>
          <w:sz w:val="18"/>
          <w:szCs w:val="18"/>
          <w:lang w:val="sr-Latn-ME"/>
        </w:rPr>
        <w:t xml:space="preserve"> cilju unaprjeđenja saobraćajne infrastrukture u 2023, realizovane su investicije na poboljšanju putne infrastrukture u vrijednosti od 63,7 mil. eura, od čega je 44 mil. eura uloženo u Sjeverni regionu, 14,5 mil. eura u Središnji regionu i 5,2 mil. eura u Primorski regionu. Takođe, uloženo je 3,4 mil. eura u željezničku infrastrukturu.  U 2024  realizovane su investicije na poboljšanju putne infrastrukture u vrijednosti od 107,9 mil. EUR, od čega je 62 mil. EUR uloženo u Sjeverni regionu, 36,7 mil. EUR u Središnji regionu i 8,8 mil. EUR u Primorski regionu. Takođe, uloženo je 2,3 mil. EUR u željezničku infrastrukturu.</w:t>
      </w:r>
    </w:p>
    <w:p w14:paraId="02FA7B79"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u</w:t>
      </w:r>
      <w:r w:rsidR="00223F35" w:rsidRPr="0048184E">
        <w:rPr>
          <w:rFonts w:cstheme="minorHAnsi"/>
          <w:sz w:val="18"/>
          <w:szCs w:val="18"/>
          <w:lang w:val="sr-Latn-ME"/>
        </w:rPr>
        <w:t xml:space="preserve"> oblasti zaštite životne sredine, razvoja energetike, unaprjeđenja energetske efikasnosti, adaptacije i mitigacije efekata klimatskih promjena, realizuju se aktivnosti na izgradnji infrastrukture za upravljanje otpadom (Mojkovac i Andrijevica), vodosnabdijevanjem (Pljevlja, Bijelo Polje, Luštica-Herceg Novi i Ulcinj) i upravljanje otpadnim vodama (Pljevlja, Podgorica, Vranjina, Herceg Novi, Ulcinj, Risan i Perast). </w:t>
      </w:r>
    </w:p>
    <w:p w14:paraId="5E5F8C00" w14:textId="77777777" w:rsidR="00223F35" w:rsidRPr="0048184E" w:rsidRDefault="00223F35"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u oblasti energetike sprovedene su aktivnosti na rekonstrukciji i modernizaciji proizvodnih kapaciteta (TE Pljevlja, HE Piva, HE Perućica i dvije mHE), ugradnji fotonaponskih sistema u domaćinstvima i privredi ukupne instalisane snage od 30 MW, kao i na rekonstrukciji postojećih i izgradnji novih trafostanica i dalekovoda.</w:t>
      </w:r>
    </w:p>
    <w:p w14:paraId="128ABAF1" w14:textId="77777777" w:rsidR="006167B2" w:rsidRPr="0048184E" w:rsidRDefault="006167B2" w:rsidP="0048184E">
      <w:pPr>
        <w:spacing w:after="0" w:line="240" w:lineRule="auto"/>
        <w:ind w:left="180"/>
        <w:jc w:val="both"/>
        <w:rPr>
          <w:rFonts w:cstheme="minorHAnsi"/>
          <w:sz w:val="18"/>
          <w:szCs w:val="18"/>
          <w:lang w:val="sr-Latn-ME"/>
        </w:rPr>
      </w:pPr>
    </w:p>
    <w:p w14:paraId="6F3258FC" w14:textId="77777777" w:rsidR="00223F35" w:rsidRDefault="006167B2" w:rsidP="0048184E">
      <w:pPr>
        <w:spacing w:after="0" w:line="240" w:lineRule="auto"/>
        <w:jc w:val="both"/>
        <w:rPr>
          <w:rFonts w:cstheme="minorHAnsi"/>
          <w:sz w:val="18"/>
          <w:szCs w:val="18"/>
          <w:lang w:val="sr-Latn-ME"/>
        </w:rPr>
      </w:pPr>
      <w:r w:rsidRPr="0048184E">
        <w:rPr>
          <w:rFonts w:cstheme="minorHAnsi"/>
          <w:b/>
          <w:sz w:val="18"/>
          <w:szCs w:val="18"/>
          <w:lang w:val="sr-Latn-ME"/>
        </w:rPr>
        <w:t>Glavne izazove za ostvarivanje ciljeva</w:t>
      </w:r>
      <w:r w:rsidRPr="0048184E">
        <w:rPr>
          <w:rFonts w:cstheme="minorHAnsi"/>
          <w:sz w:val="18"/>
          <w:szCs w:val="18"/>
          <w:lang w:val="sr-Latn-ME"/>
        </w:rPr>
        <w:t xml:space="preserve"> SRR 2023-2027. i dalje predstavljaju: neujednačeni fiskalni kapaciteti i način finansiranja JLS, zatim nedovoljno razvijeni administrativni kapaciteti JLS, nedostaci u koordinaciji politike regionalnog razvoja, ograničenost statističkih podataka na nivou regiona i JLS za praćenje ostvarenosti ciljeva, visoka nezaposlenost i stopa rizika od siromaštva, negativna demografska kretanja, nerazvijena infrastruktura, nedovoljna konkurentnost privrede i visok stepen neformalne ekonomije.</w:t>
      </w:r>
    </w:p>
    <w:p w14:paraId="798CA68B" w14:textId="77777777" w:rsidR="00061252" w:rsidRPr="0048184E" w:rsidRDefault="00061252" w:rsidP="0048184E">
      <w:pPr>
        <w:spacing w:after="0" w:line="240" w:lineRule="auto"/>
        <w:jc w:val="both"/>
        <w:rPr>
          <w:rFonts w:cstheme="minorHAnsi"/>
          <w:sz w:val="18"/>
          <w:szCs w:val="18"/>
          <w:lang w:val="sr-Latn-ME"/>
        </w:rPr>
      </w:pPr>
    </w:p>
    <w:p w14:paraId="23DE0B06" w14:textId="77777777" w:rsidR="00223F35" w:rsidRPr="003C2A72" w:rsidRDefault="004630DF" w:rsidP="0048184E">
      <w:pPr>
        <w:pStyle w:val="Heading21"/>
        <w:numPr>
          <w:ilvl w:val="1"/>
          <w:numId w:val="27"/>
        </w:numPr>
        <w:spacing w:before="0"/>
        <w:rPr>
          <w:color w:val="4472C4" w:themeColor="accent5"/>
          <w:szCs w:val="22"/>
        </w:rPr>
      </w:pPr>
      <w:bookmarkStart w:id="16" w:name="_Toc205215832"/>
      <w:r w:rsidRPr="003C2A72">
        <w:rPr>
          <w:color w:val="4472C4" w:themeColor="accent5"/>
          <w:szCs w:val="22"/>
        </w:rPr>
        <w:t>P</w:t>
      </w:r>
      <w:r w:rsidR="00223F35" w:rsidRPr="003C2A72">
        <w:rPr>
          <w:color w:val="4472C4" w:themeColor="accent5"/>
          <w:szCs w:val="22"/>
        </w:rPr>
        <w:t>regled realizovanih ulaganja</w:t>
      </w:r>
      <w:bookmarkEnd w:id="16"/>
    </w:p>
    <w:p w14:paraId="1859A7A5" w14:textId="77777777" w:rsidR="00223F35" w:rsidRPr="0048184E" w:rsidRDefault="00223F35" w:rsidP="0048184E">
      <w:pPr>
        <w:spacing w:after="0" w:line="240" w:lineRule="auto"/>
        <w:jc w:val="both"/>
        <w:rPr>
          <w:rFonts w:cstheme="minorHAnsi"/>
          <w:b/>
          <w:sz w:val="18"/>
          <w:szCs w:val="18"/>
          <w:lang w:val="sr-Latn-ME"/>
        </w:rPr>
      </w:pPr>
    </w:p>
    <w:p w14:paraId="42811CD7"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Ukupna sredstva utrošena za </w:t>
      </w:r>
      <w:r w:rsidRPr="0048184E">
        <w:rPr>
          <w:rFonts w:cstheme="minorHAnsi"/>
          <w:b/>
          <w:sz w:val="18"/>
          <w:szCs w:val="18"/>
          <w:lang w:val="sr-Latn-ME"/>
        </w:rPr>
        <w:t>sprovođenje aktivnosti SRR</w:t>
      </w:r>
      <w:r w:rsidR="00FF5B10" w:rsidRPr="0048184E">
        <w:rPr>
          <w:rFonts w:cstheme="minorHAnsi"/>
          <w:b/>
          <w:sz w:val="18"/>
          <w:szCs w:val="18"/>
          <w:lang w:val="sr-Latn-ME"/>
        </w:rPr>
        <w:t xml:space="preserve"> 2023-2027</w:t>
      </w:r>
      <w:r w:rsidRPr="0048184E">
        <w:rPr>
          <w:rFonts w:cstheme="minorHAnsi"/>
          <w:b/>
          <w:sz w:val="18"/>
          <w:szCs w:val="18"/>
          <w:lang w:val="sr-Latn-ME"/>
        </w:rPr>
        <w:t xml:space="preserve"> u 2023. godini iznosila su 492,7 mil. eura</w:t>
      </w:r>
      <w:r w:rsidRPr="0048184E">
        <w:rPr>
          <w:rFonts w:cstheme="minorHAnsi"/>
          <w:sz w:val="18"/>
          <w:szCs w:val="18"/>
          <w:lang w:val="sr-Latn-ME"/>
        </w:rPr>
        <w:t>, što predstavlja 2,9% više od planiranih (478,9 mil. eura).  Posmatrano po strateškim ciljevima skoro kompletan iznos, tačnije skoro 95% ulaganja odnosi se na aktivnosti strateškog cilja 3 (</w:t>
      </w:r>
      <w:r w:rsidRPr="0048184E">
        <w:rPr>
          <w:rFonts w:cstheme="minorHAnsi"/>
          <w:iCs/>
          <w:sz w:val="18"/>
          <w:szCs w:val="18"/>
          <w:lang w:val="sr-Latn-ME"/>
        </w:rPr>
        <w:t>Povećanje konkurentnosti regiona zasnovano na unaprjeđenju infrastrukture, poboljšanju poslovnog ambijenta i razvoj prioritetnih sektora i sektora sa potencijalom rasta)</w:t>
      </w:r>
      <w:r w:rsidRPr="0048184E">
        <w:rPr>
          <w:rFonts w:cstheme="minorHAnsi"/>
          <w:sz w:val="18"/>
          <w:szCs w:val="18"/>
          <w:lang w:val="sr-Latn-ME"/>
        </w:rPr>
        <w:t xml:space="preserve">. Posmatrano po regionima, prema dostupnim podacima, najveći iznos sredstava utrošen je za realizaciju aktivnosti u Središnjem regionu – 204,2 mil. eura, zatim u Sjeverni region – oko 99,9 mil. eura, dok je u Primorski region uloženo 55,9 mil. eura. Preostala sredstva uložena su za aktivnosti koje su realizovane na nacionalnom nivou, odnosno sredstva koja nije bilo moguće rasporediti po regionima, a iznos ovih sredstava je 132,7 mil. eura, što je 27% ukupnih ulaganja.  </w:t>
      </w:r>
    </w:p>
    <w:p w14:paraId="6E3C2AE9" w14:textId="77777777" w:rsidR="00223F35" w:rsidRPr="0048184E" w:rsidRDefault="00223F35" w:rsidP="0048184E">
      <w:pPr>
        <w:spacing w:after="0" w:line="240" w:lineRule="auto"/>
        <w:jc w:val="both"/>
        <w:rPr>
          <w:rFonts w:cstheme="minorHAnsi"/>
          <w:sz w:val="18"/>
          <w:szCs w:val="18"/>
          <w:lang w:val="sr-Latn-ME"/>
        </w:rPr>
      </w:pPr>
    </w:p>
    <w:p w14:paraId="15471F70" w14:textId="77777777" w:rsidR="00223F35" w:rsidRPr="0048184E" w:rsidRDefault="00223F35" w:rsidP="0048184E">
      <w:pPr>
        <w:spacing w:after="0" w:line="240" w:lineRule="auto"/>
        <w:jc w:val="both"/>
        <w:rPr>
          <w:rFonts w:cstheme="minorHAnsi"/>
          <w:i/>
          <w:sz w:val="18"/>
          <w:szCs w:val="18"/>
          <w:lang w:val="sr-Latn-ME"/>
        </w:rPr>
      </w:pPr>
      <w:bookmarkStart w:id="17" w:name="_Hlk201238618"/>
      <w:r w:rsidRPr="0048184E">
        <w:rPr>
          <w:rFonts w:cstheme="minorHAnsi"/>
          <w:sz w:val="18"/>
          <w:szCs w:val="18"/>
          <w:lang w:val="sr-Latn-ME"/>
        </w:rPr>
        <w:t xml:space="preserve">Za sprovođenje aktivnosti u </w:t>
      </w:r>
      <w:r w:rsidRPr="0048184E">
        <w:rPr>
          <w:rFonts w:cstheme="minorHAnsi"/>
          <w:b/>
          <w:sz w:val="18"/>
          <w:szCs w:val="18"/>
          <w:lang w:val="sr-Latn-ME"/>
        </w:rPr>
        <w:t>svrhu realizacije SRR</w:t>
      </w:r>
      <w:r w:rsidR="000F6FE5" w:rsidRPr="0048184E">
        <w:rPr>
          <w:rFonts w:cstheme="minorHAnsi"/>
          <w:b/>
          <w:sz w:val="18"/>
          <w:szCs w:val="18"/>
          <w:lang w:val="sr-Latn-ME"/>
        </w:rPr>
        <w:t xml:space="preserve"> 2023-2027</w:t>
      </w:r>
      <w:r w:rsidRPr="0048184E">
        <w:rPr>
          <w:rFonts w:cstheme="minorHAnsi"/>
          <w:b/>
          <w:sz w:val="18"/>
          <w:szCs w:val="18"/>
          <w:lang w:val="sr-Latn-ME"/>
        </w:rPr>
        <w:t xml:space="preserve"> u 2024. godini, uloženo je ukupno </w:t>
      </w:r>
      <w:r w:rsidRPr="0048184E">
        <w:rPr>
          <w:rFonts w:cstheme="minorHAnsi"/>
          <w:b/>
          <w:bCs/>
          <w:sz w:val="18"/>
          <w:szCs w:val="18"/>
          <w:lang w:val="pl-PL"/>
        </w:rPr>
        <w:t>593,299,343 EUR</w:t>
      </w:r>
      <w:r w:rsidRPr="0048184E">
        <w:rPr>
          <w:rFonts w:cstheme="minorHAnsi"/>
          <w:bCs/>
          <w:sz w:val="18"/>
          <w:szCs w:val="18"/>
          <w:lang w:val="pl-PL"/>
        </w:rPr>
        <w:t xml:space="preserve">. </w:t>
      </w:r>
      <w:r w:rsidRPr="0048184E">
        <w:rPr>
          <w:rFonts w:cstheme="minorHAnsi"/>
          <w:sz w:val="18"/>
          <w:szCs w:val="18"/>
          <w:lang w:val="sr-Latn-ME"/>
        </w:rPr>
        <w:t>Posmatrano po strateškim ciljevima skoro kompletan iznos, tačnije 96,6% ulaganja odnosi se na aktivnosti strateškog cilja 3: (</w:t>
      </w:r>
      <w:r w:rsidRPr="0048184E">
        <w:rPr>
          <w:rFonts w:cstheme="minorHAnsi"/>
          <w:iCs/>
          <w:sz w:val="18"/>
          <w:szCs w:val="18"/>
          <w:lang w:val="sr-Latn-ME"/>
        </w:rPr>
        <w:t xml:space="preserve">Povećanje konkurentnosti regiona zasnovano na unaprjeđenju infrastrukture, poboljšanju poslovnog ambijenta i razvoj prioritetnih sektora i sektora sa potencijalom rasta). </w:t>
      </w:r>
      <w:r w:rsidRPr="0048184E">
        <w:rPr>
          <w:rFonts w:cstheme="minorHAnsi"/>
          <w:sz w:val="18"/>
          <w:szCs w:val="18"/>
          <w:lang w:val="sr-Latn-ME"/>
        </w:rPr>
        <w:t xml:space="preserve">Posmatrano po regionima, prema dostupnim podacima, najveći iznos sredstava utrošen je za realizaciju aktivnosti u Središnjem regionu – 225,9 mil. EUR, zatim u Sjeverni region – oko 154,9 mil. EUR, dok je u Primorski region uloženo 72,6 mil. EUR. Međutim, dodatno treba istaći da preostali dio uloženih sredstava, koji je značajan – 139,8 mil. EUR, predstavljaju uložena sredstva koja nije bilo moguće rasporediti po regionima. </w:t>
      </w:r>
      <w:bookmarkEnd w:id="17"/>
    </w:p>
    <w:p w14:paraId="648DC9A7" w14:textId="77777777" w:rsidR="00223F35" w:rsidRPr="0048184E" w:rsidRDefault="00223F35" w:rsidP="0048184E">
      <w:pPr>
        <w:spacing w:after="0" w:line="240" w:lineRule="auto"/>
        <w:jc w:val="both"/>
        <w:rPr>
          <w:rFonts w:cstheme="minorHAnsi"/>
          <w:sz w:val="18"/>
          <w:szCs w:val="18"/>
          <w:lang w:val="sr-Latn-ME"/>
        </w:rPr>
      </w:pPr>
    </w:p>
    <w:p w14:paraId="2E7DEDD3"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Treba napomenuti da je prikupljanje adekvatnih podataka bio je veliki izazov, što se upravo odrazilo i na visinu ovog iznosa, koji nije bilo moguće locirati po regionima. Kada posmatramo odnos realizovanih i planiranih ulaganja na nivou regiona, u Sjevernom regionu realizacija je bila manja, nasuprot relizaciji u ostala dva regiona, u kojima je uloženo više sredstava u odnosu na plan u  2023.godini. </w:t>
      </w:r>
    </w:p>
    <w:p w14:paraId="30198F8B" w14:textId="77777777" w:rsidR="00223F35" w:rsidRPr="0048184E" w:rsidRDefault="00223F35" w:rsidP="0048184E">
      <w:pPr>
        <w:spacing w:after="0" w:line="240" w:lineRule="auto"/>
        <w:jc w:val="both"/>
        <w:rPr>
          <w:rFonts w:cstheme="minorHAnsi"/>
          <w:sz w:val="18"/>
          <w:szCs w:val="18"/>
          <w:lang w:val="sr-Latn-ME"/>
        </w:rPr>
      </w:pPr>
    </w:p>
    <w:p w14:paraId="5FA4A3CE"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Kada govorimo o</w:t>
      </w:r>
      <w:r w:rsidRPr="0048184E">
        <w:rPr>
          <w:rFonts w:cstheme="minorHAnsi"/>
          <w:b/>
          <w:sz w:val="18"/>
          <w:szCs w:val="18"/>
          <w:lang w:val="sr-Latn-ME"/>
        </w:rPr>
        <w:t xml:space="preserve"> strukturi izvora finansiranja</w:t>
      </w:r>
      <w:r w:rsidRPr="0048184E">
        <w:rPr>
          <w:rFonts w:cstheme="minorHAnsi"/>
          <w:sz w:val="18"/>
          <w:szCs w:val="18"/>
          <w:lang w:val="sr-Latn-ME"/>
        </w:rPr>
        <w:t xml:space="preserve"> aktivnosti su u 2023. i 2024.</w:t>
      </w:r>
      <w:r w:rsidR="00B26027">
        <w:rPr>
          <w:rFonts w:cstheme="minorHAnsi"/>
          <w:sz w:val="18"/>
          <w:szCs w:val="18"/>
          <w:lang w:val="sr-Latn-ME"/>
        </w:rPr>
        <w:t xml:space="preserve"> </w:t>
      </w:r>
      <w:r w:rsidRPr="0048184E">
        <w:rPr>
          <w:rFonts w:cstheme="minorHAnsi"/>
          <w:sz w:val="18"/>
          <w:szCs w:val="18"/>
          <w:lang w:val="sr-Latn-ME"/>
        </w:rPr>
        <w:t xml:space="preserve">godini  u najvećoj mjeri finansirane sredstvima javnog sektora (IRF, javne institucije, uključujući privredna društva u većinskom državnom vlasništvu).  </w:t>
      </w:r>
    </w:p>
    <w:p w14:paraId="4A2D0DA5" w14:textId="77777777" w:rsidR="00223F35" w:rsidRPr="0048184E" w:rsidRDefault="00223F35" w:rsidP="0048184E">
      <w:pPr>
        <w:spacing w:after="0" w:line="240" w:lineRule="auto"/>
        <w:jc w:val="both"/>
        <w:rPr>
          <w:rFonts w:cstheme="minorHAnsi"/>
          <w:sz w:val="18"/>
          <w:szCs w:val="18"/>
          <w:lang w:val="sr-Latn-ME"/>
        </w:rPr>
      </w:pPr>
    </w:p>
    <w:p w14:paraId="3D715DCA" w14:textId="77777777" w:rsidR="006167B2" w:rsidRPr="003C2A72" w:rsidRDefault="006167B2" w:rsidP="0048184E">
      <w:pPr>
        <w:pStyle w:val="Heading21"/>
        <w:numPr>
          <w:ilvl w:val="1"/>
          <w:numId w:val="27"/>
        </w:numPr>
        <w:spacing w:before="0"/>
        <w:rPr>
          <w:color w:val="4472C4" w:themeColor="accent5"/>
          <w:szCs w:val="22"/>
        </w:rPr>
      </w:pPr>
      <w:bookmarkStart w:id="18" w:name="_Toc205215833"/>
      <w:r w:rsidRPr="003C2A72">
        <w:rPr>
          <w:color w:val="4472C4" w:themeColor="accent5"/>
          <w:szCs w:val="22"/>
        </w:rPr>
        <w:lastRenderedPageBreak/>
        <w:t>Zakonodavni okvir</w:t>
      </w:r>
      <w:bookmarkEnd w:id="18"/>
    </w:p>
    <w:p w14:paraId="4127E8F9" w14:textId="77777777" w:rsidR="006167B2" w:rsidRPr="0048184E" w:rsidRDefault="006167B2" w:rsidP="0048184E">
      <w:pPr>
        <w:spacing w:after="0" w:line="240" w:lineRule="auto"/>
        <w:ind w:right="375"/>
        <w:jc w:val="both"/>
        <w:rPr>
          <w:rFonts w:eastAsia="Calibri" w:cstheme="minorHAnsi"/>
          <w:b/>
          <w:bCs/>
          <w:sz w:val="18"/>
          <w:szCs w:val="18"/>
          <w:lang w:val="sr-Latn-ME"/>
        </w:rPr>
      </w:pPr>
    </w:p>
    <w:p w14:paraId="33216316" w14:textId="77777777" w:rsidR="006167B2" w:rsidRPr="0048184E" w:rsidRDefault="006167B2" w:rsidP="0048184E">
      <w:pPr>
        <w:spacing w:after="0" w:line="240" w:lineRule="auto"/>
        <w:ind w:right="375"/>
        <w:jc w:val="both"/>
        <w:rPr>
          <w:rFonts w:eastAsia="Times New Roman" w:cstheme="minorHAnsi"/>
          <w:sz w:val="18"/>
          <w:szCs w:val="18"/>
          <w:lang w:val="sr-Latn-ME" w:eastAsia="sr-Cyrl-CS"/>
        </w:rPr>
      </w:pPr>
      <w:r w:rsidRPr="0048184E">
        <w:rPr>
          <w:rFonts w:eastAsia="Calibri" w:cstheme="minorHAnsi"/>
          <w:b/>
          <w:bCs/>
          <w:sz w:val="18"/>
          <w:szCs w:val="18"/>
          <w:lang w:val="sr-Latn-ME"/>
        </w:rPr>
        <w:t xml:space="preserve">Ustav Crne Gore </w:t>
      </w:r>
      <w:r w:rsidRPr="0048184E">
        <w:rPr>
          <w:rFonts w:eastAsia="Times New Roman" w:cstheme="minorHAnsi"/>
          <w:sz w:val="18"/>
          <w:szCs w:val="18"/>
          <w:lang w:val="pl-PL" w:eastAsia="sr-Cyrl-CS"/>
        </w:rPr>
        <w:t>koji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je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usvojila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Ustavotvorna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skup</w:t>
      </w:r>
      <w:r w:rsidRPr="0048184E">
        <w:rPr>
          <w:rFonts w:eastAsia="Times New Roman" w:cstheme="minorHAnsi"/>
          <w:sz w:val="18"/>
          <w:szCs w:val="18"/>
          <w:lang w:val="sr-Latn-ME" w:eastAsia="sr-Cyrl-CS"/>
        </w:rPr>
        <w:t>š</w:t>
      </w:r>
      <w:r w:rsidRPr="0048184E">
        <w:rPr>
          <w:rFonts w:eastAsia="Times New Roman" w:cstheme="minorHAnsi"/>
          <w:sz w:val="18"/>
          <w:szCs w:val="18"/>
          <w:lang w:val="pl-PL" w:eastAsia="sr-Cyrl-CS"/>
        </w:rPr>
        <w:t>tina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Crne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Gore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na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tre</w:t>
      </w:r>
      <w:r w:rsidRPr="0048184E">
        <w:rPr>
          <w:rFonts w:eastAsia="Times New Roman" w:cstheme="minorHAnsi"/>
          <w:sz w:val="18"/>
          <w:szCs w:val="18"/>
          <w:lang w:val="sr-Latn-ME" w:eastAsia="sr-Cyrl-CS"/>
        </w:rPr>
        <w:t>ć</w:t>
      </w:r>
      <w:r w:rsidRPr="0048184E">
        <w:rPr>
          <w:rFonts w:eastAsia="Times New Roman" w:cstheme="minorHAnsi"/>
          <w:sz w:val="18"/>
          <w:szCs w:val="18"/>
          <w:lang w:val="pl-PL" w:eastAsia="sr-Cyrl-CS"/>
        </w:rPr>
        <w:t>oj</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sjednici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drugog</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redovnog</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zasijedanja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u</w:t>
      </w:r>
      <w:r w:rsidRPr="0048184E">
        <w:rPr>
          <w:rFonts w:eastAsia="Times New Roman" w:cstheme="minorHAnsi"/>
          <w:sz w:val="18"/>
          <w:szCs w:val="18"/>
          <w:lang w:val="sr-Latn-ME" w:eastAsia="sr-Cyrl-CS"/>
        </w:rPr>
        <w:t xml:space="preserve"> 2007. </w:t>
      </w:r>
      <w:r w:rsidRPr="0048184E">
        <w:rPr>
          <w:rFonts w:eastAsia="Times New Roman" w:cstheme="minorHAnsi"/>
          <w:sz w:val="18"/>
          <w:szCs w:val="18"/>
          <w:lang w:val="pl-PL" w:eastAsia="sr-Cyrl-CS"/>
        </w:rPr>
        <w:t>godini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dana</w:t>
      </w:r>
      <w:r w:rsidRPr="0048184E">
        <w:rPr>
          <w:rFonts w:eastAsia="Times New Roman" w:cstheme="minorHAnsi"/>
          <w:sz w:val="18"/>
          <w:szCs w:val="18"/>
          <w:lang w:val="sr-Latn-ME" w:eastAsia="sr-Cyrl-CS"/>
        </w:rPr>
        <w:t xml:space="preserve"> 19. </w:t>
      </w:r>
      <w:r w:rsidRPr="0048184E">
        <w:rPr>
          <w:rFonts w:eastAsia="Times New Roman" w:cstheme="minorHAnsi"/>
          <w:sz w:val="18"/>
          <w:szCs w:val="18"/>
          <w:lang w:val="pl-PL" w:eastAsia="sr-Cyrl-CS"/>
        </w:rPr>
        <w:t>oktobra</w:t>
      </w:r>
      <w:r w:rsidRPr="0048184E">
        <w:rPr>
          <w:rFonts w:eastAsia="Times New Roman" w:cstheme="minorHAnsi"/>
          <w:sz w:val="18"/>
          <w:szCs w:val="18"/>
          <w:lang w:val="sr-Latn-ME" w:eastAsia="sr-Cyrl-CS"/>
        </w:rPr>
        <w:t xml:space="preserve"> 2007. </w:t>
      </w:r>
      <w:r w:rsidRPr="0048184E">
        <w:rPr>
          <w:rFonts w:eastAsia="Times New Roman" w:cstheme="minorHAnsi"/>
          <w:sz w:val="18"/>
          <w:szCs w:val="18"/>
          <w:lang w:val="pl-PL" w:eastAsia="sr-Cyrl-CS"/>
        </w:rPr>
        <w:t>godine</w:t>
      </w:r>
      <w:r w:rsidRPr="0048184E">
        <w:rPr>
          <w:rFonts w:eastAsia="Times New Roman" w:cstheme="minorHAnsi"/>
          <w:sz w:val="18"/>
          <w:szCs w:val="18"/>
          <w:lang w:val="sr-Latn-ME" w:eastAsia="sr-Cyrl-CS"/>
        </w:rPr>
        <w:t>,</w:t>
      </w:r>
      <w:r w:rsidR="00B26027">
        <w:rPr>
          <w:rFonts w:eastAsia="Times New Roman" w:cstheme="minorHAnsi"/>
          <w:sz w:val="18"/>
          <w:szCs w:val="18"/>
          <w:lang w:val="sr-Latn-ME" w:eastAsia="sr-Cyrl-CS"/>
        </w:rPr>
        <w:t xml:space="preserve"> u član 140, stav 2 definiše da:</w:t>
      </w:r>
      <w:r w:rsidRPr="0048184E">
        <w:rPr>
          <w:rFonts w:eastAsia="Times New Roman" w:cstheme="minorHAnsi"/>
          <w:sz w:val="18"/>
          <w:szCs w:val="18"/>
          <w:lang w:val="sr-Latn-ME" w:eastAsia="sr-Cyrl-CS"/>
        </w:rPr>
        <w:t>„</w:t>
      </w:r>
      <w:r w:rsidRPr="0048184E">
        <w:rPr>
          <w:rFonts w:eastAsia="Times New Roman" w:cstheme="minorHAnsi"/>
          <w:sz w:val="18"/>
          <w:szCs w:val="18"/>
          <w:lang w:eastAsia="sr-Cyrl-CS"/>
        </w:rPr>
        <w:t>Dr</w:t>
      </w:r>
      <w:r w:rsidRPr="0048184E">
        <w:rPr>
          <w:rFonts w:eastAsia="Times New Roman" w:cstheme="minorHAnsi"/>
          <w:sz w:val="18"/>
          <w:szCs w:val="18"/>
          <w:lang w:val="sr-Latn-ME" w:eastAsia="sr-Cyrl-CS"/>
        </w:rPr>
        <w:t>ž</w:t>
      </w:r>
      <w:r w:rsidRPr="0048184E">
        <w:rPr>
          <w:rFonts w:eastAsia="Times New Roman" w:cstheme="minorHAnsi"/>
          <w:sz w:val="18"/>
          <w:szCs w:val="18"/>
          <w:lang w:eastAsia="sr-Cyrl-CS"/>
        </w:rPr>
        <w:t>ava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podsti</w:t>
      </w:r>
      <w:r w:rsidRPr="0048184E">
        <w:rPr>
          <w:rFonts w:eastAsia="Times New Roman" w:cstheme="minorHAnsi"/>
          <w:sz w:val="18"/>
          <w:szCs w:val="18"/>
          <w:lang w:val="sr-Latn-ME" w:eastAsia="sr-Cyrl-CS"/>
        </w:rPr>
        <w:t>č</w:t>
      </w:r>
      <w:r w:rsidRPr="0048184E">
        <w:rPr>
          <w:rFonts w:eastAsia="Times New Roman" w:cstheme="minorHAnsi"/>
          <w:sz w:val="18"/>
          <w:szCs w:val="18"/>
          <w:lang w:eastAsia="sr-Cyrl-CS"/>
        </w:rPr>
        <w:t>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ravnomjeran</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ekonomski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razvoj</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svih</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njenih</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podru</w:t>
      </w:r>
      <w:r w:rsidRPr="0048184E">
        <w:rPr>
          <w:rFonts w:eastAsia="Times New Roman" w:cstheme="minorHAnsi"/>
          <w:sz w:val="18"/>
          <w:szCs w:val="18"/>
          <w:lang w:val="sr-Latn-ME" w:eastAsia="sr-Cyrl-CS"/>
        </w:rPr>
        <w:t>č</w:t>
      </w:r>
      <w:r w:rsidRPr="0048184E">
        <w:rPr>
          <w:rFonts w:eastAsia="Times New Roman" w:cstheme="minorHAnsi"/>
          <w:sz w:val="18"/>
          <w:szCs w:val="18"/>
          <w:lang w:eastAsia="sr-Cyrl-CS"/>
        </w:rPr>
        <w:t>ja</w:t>
      </w:r>
      <w:r w:rsidRPr="0048184E">
        <w:rPr>
          <w:rFonts w:eastAsia="Times New Roman" w:cstheme="minorHAnsi"/>
          <w:sz w:val="18"/>
          <w:szCs w:val="18"/>
          <w:lang w:val="sr-Latn-ME" w:eastAsia="sr-Cyrl-CS"/>
        </w:rPr>
        <w:t>.“</w:t>
      </w:r>
    </w:p>
    <w:p w14:paraId="22E31989" w14:textId="77777777" w:rsidR="006167B2" w:rsidRPr="0048184E" w:rsidRDefault="006167B2" w:rsidP="0048184E">
      <w:pPr>
        <w:pStyle w:val="NoSpacing"/>
        <w:jc w:val="both"/>
        <w:rPr>
          <w:rFonts w:asciiTheme="minorHAnsi" w:hAnsiTheme="minorHAnsi" w:cstheme="minorHAnsi"/>
          <w:b/>
          <w:bCs/>
          <w:sz w:val="18"/>
          <w:szCs w:val="18"/>
          <w:lang w:val="sr-Latn-ME"/>
        </w:rPr>
      </w:pPr>
    </w:p>
    <w:p w14:paraId="7D576EBD"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bCs/>
          <w:sz w:val="18"/>
          <w:szCs w:val="18"/>
          <w:lang w:val="sr-Latn-ME"/>
        </w:rPr>
        <w:t xml:space="preserve">Zakonom o regionalnom razvoju </w:t>
      </w:r>
      <w:r w:rsidRPr="0048184E">
        <w:rPr>
          <w:rFonts w:asciiTheme="minorHAnsi" w:hAnsiTheme="minorHAnsi" w:cstheme="minorHAnsi"/>
          <w:bCs/>
          <w:sz w:val="18"/>
          <w:szCs w:val="18"/>
          <w:lang w:val="sr-Latn-ME"/>
        </w:rPr>
        <w:t>("Sl. list CG", br. 20/11, 26/11, 20/15, 47/19)</w:t>
      </w:r>
      <w:r w:rsidRPr="0048184E">
        <w:rPr>
          <w:rFonts w:asciiTheme="minorHAnsi" w:hAnsiTheme="minorHAnsi" w:cstheme="minorHAnsi"/>
          <w:sz w:val="18"/>
          <w:szCs w:val="18"/>
          <w:lang w:val="sr-Latn-ME"/>
        </w:rPr>
        <w:t xml:space="preserve"> uređuje se način podsticanja i planiranja regionalnog razvoja Crne Gore i druga pitanja od značaja za regionalni razvoj. Naime, u okviru predmetnog zakona definisano je da se </w:t>
      </w:r>
      <w:r w:rsidRPr="0048184E">
        <w:rPr>
          <w:rFonts w:asciiTheme="minorHAnsi" w:hAnsiTheme="minorHAnsi" w:cstheme="minorHAnsi"/>
          <w:b/>
          <w:sz w:val="18"/>
          <w:szCs w:val="18"/>
          <w:lang w:val="sr-Latn-ME"/>
        </w:rPr>
        <w:t>„Ciljevi obezbjeđenja društveno-ekonomskog razvoja Crne Gore utvrđuju politikom regionalnog razvoja“</w:t>
      </w:r>
      <w:r w:rsidRPr="0048184E">
        <w:rPr>
          <w:rFonts w:asciiTheme="minorHAnsi" w:hAnsiTheme="minorHAnsi" w:cstheme="minorHAnsi"/>
          <w:sz w:val="18"/>
          <w:szCs w:val="18"/>
          <w:lang w:val="sr-Latn-ME"/>
        </w:rPr>
        <w:t xml:space="preserve"> u skladu sa načelima održivog razvoja i strateškim razvojnim dokumentima za pojedine oblasti kojima se planira razvoj Crne Gore. </w:t>
      </w:r>
    </w:p>
    <w:p w14:paraId="1E403DED" w14:textId="77777777" w:rsidR="006167B2" w:rsidRPr="0048184E" w:rsidRDefault="006167B2" w:rsidP="0048184E">
      <w:pPr>
        <w:pStyle w:val="NoSpacing"/>
        <w:jc w:val="both"/>
        <w:rPr>
          <w:rFonts w:asciiTheme="minorHAnsi" w:hAnsiTheme="minorHAnsi" w:cstheme="minorHAnsi"/>
          <w:sz w:val="18"/>
          <w:szCs w:val="18"/>
          <w:lang w:val="sr-Latn-ME"/>
        </w:rPr>
      </w:pPr>
    </w:p>
    <w:p w14:paraId="21946AEA" w14:textId="77777777" w:rsidR="006167B2" w:rsidRPr="0048184E" w:rsidRDefault="006167B2" w:rsidP="0048184E">
      <w:pPr>
        <w:pStyle w:val="NoSpacing"/>
        <w:jc w:val="both"/>
        <w:rPr>
          <w:rFonts w:asciiTheme="minorHAnsi" w:hAnsiTheme="minorHAnsi" w:cstheme="minorHAnsi"/>
          <w:b/>
          <w:sz w:val="18"/>
          <w:szCs w:val="18"/>
          <w:lang w:val="sr-Latn-ME"/>
        </w:rPr>
      </w:pPr>
      <w:r w:rsidRPr="0048184E">
        <w:rPr>
          <w:rFonts w:asciiTheme="minorHAnsi" w:hAnsiTheme="minorHAnsi" w:cstheme="minorHAnsi"/>
          <w:sz w:val="18"/>
          <w:szCs w:val="18"/>
          <w:lang w:val="sr-Latn-ME"/>
        </w:rPr>
        <w:t xml:space="preserve">Dodatno, pojedini segmenti regionalnog razvoja, su shodno Ustavu Crne Gore usaglašeni sa posebnim zakonima i to: </w:t>
      </w:r>
      <w:r w:rsidRPr="0048184E">
        <w:rPr>
          <w:rFonts w:asciiTheme="minorHAnsi" w:hAnsiTheme="minorHAnsi" w:cstheme="minorHAnsi"/>
          <w:bCs/>
          <w:sz w:val="18"/>
          <w:szCs w:val="18"/>
          <w:lang w:val="sr-Latn-ME"/>
        </w:rPr>
        <w:t>Zakonom o lokalnoj samoupravi, Zakonom o finansiranju lokalne samouprave, Zakonom o porezu na dohodak fizičkih lica, Zakonom o porezu na dobit pravnih lica, Zakonom o porezu na nepokretnosti, Zakonom o porezu na promet nepokretnosti, Zakonom o poljoprivredi i ruralnom razvoju, Zakonom o poljoprivrednom zemljištu</w:t>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sr-Latn-ME"/>
        </w:rPr>
        <w:t>Zakonom o koncesijama</w:t>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sr-Latn-ME"/>
        </w:rPr>
        <w:t>Zakonom o teritorijalnoj organizaciji, Zakon o kontroli državne pomoći,</w:t>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sr-Latn-ME"/>
        </w:rPr>
        <w:t>Zakonom o poljoprivrednom zemljištu, Zakonom o državnoj imovini, Zakonom o određivanju građevinskog zemljišta u gradovima i naseljima gradskog karaktera, Zakonom o planiranju prostora i izgradnji objekata, Zakonom o investiciono-razvojnom fondu, Zakonom o nacionalnom brendu</w:t>
      </w:r>
      <w:r w:rsidRPr="0048184E">
        <w:rPr>
          <w:rFonts w:asciiTheme="minorHAnsi" w:hAnsiTheme="minorHAnsi" w:cstheme="minorHAnsi"/>
          <w:sz w:val="18"/>
          <w:szCs w:val="18"/>
          <w:lang w:val="sr-Latn-ME"/>
        </w:rPr>
        <w:t>.</w:t>
      </w:r>
    </w:p>
    <w:p w14:paraId="55D6673A" w14:textId="77777777" w:rsidR="006167B2" w:rsidRPr="0048184E" w:rsidRDefault="006167B2" w:rsidP="0048184E">
      <w:pPr>
        <w:pStyle w:val="NoSpacing"/>
        <w:jc w:val="both"/>
        <w:rPr>
          <w:rFonts w:asciiTheme="minorHAnsi" w:hAnsiTheme="minorHAnsi" w:cstheme="minorHAnsi"/>
          <w:sz w:val="18"/>
          <w:szCs w:val="18"/>
          <w:lang w:val="sr-Latn-ME"/>
        </w:rPr>
      </w:pPr>
    </w:p>
    <w:p w14:paraId="1D42FC35" w14:textId="77777777" w:rsidR="006167B2" w:rsidRPr="003C2A72" w:rsidRDefault="006167B2" w:rsidP="0048184E">
      <w:pPr>
        <w:pStyle w:val="Heading21"/>
        <w:numPr>
          <w:ilvl w:val="1"/>
          <w:numId w:val="27"/>
        </w:numPr>
        <w:spacing w:before="0"/>
        <w:rPr>
          <w:color w:val="4472C4" w:themeColor="accent5"/>
          <w:szCs w:val="22"/>
        </w:rPr>
      </w:pPr>
      <w:bookmarkStart w:id="19" w:name="_Toc205215834"/>
      <w:r w:rsidRPr="003C2A72">
        <w:rPr>
          <w:color w:val="4472C4" w:themeColor="accent5"/>
          <w:szCs w:val="22"/>
        </w:rPr>
        <w:t>Institucionalni okvir</w:t>
      </w:r>
      <w:bookmarkEnd w:id="19"/>
    </w:p>
    <w:p w14:paraId="2DD23274" w14:textId="77777777" w:rsidR="006167B2" w:rsidRPr="0048184E" w:rsidRDefault="006167B2" w:rsidP="0048184E">
      <w:pPr>
        <w:pStyle w:val="NoSpacing"/>
        <w:jc w:val="both"/>
        <w:rPr>
          <w:rFonts w:asciiTheme="minorHAnsi" w:hAnsiTheme="minorHAnsi" w:cstheme="minorHAnsi"/>
          <w:sz w:val="18"/>
          <w:szCs w:val="18"/>
          <w:lang w:val="sr-Latn-ME"/>
        </w:rPr>
      </w:pPr>
    </w:p>
    <w:p w14:paraId="73E664A1" w14:textId="77777777" w:rsidR="006167B2" w:rsidRPr="0048184E" w:rsidRDefault="006167B2" w:rsidP="0048184E">
      <w:pPr>
        <w:pStyle w:val="NoSpacing"/>
        <w:jc w:val="both"/>
        <w:rPr>
          <w:rFonts w:asciiTheme="minorHAnsi" w:hAnsiTheme="minorHAnsi"/>
          <w:sz w:val="18"/>
          <w:szCs w:val="18"/>
          <w:lang w:val="sr-Latn-ME"/>
        </w:rPr>
      </w:pPr>
      <w:r w:rsidRPr="0048184E">
        <w:rPr>
          <w:rFonts w:asciiTheme="minorHAnsi" w:hAnsiTheme="minorHAnsi" w:cstheme="minorHAnsi"/>
          <w:sz w:val="18"/>
          <w:szCs w:val="18"/>
          <w:lang w:val="sr-Latn-ME"/>
        </w:rPr>
        <w:t>Kao što je prethodno navedeno, vodeću ulogu u sprovođenju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ima Ministarstvo nadležno za sprovođenje politike regionalnog razvoja, a to je prema važećoj Uredbi o organizaciji i načinu rada državne uprave </w:t>
      </w:r>
      <w:r w:rsidRPr="0048184E">
        <w:rPr>
          <w:rFonts w:asciiTheme="minorHAnsi" w:hAnsiTheme="minorHAnsi" w:cstheme="minorHAnsi"/>
          <w:b/>
          <w:bCs/>
          <w:sz w:val="18"/>
          <w:szCs w:val="18"/>
          <w:lang w:val="sr-Latn-ME"/>
        </w:rPr>
        <w:t>Ministarstvo investiciono-regionalnog razvoja i saranje sa nevladinim organizacijama.</w:t>
      </w:r>
      <w:r w:rsidRPr="0048184E">
        <w:rPr>
          <w:rFonts w:asciiTheme="minorHAnsi" w:hAnsiTheme="minorHAnsi" w:cstheme="minorHAnsi"/>
          <w:sz w:val="18"/>
          <w:szCs w:val="18"/>
          <w:lang w:val="sr-Latn-ME"/>
        </w:rPr>
        <w:t xml:space="preserve"> Naime, u okviru ovog ministarstva između ostalog obavljaju se poslovi koji se odnose na: izradu i praćenje ostvarivanja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koordinaciju aktivnosti u sprovođenju politike regionalnog razvoja Crne Gore, saradnju sa JLS i ostalim nosiocima politike regionalnog razvoja u pripremi i sprovođenju razvojnih programa i projekata. </w:t>
      </w:r>
      <w:r w:rsidRPr="0048184E">
        <w:rPr>
          <w:rFonts w:asciiTheme="minorHAnsi" w:hAnsiTheme="minorHAnsi"/>
          <w:sz w:val="18"/>
          <w:szCs w:val="18"/>
          <w:lang w:val="sr-Latn-ME"/>
        </w:rPr>
        <w:t>Ključni akteri u izradi i implementaciji SRR se mogu podijeliti na nekoliko nivoa:</w:t>
      </w:r>
    </w:p>
    <w:p w14:paraId="68AF622E" w14:textId="77777777" w:rsidR="004B0391" w:rsidRPr="004B0391" w:rsidRDefault="004B0391" w:rsidP="004B0391">
      <w:pPr>
        <w:rPr>
          <w:lang w:val="sr-Latn-ME"/>
        </w:rPr>
      </w:pPr>
      <w:bookmarkStart w:id="20" w:name="_Toc166074416"/>
    </w:p>
    <w:p w14:paraId="2B567BEB" w14:textId="77777777" w:rsidR="006167B2" w:rsidRPr="004B0391" w:rsidRDefault="006167B2" w:rsidP="004B0391">
      <w:pPr>
        <w:pStyle w:val="Caption"/>
        <w:spacing w:after="0"/>
        <w:jc w:val="center"/>
        <w:rPr>
          <w:rFonts w:asciiTheme="minorHAnsi" w:eastAsiaTheme="minorHAnsi" w:hAnsiTheme="minorHAnsi"/>
          <w:color w:val="4472C4" w:themeColor="accent5"/>
          <w:lang w:val="sr-Latn-ME"/>
        </w:rPr>
      </w:pPr>
      <w:bookmarkStart w:id="21" w:name="_Toc205188983"/>
      <w:bookmarkStart w:id="22" w:name="_Toc205189571"/>
      <w:r w:rsidRPr="004B0391">
        <w:rPr>
          <w:rFonts w:asciiTheme="minorHAnsi" w:eastAsiaTheme="minorHAnsi" w:hAnsiTheme="minorHAnsi"/>
          <w:color w:val="4472C4" w:themeColor="accent5"/>
          <w:lang w:val="sr-Latn-ME"/>
        </w:rPr>
        <w:t xml:space="preserve">Grafik </w:t>
      </w:r>
      <w:r w:rsidR="004B0391" w:rsidRPr="004B0391">
        <w:rPr>
          <w:rFonts w:asciiTheme="minorHAnsi" w:eastAsiaTheme="minorHAnsi" w:hAnsiTheme="minorHAnsi"/>
          <w:color w:val="4472C4" w:themeColor="accent5"/>
          <w:lang w:val="sr-Latn-ME"/>
        </w:rPr>
        <w:t>3</w:t>
      </w:r>
      <w:r w:rsidRPr="004B0391">
        <w:rPr>
          <w:rFonts w:asciiTheme="minorHAnsi" w:eastAsiaTheme="minorHAnsi" w:hAnsiTheme="minorHAnsi"/>
          <w:color w:val="4472C4" w:themeColor="accent5"/>
          <w:lang w:val="sr-Latn-ME"/>
        </w:rPr>
        <w:t xml:space="preserve">. Ključni akteri saradnje u </w:t>
      </w:r>
      <w:bookmarkEnd w:id="20"/>
      <w:r w:rsidRPr="004B0391">
        <w:rPr>
          <w:rFonts w:asciiTheme="minorHAnsi" w:eastAsiaTheme="minorHAnsi" w:hAnsiTheme="minorHAnsi"/>
          <w:color w:val="4472C4" w:themeColor="accent5"/>
          <w:lang w:val="sr-Latn-ME"/>
        </w:rPr>
        <w:t>politici regionalnog razvoja</w:t>
      </w:r>
      <w:bookmarkEnd w:id="21"/>
      <w:bookmarkEnd w:id="22"/>
    </w:p>
    <w:p w14:paraId="2FDCADDB" w14:textId="77777777" w:rsidR="006167B2" w:rsidRPr="004B0391" w:rsidRDefault="006167B2" w:rsidP="004B0391">
      <w:pPr>
        <w:pStyle w:val="NoSpacing"/>
        <w:jc w:val="center"/>
        <w:rPr>
          <w:rFonts w:asciiTheme="minorHAnsi" w:hAnsiTheme="minorHAnsi" w:cstheme="minorHAnsi"/>
          <w:color w:val="4472C4" w:themeColor="accent5"/>
          <w:sz w:val="18"/>
          <w:szCs w:val="18"/>
          <w:lang w:val="sr-Latn-ME"/>
        </w:rPr>
      </w:pPr>
    </w:p>
    <w:p w14:paraId="400668F9"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noProof/>
          <w:sz w:val="18"/>
          <w:szCs w:val="18"/>
        </w:rPr>
        <w:drawing>
          <wp:inline distT="0" distB="0" distL="0" distR="0" wp14:anchorId="1E4BA4A5" wp14:editId="56F815A6">
            <wp:extent cx="5672470" cy="2025503"/>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0F5FE0F" w14:textId="77777777" w:rsidR="006167B2" w:rsidRPr="0048184E" w:rsidRDefault="006167B2" w:rsidP="0048184E">
      <w:pPr>
        <w:pStyle w:val="NoSpacing"/>
        <w:jc w:val="both"/>
        <w:rPr>
          <w:rFonts w:asciiTheme="minorHAnsi" w:hAnsiTheme="minorHAnsi" w:cstheme="minorHAnsi"/>
          <w:sz w:val="18"/>
          <w:szCs w:val="18"/>
          <w:lang w:val="sr-Latn-ME"/>
        </w:rPr>
      </w:pPr>
    </w:p>
    <w:p w14:paraId="08206AFB"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Ostali </w:t>
      </w:r>
      <w:r w:rsidRPr="0048184E">
        <w:rPr>
          <w:rFonts w:asciiTheme="minorHAnsi" w:hAnsiTheme="minorHAnsi" w:cstheme="minorHAnsi"/>
          <w:b/>
          <w:sz w:val="18"/>
          <w:szCs w:val="18"/>
          <w:lang w:val="sr-Latn-ME"/>
        </w:rPr>
        <w:t>važni akteri</w:t>
      </w:r>
      <w:r w:rsidRPr="0048184E">
        <w:rPr>
          <w:rFonts w:asciiTheme="minorHAnsi" w:hAnsiTheme="minorHAnsi" w:cstheme="minorHAnsi"/>
          <w:sz w:val="18"/>
          <w:szCs w:val="18"/>
          <w:lang w:val="sr-Latn-ME"/>
        </w:rPr>
        <w:t xml:space="preserve"> u vođenju politike regionalnog razvoja, čije su aktivnosti i postupanja u funkciji implementacije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su: Ministarstvo finansija; </w:t>
      </w:r>
      <w:r w:rsidRPr="0048184E">
        <w:rPr>
          <w:rStyle w:val="Strong"/>
          <w:rFonts w:asciiTheme="minorHAnsi" w:hAnsiTheme="minorHAnsi" w:cstheme="minorHAnsi"/>
          <w:b w:val="0"/>
          <w:sz w:val="18"/>
          <w:szCs w:val="18"/>
        </w:rPr>
        <w:t>Ministarstvo</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ekologije</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odr</w:t>
      </w:r>
      <w:r w:rsidRPr="0048184E">
        <w:rPr>
          <w:rStyle w:val="Strong"/>
          <w:rFonts w:asciiTheme="minorHAnsi" w:hAnsiTheme="minorHAnsi" w:cstheme="minorHAnsi"/>
          <w:b w:val="0"/>
          <w:sz w:val="18"/>
          <w:szCs w:val="18"/>
          <w:lang w:val="sr-Latn-ME"/>
        </w:rPr>
        <w:t>ž</w:t>
      </w:r>
      <w:r w:rsidRPr="0048184E">
        <w:rPr>
          <w:rStyle w:val="Strong"/>
          <w:rFonts w:asciiTheme="minorHAnsi" w:hAnsiTheme="minorHAnsi" w:cstheme="minorHAnsi"/>
          <w:b w:val="0"/>
          <w:sz w:val="18"/>
          <w:szCs w:val="18"/>
        </w:rPr>
        <w:t>ivog</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razvoja</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i</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razvoja</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sjevera</w:t>
      </w:r>
      <w:r w:rsidRPr="0048184E">
        <w:rPr>
          <w:rStyle w:val="Strong"/>
          <w:rFonts w:asciiTheme="minorHAnsi" w:hAnsiTheme="minorHAnsi" w:cstheme="minorHAnsi"/>
          <w:b w:val="0"/>
          <w:sz w:val="18"/>
          <w:szCs w:val="18"/>
          <w:lang w:val="sr-Latn-ME"/>
        </w:rPr>
        <w:t xml:space="preserve">; </w:t>
      </w:r>
      <w:r w:rsidRPr="0048184E">
        <w:rPr>
          <w:rFonts w:asciiTheme="minorHAnsi" w:hAnsiTheme="minorHAnsi" w:cstheme="minorHAnsi"/>
          <w:sz w:val="18"/>
          <w:szCs w:val="18"/>
          <w:lang w:val="sr-Latn-ME"/>
        </w:rPr>
        <w:t xml:space="preserve">Ministarstvo javne uprave; Ministarstvo prosvjete, nauke i inovacija; Ministarstvo kulture i medija; Ministarstvo prostornog planiranja, urbanizma i državne imovine; Ministarstvo poljoprivrede, šumarstva i vodoprivrede; Ministarstvo javnih radova; Razvojna banka Crne Gore;  Zavod za zapošljavanje Crne Gore, Zajednica opština Crne Gore, Agencija za investicije Crne Gore i </w:t>
      </w:r>
      <w:r w:rsidR="000F6FE5" w:rsidRPr="0048184E">
        <w:rPr>
          <w:rFonts w:asciiTheme="minorHAnsi" w:hAnsiTheme="minorHAnsi" w:cstheme="minorHAnsi"/>
          <w:sz w:val="18"/>
          <w:szCs w:val="18"/>
          <w:lang w:val="sr-Latn-ME"/>
        </w:rPr>
        <w:t>JLS.</w:t>
      </w:r>
    </w:p>
    <w:p w14:paraId="5EB4D761" w14:textId="77777777" w:rsidR="006167B2" w:rsidRPr="0048184E" w:rsidRDefault="006167B2" w:rsidP="0048184E">
      <w:pPr>
        <w:pStyle w:val="NoSpacing"/>
        <w:jc w:val="both"/>
        <w:rPr>
          <w:rFonts w:asciiTheme="minorHAnsi" w:hAnsiTheme="minorHAnsi" w:cstheme="minorHAnsi"/>
          <w:sz w:val="18"/>
          <w:szCs w:val="18"/>
          <w:lang w:val="sr-Latn-ME"/>
        </w:rPr>
      </w:pPr>
    </w:p>
    <w:p w14:paraId="5AB786EB" w14:textId="77777777" w:rsidR="006167B2" w:rsidRPr="0048184E" w:rsidRDefault="00B26027" w:rsidP="0048184E">
      <w:pPr>
        <w:pStyle w:val="NoSpacing"/>
        <w:jc w:val="both"/>
        <w:rPr>
          <w:rFonts w:asciiTheme="minorHAnsi" w:hAnsiTheme="minorHAnsi" w:cstheme="minorHAnsi"/>
          <w:sz w:val="18"/>
          <w:szCs w:val="18"/>
          <w:lang w:val="sr-Latn-ME"/>
        </w:rPr>
      </w:pPr>
      <w:r>
        <w:rPr>
          <w:rFonts w:asciiTheme="minorHAnsi" w:hAnsiTheme="minorHAnsi" w:cstheme="minorHAnsi"/>
          <w:sz w:val="18"/>
          <w:szCs w:val="18"/>
          <w:lang w:val="sr-Latn-ME"/>
        </w:rPr>
        <w:t>Takođe, VCG</w:t>
      </w:r>
      <w:r w:rsidR="006167B2" w:rsidRPr="0048184E">
        <w:rPr>
          <w:rFonts w:asciiTheme="minorHAnsi" w:hAnsiTheme="minorHAnsi" w:cstheme="minorHAnsi"/>
          <w:sz w:val="18"/>
          <w:szCs w:val="18"/>
          <w:lang w:val="sr-Latn-ME"/>
        </w:rPr>
        <w:t xml:space="preserve"> je osnovala </w:t>
      </w:r>
      <w:r w:rsidR="006167B2" w:rsidRPr="0048184E">
        <w:rPr>
          <w:rFonts w:asciiTheme="minorHAnsi" w:hAnsiTheme="minorHAnsi" w:cstheme="minorHAnsi"/>
          <w:b/>
          <w:sz w:val="18"/>
          <w:szCs w:val="18"/>
          <w:lang w:val="sr-Latn-ME"/>
        </w:rPr>
        <w:t>Partnerski savjet za regionalni razvoj</w:t>
      </w:r>
      <w:r w:rsidR="006167B2" w:rsidRPr="0048184E">
        <w:rPr>
          <w:rFonts w:asciiTheme="minorHAnsi" w:hAnsiTheme="minorHAnsi" w:cstheme="minorHAnsi"/>
          <w:sz w:val="18"/>
          <w:szCs w:val="18"/>
          <w:lang w:val="sr-Latn-ME"/>
        </w:rPr>
        <w:t>, koji ima za cilj da: 1) prati stanje u oblasti regionalnog razvoja i daje preporuke za preduzimanje mjera za unaprjeđivanje regionalnog razvoja Crne Gore; 2) daje mišljenje na nacrt Strategije; 3) daje preporuke za utvrđivanje prioriteta u realizaciji razvojnih projekata; 4) sagledava efekte primjene politike regionalnog razvoja; 5) donosi poslovnik o svom radu; 6) vrši i druge poslove u skladu sa zakonom. Članovi Partnerskog savjeta se imenuju iz reda predstavnika/ca organa državne uprave, JLS, univerziteta, udruženja poslodavaca, NVO u oblasti zaštite životne sredine i organizacija koje obavljaju poslove kojima se podstiče regionalni razvoj.</w:t>
      </w:r>
    </w:p>
    <w:p w14:paraId="4DBFC7AD" w14:textId="77777777" w:rsidR="006167B2" w:rsidRPr="0048184E" w:rsidRDefault="006167B2" w:rsidP="0048184E">
      <w:pPr>
        <w:pStyle w:val="NoSpacing"/>
        <w:jc w:val="both"/>
        <w:rPr>
          <w:rFonts w:asciiTheme="minorHAnsi" w:hAnsiTheme="minorHAnsi" w:cstheme="minorHAnsi"/>
          <w:sz w:val="18"/>
          <w:szCs w:val="18"/>
          <w:lang w:val="sr-Latn-ME"/>
        </w:rPr>
      </w:pPr>
    </w:p>
    <w:p w14:paraId="515C1DAD"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Kao što je ranije u dokumentu istaknu</w:t>
      </w:r>
      <w:r w:rsidR="00B26027">
        <w:rPr>
          <w:rFonts w:asciiTheme="minorHAnsi" w:hAnsiTheme="minorHAnsi" w:cstheme="minorHAnsi"/>
          <w:sz w:val="18"/>
          <w:szCs w:val="18"/>
          <w:lang w:val="sr-Latn-ME"/>
        </w:rPr>
        <w:t>to, ključni partner MIRNu</w:t>
      </w:r>
      <w:r w:rsidRPr="0048184E">
        <w:rPr>
          <w:rFonts w:asciiTheme="minorHAnsi" w:hAnsiTheme="minorHAnsi" w:cstheme="minorHAnsi"/>
          <w:sz w:val="18"/>
          <w:szCs w:val="18"/>
          <w:lang w:val="sr-Latn-ME"/>
        </w:rPr>
        <w:t xml:space="preserve"> u sprovođenju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su </w:t>
      </w:r>
      <w:r w:rsidRPr="0048184E">
        <w:rPr>
          <w:rFonts w:asciiTheme="minorHAnsi" w:hAnsiTheme="minorHAnsi" w:cstheme="minorHAnsi"/>
          <w:b/>
          <w:sz w:val="18"/>
          <w:szCs w:val="18"/>
          <w:lang w:val="sr-Latn-ME"/>
        </w:rPr>
        <w:t>jedinice lokalne samouprave</w:t>
      </w:r>
      <w:r w:rsidRPr="0048184E">
        <w:rPr>
          <w:rFonts w:asciiTheme="minorHAnsi" w:hAnsiTheme="minorHAnsi" w:cstheme="minorHAnsi"/>
          <w:sz w:val="18"/>
          <w:szCs w:val="18"/>
          <w:lang w:val="sr-Latn-ME"/>
        </w:rPr>
        <w:t>, koje su direktno uključene u proces nastanka i sprovođenja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JLS pripremaju i svoje strateške </w:t>
      </w:r>
      <w:r w:rsidRPr="0048184E">
        <w:rPr>
          <w:rFonts w:asciiTheme="minorHAnsi" w:hAnsiTheme="minorHAnsi" w:cstheme="minorHAnsi"/>
          <w:sz w:val="18"/>
          <w:szCs w:val="18"/>
          <w:lang w:val="sr-Latn-ME"/>
        </w:rPr>
        <w:lastRenderedPageBreak/>
        <w:t>planove razvoja, kao obaveze prema Zakonu o regionalnom razvoju, koji su kompatibilni strateškom okviru za regionalnu politiku Crne Gore, uz istovemeno uvažavanje lokalnih specifičnosti. U konsultativne radne grupe za pripremu SPR ulaze predstavnici lokalnih samouprava, opštinskih javnih preduzeća, javnih institucija na lokalnom nivou, posebno obrazovne institucije, predstavnici udruženja građana/ki i NVO, poslovne asocijacije, asocijacije preduzetnika/ca, privatni sektor, kao i drugi subjekti specifični za određenu JLS. Okvirna struktura SPR definisana je od strane resornog ministarstva, što omogućava bolji monitoring dokumenta i analize na svim nivoima. U ovom procesu, neophodno je jačati interakciju lokalnih vlasti sa civilnim sektorom i ojačati modele saradnje.</w:t>
      </w:r>
    </w:p>
    <w:p w14:paraId="55EB49EB" w14:textId="77777777" w:rsidR="006167B2" w:rsidRPr="0048184E" w:rsidRDefault="006167B2" w:rsidP="0048184E">
      <w:pPr>
        <w:pStyle w:val="NoSpacing"/>
        <w:jc w:val="both"/>
        <w:rPr>
          <w:rFonts w:asciiTheme="minorHAnsi" w:hAnsiTheme="minorHAnsi" w:cstheme="minorHAnsi"/>
          <w:bCs/>
          <w:sz w:val="18"/>
          <w:szCs w:val="18"/>
          <w:lang w:val="sr-Latn-ME"/>
        </w:rPr>
      </w:pPr>
    </w:p>
    <w:p w14:paraId="3E7F8E91" w14:textId="77777777" w:rsidR="006167B2" w:rsidRPr="0048184E" w:rsidRDefault="006167B2"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Ostali partneri u procesu sprovođenja SRR</w:t>
      </w:r>
      <w:r w:rsidR="000F6FE5" w:rsidRPr="0048184E">
        <w:rPr>
          <w:rFonts w:asciiTheme="minorHAnsi" w:hAnsiTheme="minorHAnsi" w:cstheme="minorHAnsi"/>
          <w:bCs/>
          <w:sz w:val="18"/>
          <w:szCs w:val="18"/>
          <w:lang w:val="sr-Latn-ME"/>
        </w:rPr>
        <w:t xml:space="preserve"> 2023-2027</w:t>
      </w:r>
      <w:r w:rsidRPr="0048184E">
        <w:rPr>
          <w:rFonts w:asciiTheme="minorHAnsi" w:hAnsiTheme="minorHAnsi" w:cstheme="minorHAnsi"/>
          <w:bCs/>
          <w:sz w:val="18"/>
          <w:szCs w:val="18"/>
          <w:lang w:val="sr-Latn-ME"/>
        </w:rPr>
        <w:t xml:space="preserve"> i njenom nadgledanju u sprovođenju politike regionalnog razvoja su </w:t>
      </w:r>
      <w:r w:rsidRPr="0048184E">
        <w:rPr>
          <w:rFonts w:asciiTheme="minorHAnsi" w:hAnsiTheme="minorHAnsi" w:cstheme="minorHAnsi"/>
          <w:b/>
          <w:bCs/>
          <w:sz w:val="18"/>
          <w:szCs w:val="18"/>
          <w:lang w:val="sr-Latn-ME"/>
        </w:rPr>
        <w:t xml:space="preserve">strukovne asocijacije, </w:t>
      </w:r>
      <w:r w:rsidR="000F6FE5" w:rsidRPr="0048184E">
        <w:rPr>
          <w:rFonts w:asciiTheme="minorHAnsi" w:hAnsiTheme="minorHAnsi" w:cstheme="minorHAnsi"/>
          <w:b/>
          <w:bCs/>
          <w:sz w:val="18"/>
          <w:szCs w:val="18"/>
          <w:lang w:val="sr-Latn-ME"/>
        </w:rPr>
        <w:t xml:space="preserve">akademska zajednica, </w:t>
      </w:r>
      <w:r w:rsidRPr="0048184E">
        <w:rPr>
          <w:rFonts w:asciiTheme="minorHAnsi" w:hAnsiTheme="minorHAnsi" w:cstheme="minorHAnsi"/>
          <w:b/>
          <w:bCs/>
          <w:sz w:val="18"/>
          <w:szCs w:val="18"/>
          <w:lang w:val="sr-Latn-ME"/>
        </w:rPr>
        <w:t>lokalne asocijacije, mrežne i lokalne NVO</w:t>
      </w:r>
      <w:r w:rsidRPr="0048184E">
        <w:rPr>
          <w:rFonts w:asciiTheme="minorHAnsi" w:hAnsiTheme="minorHAnsi" w:cstheme="minorHAnsi"/>
          <w:bCs/>
          <w:sz w:val="18"/>
          <w:szCs w:val="18"/>
          <w:lang w:val="sr-Latn-ME"/>
        </w:rPr>
        <w:t>.</w:t>
      </w:r>
    </w:p>
    <w:p w14:paraId="3E8D347B" w14:textId="77777777" w:rsidR="006167B2" w:rsidRPr="0048184E" w:rsidRDefault="006167B2" w:rsidP="0048184E">
      <w:pPr>
        <w:pStyle w:val="NoSpacing"/>
        <w:jc w:val="both"/>
        <w:rPr>
          <w:rFonts w:asciiTheme="minorHAnsi" w:hAnsiTheme="minorHAnsi" w:cstheme="minorHAnsi"/>
          <w:sz w:val="18"/>
          <w:szCs w:val="18"/>
          <w:lang w:val="sr-Latn-ME"/>
        </w:rPr>
      </w:pPr>
    </w:p>
    <w:p w14:paraId="4A232A6D"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Ključni </w:t>
      </w:r>
      <w:r w:rsidRPr="0048184E">
        <w:rPr>
          <w:rFonts w:asciiTheme="minorHAnsi" w:hAnsiTheme="minorHAnsi" w:cstheme="minorHAnsi"/>
          <w:b/>
          <w:sz w:val="18"/>
          <w:szCs w:val="18"/>
          <w:lang w:val="sr-Latn-ME"/>
        </w:rPr>
        <w:t>međunarodni partneri</w:t>
      </w:r>
      <w:r w:rsidRPr="0048184E">
        <w:rPr>
          <w:rFonts w:asciiTheme="minorHAnsi" w:hAnsiTheme="minorHAnsi" w:cstheme="minorHAnsi"/>
          <w:sz w:val="18"/>
          <w:szCs w:val="18"/>
          <w:lang w:val="sr-Latn-ME"/>
        </w:rPr>
        <w:t xml:space="preserve"> (i zainteresovane strane u kontekstu integracionog procesa i sprovođenja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su generalni direktorati </w:t>
      </w:r>
      <w:r w:rsidRPr="0048184E">
        <w:rPr>
          <w:rFonts w:asciiTheme="minorHAnsi" w:hAnsiTheme="minorHAnsi" w:cstheme="minorHAnsi"/>
          <w:bCs/>
          <w:sz w:val="18"/>
          <w:szCs w:val="18"/>
          <w:lang w:val="sr-Latn-ME"/>
        </w:rPr>
        <w:t>Evropske komisije</w:t>
      </w:r>
      <w:r w:rsidRPr="0048184E">
        <w:rPr>
          <w:rFonts w:asciiTheme="minorHAnsi" w:hAnsiTheme="minorHAnsi" w:cstheme="minorHAnsi"/>
          <w:sz w:val="18"/>
          <w:szCs w:val="18"/>
          <w:lang w:val="sr-Latn-ME"/>
        </w:rPr>
        <w:t xml:space="preserve"> i njene izvršne agencije. U podsticanju regionalnog razvoja takođe se ubrajaju </w:t>
      </w:r>
      <w:r w:rsidRPr="0048184E">
        <w:rPr>
          <w:rFonts w:asciiTheme="minorHAnsi" w:hAnsiTheme="minorHAnsi" w:cstheme="minorHAnsi"/>
          <w:bCs/>
          <w:sz w:val="18"/>
          <w:szCs w:val="18"/>
          <w:lang w:val="sr-Latn-ME"/>
        </w:rPr>
        <w:t>UN sistem, Savjet Evrope</w:t>
      </w:r>
      <w:r w:rsidRPr="0048184E">
        <w:rPr>
          <w:rFonts w:asciiTheme="minorHAnsi" w:hAnsiTheme="minorHAnsi" w:cstheme="minorHAnsi"/>
          <w:sz w:val="18"/>
          <w:szCs w:val="18"/>
          <w:lang w:val="sr-Latn-ME"/>
        </w:rPr>
        <w:t xml:space="preserve">, evropske razvojne banke (posebno </w:t>
      </w:r>
      <w:r w:rsidRPr="0048184E">
        <w:rPr>
          <w:rFonts w:asciiTheme="minorHAnsi" w:hAnsiTheme="minorHAnsi" w:cstheme="minorHAnsi"/>
          <w:bCs/>
          <w:sz w:val="18"/>
          <w:szCs w:val="18"/>
          <w:lang w:val="sr-Latn-ME"/>
        </w:rPr>
        <w:t>EIB, EBRD, CEB i KfW</w:t>
      </w:r>
      <w:r w:rsidRPr="0048184E">
        <w:rPr>
          <w:rFonts w:asciiTheme="minorHAnsi" w:hAnsiTheme="minorHAnsi" w:cstheme="minorHAnsi"/>
          <w:sz w:val="18"/>
          <w:szCs w:val="18"/>
          <w:lang w:val="sr-Latn-ME"/>
        </w:rPr>
        <w:t xml:space="preserve">), kao i svi uključeni donatori. </w:t>
      </w:r>
    </w:p>
    <w:p w14:paraId="421F65F9" w14:textId="77777777" w:rsidR="006167B2" w:rsidRPr="0048184E" w:rsidRDefault="006167B2" w:rsidP="0048184E">
      <w:pPr>
        <w:spacing w:after="0" w:line="240" w:lineRule="auto"/>
        <w:jc w:val="both"/>
        <w:rPr>
          <w:rFonts w:cstheme="minorHAnsi"/>
          <w:sz w:val="18"/>
          <w:szCs w:val="18"/>
          <w:lang w:val="sr-Latn-ME"/>
        </w:rPr>
      </w:pPr>
    </w:p>
    <w:p w14:paraId="4997DB25" w14:textId="77777777" w:rsidR="00223F35" w:rsidRPr="003C2A72" w:rsidRDefault="00223F35" w:rsidP="0048184E">
      <w:pPr>
        <w:pStyle w:val="Heading2"/>
        <w:numPr>
          <w:ilvl w:val="0"/>
          <w:numId w:val="27"/>
        </w:numPr>
        <w:spacing w:before="0" w:line="240" w:lineRule="auto"/>
        <w:rPr>
          <w:rFonts w:asciiTheme="minorHAnsi" w:hAnsiTheme="minorHAnsi"/>
        </w:rPr>
      </w:pPr>
      <w:bookmarkStart w:id="23" w:name="_Toc205215835"/>
      <w:r w:rsidRPr="003C2A72">
        <w:rPr>
          <w:rFonts w:asciiTheme="minorHAnsi" w:hAnsiTheme="minorHAnsi"/>
        </w:rPr>
        <w:t>Pregled osnovnih makroekonomskih indikatora razvijenost</w:t>
      </w:r>
      <w:bookmarkEnd w:id="23"/>
    </w:p>
    <w:p w14:paraId="61BF048A" w14:textId="77777777" w:rsidR="00223F35" w:rsidRPr="0048184E" w:rsidRDefault="00223F35" w:rsidP="0048184E">
      <w:pPr>
        <w:pStyle w:val="Heading2"/>
        <w:spacing w:before="0" w:line="240" w:lineRule="auto"/>
        <w:rPr>
          <w:rFonts w:asciiTheme="minorHAnsi" w:eastAsia="Aptos" w:hAnsiTheme="minorHAnsi"/>
          <w:color w:val="auto"/>
          <w:sz w:val="18"/>
          <w:szCs w:val="18"/>
        </w:rPr>
      </w:pPr>
    </w:p>
    <w:p w14:paraId="781E03C3" w14:textId="77777777" w:rsidR="00223F35" w:rsidRPr="0048184E" w:rsidRDefault="00223F35" w:rsidP="0048184E">
      <w:pPr>
        <w:spacing w:after="0" w:line="240" w:lineRule="auto"/>
        <w:jc w:val="both"/>
        <w:rPr>
          <w:sz w:val="18"/>
          <w:szCs w:val="18"/>
          <w:lang w:val="sr-Latn-ME"/>
        </w:rPr>
      </w:pPr>
      <w:r w:rsidRPr="0048184E">
        <w:rPr>
          <w:sz w:val="18"/>
          <w:szCs w:val="18"/>
          <w:lang w:val="pl-PL"/>
        </w:rPr>
        <w:t>Nakon</w:t>
      </w:r>
      <w:r w:rsidRPr="0048184E">
        <w:rPr>
          <w:sz w:val="18"/>
          <w:szCs w:val="18"/>
          <w:lang w:val="sr-Latn-ME"/>
        </w:rPr>
        <w:t xml:space="preserve"> </w:t>
      </w:r>
      <w:r w:rsidRPr="0048184E">
        <w:rPr>
          <w:sz w:val="18"/>
          <w:szCs w:val="18"/>
          <w:lang w:val="pl-PL"/>
        </w:rPr>
        <w:t>sna</w:t>
      </w:r>
      <w:r w:rsidRPr="0048184E">
        <w:rPr>
          <w:sz w:val="18"/>
          <w:szCs w:val="18"/>
          <w:lang w:val="sr-Latn-ME"/>
        </w:rPr>
        <w:t>ž</w:t>
      </w:r>
      <w:r w:rsidRPr="0048184E">
        <w:rPr>
          <w:sz w:val="18"/>
          <w:szCs w:val="18"/>
          <w:lang w:val="pl-PL"/>
        </w:rPr>
        <w:t>nog</w:t>
      </w:r>
      <w:r w:rsidRPr="0048184E">
        <w:rPr>
          <w:sz w:val="18"/>
          <w:szCs w:val="18"/>
          <w:lang w:val="sr-Latn-ME"/>
        </w:rPr>
        <w:t xml:space="preserve"> </w:t>
      </w:r>
      <w:r w:rsidRPr="0048184E">
        <w:rPr>
          <w:sz w:val="18"/>
          <w:szCs w:val="18"/>
          <w:lang w:val="pl-PL"/>
        </w:rPr>
        <w:t>ekonomskog</w:t>
      </w:r>
      <w:r w:rsidRPr="0048184E">
        <w:rPr>
          <w:sz w:val="18"/>
          <w:szCs w:val="18"/>
          <w:lang w:val="sr-Latn-ME"/>
        </w:rPr>
        <w:t xml:space="preserve"> </w:t>
      </w:r>
      <w:r w:rsidRPr="0048184E">
        <w:rPr>
          <w:sz w:val="18"/>
          <w:szCs w:val="18"/>
          <w:lang w:val="pl-PL"/>
        </w:rPr>
        <w:t>rasta</w:t>
      </w:r>
      <w:r w:rsidRPr="0048184E">
        <w:rPr>
          <w:sz w:val="18"/>
          <w:szCs w:val="18"/>
          <w:lang w:val="sr-Latn-ME"/>
        </w:rPr>
        <w:t xml:space="preserve"> </w:t>
      </w:r>
      <w:r w:rsidRPr="0048184E">
        <w:rPr>
          <w:sz w:val="18"/>
          <w:szCs w:val="18"/>
          <w:lang w:val="pl-PL"/>
        </w:rPr>
        <w:t>u</w:t>
      </w:r>
      <w:r w:rsidRPr="0048184E">
        <w:rPr>
          <w:sz w:val="18"/>
          <w:szCs w:val="18"/>
          <w:lang w:val="sr-Latn-ME"/>
        </w:rPr>
        <w:t xml:space="preserve"> 2023. </w:t>
      </w:r>
      <w:r w:rsidRPr="0048184E">
        <w:rPr>
          <w:sz w:val="18"/>
          <w:szCs w:val="18"/>
          <w:lang w:val="pl-PL"/>
        </w:rPr>
        <w:t>godini</w:t>
      </w:r>
      <w:r w:rsidRPr="0048184E">
        <w:rPr>
          <w:sz w:val="18"/>
          <w:szCs w:val="18"/>
          <w:lang w:val="sr-Latn-ME"/>
        </w:rPr>
        <w:t xml:space="preserve"> </w:t>
      </w:r>
      <w:r w:rsidRPr="0048184E">
        <w:rPr>
          <w:sz w:val="18"/>
          <w:szCs w:val="18"/>
          <w:lang w:val="pl-PL"/>
        </w:rPr>
        <w:t>i</w:t>
      </w:r>
      <w:r w:rsidRPr="0048184E">
        <w:rPr>
          <w:sz w:val="18"/>
          <w:szCs w:val="18"/>
          <w:lang w:val="sr-Latn-ME"/>
        </w:rPr>
        <w:t xml:space="preserve"> </w:t>
      </w:r>
      <w:r w:rsidRPr="0048184E">
        <w:rPr>
          <w:sz w:val="18"/>
          <w:szCs w:val="18"/>
          <w:lang w:val="pl-PL"/>
        </w:rPr>
        <w:t>potpunog</w:t>
      </w:r>
      <w:r w:rsidRPr="0048184E">
        <w:rPr>
          <w:sz w:val="18"/>
          <w:szCs w:val="18"/>
          <w:lang w:val="sr-Latn-ME"/>
        </w:rPr>
        <w:t xml:space="preserve"> </w:t>
      </w:r>
      <w:r w:rsidRPr="0048184E">
        <w:rPr>
          <w:sz w:val="18"/>
          <w:szCs w:val="18"/>
          <w:lang w:val="pl-PL"/>
        </w:rPr>
        <w:t>oporavka</w:t>
      </w:r>
      <w:r w:rsidRPr="0048184E">
        <w:rPr>
          <w:sz w:val="18"/>
          <w:szCs w:val="18"/>
          <w:lang w:val="sr-Latn-ME"/>
        </w:rPr>
        <w:t xml:space="preserve"> </w:t>
      </w:r>
      <w:r w:rsidRPr="0048184E">
        <w:rPr>
          <w:sz w:val="18"/>
          <w:szCs w:val="18"/>
          <w:lang w:val="pl-PL"/>
        </w:rPr>
        <w:t>od</w:t>
      </w:r>
      <w:r w:rsidRPr="0048184E">
        <w:rPr>
          <w:sz w:val="18"/>
          <w:szCs w:val="18"/>
          <w:lang w:val="sr-Latn-ME"/>
        </w:rPr>
        <w:t xml:space="preserve"> </w:t>
      </w:r>
      <w:r w:rsidRPr="0048184E">
        <w:rPr>
          <w:sz w:val="18"/>
          <w:szCs w:val="18"/>
          <w:lang w:val="pl-PL"/>
        </w:rPr>
        <w:t>uticaja</w:t>
      </w:r>
      <w:r w:rsidRPr="0048184E">
        <w:rPr>
          <w:sz w:val="18"/>
          <w:szCs w:val="18"/>
          <w:lang w:val="sr-Latn-ME"/>
        </w:rPr>
        <w:t xml:space="preserve"> </w:t>
      </w:r>
      <w:r w:rsidRPr="0048184E">
        <w:rPr>
          <w:sz w:val="18"/>
          <w:szCs w:val="18"/>
          <w:lang w:val="pl-PL"/>
        </w:rPr>
        <w:t>pandemije</w:t>
      </w:r>
      <w:r w:rsidRPr="0048184E">
        <w:rPr>
          <w:sz w:val="18"/>
          <w:szCs w:val="18"/>
          <w:lang w:val="sr-Latn-ME"/>
        </w:rPr>
        <w:t xml:space="preserve"> </w:t>
      </w:r>
      <w:r w:rsidRPr="0048184E">
        <w:rPr>
          <w:sz w:val="18"/>
          <w:szCs w:val="18"/>
          <w:lang w:val="pl-PL"/>
        </w:rPr>
        <w:t>korona</w:t>
      </w:r>
      <w:r w:rsidRPr="0048184E">
        <w:rPr>
          <w:sz w:val="18"/>
          <w:szCs w:val="18"/>
          <w:lang w:val="sr-Latn-ME"/>
        </w:rPr>
        <w:t xml:space="preserve"> </w:t>
      </w:r>
      <w:r w:rsidRPr="0048184E">
        <w:rPr>
          <w:sz w:val="18"/>
          <w:szCs w:val="18"/>
          <w:lang w:val="pl-PL"/>
        </w:rPr>
        <w:t>virusa</w:t>
      </w:r>
      <w:r w:rsidRPr="0048184E">
        <w:rPr>
          <w:sz w:val="18"/>
          <w:szCs w:val="18"/>
          <w:lang w:val="sr-Latn-ME"/>
        </w:rPr>
        <w:t xml:space="preserve">, </w:t>
      </w:r>
      <w:r w:rsidRPr="0048184E">
        <w:rPr>
          <w:sz w:val="18"/>
          <w:szCs w:val="18"/>
          <w:lang w:val="pl-PL"/>
        </w:rPr>
        <w:t>crnogorska</w:t>
      </w:r>
      <w:r w:rsidRPr="0048184E">
        <w:rPr>
          <w:sz w:val="18"/>
          <w:szCs w:val="18"/>
          <w:lang w:val="sr-Latn-ME"/>
        </w:rPr>
        <w:t xml:space="preserve"> </w:t>
      </w:r>
      <w:r w:rsidRPr="0048184E">
        <w:rPr>
          <w:sz w:val="18"/>
          <w:szCs w:val="18"/>
          <w:lang w:val="pl-PL"/>
        </w:rPr>
        <w:t>privredna</w:t>
      </w:r>
      <w:r w:rsidRPr="0048184E">
        <w:rPr>
          <w:sz w:val="18"/>
          <w:szCs w:val="18"/>
          <w:lang w:val="sr-Latn-ME"/>
        </w:rPr>
        <w:t xml:space="preserve"> </w:t>
      </w:r>
      <w:r w:rsidRPr="0048184E">
        <w:rPr>
          <w:sz w:val="18"/>
          <w:szCs w:val="18"/>
          <w:lang w:val="pl-PL"/>
        </w:rPr>
        <w:t>aktivnost</w:t>
      </w:r>
      <w:r w:rsidRPr="0048184E">
        <w:rPr>
          <w:sz w:val="18"/>
          <w:szCs w:val="18"/>
          <w:lang w:val="sr-Latn-ME"/>
        </w:rPr>
        <w:t xml:space="preserve"> </w:t>
      </w:r>
      <w:r w:rsidRPr="0048184E">
        <w:rPr>
          <w:sz w:val="18"/>
          <w:szCs w:val="18"/>
          <w:lang w:val="pl-PL"/>
        </w:rPr>
        <w:t>zabilje</w:t>
      </w:r>
      <w:r w:rsidRPr="0048184E">
        <w:rPr>
          <w:sz w:val="18"/>
          <w:szCs w:val="18"/>
          <w:lang w:val="sr-Latn-ME"/>
        </w:rPr>
        <w:t>ž</w:t>
      </w:r>
      <w:r w:rsidRPr="0048184E">
        <w:rPr>
          <w:sz w:val="18"/>
          <w:szCs w:val="18"/>
          <w:lang w:val="pl-PL"/>
        </w:rPr>
        <w:t>ila</w:t>
      </w:r>
      <w:r w:rsidRPr="0048184E">
        <w:rPr>
          <w:sz w:val="18"/>
          <w:szCs w:val="18"/>
          <w:lang w:val="sr-Latn-ME"/>
        </w:rPr>
        <w:t xml:space="preserve"> </w:t>
      </w:r>
      <w:r w:rsidRPr="0048184E">
        <w:rPr>
          <w:sz w:val="18"/>
          <w:szCs w:val="18"/>
          <w:lang w:val="pl-PL"/>
        </w:rPr>
        <w:t>je</w:t>
      </w:r>
      <w:r w:rsidRPr="0048184E">
        <w:rPr>
          <w:sz w:val="18"/>
          <w:szCs w:val="18"/>
          <w:lang w:val="sr-Latn-ME"/>
        </w:rPr>
        <w:t xml:space="preserve"> </w:t>
      </w:r>
      <w:r w:rsidRPr="0048184E">
        <w:rPr>
          <w:sz w:val="18"/>
          <w:szCs w:val="18"/>
          <w:lang w:val="pl-PL"/>
        </w:rPr>
        <w:t>stopu</w:t>
      </w:r>
      <w:r w:rsidRPr="0048184E">
        <w:rPr>
          <w:sz w:val="18"/>
          <w:szCs w:val="18"/>
          <w:lang w:val="sr-Latn-ME"/>
        </w:rPr>
        <w:t xml:space="preserve"> </w:t>
      </w:r>
      <w:r w:rsidRPr="0048184E">
        <w:rPr>
          <w:sz w:val="18"/>
          <w:szCs w:val="18"/>
          <w:lang w:val="pl-PL"/>
        </w:rPr>
        <w:t>rasta</w:t>
      </w:r>
      <w:r w:rsidRPr="0048184E">
        <w:rPr>
          <w:sz w:val="18"/>
          <w:szCs w:val="18"/>
          <w:lang w:val="sr-Latn-ME"/>
        </w:rPr>
        <w:t xml:space="preserve"> </w:t>
      </w:r>
      <w:r w:rsidRPr="0048184E">
        <w:rPr>
          <w:sz w:val="18"/>
          <w:szCs w:val="18"/>
          <w:lang w:val="pl-PL"/>
        </w:rPr>
        <w:t>od</w:t>
      </w:r>
      <w:r w:rsidRPr="0048184E">
        <w:rPr>
          <w:sz w:val="18"/>
          <w:szCs w:val="18"/>
          <w:lang w:val="sr-Latn-ME"/>
        </w:rPr>
        <w:t xml:space="preserve"> 3% </w:t>
      </w:r>
      <w:r w:rsidRPr="0048184E">
        <w:rPr>
          <w:sz w:val="18"/>
          <w:szCs w:val="18"/>
          <w:lang w:val="pl-PL"/>
        </w:rPr>
        <w:t>u</w:t>
      </w:r>
      <w:r w:rsidRPr="0048184E">
        <w:rPr>
          <w:sz w:val="18"/>
          <w:szCs w:val="18"/>
          <w:lang w:val="sr-Latn-ME"/>
        </w:rPr>
        <w:t xml:space="preserve"> 2024.</w:t>
      </w:r>
      <w:r w:rsidR="00AB7A04" w:rsidRPr="0048184E">
        <w:rPr>
          <w:sz w:val="18"/>
          <w:szCs w:val="18"/>
          <w:lang w:val="sr-Latn-ME"/>
        </w:rPr>
        <w:t xml:space="preserve"> </w:t>
      </w:r>
      <w:r w:rsidRPr="0048184E">
        <w:rPr>
          <w:sz w:val="18"/>
          <w:szCs w:val="18"/>
          <w:lang w:val="pl-PL"/>
        </w:rPr>
        <w:t>godini</w:t>
      </w:r>
      <w:r w:rsidRPr="0048184E">
        <w:rPr>
          <w:sz w:val="18"/>
          <w:szCs w:val="18"/>
          <w:lang w:val="sr-Latn-ME"/>
        </w:rPr>
        <w:t xml:space="preserve">. Crna Gora je </w:t>
      </w:r>
      <w:r w:rsidRPr="0048184E">
        <w:rPr>
          <w:b/>
          <w:sz w:val="18"/>
          <w:szCs w:val="18"/>
          <w:lang w:val="sr-Latn-ME"/>
        </w:rPr>
        <w:t>u prvom kvartalu</w:t>
      </w:r>
      <w:r w:rsidRPr="0048184E">
        <w:rPr>
          <w:sz w:val="18"/>
          <w:szCs w:val="18"/>
          <w:lang w:val="sr-Latn-ME"/>
        </w:rPr>
        <w:t xml:space="preserve"> 2024. godine svrstana među </w:t>
      </w:r>
      <w:r w:rsidRPr="0048184E">
        <w:rPr>
          <w:b/>
          <w:sz w:val="18"/>
          <w:szCs w:val="18"/>
          <w:lang w:val="sr-Latn-ME"/>
        </w:rPr>
        <w:t>vodeće zemlje u Evropi</w:t>
      </w:r>
      <w:r w:rsidRPr="0048184E">
        <w:rPr>
          <w:sz w:val="18"/>
          <w:szCs w:val="18"/>
          <w:lang w:val="sr-Latn-ME"/>
        </w:rPr>
        <w:t xml:space="preserve">, sa ostvarenom stopom realnog rasta BDP-a od </w:t>
      </w:r>
      <w:r w:rsidRPr="0048184E">
        <w:rPr>
          <w:b/>
          <w:sz w:val="18"/>
          <w:szCs w:val="18"/>
          <w:lang w:val="sr-Latn-ME"/>
        </w:rPr>
        <w:t>4,4%</w:t>
      </w:r>
      <w:r w:rsidRPr="0048184E">
        <w:rPr>
          <w:sz w:val="18"/>
          <w:szCs w:val="18"/>
          <w:lang w:val="sr-Latn-ME"/>
        </w:rPr>
        <w:t xml:space="preserve">. Shodno ostvarenim pokazateljima, </w:t>
      </w:r>
      <w:r w:rsidRPr="0048184E">
        <w:rPr>
          <w:b/>
          <w:sz w:val="18"/>
          <w:szCs w:val="18"/>
          <w:lang w:val="sr-Latn-ME"/>
        </w:rPr>
        <w:t>najveći pozitivan doprinos stopi rasta u 2024. dali su privatna potrošnja (6,4 procentnih poena) i bruto investicije u osnovna sredstva (1,8 procentnih poena)</w:t>
      </w:r>
      <w:r w:rsidRPr="0048184E">
        <w:rPr>
          <w:sz w:val="18"/>
          <w:szCs w:val="18"/>
          <w:lang w:val="sr-Latn-ME"/>
        </w:rPr>
        <w:t xml:space="preserve">. </w:t>
      </w:r>
      <w:r w:rsidRPr="0048184E">
        <w:rPr>
          <w:sz w:val="18"/>
          <w:szCs w:val="18"/>
          <w:lang w:val="pl-PL"/>
        </w:rPr>
        <w:t xml:space="preserve"> Nešto lošiji parametri zabilježeni su u sektoru turizma, što se primarno ogleda u manjem broju noćenja domaćih i stranih gostiju, za 4,9% manje u odnosu na prethodnu godinu. Ključni pokretač rasta privredne aktivnosti ostala je privatna potrošnja. Dalji rast zarada, poboljšana situacija na tržištu rada i stabilno kreditira nje dodatno su podstakli ekonomski rast. Visoka inflacija u prethodnom periodu bilježila je pad, a u 2024. godini stopa inflacije bila je najniža još od 2021. godine</w:t>
      </w:r>
      <w:r w:rsidRPr="0048184E">
        <w:rPr>
          <w:rStyle w:val="FootnoteReference"/>
          <w:sz w:val="18"/>
          <w:szCs w:val="18"/>
          <w:lang w:val="pl-PL"/>
        </w:rPr>
        <w:footnoteReference w:id="21"/>
      </w:r>
      <w:r w:rsidRPr="0048184E">
        <w:rPr>
          <w:sz w:val="18"/>
          <w:szCs w:val="18"/>
          <w:lang w:val="pl-PL"/>
        </w:rPr>
        <w:t>.</w:t>
      </w:r>
    </w:p>
    <w:p w14:paraId="328343AE" w14:textId="77777777" w:rsidR="00223F35" w:rsidRPr="0048184E" w:rsidRDefault="00223F35" w:rsidP="0048184E">
      <w:pPr>
        <w:spacing w:after="0" w:line="240" w:lineRule="auto"/>
        <w:jc w:val="both"/>
        <w:rPr>
          <w:sz w:val="18"/>
          <w:szCs w:val="18"/>
          <w:lang w:val="sr-Latn-ME"/>
        </w:rPr>
      </w:pPr>
    </w:p>
    <w:tbl>
      <w:tblPr>
        <w:tblStyle w:val="TableGrid"/>
        <w:tblW w:w="0" w:type="auto"/>
        <w:tblLook w:val="04A0" w:firstRow="1" w:lastRow="0" w:firstColumn="1" w:lastColumn="0" w:noHBand="0" w:noVBand="1"/>
      </w:tblPr>
      <w:tblGrid>
        <w:gridCol w:w="1897"/>
        <w:gridCol w:w="1719"/>
        <w:gridCol w:w="1840"/>
        <w:gridCol w:w="1840"/>
        <w:gridCol w:w="1720"/>
      </w:tblGrid>
      <w:tr w:rsidR="0048184E" w:rsidRPr="0048184E" w14:paraId="686B160E" w14:textId="77777777" w:rsidTr="00A445B6">
        <w:tc>
          <w:tcPr>
            <w:tcW w:w="1963" w:type="dxa"/>
            <w:shd w:val="clear" w:color="auto" w:fill="F2F2F2" w:themeFill="background1" w:themeFillShade="F2"/>
          </w:tcPr>
          <w:p w14:paraId="70C83D27"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Kvartal</w:t>
            </w:r>
          </w:p>
        </w:tc>
        <w:tc>
          <w:tcPr>
            <w:tcW w:w="1783" w:type="dxa"/>
            <w:shd w:val="clear" w:color="auto" w:fill="F2F2F2" w:themeFill="background1" w:themeFillShade="F2"/>
          </w:tcPr>
          <w:p w14:paraId="4CDF044B"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IQ 2024</w:t>
            </w:r>
          </w:p>
        </w:tc>
        <w:tc>
          <w:tcPr>
            <w:tcW w:w="1910" w:type="dxa"/>
            <w:shd w:val="clear" w:color="auto" w:fill="F2F2F2" w:themeFill="background1" w:themeFillShade="F2"/>
          </w:tcPr>
          <w:p w14:paraId="22B4864B"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IIQ 2024</w:t>
            </w:r>
          </w:p>
        </w:tc>
        <w:tc>
          <w:tcPr>
            <w:tcW w:w="1910" w:type="dxa"/>
            <w:shd w:val="clear" w:color="auto" w:fill="F2F2F2" w:themeFill="background1" w:themeFillShade="F2"/>
          </w:tcPr>
          <w:p w14:paraId="0290A4F2"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IIIQ 2024</w:t>
            </w:r>
          </w:p>
        </w:tc>
        <w:tc>
          <w:tcPr>
            <w:tcW w:w="1784" w:type="dxa"/>
            <w:shd w:val="clear" w:color="auto" w:fill="F2F2F2" w:themeFill="background1" w:themeFillShade="F2"/>
          </w:tcPr>
          <w:p w14:paraId="02148626"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IVQ 2024</w:t>
            </w:r>
          </w:p>
        </w:tc>
      </w:tr>
      <w:tr w:rsidR="0048184E" w:rsidRPr="0048184E" w14:paraId="7C89EFA5" w14:textId="77777777" w:rsidTr="00A445B6">
        <w:tc>
          <w:tcPr>
            <w:tcW w:w="1963" w:type="dxa"/>
          </w:tcPr>
          <w:p w14:paraId="6F39F50A"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Rast BDP-a</w:t>
            </w:r>
          </w:p>
        </w:tc>
        <w:tc>
          <w:tcPr>
            <w:tcW w:w="1783" w:type="dxa"/>
          </w:tcPr>
          <w:p w14:paraId="1D7A70A7"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4,4%</w:t>
            </w:r>
          </w:p>
        </w:tc>
        <w:tc>
          <w:tcPr>
            <w:tcW w:w="1910" w:type="dxa"/>
          </w:tcPr>
          <w:p w14:paraId="7D407F6C"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2,7%</w:t>
            </w:r>
          </w:p>
        </w:tc>
        <w:tc>
          <w:tcPr>
            <w:tcW w:w="1910" w:type="dxa"/>
          </w:tcPr>
          <w:p w14:paraId="2E653A63"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2,6%</w:t>
            </w:r>
          </w:p>
        </w:tc>
        <w:tc>
          <w:tcPr>
            <w:tcW w:w="1784" w:type="dxa"/>
          </w:tcPr>
          <w:p w14:paraId="7C7DAE05"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2,9%</w:t>
            </w:r>
          </w:p>
        </w:tc>
      </w:tr>
    </w:tbl>
    <w:p w14:paraId="52BB9AA1" w14:textId="77777777" w:rsidR="00223F35" w:rsidRPr="0048184E" w:rsidRDefault="0054581F" w:rsidP="0048184E">
      <w:pPr>
        <w:spacing w:after="0" w:line="240" w:lineRule="auto"/>
        <w:jc w:val="both"/>
        <w:rPr>
          <w:sz w:val="18"/>
          <w:szCs w:val="18"/>
          <w:lang w:val="sr-Latn-ME"/>
        </w:rPr>
      </w:pPr>
      <w:r>
        <w:rPr>
          <w:sz w:val="18"/>
          <w:szCs w:val="18"/>
          <w:lang w:val="sr-Latn-ME"/>
        </w:rPr>
        <w:t>Izvor: MF</w:t>
      </w:r>
    </w:p>
    <w:p w14:paraId="0227FEEA" w14:textId="77777777" w:rsidR="00223F35" w:rsidRPr="0048184E" w:rsidRDefault="00223F35" w:rsidP="0048184E">
      <w:pPr>
        <w:spacing w:after="0" w:line="240" w:lineRule="auto"/>
        <w:jc w:val="both"/>
        <w:rPr>
          <w:sz w:val="18"/>
          <w:szCs w:val="18"/>
          <w:lang w:val="sr-Latn-ME"/>
        </w:rPr>
      </w:pPr>
    </w:p>
    <w:p w14:paraId="536B041D" w14:textId="77777777" w:rsidR="00223F35" w:rsidRPr="0048184E" w:rsidRDefault="00223F35" w:rsidP="0048184E">
      <w:pPr>
        <w:spacing w:after="0" w:line="240" w:lineRule="auto"/>
        <w:jc w:val="both"/>
        <w:rPr>
          <w:sz w:val="18"/>
          <w:szCs w:val="18"/>
          <w:lang w:val="sr-Latn-ME"/>
        </w:rPr>
      </w:pPr>
      <w:r w:rsidRPr="0048184E">
        <w:rPr>
          <w:sz w:val="18"/>
          <w:szCs w:val="18"/>
          <w:lang w:val="sr-Latn-ME"/>
        </w:rPr>
        <w:t xml:space="preserve">U 2024. godini je zabilježen rast aktivnosti u gotovo svim sektorima domaće privrede. U okviru tržišta rada, jednog od ključnih pokretača snažnog rasta posljednjih godina, nastavljeni su pozitivni trendovi; </w:t>
      </w:r>
      <w:r w:rsidRPr="0048184E">
        <w:rPr>
          <w:b/>
          <w:sz w:val="18"/>
          <w:szCs w:val="18"/>
          <w:lang w:val="sr-Latn-ME"/>
        </w:rPr>
        <w:t>zaposlenost je u 2024. godini porasla za 5,3%, a prosječna neto plata za preko 24% shodno reformi</w:t>
      </w:r>
      <w:r w:rsidRPr="0048184E">
        <w:rPr>
          <w:sz w:val="18"/>
          <w:szCs w:val="18"/>
          <w:lang w:val="sr-Latn-ME"/>
        </w:rPr>
        <w:t xml:space="preserve">. </w:t>
      </w:r>
    </w:p>
    <w:p w14:paraId="4B89B3B7" w14:textId="77777777" w:rsidR="00223F35" w:rsidRPr="0048184E" w:rsidRDefault="00223F35" w:rsidP="0048184E">
      <w:pPr>
        <w:spacing w:after="0" w:line="240" w:lineRule="auto"/>
        <w:jc w:val="both"/>
        <w:rPr>
          <w:sz w:val="18"/>
          <w:szCs w:val="18"/>
          <w:lang w:val="sr-Latn-ME"/>
        </w:rPr>
      </w:pPr>
    </w:p>
    <w:p w14:paraId="7CC04287" w14:textId="77777777" w:rsidR="00223F35" w:rsidRPr="004B0391" w:rsidRDefault="004B0391" w:rsidP="004B0391">
      <w:pPr>
        <w:spacing w:after="0" w:line="240" w:lineRule="auto"/>
        <w:jc w:val="center"/>
        <w:rPr>
          <w:rFonts w:eastAsia="Times New Roman" w:cs="Times New Roman"/>
          <w:b/>
          <w:color w:val="4472C4" w:themeColor="accent5"/>
          <w:sz w:val="18"/>
          <w:szCs w:val="18"/>
          <w:lang w:val="pl-PL"/>
        </w:rPr>
      </w:pPr>
      <w:r w:rsidRPr="004B0391">
        <w:rPr>
          <w:rFonts w:eastAsia="Times New Roman" w:cs="Times New Roman"/>
          <w:b/>
          <w:color w:val="4472C4" w:themeColor="accent5"/>
          <w:sz w:val="18"/>
          <w:szCs w:val="18"/>
          <w:lang w:val="pl-PL"/>
        </w:rPr>
        <w:t xml:space="preserve">Grafik 4. </w:t>
      </w:r>
      <w:r w:rsidR="00223F35" w:rsidRPr="004B0391">
        <w:rPr>
          <w:rFonts w:eastAsia="Times New Roman" w:cs="Times New Roman"/>
          <w:b/>
          <w:color w:val="4472C4" w:themeColor="accent5"/>
          <w:sz w:val="18"/>
          <w:szCs w:val="18"/>
          <w:lang w:val="pl-PL"/>
        </w:rPr>
        <w:t>Komponente tekućeg računa, % BDP-a, 2010–2024.</w:t>
      </w:r>
    </w:p>
    <w:p w14:paraId="76C52715" w14:textId="77777777" w:rsidR="00223F35" w:rsidRPr="004B0391" w:rsidRDefault="00223F35" w:rsidP="004B0391">
      <w:pPr>
        <w:spacing w:after="0" w:line="240" w:lineRule="auto"/>
        <w:jc w:val="center"/>
        <w:rPr>
          <w:rFonts w:eastAsia="Times New Roman" w:cs="Times New Roman"/>
          <w:b/>
          <w:color w:val="4472C4" w:themeColor="accent5"/>
          <w:sz w:val="18"/>
          <w:szCs w:val="18"/>
          <w:lang w:val="pl-PL"/>
        </w:rPr>
      </w:pPr>
    </w:p>
    <w:p w14:paraId="04793C28" w14:textId="77777777" w:rsidR="00223F35" w:rsidRPr="0048184E" w:rsidRDefault="00223F35" w:rsidP="0048184E">
      <w:pPr>
        <w:spacing w:after="0" w:line="240" w:lineRule="auto"/>
        <w:jc w:val="both"/>
        <w:rPr>
          <w:b/>
          <w:sz w:val="18"/>
          <w:szCs w:val="18"/>
          <w:lang w:val="sr-Latn-ME"/>
        </w:rPr>
      </w:pPr>
      <w:r w:rsidRPr="0048184E">
        <w:rPr>
          <w:noProof/>
          <w:sz w:val="18"/>
          <w:szCs w:val="18"/>
        </w:rPr>
        <w:drawing>
          <wp:inline distT="0" distB="0" distL="0" distR="0" wp14:anchorId="066354A1" wp14:editId="2BB2575E">
            <wp:extent cx="5634481" cy="2161982"/>
            <wp:effectExtent l="0" t="0" r="4445" b="10160"/>
            <wp:docPr id="1"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0570D2" w14:textId="77777777" w:rsidR="00223F35" w:rsidRPr="0048184E" w:rsidRDefault="00AB7A04" w:rsidP="0048184E">
      <w:pPr>
        <w:spacing w:after="0" w:line="240" w:lineRule="auto"/>
        <w:jc w:val="both"/>
        <w:rPr>
          <w:sz w:val="18"/>
          <w:szCs w:val="18"/>
          <w:lang w:val="sr-Latn-ME"/>
        </w:rPr>
      </w:pPr>
      <w:r w:rsidRPr="0048184E">
        <w:rPr>
          <w:sz w:val="18"/>
          <w:szCs w:val="18"/>
          <w:lang w:val="sr-Latn-ME"/>
        </w:rPr>
        <w:t>Izvor: CBCG</w:t>
      </w:r>
    </w:p>
    <w:p w14:paraId="7DC5FB28" w14:textId="77777777" w:rsidR="00223F35" w:rsidRPr="0048184E" w:rsidRDefault="00223F35" w:rsidP="0048184E">
      <w:pPr>
        <w:spacing w:after="0" w:line="240" w:lineRule="auto"/>
        <w:jc w:val="both"/>
        <w:rPr>
          <w:sz w:val="18"/>
          <w:szCs w:val="18"/>
          <w:lang w:val="sr-Latn-ME"/>
        </w:rPr>
      </w:pPr>
      <w:r w:rsidRPr="0048184E">
        <w:rPr>
          <w:b/>
          <w:sz w:val="18"/>
          <w:szCs w:val="18"/>
          <w:lang w:val="sr-Latn-ME"/>
        </w:rPr>
        <w:t>Trgovina u maloprodaji</w:t>
      </w:r>
      <w:r w:rsidRPr="0048184E">
        <w:rPr>
          <w:sz w:val="18"/>
          <w:szCs w:val="18"/>
          <w:lang w:val="sr-Latn-ME"/>
        </w:rPr>
        <w:t xml:space="preserve"> je zabilježila </w:t>
      </w:r>
      <w:r w:rsidRPr="0048184E">
        <w:rPr>
          <w:b/>
          <w:sz w:val="18"/>
          <w:szCs w:val="18"/>
          <w:lang w:val="sr-Latn-ME"/>
        </w:rPr>
        <w:t>rast prometa od 10,7% u 2024. godini</w:t>
      </w:r>
      <w:r w:rsidRPr="0048184E">
        <w:rPr>
          <w:sz w:val="18"/>
          <w:szCs w:val="18"/>
          <w:lang w:val="sr-Latn-ME"/>
        </w:rPr>
        <w:t xml:space="preserve">. Crna Gora je u 2024. godini zabilježila </w:t>
      </w:r>
      <w:r w:rsidRPr="0048184E">
        <w:rPr>
          <w:b/>
          <w:sz w:val="18"/>
          <w:szCs w:val="18"/>
          <w:lang w:val="sr-Latn-ME"/>
        </w:rPr>
        <w:t>rast vrijednosti izvršenih građevinskih radova od 2,4%</w:t>
      </w:r>
      <w:r w:rsidRPr="0048184E">
        <w:rPr>
          <w:sz w:val="18"/>
          <w:szCs w:val="18"/>
          <w:lang w:val="sr-Latn-ME"/>
        </w:rPr>
        <w:t xml:space="preserve">, rast prevezenih putnika u svim vidovima saobraćaja – pri čemu broj prevezenih putnika na crnogorskim aerodromima bilježi rast od 15,2%. Industrijska proizvodnja je u 2024. u odnosu na 2023. godinu zabilježila marginalni </w:t>
      </w:r>
      <w:r w:rsidRPr="0048184E">
        <w:rPr>
          <w:b/>
          <w:sz w:val="18"/>
          <w:szCs w:val="18"/>
          <w:lang w:val="sr-Latn-ME"/>
        </w:rPr>
        <w:t>rast od 0,2%</w:t>
      </w:r>
      <w:r w:rsidRPr="0048184E">
        <w:rPr>
          <w:sz w:val="18"/>
          <w:szCs w:val="18"/>
          <w:lang w:val="sr-Latn-ME"/>
        </w:rPr>
        <w:t xml:space="preserve">, kao rezultat rasta sektora 'Vađenje ruda i kamena' (8,9%) i sektora 'Prerađivačka industrija' (11,9%), dok je istovremeno došlo do pada proizvodnje električne energije od 15,1%. </w:t>
      </w:r>
    </w:p>
    <w:p w14:paraId="2F4129B0" w14:textId="77777777" w:rsidR="00223F35" w:rsidRPr="0048184E" w:rsidRDefault="00223F35" w:rsidP="0048184E">
      <w:pPr>
        <w:spacing w:after="0" w:line="240" w:lineRule="auto"/>
        <w:jc w:val="both"/>
        <w:rPr>
          <w:sz w:val="18"/>
          <w:szCs w:val="18"/>
          <w:lang w:val="sr-Latn-ME"/>
        </w:rPr>
      </w:pPr>
    </w:p>
    <w:p w14:paraId="71E91E06" w14:textId="77777777" w:rsidR="00223F35" w:rsidRPr="0048184E" w:rsidRDefault="00223F35" w:rsidP="0048184E">
      <w:pPr>
        <w:spacing w:after="0" w:line="240" w:lineRule="auto"/>
        <w:jc w:val="both"/>
        <w:rPr>
          <w:sz w:val="18"/>
          <w:szCs w:val="18"/>
          <w:lang w:val="pl-PL"/>
        </w:rPr>
      </w:pPr>
      <w:r w:rsidRPr="0048184E">
        <w:rPr>
          <w:sz w:val="18"/>
          <w:szCs w:val="18"/>
          <w:lang w:val="sr-Latn-ME"/>
        </w:rPr>
        <w:t>Ostvareni ekonomski rast u prošloj godini su podržale i strane direktne investici</w:t>
      </w:r>
      <w:r w:rsidR="00AB7A04" w:rsidRPr="0048184E">
        <w:rPr>
          <w:sz w:val="18"/>
          <w:szCs w:val="18"/>
          <w:lang w:val="sr-Latn-ME"/>
        </w:rPr>
        <w:t>je, pa je prema podacima CBCG</w:t>
      </w:r>
      <w:r w:rsidRPr="0048184E">
        <w:rPr>
          <w:sz w:val="18"/>
          <w:szCs w:val="18"/>
          <w:lang w:val="sr-Latn-ME"/>
        </w:rPr>
        <w:t xml:space="preserve"> u 2024</w:t>
      </w:r>
      <w:r w:rsidR="00AB7A04" w:rsidRPr="0048184E">
        <w:rPr>
          <w:sz w:val="18"/>
          <w:szCs w:val="18"/>
          <w:lang w:val="sr-Latn-ME"/>
        </w:rPr>
        <w:t>.</w:t>
      </w:r>
      <w:r w:rsidRPr="0048184E">
        <w:rPr>
          <w:sz w:val="18"/>
          <w:szCs w:val="18"/>
          <w:lang w:val="sr-Latn-ME"/>
        </w:rPr>
        <w:t xml:space="preserve">, </w:t>
      </w:r>
      <w:r w:rsidRPr="0048184E">
        <w:rPr>
          <w:b/>
          <w:sz w:val="18"/>
          <w:szCs w:val="18"/>
          <w:lang w:val="sr-Latn-ME"/>
        </w:rPr>
        <w:t xml:space="preserve">neto priliv SDI iznosio 489,9 miliona eura, što je za 13,0% više </w:t>
      </w:r>
      <w:r w:rsidRPr="0048184E">
        <w:rPr>
          <w:sz w:val="18"/>
          <w:szCs w:val="18"/>
          <w:lang w:val="sr-Latn-ME"/>
        </w:rPr>
        <w:t xml:space="preserve">u odnosu na 2023. </w:t>
      </w:r>
      <w:r w:rsidRPr="0048184E">
        <w:rPr>
          <w:sz w:val="18"/>
          <w:szCs w:val="18"/>
          <w:lang w:val="pl-PL"/>
        </w:rPr>
        <w:t>Ukupni priliv SDI porastao je za 3,3%, zahvaljujući blagom povećanju investicija u kompanije i banke, kao i rastu interkompanijskog duga. S druge strane, investicije u nekretnine su, po prvi put nakon tri godine, zabilježile blagi pad. Istovremeno, odliv SDI smanjen je za 6,7%.</w:t>
      </w:r>
    </w:p>
    <w:p w14:paraId="1731CB43" w14:textId="77777777" w:rsidR="00223F35" w:rsidRPr="0048184E" w:rsidRDefault="00223F35" w:rsidP="0048184E">
      <w:pPr>
        <w:spacing w:after="0" w:line="240" w:lineRule="auto"/>
        <w:jc w:val="both"/>
        <w:rPr>
          <w:b/>
          <w:sz w:val="18"/>
          <w:szCs w:val="18"/>
          <w:lang w:val="sr-Latn-ME"/>
        </w:rPr>
      </w:pPr>
    </w:p>
    <w:p w14:paraId="6C4F7F36" w14:textId="557A760B" w:rsidR="00223F35" w:rsidRPr="0048184E" w:rsidRDefault="00223F35" w:rsidP="0048184E">
      <w:pPr>
        <w:spacing w:after="0" w:line="240" w:lineRule="auto"/>
        <w:jc w:val="both"/>
        <w:rPr>
          <w:sz w:val="18"/>
          <w:szCs w:val="18"/>
          <w:lang w:val="sr-Latn-ME"/>
        </w:rPr>
      </w:pPr>
      <w:r w:rsidRPr="0048184E">
        <w:rPr>
          <w:b/>
          <w:sz w:val="18"/>
          <w:szCs w:val="18"/>
          <w:lang w:val="sr-Latn-ME"/>
        </w:rPr>
        <w:t>Prihodi od</w:t>
      </w:r>
      <w:r w:rsidR="00BD00C4">
        <w:rPr>
          <w:b/>
          <w:sz w:val="18"/>
          <w:szCs w:val="18"/>
          <w:lang w:val="sr-Latn-ME"/>
        </w:rPr>
        <w:t xml:space="preserve"> ino-</w:t>
      </w:r>
      <w:r w:rsidRPr="0048184E">
        <w:rPr>
          <w:b/>
          <w:sz w:val="18"/>
          <w:szCs w:val="18"/>
          <w:lang w:val="sr-Latn-ME"/>
        </w:rPr>
        <w:t>turizma</w:t>
      </w:r>
      <w:r w:rsidRPr="0048184E">
        <w:rPr>
          <w:sz w:val="18"/>
          <w:szCs w:val="18"/>
          <w:lang w:val="sr-Latn-ME"/>
        </w:rPr>
        <w:t xml:space="preserve"> su u 2024. godini iznosili 1,46 mlrd. €, i manji su 3,1% u odnosu na 2023. godinu, ali </w:t>
      </w:r>
      <w:r w:rsidRPr="0048184E">
        <w:rPr>
          <w:b/>
          <w:sz w:val="18"/>
          <w:szCs w:val="18"/>
          <w:lang w:val="sr-Latn-ME"/>
        </w:rPr>
        <w:t xml:space="preserve">33,0% veći u odnosu na uporednu 2019. godinu. </w:t>
      </w:r>
      <w:r w:rsidRPr="0048184E">
        <w:rPr>
          <w:sz w:val="18"/>
          <w:szCs w:val="18"/>
          <w:lang w:val="sr-Latn-ME"/>
        </w:rPr>
        <w:t xml:space="preserve">Bankarski sektor je u 2024. godini takođe zabilježio pozitivne rezultate, sa značajnim </w:t>
      </w:r>
      <w:r w:rsidRPr="0048184E">
        <w:rPr>
          <w:b/>
          <w:sz w:val="18"/>
          <w:szCs w:val="18"/>
          <w:lang w:val="sr-Latn-ME"/>
        </w:rPr>
        <w:t xml:space="preserve">povećanjem ukupnih kredita od 13,3% </w:t>
      </w:r>
      <w:r w:rsidRPr="0048184E">
        <w:rPr>
          <w:sz w:val="18"/>
          <w:szCs w:val="18"/>
          <w:lang w:val="sr-Latn-ME"/>
        </w:rPr>
        <w:t xml:space="preserve">na godišnjem nivou na kraju 2024. i depozitima koji su dostigli vrijednost od 5,8 milijardi eura, uz </w:t>
      </w:r>
      <w:r w:rsidRPr="0048184E">
        <w:rPr>
          <w:b/>
          <w:sz w:val="18"/>
          <w:szCs w:val="18"/>
          <w:lang w:val="sr-Latn-ME"/>
        </w:rPr>
        <w:t>godišnji rast od 6,7%</w:t>
      </w:r>
      <w:r w:rsidR="00AB7A04" w:rsidRPr="0048184E">
        <w:rPr>
          <w:sz w:val="18"/>
          <w:szCs w:val="18"/>
          <w:lang w:val="sr-Latn-ME"/>
        </w:rPr>
        <w:t xml:space="preserve">.  </w:t>
      </w:r>
      <w:r w:rsidR="00AB7A04" w:rsidRPr="0048184E">
        <w:rPr>
          <w:b/>
          <w:sz w:val="18"/>
          <w:szCs w:val="18"/>
          <w:lang w:val="sr-Latn-ME"/>
        </w:rPr>
        <w:t>I</w:t>
      </w:r>
      <w:r w:rsidRPr="0048184E">
        <w:rPr>
          <w:b/>
          <w:sz w:val="18"/>
          <w:szCs w:val="18"/>
          <w:lang w:val="sr-Latn-ME"/>
        </w:rPr>
        <w:t xml:space="preserve">nflacija je u 2024. godini bila niža od projektovane </w:t>
      </w:r>
      <w:r w:rsidR="0054581F">
        <w:rPr>
          <w:b/>
          <w:sz w:val="18"/>
          <w:szCs w:val="18"/>
          <w:lang w:val="sr-Latn-ME"/>
        </w:rPr>
        <w:t xml:space="preserve">od strane MF </w:t>
      </w:r>
      <w:r w:rsidRPr="0048184E">
        <w:rPr>
          <w:b/>
          <w:sz w:val="18"/>
          <w:szCs w:val="18"/>
          <w:lang w:val="sr-Latn-ME"/>
        </w:rPr>
        <w:t xml:space="preserve"> (3,7%) i iznosila je prosječno 3,3%</w:t>
      </w:r>
      <w:r w:rsidRPr="0048184E">
        <w:rPr>
          <w:sz w:val="18"/>
          <w:szCs w:val="18"/>
          <w:lang w:val="sr-Latn-ME"/>
        </w:rPr>
        <w:t>.</w:t>
      </w:r>
    </w:p>
    <w:p w14:paraId="40D02B76" w14:textId="77777777" w:rsidR="00223F35" w:rsidRPr="0048184E" w:rsidRDefault="00223F35" w:rsidP="0048184E">
      <w:pPr>
        <w:spacing w:after="0" w:line="240" w:lineRule="auto"/>
        <w:jc w:val="both"/>
        <w:rPr>
          <w:sz w:val="18"/>
          <w:szCs w:val="18"/>
          <w:lang w:val="sr-Latn-ME"/>
        </w:rPr>
      </w:pPr>
    </w:p>
    <w:p w14:paraId="0D2016A0" w14:textId="77777777" w:rsidR="00223F35" w:rsidRPr="0048184E" w:rsidRDefault="00223F35" w:rsidP="0048184E">
      <w:pPr>
        <w:spacing w:after="0" w:line="240" w:lineRule="auto"/>
        <w:jc w:val="both"/>
        <w:rPr>
          <w:sz w:val="18"/>
          <w:szCs w:val="18"/>
          <w:lang w:val="pl-PL"/>
        </w:rPr>
      </w:pPr>
      <w:r w:rsidRPr="0048184E">
        <w:rPr>
          <w:sz w:val="18"/>
          <w:szCs w:val="18"/>
          <w:lang w:val="pl-PL"/>
        </w:rPr>
        <w:t>Tokom 2024. godine zabilježen je trend usporavanja inflacije, kako na globalnom nivou, tako i u Crnoj Gori. Globalna inflacija procijenjena je n</w:t>
      </w:r>
      <w:r w:rsidR="00AB7A04" w:rsidRPr="0048184E">
        <w:rPr>
          <w:sz w:val="18"/>
          <w:szCs w:val="18"/>
          <w:lang w:val="pl-PL"/>
        </w:rPr>
        <w:t>a 5,7%, dok je u EU godišnja stopa inflacije, mje</w:t>
      </w:r>
      <w:r w:rsidRPr="0048184E">
        <w:rPr>
          <w:sz w:val="18"/>
          <w:szCs w:val="18"/>
          <w:lang w:val="pl-PL"/>
        </w:rPr>
        <w:t xml:space="preserve">rena harmonizovanim indeksom potrošačkih cijena, iznosila 2,7%. </w:t>
      </w:r>
    </w:p>
    <w:p w14:paraId="2310B9EA" w14:textId="77777777" w:rsidR="00AB7A04" w:rsidRPr="0048184E" w:rsidRDefault="00AB7A04" w:rsidP="0048184E">
      <w:pPr>
        <w:spacing w:after="0" w:line="240" w:lineRule="auto"/>
        <w:jc w:val="both"/>
        <w:rPr>
          <w:sz w:val="18"/>
          <w:szCs w:val="18"/>
          <w:lang w:val="pl-PL"/>
        </w:rPr>
      </w:pPr>
    </w:p>
    <w:p w14:paraId="53B90BEA" w14:textId="77777777" w:rsidR="00223F35" w:rsidRPr="0048184E" w:rsidRDefault="00223F35" w:rsidP="0048184E">
      <w:pPr>
        <w:spacing w:after="0" w:line="240" w:lineRule="auto"/>
        <w:jc w:val="both"/>
        <w:rPr>
          <w:rFonts w:eastAsia="Aptos" w:cs="Times New Roman"/>
          <w:sz w:val="18"/>
          <w:szCs w:val="18"/>
          <w:lang w:val="pl-PL"/>
        </w:rPr>
      </w:pPr>
      <w:r w:rsidRPr="0048184E">
        <w:rPr>
          <w:sz w:val="18"/>
          <w:szCs w:val="18"/>
          <w:lang w:val="pl-PL"/>
        </w:rPr>
        <w:t>Bankarski sektor je i u 2024.godini ostao solventan, likvidan i profitabilan. Nastavljen je stabilan rast depozita na godišnjem nivou, koje banke u posljednje vrijeme više preusmjeravaju u kredite, nego u likvidnu aktivu ili u hartije od vrijednosti. Likvidna aktiva je zabilježila pad u odnosu na prethodnu godinu, ali je ostala na vrlo visokom nivou. Učešće nekvalitetnih kredita iznosilo je 3,4%, dok je profitabilnost banaka bila na visokom nivou. Banke su zabilježile rekordnu profitabilnost zahvaljujući rastućoj kredi</w:t>
      </w:r>
      <w:r w:rsidR="00AB7A04" w:rsidRPr="0048184E">
        <w:rPr>
          <w:sz w:val="18"/>
          <w:szCs w:val="18"/>
          <w:lang w:val="pl-PL"/>
        </w:rPr>
        <w:t>tnoj aktivnosti pri datoj kamat</w:t>
      </w:r>
      <w:r w:rsidRPr="0048184E">
        <w:rPr>
          <w:sz w:val="18"/>
          <w:szCs w:val="18"/>
          <w:lang w:val="pl-PL"/>
        </w:rPr>
        <w:t xml:space="preserve">noj marži, ali i rastućim nekamatnim prihodima. </w:t>
      </w:r>
    </w:p>
    <w:p w14:paraId="7D0AFBE7" w14:textId="77777777" w:rsidR="00223F35" w:rsidRPr="0048184E" w:rsidRDefault="00223F35" w:rsidP="0048184E">
      <w:pPr>
        <w:spacing w:after="0" w:line="240" w:lineRule="auto"/>
        <w:jc w:val="both"/>
        <w:rPr>
          <w:sz w:val="18"/>
          <w:szCs w:val="18"/>
          <w:lang w:val="pl-PL"/>
        </w:rPr>
      </w:pPr>
    </w:p>
    <w:p w14:paraId="296EBC57" w14:textId="77777777" w:rsidR="00223F35" w:rsidRPr="0048184E" w:rsidRDefault="00223F35" w:rsidP="0048184E">
      <w:pPr>
        <w:spacing w:after="0" w:line="240" w:lineRule="auto"/>
        <w:jc w:val="both"/>
        <w:rPr>
          <w:sz w:val="18"/>
          <w:szCs w:val="18"/>
          <w:lang w:val="pl-PL"/>
        </w:rPr>
      </w:pPr>
      <w:r w:rsidRPr="0048184E">
        <w:rPr>
          <w:b/>
          <w:sz w:val="18"/>
          <w:szCs w:val="18"/>
          <w:lang w:val="pl-PL"/>
        </w:rPr>
        <w:t>Likvidnost realnog sektora i dalje je zabrinjavajuća</w:t>
      </w:r>
      <w:r w:rsidRPr="0048184E">
        <w:rPr>
          <w:sz w:val="18"/>
          <w:szCs w:val="18"/>
          <w:lang w:val="pl-PL"/>
        </w:rPr>
        <w:t>- u vrijednosnom smislu, blokirani iznos računa privrednih subjekata dostigao je 1,33 mlrd. eura, što je 14,5% više nego na kraju 2023. godine. Privredni subjekti koji su bili u blokadi na kraju 2024. godine činili su preko četvrtine aktivnih privrednih subjekata (26,6%), a njihov broj porastao je 5,6% za godinu dana.</w:t>
      </w:r>
    </w:p>
    <w:p w14:paraId="183C0CFB" w14:textId="77777777" w:rsidR="00223F35" w:rsidRPr="0048184E" w:rsidRDefault="00223F35" w:rsidP="0048184E">
      <w:pPr>
        <w:spacing w:after="0" w:line="240" w:lineRule="auto"/>
        <w:jc w:val="both"/>
        <w:rPr>
          <w:sz w:val="18"/>
          <w:szCs w:val="18"/>
          <w:lang w:val="pl-PL"/>
        </w:rPr>
      </w:pPr>
    </w:p>
    <w:p w14:paraId="52CAB593"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Zaduženost stanovništva prema bankama uvećana je za 16,6% tokom 2024. godine, dosegnuvši 1,97 mlrd. eura, čime je nastavljen trend započet još 2013. godine i dostignut istorijski najviši nivo zaduže nosti u nominalnom iznosu. Realni prihodi stanovništva, gledano kroz prosječne zarade, </w:t>
      </w:r>
      <w:r w:rsidR="00754CEB" w:rsidRPr="0048184E">
        <w:rPr>
          <w:sz w:val="18"/>
          <w:szCs w:val="18"/>
          <w:lang w:val="pl-PL"/>
        </w:rPr>
        <w:t>ukazuju na poboljšanje finansij</w:t>
      </w:r>
      <w:r w:rsidRPr="0048184E">
        <w:rPr>
          <w:sz w:val="18"/>
          <w:szCs w:val="18"/>
          <w:lang w:val="pl-PL"/>
        </w:rPr>
        <w:t xml:space="preserve">ske pozicije sektora stanovništva. Naime, prosječne neto zarade porasle su za 2,3% u 2023. godini, dok je u 2024. godini rast iznosio 6,9%. </w:t>
      </w:r>
    </w:p>
    <w:p w14:paraId="45A4B1AD" w14:textId="77777777" w:rsidR="004630DF" w:rsidRPr="0048184E" w:rsidRDefault="004630DF" w:rsidP="0048184E">
      <w:pPr>
        <w:spacing w:after="0" w:line="240" w:lineRule="auto"/>
        <w:jc w:val="both"/>
        <w:rPr>
          <w:sz w:val="18"/>
          <w:szCs w:val="18"/>
          <w:lang w:val="pl-PL"/>
        </w:rPr>
      </w:pPr>
    </w:p>
    <w:p w14:paraId="5A411B8E" w14:textId="77777777" w:rsidR="00223F35" w:rsidRPr="0048184E" w:rsidRDefault="00223F35" w:rsidP="0048184E">
      <w:pPr>
        <w:spacing w:after="0" w:line="240" w:lineRule="auto"/>
        <w:jc w:val="both"/>
        <w:rPr>
          <w:sz w:val="18"/>
          <w:szCs w:val="18"/>
          <w:lang w:val="pl-PL"/>
        </w:rPr>
      </w:pPr>
      <w:r w:rsidRPr="0048184E">
        <w:rPr>
          <w:sz w:val="18"/>
          <w:szCs w:val="18"/>
          <w:lang w:val="pl-PL"/>
        </w:rPr>
        <w:t>Deficit tekućeg računa u 2024. godini dostigao je 1,3 mlrd. eura, odnosno 17,5% BDP-a, što predstavlja povećanje od 6,2 pp u odnosu na 2023. godinu. Očekivano, glavni uzrok rasta deficita bio je negativan saldo na računu roba, koji je dodatno porastao i iznosio je 3,3 mlrd. eura (44,3% BDP-a). Uvoz roba nastavio je da raste, pri čemu su najveći doprinos dale kategorije „mašine i transportni uređaji“ te „prehrambeni proizvodi“. S druge strane, izvoz je smanjen zbog značajno manjeg izvoz</w:t>
      </w:r>
      <w:r w:rsidR="00754CEB" w:rsidRPr="0048184E">
        <w:rPr>
          <w:sz w:val="18"/>
          <w:szCs w:val="18"/>
          <w:lang w:val="pl-PL"/>
        </w:rPr>
        <w:t>a električ</w:t>
      </w:r>
      <w:r w:rsidRPr="0048184E">
        <w:rPr>
          <w:sz w:val="18"/>
          <w:szCs w:val="18"/>
          <w:lang w:val="pl-PL"/>
        </w:rPr>
        <w:t>ne energije i obojenih metala.</w:t>
      </w:r>
    </w:p>
    <w:p w14:paraId="0ECAEB09" w14:textId="77777777" w:rsidR="00223F35" w:rsidRPr="0048184E" w:rsidRDefault="00223F35" w:rsidP="0048184E">
      <w:pPr>
        <w:spacing w:after="0" w:line="240" w:lineRule="auto"/>
        <w:jc w:val="both"/>
        <w:rPr>
          <w:sz w:val="18"/>
          <w:szCs w:val="18"/>
          <w:lang w:val="pl-PL"/>
        </w:rPr>
      </w:pPr>
    </w:p>
    <w:p w14:paraId="19A76095"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Suficit na računu usluga ostao je izuzetno visok i na kraju 2024. godine iznosio je 1,6 mlrd. eura, odnosno 21,2% BDP-a. Ipak, procijenjeni prihodi od putovanja-turizma iznosili su 1,5 mlrd. eura, što predstavlja </w:t>
      </w:r>
      <w:r w:rsidR="00754CEB" w:rsidRPr="0048184E">
        <w:rPr>
          <w:sz w:val="18"/>
          <w:szCs w:val="18"/>
          <w:lang w:val="pl-PL"/>
        </w:rPr>
        <w:t>pad od 3,1% u odnosu na prethod</w:t>
      </w:r>
      <w:r w:rsidRPr="0048184E">
        <w:rPr>
          <w:sz w:val="18"/>
          <w:szCs w:val="18"/>
          <w:lang w:val="pl-PL"/>
        </w:rPr>
        <w:t>nu godinu. Ovaj</w:t>
      </w:r>
      <w:r w:rsidR="00AB7A04" w:rsidRPr="0048184E">
        <w:rPr>
          <w:sz w:val="18"/>
          <w:szCs w:val="18"/>
          <w:lang w:val="pl-PL"/>
        </w:rPr>
        <w:t xml:space="preserve"> rezultat prvenstveno je poslje</w:t>
      </w:r>
      <w:r w:rsidRPr="0048184E">
        <w:rPr>
          <w:sz w:val="18"/>
          <w:szCs w:val="18"/>
          <w:lang w:val="pl-PL"/>
        </w:rPr>
        <w:t>dica smanjenja broja noćenja domaćih i stranih turista.</w:t>
      </w:r>
    </w:p>
    <w:p w14:paraId="45310354" w14:textId="77777777" w:rsidR="00223F35" w:rsidRPr="0048184E" w:rsidRDefault="00223F35" w:rsidP="0048184E">
      <w:pPr>
        <w:spacing w:after="0" w:line="240" w:lineRule="auto"/>
        <w:jc w:val="both"/>
        <w:rPr>
          <w:sz w:val="18"/>
          <w:szCs w:val="18"/>
          <w:lang w:val="pl-PL"/>
        </w:rPr>
      </w:pPr>
    </w:p>
    <w:p w14:paraId="04598722" w14:textId="77777777" w:rsidR="00223F35" w:rsidRPr="0048184E" w:rsidRDefault="00223F35" w:rsidP="0048184E">
      <w:pPr>
        <w:spacing w:after="0" w:line="240" w:lineRule="auto"/>
        <w:jc w:val="both"/>
        <w:rPr>
          <w:sz w:val="18"/>
          <w:szCs w:val="18"/>
          <w:lang w:val="pl-PL"/>
        </w:rPr>
      </w:pPr>
      <w:r w:rsidRPr="0048184E">
        <w:rPr>
          <w:sz w:val="18"/>
          <w:szCs w:val="18"/>
          <w:lang w:val="pl-PL"/>
        </w:rPr>
        <w:t>Tržište rada bil</w:t>
      </w:r>
      <w:r w:rsidR="00754CEB" w:rsidRPr="0048184E">
        <w:rPr>
          <w:sz w:val="18"/>
          <w:szCs w:val="18"/>
          <w:lang w:val="pl-PL"/>
        </w:rPr>
        <w:t>ježi pozitivne trendove, podsta</w:t>
      </w:r>
      <w:r w:rsidRPr="0048184E">
        <w:rPr>
          <w:sz w:val="18"/>
          <w:szCs w:val="18"/>
          <w:lang w:val="pl-PL"/>
        </w:rPr>
        <w:t>knute rastom privredne aktivnosti i smanjenjem sive ekonomije. Realni pr</w:t>
      </w:r>
      <w:r w:rsidR="00754CEB" w:rsidRPr="0048184E">
        <w:rPr>
          <w:sz w:val="18"/>
          <w:szCs w:val="18"/>
          <w:lang w:val="pl-PL"/>
        </w:rPr>
        <w:t>ihodi stanovništva, gle</w:t>
      </w:r>
      <w:r w:rsidRPr="0048184E">
        <w:rPr>
          <w:sz w:val="18"/>
          <w:szCs w:val="18"/>
          <w:lang w:val="pl-PL"/>
        </w:rPr>
        <w:t>dano kroz prosječne zarade, ukazuju na poboljša nje finansijske poz</w:t>
      </w:r>
      <w:r w:rsidR="00754CEB" w:rsidRPr="0048184E">
        <w:rPr>
          <w:sz w:val="18"/>
          <w:szCs w:val="18"/>
          <w:lang w:val="pl-PL"/>
        </w:rPr>
        <w:t>icije sektora stanovništva, upr</w:t>
      </w:r>
      <w:r w:rsidRPr="0048184E">
        <w:rPr>
          <w:sz w:val="18"/>
          <w:szCs w:val="18"/>
          <w:lang w:val="pl-PL"/>
        </w:rPr>
        <w:t>kos inflatornim pritiscima. Prosječne neto zarade porasle su za 2,3% u 2023. godini, dok je u 2024. g</w:t>
      </w:r>
      <w:r w:rsidR="00754CEB" w:rsidRPr="0048184E">
        <w:rPr>
          <w:sz w:val="18"/>
          <w:szCs w:val="18"/>
          <w:lang w:val="pl-PL"/>
        </w:rPr>
        <w:t>odini njihov rast iznosio 6,9%</w:t>
      </w:r>
      <w:r w:rsidRPr="0048184E">
        <w:rPr>
          <w:sz w:val="18"/>
          <w:szCs w:val="18"/>
          <w:lang w:val="pl-PL"/>
        </w:rPr>
        <w:t>. Ovom rastu dodatno je doprinijela implementaci ja programa ,,Evr</w:t>
      </w:r>
      <w:r w:rsidR="00AC573F" w:rsidRPr="0048184E">
        <w:rPr>
          <w:sz w:val="18"/>
          <w:szCs w:val="18"/>
          <w:lang w:val="pl-PL"/>
        </w:rPr>
        <w:t>opa sad 2” u oktobru 2024. godi</w:t>
      </w:r>
      <w:r w:rsidRPr="0048184E">
        <w:rPr>
          <w:sz w:val="18"/>
          <w:szCs w:val="18"/>
          <w:lang w:val="pl-PL"/>
        </w:rPr>
        <w:t>ne, kroz povećanje minimalnih zarada, kao i kroz smanjenje stope d</w:t>
      </w:r>
      <w:r w:rsidR="00AC573F" w:rsidRPr="0048184E">
        <w:rPr>
          <w:sz w:val="18"/>
          <w:szCs w:val="18"/>
          <w:lang w:val="pl-PL"/>
        </w:rPr>
        <w:t>oprinosa za penzijsko i invalid</w:t>
      </w:r>
      <w:r w:rsidRPr="0048184E">
        <w:rPr>
          <w:sz w:val="18"/>
          <w:szCs w:val="18"/>
          <w:lang w:val="pl-PL"/>
        </w:rPr>
        <w:t>sko osiguranje.</w:t>
      </w:r>
    </w:p>
    <w:p w14:paraId="79A1E01D" w14:textId="77777777" w:rsidR="00223F35" w:rsidRPr="0048184E" w:rsidRDefault="00223F35" w:rsidP="0048184E">
      <w:pPr>
        <w:spacing w:after="0" w:line="240" w:lineRule="auto"/>
        <w:jc w:val="both"/>
        <w:rPr>
          <w:sz w:val="18"/>
          <w:szCs w:val="18"/>
          <w:lang w:val="pl-PL"/>
        </w:rPr>
      </w:pPr>
    </w:p>
    <w:p w14:paraId="521FC4A6" w14:textId="77777777" w:rsidR="00223F35" w:rsidRPr="004B0391" w:rsidRDefault="004B0391"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 xml:space="preserve">Grafik 5. </w:t>
      </w:r>
      <w:r w:rsidR="00754CEB" w:rsidRPr="004B0391">
        <w:rPr>
          <w:b/>
          <w:color w:val="4472C4" w:themeColor="accent5"/>
          <w:sz w:val="18"/>
          <w:szCs w:val="18"/>
          <w:lang w:val="pl-PL"/>
        </w:rPr>
        <w:t xml:space="preserve"> Prosječne </w:t>
      </w:r>
      <w:r w:rsidR="00223F35" w:rsidRPr="004B0391">
        <w:rPr>
          <w:b/>
          <w:color w:val="4472C4" w:themeColor="accent5"/>
          <w:sz w:val="18"/>
          <w:szCs w:val="18"/>
          <w:lang w:val="pl-PL"/>
        </w:rPr>
        <w:t>neto zarade</w:t>
      </w:r>
    </w:p>
    <w:p w14:paraId="27C807EC" w14:textId="77777777" w:rsidR="00223F35" w:rsidRPr="0048184E" w:rsidRDefault="00223F35" w:rsidP="0048184E">
      <w:pPr>
        <w:spacing w:after="0" w:line="240" w:lineRule="auto"/>
        <w:jc w:val="both"/>
        <w:rPr>
          <w:sz w:val="18"/>
          <w:szCs w:val="18"/>
          <w:lang w:val="pl-PL"/>
        </w:rPr>
      </w:pPr>
    </w:p>
    <w:p w14:paraId="3FE4A6A0" w14:textId="77777777" w:rsidR="00223F35" w:rsidRPr="0048184E" w:rsidRDefault="00223F35" w:rsidP="0048184E">
      <w:pPr>
        <w:spacing w:after="0" w:line="240" w:lineRule="auto"/>
        <w:jc w:val="both"/>
        <w:rPr>
          <w:sz w:val="18"/>
          <w:szCs w:val="18"/>
          <w:lang w:val="pl-PL"/>
        </w:rPr>
      </w:pPr>
      <w:r w:rsidRPr="0048184E">
        <w:rPr>
          <w:noProof/>
          <w:sz w:val="18"/>
          <w:szCs w:val="18"/>
        </w:rPr>
        <w:lastRenderedPageBreak/>
        <w:drawing>
          <wp:inline distT="0" distB="0" distL="0" distR="0" wp14:anchorId="73CE716F" wp14:editId="51E2A9AE">
            <wp:extent cx="5715000" cy="1943100"/>
            <wp:effectExtent l="0" t="0" r="0" b="0"/>
            <wp:docPr id="4" name="Chart 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D92350" w14:textId="77777777" w:rsidR="00223F35" w:rsidRPr="0048184E" w:rsidRDefault="00223F35" w:rsidP="0048184E">
      <w:pPr>
        <w:spacing w:after="0" w:line="240" w:lineRule="auto"/>
        <w:jc w:val="both"/>
        <w:rPr>
          <w:sz w:val="18"/>
          <w:szCs w:val="18"/>
          <w:lang w:val="pl-PL"/>
        </w:rPr>
      </w:pPr>
    </w:p>
    <w:p w14:paraId="422C9013" w14:textId="77777777" w:rsidR="00223F35" w:rsidRPr="0048184E" w:rsidRDefault="00223F35" w:rsidP="0048184E">
      <w:pPr>
        <w:spacing w:after="0" w:line="240" w:lineRule="auto"/>
        <w:jc w:val="both"/>
        <w:rPr>
          <w:sz w:val="18"/>
          <w:szCs w:val="18"/>
          <w:lang w:val="pl-PL"/>
        </w:rPr>
      </w:pPr>
      <w:r w:rsidRPr="0048184E">
        <w:rPr>
          <w:sz w:val="18"/>
          <w:szCs w:val="18"/>
          <w:lang w:val="pl-PL"/>
        </w:rPr>
        <w:t>Izvor: CBCG</w:t>
      </w:r>
    </w:p>
    <w:p w14:paraId="42A004D7" w14:textId="77777777" w:rsidR="00223F35" w:rsidRPr="0048184E" w:rsidRDefault="00223F35" w:rsidP="0048184E">
      <w:pPr>
        <w:spacing w:after="0" w:line="240" w:lineRule="auto"/>
        <w:jc w:val="both"/>
        <w:rPr>
          <w:sz w:val="18"/>
          <w:szCs w:val="18"/>
          <w:lang w:val="pl-PL"/>
        </w:rPr>
      </w:pPr>
    </w:p>
    <w:p w14:paraId="0FE68114" w14:textId="77777777" w:rsidR="00223F35" w:rsidRPr="0048184E" w:rsidRDefault="00223F35" w:rsidP="0048184E">
      <w:pPr>
        <w:spacing w:after="0" w:line="240" w:lineRule="auto"/>
        <w:jc w:val="both"/>
        <w:rPr>
          <w:sz w:val="18"/>
          <w:szCs w:val="18"/>
          <w:lang w:val="pl-PL"/>
        </w:rPr>
      </w:pPr>
      <w:r w:rsidRPr="0048184E">
        <w:rPr>
          <w:sz w:val="18"/>
          <w:szCs w:val="18"/>
          <w:lang w:val="pl-PL"/>
        </w:rPr>
        <w:t>Smanjenje nezaposlenosti dodatno je doprinijelo poboljšanju prih</w:t>
      </w:r>
      <w:r w:rsidR="00AC573F" w:rsidRPr="0048184E">
        <w:rPr>
          <w:sz w:val="18"/>
          <w:szCs w:val="18"/>
          <w:lang w:val="pl-PL"/>
        </w:rPr>
        <w:t>odne pozicije sektora stanovniš</w:t>
      </w:r>
      <w:r w:rsidRPr="0048184E">
        <w:rPr>
          <w:sz w:val="18"/>
          <w:szCs w:val="18"/>
          <w:lang w:val="pl-PL"/>
        </w:rPr>
        <w:t xml:space="preserve">tva. Prema podacima iz ankete o radnoj snazi, stopa nezaposlenosti u 2024. godini iznosila je 11,4%, što predstavlja pad od 1,7 pp na godišnjem nivou. Međutim, nezaposlenost u Crnoj Gori već godinama ima izražen strukturni karakter, što se između ostalog ogleda u relativno sporom padu stope nezaposlenosti, koja i dalje ostaje visoka u poređenju s ostalim evropskim zemljama. Prema projek cijama MF očekuje se da će stopa nezaposlenosti do kraja prognostičkog perioda (2027. godine) opasti na 9,2%. Posmatrano po regionima stopa nezaposlenosti je ubjedljivo najveća na Sjevernom regionu i iznos 31.9%, dok je sa druge strane stopa zaposlenosti najmanja na </w:t>
      </w:r>
      <w:r w:rsidR="00AC573F" w:rsidRPr="0048184E">
        <w:rPr>
          <w:sz w:val="18"/>
          <w:szCs w:val="18"/>
          <w:lang w:val="pl-PL"/>
        </w:rPr>
        <w:t>Sjeveru iznosi 33.9%.</w:t>
      </w:r>
    </w:p>
    <w:p w14:paraId="18F28EFF" w14:textId="77777777" w:rsidR="00AC573F" w:rsidRPr="0048184E" w:rsidRDefault="00AC573F" w:rsidP="0048184E">
      <w:pPr>
        <w:spacing w:after="0" w:line="240" w:lineRule="auto"/>
        <w:jc w:val="both"/>
        <w:rPr>
          <w:sz w:val="18"/>
          <w:szCs w:val="18"/>
          <w:lang w:val="pl-PL"/>
        </w:rPr>
      </w:pPr>
    </w:p>
    <w:p w14:paraId="2C647EFD" w14:textId="77777777" w:rsidR="00223F35" w:rsidRPr="00AE5DE0" w:rsidRDefault="00223F35" w:rsidP="00AE5DE0">
      <w:pPr>
        <w:spacing w:after="0" w:line="240" w:lineRule="auto"/>
        <w:jc w:val="center"/>
        <w:rPr>
          <w:b/>
          <w:color w:val="4472C4" w:themeColor="accent5"/>
          <w:sz w:val="18"/>
          <w:szCs w:val="18"/>
          <w:lang w:val="pl-PL"/>
        </w:rPr>
      </w:pPr>
      <w:r w:rsidRPr="00AE5DE0">
        <w:rPr>
          <w:b/>
          <w:color w:val="4472C4" w:themeColor="accent5"/>
          <w:sz w:val="18"/>
          <w:szCs w:val="18"/>
          <w:lang w:val="pl-PL"/>
        </w:rPr>
        <w:t>Tabela</w:t>
      </w:r>
      <w:r w:rsidR="00AE5DE0" w:rsidRPr="00AE5DE0">
        <w:rPr>
          <w:b/>
          <w:color w:val="4472C4" w:themeColor="accent5"/>
          <w:sz w:val="18"/>
          <w:szCs w:val="18"/>
          <w:lang w:val="pl-PL"/>
        </w:rPr>
        <w:t xml:space="preserve"> 1.</w:t>
      </w:r>
      <w:r w:rsidRPr="00AE5DE0">
        <w:rPr>
          <w:b/>
          <w:color w:val="4472C4" w:themeColor="accent5"/>
          <w:sz w:val="18"/>
          <w:szCs w:val="18"/>
          <w:lang w:val="pl-PL"/>
        </w:rPr>
        <w:t xml:space="preserve"> Aktivno stavnovništvo i zaposlenost po regijama</w:t>
      </w:r>
      <w:r w:rsidR="004D3E60">
        <w:rPr>
          <w:b/>
          <w:color w:val="4472C4" w:themeColor="accent5"/>
          <w:sz w:val="18"/>
          <w:szCs w:val="18"/>
          <w:lang w:val="pl-PL"/>
        </w:rPr>
        <w:t xml:space="preserve"> u 2024.</w:t>
      </w:r>
    </w:p>
    <w:p w14:paraId="26688C26" w14:textId="77777777" w:rsidR="00223F35" w:rsidRPr="0048184E" w:rsidRDefault="00223F35" w:rsidP="0048184E">
      <w:pPr>
        <w:spacing w:after="0" w:line="240" w:lineRule="auto"/>
        <w:jc w:val="both"/>
        <w:rPr>
          <w:sz w:val="18"/>
          <w:szCs w:val="18"/>
          <w:lang w:val="pl-PL"/>
        </w:rPr>
      </w:pPr>
    </w:p>
    <w:tbl>
      <w:tblPr>
        <w:tblW w:w="7830" w:type="dxa"/>
        <w:tblInd w:w="715" w:type="dxa"/>
        <w:tblCellMar>
          <w:left w:w="0" w:type="dxa"/>
          <w:right w:w="0" w:type="dxa"/>
        </w:tblCellMar>
        <w:tblLook w:val="04A0" w:firstRow="1" w:lastRow="0" w:firstColumn="1" w:lastColumn="0" w:noHBand="0" w:noVBand="1"/>
      </w:tblPr>
      <w:tblGrid>
        <w:gridCol w:w="2210"/>
        <w:gridCol w:w="1420"/>
        <w:gridCol w:w="1500"/>
        <w:gridCol w:w="1680"/>
        <w:gridCol w:w="1020"/>
      </w:tblGrid>
      <w:tr w:rsidR="00223F35" w:rsidRPr="00AE5DE0" w14:paraId="4F4C8116" w14:textId="77777777" w:rsidTr="00A445B6">
        <w:trPr>
          <w:trHeight w:val="1140"/>
        </w:trPr>
        <w:tc>
          <w:tcPr>
            <w:tcW w:w="2210" w:type="dxa"/>
            <w:tcBorders>
              <w:top w:val="single" w:sz="4" w:space="0" w:color="auto"/>
              <w:left w:val="single" w:sz="4" w:space="0" w:color="auto"/>
              <w:bottom w:val="nil"/>
              <w:right w:val="single" w:sz="4" w:space="0" w:color="auto"/>
            </w:tcBorders>
            <w:shd w:val="clear" w:color="auto" w:fill="FFFFFF" w:themeFill="background1"/>
            <w:tcMar>
              <w:top w:w="15" w:type="dxa"/>
              <w:left w:w="15" w:type="dxa"/>
              <w:bottom w:w="0" w:type="dxa"/>
              <w:right w:w="15" w:type="dxa"/>
            </w:tcMar>
            <w:hideMark/>
          </w:tcPr>
          <w:p w14:paraId="13D55849" w14:textId="77777777" w:rsidR="00223F35" w:rsidRPr="0048184E" w:rsidRDefault="00223F35" w:rsidP="0048184E">
            <w:pPr>
              <w:spacing w:after="0" w:line="240" w:lineRule="auto"/>
              <w:jc w:val="center"/>
              <w:rPr>
                <w:rFonts w:cstheme="minorHAnsi"/>
                <w:sz w:val="18"/>
                <w:szCs w:val="18"/>
                <w:lang w:val="pl-PL"/>
              </w:rPr>
            </w:pPr>
            <w:r w:rsidRPr="0048184E">
              <w:rPr>
                <w:rFonts w:cstheme="minorHAnsi"/>
                <w:sz w:val="18"/>
                <w:szCs w:val="18"/>
                <w:lang w:val="pl-PL"/>
              </w:rPr>
              <w:t> </w:t>
            </w:r>
          </w:p>
        </w:tc>
        <w:tc>
          <w:tcPr>
            <w:tcW w:w="1420" w:type="dxa"/>
            <w:tcBorders>
              <w:top w:val="single" w:sz="4" w:space="0" w:color="auto"/>
              <w:left w:val="nil"/>
              <w:bottom w:val="nil"/>
              <w:right w:val="single" w:sz="4" w:space="0" w:color="auto"/>
            </w:tcBorders>
            <w:shd w:val="clear" w:color="auto" w:fill="FFFFFF" w:themeFill="background1"/>
            <w:tcMar>
              <w:top w:w="15" w:type="dxa"/>
              <w:left w:w="15" w:type="dxa"/>
              <w:bottom w:w="0" w:type="dxa"/>
              <w:right w:w="15" w:type="dxa"/>
            </w:tcMar>
            <w:vAlign w:val="center"/>
            <w:hideMark/>
          </w:tcPr>
          <w:p w14:paraId="7AA8B11F"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Crna Gora </w:t>
            </w:r>
          </w:p>
        </w:tc>
        <w:tc>
          <w:tcPr>
            <w:tcW w:w="1500" w:type="dxa"/>
            <w:tcBorders>
              <w:top w:val="single" w:sz="4" w:space="0" w:color="auto"/>
              <w:left w:val="nil"/>
              <w:bottom w:val="nil"/>
              <w:right w:val="single" w:sz="4" w:space="0" w:color="auto"/>
            </w:tcBorders>
            <w:shd w:val="clear" w:color="auto" w:fill="FFFFFF" w:themeFill="background1"/>
            <w:tcMar>
              <w:top w:w="15" w:type="dxa"/>
              <w:left w:w="15" w:type="dxa"/>
              <w:bottom w:w="0" w:type="dxa"/>
              <w:right w:w="15" w:type="dxa"/>
            </w:tcMar>
            <w:vAlign w:val="center"/>
            <w:hideMark/>
          </w:tcPr>
          <w:p w14:paraId="349FF2D7"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Primorski region  </w:t>
            </w:r>
          </w:p>
        </w:tc>
        <w:tc>
          <w:tcPr>
            <w:tcW w:w="1680" w:type="dxa"/>
            <w:tcBorders>
              <w:top w:val="single" w:sz="4" w:space="0" w:color="auto"/>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7733F041"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Središnji region                     </w:t>
            </w:r>
          </w:p>
        </w:tc>
        <w:tc>
          <w:tcPr>
            <w:tcW w:w="1020" w:type="dxa"/>
            <w:tcBorders>
              <w:top w:val="single" w:sz="4" w:space="0" w:color="auto"/>
              <w:left w:val="single" w:sz="4" w:space="0" w:color="auto"/>
              <w:bottom w:val="nil"/>
              <w:right w:val="single" w:sz="4" w:space="0" w:color="auto"/>
            </w:tcBorders>
            <w:shd w:val="clear" w:color="auto" w:fill="9CC2E5" w:themeFill="accent1" w:themeFillTint="99"/>
            <w:tcMar>
              <w:top w:w="15" w:type="dxa"/>
              <w:left w:w="15" w:type="dxa"/>
              <w:bottom w:w="0" w:type="dxa"/>
              <w:right w:w="15" w:type="dxa"/>
            </w:tcMar>
            <w:vAlign w:val="center"/>
            <w:hideMark/>
          </w:tcPr>
          <w:p w14:paraId="1E94D8C3"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Sjeverni region </w:t>
            </w:r>
            <w:r w:rsidRPr="00AE5DE0">
              <w:rPr>
                <w:rFonts w:cstheme="minorHAnsi"/>
                <w:b/>
                <w:bCs/>
                <w:i/>
                <w:iCs/>
                <w:sz w:val="18"/>
                <w:szCs w:val="18"/>
                <w:lang w:val="pl-PL"/>
              </w:rPr>
              <w:t xml:space="preserve">  </w:t>
            </w:r>
          </w:p>
        </w:tc>
      </w:tr>
      <w:tr w:rsidR="00223F35" w:rsidRPr="00AE5DE0" w14:paraId="7E45C70A" w14:textId="77777777" w:rsidTr="00A445B6">
        <w:trPr>
          <w:trHeight w:val="300"/>
        </w:trPr>
        <w:tc>
          <w:tcPr>
            <w:tcW w:w="221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hideMark/>
          </w:tcPr>
          <w:p w14:paraId="45011770" w14:textId="77777777" w:rsidR="00223F35" w:rsidRPr="00AE5DE0" w:rsidRDefault="00223F35" w:rsidP="0048184E">
            <w:pPr>
              <w:spacing w:after="0" w:line="240" w:lineRule="auto"/>
              <w:rPr>
                <w:rFonts w:cstheme="minorHAnsi"/>
                <w:b/>
                <w:bCs/>
                <w:sz w:val="18"/>
                <w:szCs w:val="18"/>
                <w:lang w:val="pl-PL"/>
              </w:rPr>
            </w:pPr>
            <w:r w:rsidRPr="00AE5DE0">
              <w:rPr>
                <w:rFonts w:cstheme="minorHAnsi"/>
                <w:b/>
                <w:bCs/>
                <w:sz w:val="18"/>
                <w:szCs w:val="18"/>
                <w:lang w:val="pl-PL"/>
              </w:rPr>
              <w:t> </w:t>
            </w:r>
          </w:p>
        </w:tc>
        <w:tc>
          <w:tcPr>
            <w:tcW w:w="5620" w:type="dxa"/>
            <w:gridSpan w:val="4"/>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55ECF37C" w14:textId="77777777" w:rsidR="00223F35" w:rsidRPr="00AE5DE0" w:rsidRDefault="00223F35" w:rsidP="0048184E">
            <w:pPr>
              <w:spacing w:after="0" w:line="240" w:lineRule="auto"/>
              <w:jc w:val="center"/>
              <w:rPr>
                <w:rFonts w:cstheme="minorHAnsi"/>
                <w:b/>
                <w:bCs/>
                <w:i/>
                <w:iCs/>
                <w:sz w:val="18"/>
                <w:szCs w:val="18"/>
                <w:lang w:val="pl-PL"/>
              </w:rPr>
            </w:pPr>
            <w:r w:rsidRPr="00AE5DE0">
              <w:rPr>
                <w:rFonts w:cstheme="minorHAnsi"/>
                <w:b/>
                <w:bCs/>
                <w:i/>
                <w:iCs/>
                <w:sz w:val="18"/>
                <w:szCs w:val="18"/>
                <w:lang w:val="pl-PL"/>
              </w:rPr>
              <w:t>Ukupno/Total</w:t>
            </w:r>
            <w:r w:rsidRPr="00AE5DE0">
              <w:rPr>
                <w:rFonts w:cstheme="minorHAnsi"/>
                <w:sz w:val="18"/>
                <w:szCs w:val="18"/>
                <w:lang w:val="pl-PL"/>
              </w:rPr>
              <w:t xml:space="preserve"> </w:t>
            </w:r>
            <w:r w:rsidRPr="00AE5DE0">
              <w:rPr>
                <w:rFonts w:cstheme="minorHAnsi"/>
                <w:b/>
                <w:bCs/>
                <w:i/>
                <w:iCs/>
                <w:sz w:val="18"/>
                <w:szCs w:val="18"/>
                <w:lang w:val="pl-PL"/>
              </w:rPr>
              <w:t>(1000)</w:t>
            </w:r>
          </w:p>
        </w:tc>
      </w:tr>
      <w:tr w:rsidR="00223F35" w:rsidRPr="0048184E" w14:paraId="2789F628"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55F1D985" w14:textId="77777777" w:rsidR="00223F35" w:rsidRPr="00AE5DE0" w:rsidRDefault="00223F35" w:rsidP="0048184E">
            <w:pPr>
              <w:spacing w:after="0" w:line="240" w:lineRule="auto"/>
              <w:ind w:firstLineChars="100" w:firstLine="180"/>
              <w:rPr>
                <w:rFonts w:cstheme="minorHAnsi"/>
                <w:bCs/>
                <w:sz w:val="18"/>
                <w:szCs w:val="18"/>
                <w:lang w:val="pl-PL"/>
              </w:rPr>
            </w:pPr>
            <w:r w:rsidRPr="00AE5DE0">
              <w:rPr>
                <w:rFonts w:cstheme="minorHAnsi"/>
                <w:bCs/>
                <w:sz w:val="18"/>
                <w:szCs w:val="18"/>
                <w:lang w:val="pl-PL"/>
              </w:rPr>
              <w:t>Svega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2AC24" w14:textId="77777777" w:rsidR="00223F35" w:rsidRPr="00AE5DE0" w:rsidRDefault="00223F35" w:rsidP="0048184E">
            <w:pPr>
              <w:spacing w:after="0" w:line="240" w:lineRule="auto"/>
              <w:jc w:val="center"/>
              <w:rPr>
                <w:rFonts w:cstheme="minorHAnsi"/>
                <w:sz w:val="18"/>
                <w:szCs w:val="18"/>
                <w:lang w:val="pl-PL"/>
              </w:rPr>
            </w:pPr>
            <w:r w:rsidRPr="00AE5DE0">
              <w:rPr>
                <w:rFonts w:cstheme="minorHAnsi"/>
                <w:sz w:val="18"/>
                <w:szCs w:val="18"/>
                <w:lang w:val="pl-PL"/>
              </w:rPr>
              <w:t xml:space="preserve">619.6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02BF5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146.6 </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73336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292.3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7F8835E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180.7 </w:t>
            </w:r>
          </w:p>
        </w:tc>
      </w:tr>
      <w:tr w:rsidR="00223F35" w:rsidRPr="0048184E" w14:paraId="1D6F24C9"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72B51865" w14:textId="77777777" w:rsidR="00223F35" w:rsidRPr="0048184E" w:rsidRDefault="00223F35" w:rsidP="0048184E">
            <w:pPr>
              <w:spacing w:after="0" w:line="240" w:lineRule="auto"/>
              <w:ind w:firstLineChars="100" w:firstLine="180"/>
              <w:rPr>
                <w:rFonts w:cstheme="minorHAnsi"/>
                <w:bCs/>
                <w:sz w:val="18"/>
                <w:szCs w:val="18"/>
              </w:rPr>
            </w:pPr>
            <w:r w:rsidRPr="0048184E">
              <w:rPr>
                <w:rFonts w:cstheme="minorHAnsi"/>
                <w:bCs/>
                <w:sz w:val="18"/>
                <w:szCs w:val="18"/>
              </w:rPr>
              <w:t>Aktivno stanovništvo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5DFE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320.1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BEC5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88.5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6F21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159.4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3C23B7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72.2 </w:t>
            </w:r>
          </w:p>
        </w:tc>
      </w:tr>
      <w:tr w:rsidR="00223F35" w:rsidRPr="0048184E" w14:paraId="08E15621"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BE2F87A"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Zaposleni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348C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278.3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B8F5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85.8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724B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143.3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0D797DF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49.2    </w:t>
            </w:r>
          </w:p>
        </w:tc>
      </w:tr>
      <w:tr w:rsidR="00223F35" w:rsidRPr="0048184E" w14:paraId="0E059C98" w14:textId="77777777" w:rsidTr="00A445B6">
        <w:trPr>
          <w:trHeight w:val="495"/>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7B1DFB8" w14:textId="77777777" w:rsidR="00223F35" w:rsidRPr="0048184E" w:rsidRDefault="00223F35" w:rsidP="0048184E">
            <w:pPr>
              <w:spacing w:after="0" w:line="240" w:lineRule="auto"/>
              <w:ind w:firstLineChars="100" w:firstLine="180"/>
              <w:rPr>
                <w:rFonts w:cstheme="minorHAnsi"/>
                <w:sz w:val="18"/>
                <w:szCs w:val="18"/>
                <w:lang w:val="pl-PL"/>
              </w:rPr>
            </w:pPr>
            <w:r w:rsidRPr="0048184E">
              <w:rPr>
                <w:rFonts w:cstheme="minorHAnsi"/>
                <w:sz w:val="18"/>
                <w:szCs w:val="18"/>
                <w:lang w:val="pl-PL"/>
              </w:rPr>
              <w:t>- sa radnim vremenom kraćim od punog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0645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751C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8FAC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(2.1)</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4209D38D"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w:t>
            </w:r>
          </w:p>
        </w:tc>
      </w:tr>
      <w:tr w:rsidR="00223F35" w:rsidRPr="0048184E" w14:paraId="77721088"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8553AEE"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Nezaposleni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2696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41.8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3071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4A3D3"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16.1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0D4DA9A6"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23.0 </w:t>
            </w:r>
          </w:p>
        </w:tc>
      </w:tr>
      <w:tr w:rsidR="00223F35" w:rsidRPr="0048184E" w14:paraId="029DEC51" w14:textId="77777777" w:rsidTr="00A445B6">
        <w:trPr>
          <w:trHeight w:val="456"/>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DF11954"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 registrovani kod ZZZ</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65A95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39.2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D87B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CDBB6"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15.6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CB5B99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21.3 </w:t>
            </w:r>
          </w:p>
        </w:tc>
      </w:tr>
      <w:tr w:rsidR="00223F35" w:rsidRPr="0048184E" w14:paraId="17D78C0A"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7F7F88B5"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 prvi put traži zaposlenje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C8B2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22.6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4453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F4EB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(8.7)</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2B3B2A6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13.8 </w:t>
            </w:r>
          </w:p>
        </w:tc>
      </w:tr>
      <w:tr w:rsidR="00223F35" w:rsidRPr="0048184E" w14:paraId="690452C1"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3241973" w14:textId="77777777" w:rsidR="00223F35" w:rsidRPr="0048184E" w:rsidRDefault="00223F35" w:rsidP="0048184E">
            <w:pPr>
              <w:spacing w:after="0" w:line="240" w:lineRule="auto"/>
              <w:ind w:firstLineChars="100" w:firstLine="180"/>
              <w:rPr>
                <w:rFonts w:cstheme="minorHAnsi"/>
                <w:bCs/>
                <w:sz w:val="18"/>
                <w:szCs w:val="18"/>
              </w:rPr>
            </w:pPr>
            <w:r w:rsidRPr="0048184E">
              <w:rPr>
                <w:rFonts w:cstheme="minorHAnsi"/>
                <w:bCs/>
                <w:sz w:val="18"/>
                <w:szCs w:val="18"/>
              </w:rPr>
              <w:t>Stanovništvo van radne snage 15 i više godina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124F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180.5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52AC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6A32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75.9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70D01A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72.9 </w:t>
            </w:r>
          </w:p>
        </w:tc>
      </w:tr>
      <w:tr w:rsidR="00223F35" w:rsidRPr="0048184E" w14:paraId="6EE60619"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5E7AB13" w14:textId="77777777" w:rsidR="00223F35" w:rsidRPr="0048184E" w:rsidRDefault="00223F35" w:rsidP="0048184E">
            <w:pPr>
              <w:spacing w:after="0" w:line="240" w:lineRule="auto"/>
              <w:ind w:firstLineChars="100" w:firstLine="180"/>
              <w:rPr>
                <w:rFonts w:cstheme="minorHAnsi"/>
                <w:bCs/>
                <w:sz w:val="18"/>
                <w:szCs w:val="18"/>
              </w:rPr>
            </w:pPr>
            <w:r w:rsidRPr="0048184E">
              <w:rPr>
                <w:rFonts w:cstheme="minorHAnsi"/>
                <w:bCs/>
                <w:sz w:val="18"/>
                <w:szCs w:val="18"/>
              </w:rPr>
              <w:t>Stanovništvo van radne snage 15-89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AE680"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179.1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973D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31.4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F14C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75.2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353C8C7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72.6 </w:t>
            </w:r>
          </w:p>
        </w:tc>
      </w:tr>
      <w:tr w:rsidR="00223F35" w:rsidRPr="0048184E" w14:paraId="0CB19A7F" w14:textId="77777777" w:rsidTr="00A445B6">
        <w:trPr>
          <w:trHeight w:val="456"/>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984EEDD"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Stanovništvo staro 15 i više godina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C387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500.5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F6FE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120.1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47A4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235.3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224111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145.1 </w:t>
            </w:r>
          </w:p>
        </w:tc>
      </w:tr>
      <w:tr w:rsidR="00223F35" w:rsidRPr="0048184E" w14:paraId="6A77927C"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1480B183"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Stanovništvo staro15-89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26AAF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499.2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E7A487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119.9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43A923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234.5 </w:t>
            </w:r>
          </w:p>
        </w:tc>
        <w:tc>
          <w:tcPr>
            <w:tcW w:w="1020" w:type="dxa"/>
            <w:tcBorders>
              <w:top w:val="nil"/>
              <w:left w:val="nil"/>
              <w:bottom w:val="nil"/>
              <w:right w:val="single" w:sz="4" w:space="0" w:color="auto"/>
            </w:tcBorders>
            <w:shd w:val="clear" w:color="auto" w:fill="9CC2E5" w:themeFill="accent1" w:themeFillTint="99"/>
            <w:noWrap/>
            <w:tcMar>
              <w:top w:w="15" w:type="dxa"/>
              <w:left w:w="15" w:type="dxa"/>
              <w:bottom w:w="0" w:type="dxa"/>
              <w:right w:w="15" w:type="dxa"/>
            </w:tcMar>
            <w:vAlign w:val="center"/>
            <w:hideMark/>
          </w:tcPr>
          <w:p w14:paraId="3607F610"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144.8 </w:t>
            </w:r>
          </w:p>
        </w:tc>
      </w:tr>
      <w:tr w:rsidR="00223F35" w:rsidRPr="0048184E" w14:paraId="088EB070"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83B949D"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Lica mlađa od 15 godina</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70C0FE4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119.1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36E819A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26.5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012CDB23"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57.1 </w:t>
            </w:r>
          </w:p>
        </w:tc>
        <w:tc>
          <w:tcPr>
            <w:tcW w:w="1020" w:type="dxa"/>
            <w:tcBorders>
              <w:top w:val="single" w:sz="4" w:space="0" w:color="auto"/>
              <w:left w:val="nil"/>
              <w:bottom w:val="nil"/>
              <w:right w:val="single" w:sz="4" w:space="0" w:color="auto"/>
            </w:tcBorders>
            <w:shd w:val="clear" w:color="auto" w:fill="9CC2E5" w:themeFill="accent1" w:themeFillTint="99"/>
            <w:noWrap/>
            <w:tcMar>
              <w:top w:w="15" w:type="dxa"/>
              <w:left w:w="15" w:type="dxa"/>
              <w:bottom w:w="0" w:type="dxa"/>
              <w:right w:w="15" w:type="dxa"/>
            </w:tcMar>
            <w:vAlign w:val="center"/>
            <w:hideMark/>
          </w:tcPr>
          <w:p w14:paraId="30DF7B6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35.5 </w:t>
            </w:r>
          </w:p>
        </w:tc>
      </w:tr>
      <w:tr w:rsidR="00223F35" w:rsidRPr="0048184E" w14:paraId="6B3F358A"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5135B44" w14:textId="77777777" w:rsidR="00223F35" w:rsidRPr="0048184E" w:rsidRDefault="00223F35" w:rsidP="0048184E">
            <w:pPr>
              <w:spacing w:after="0" w:line="240" w:lineRule="auto"/>
              <w:ind w:firstLineChars="100" w:firstLine="181"/>
              <w:rPr>
                <w:rFonts w:cstheme="minorHAnsi"/>
                <w:b/>
                <w:bCs/>
                <w:sz w:val="18"/>
                <w:szCs w:val="18"/>
              </w:rPr>
            </w:pPr>
            <w:r w:rsidRPr="0048184E">
              <w:rPr>
                <w:rFonts w:cstheme="minorHAnsi"/>
                <w:b/>
                <w:bCs/>
                <w:sz w:val="18"/>
                <w:szCs w:val="18"/>
              </w:rPr>
              <w:t> </w:t>
            </w:r>
          </w:p>
        </w:tc>
        <w:tc>
          <w:tcPr>
            <w:tcW w:w="5620"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32A12618"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w:t>
            </w:r>
          </w:p>
        </w:tc>
      </w:tr>
      <w:tr w:rsidR="00223F35" w:rsidRPr="0048184E" w14:paraId="64C25714"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72F5F2A1"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Stopa aktivnosti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A024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64.0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70888"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F2AF8"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67.7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29600C3D"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49.8 </w:t>
            </w:r>
          </w:p>
        </w:tc>
      </w:tr>
      <w:tr w:rsidR="00223F35" w:rsidRPr="0048184E" w14:paraId="4066C880"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E937FB9"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Stopa zaposlenosti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78D6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55.6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9C22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71.4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9278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60.9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76AF5BE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33.9 </w:t>
            </w:r>
          </w:p>
        </w:tc>
      </w:tr>
      <w:tr w:rsidR="00223F35" w:rsidRPr="0048184E" w14:paraId="547A2B56"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226A6E6"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Stopa nezaposlenosti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D9B9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13.1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61DF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82BC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10.1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4E13463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31.9 </w:t>
            </w:r>
          </w:p>
        </w:tc>
      </w:tr>
      <w:tr w:rsidR="00223F35" w:rsidRPr="0048184E" w14:paraId="1B2C6F5C" w14:textId="77777777" w:rsidTr="00A445B6">
        <w:trPr>
          <w:trHeight w:val="495"/>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DDD5D47" w14:textId="77777777" w:rsidR="00223F35" w:rsidRPr="0048184E" w:rsidRDefault="00223F35" w:rsidP="0048184E">
            <w:pPr>
              <w:spacing w:after="0" w:line="240" w:lineRule="auto"/>
              <w:ind w:firstLineChars="100" w:firstLine="180"/>
              <w:rPr>
                <w:rFonts w:cstheme="minorHAnsi"/>
                <w:sz w:val="18"/>
                <w:szCs w:val="18"/>
                <w:lang w:val="pl-PL"/>
              </w:rPr>
            </w:pPr>
            <w:r w:rsidRPr="0048184E">
              <w:rPr>
                <w:rFonts w:cstheme="minorHAnsi"/>
                <w:sz w:val="18"/>
                <w:szCs w:val="18"/>
                <w:lang w:val="pl-PL"/>
              </w:rPr>
              <w:lastRenderedPageBreak/>
              <w:t>Učešće mlađih od 15 godina u ukupnom stanovništvu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50613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19.2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AEF8C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18.1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A3300"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19.5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2DD3388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19.6 </w:t>
            </w:r>
          </w:p>
        </w:tc>
      </w:tr>
    </w:tbl>
    <w:p w14:paraId="12B8D303" w14:textId="77777777" w:rsidR="00223F35" w:rsidRPr="0048184E" w:rsidRDefault="00223F35" w:rsidP="0048184E">
      <w:pPr>
        <w:spacing w:after="0" w:line="240" w:lineRule="auto"/>
        <w:rPr>
          <w:rFonts w:cstheme="minorHAnsi"/>
          <w:sz w:val="18"/>
          <w:szCs w:val="18"/>
          <w:lang w:val="sr-Latn-ME"/>
        </w:rPr>
      </w:pPr>
      <w:r w:rsidRPr="0048184E">
        <w:rPr>
          <w:rFonts w:cstheme="minorHAnsi"/>
          <w:sz w:val="18"/>
          <w:szCs w:val="18"/>
          <w:lang w:val="pl-PL"/>
        </w:rPr>
        <w:t xml:space="preserve">                    Izvor</w:t>
      </w:r>
      <w:r w:rsidRPr="0048184E">
        <w:rPr>
          <w:rFonts w:cstheme="minorHAnsi"/>
          <w:sz w:val="18"/>
          <w:szCs w:val="18"/>
          <w:lang w:val="sr-Latn-ME"/>
        </w:rPr>
        <w:t>: MONSTAT</w:t>
      </w:r>
    </w:p>
    <w:p w14:paraId="5783C6DC" w14:textId="77777777" w:rsidR="00223F35" w:rsidRPr="0048184E" w:rsidRDefault="00223F35" w:rsidP="0048184E">
      <w:pPr>
        <w:spacing w:after="0" w:line="240" w:lineRule="auto"/>
        <w:jc w:val="both"/>
        <w:rPr>
          <w:sz w:val="18"/>
          <w:szCs w:val="18"/>
          <w:lang w:val="pl-PL"/>
        </w:rPr>
      </w:pPr>
    </w:p>
    <w:p w14:paraId="7570C0EB"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sz w:val="18"/>
          <w:szCs w:val="18"/>
          <w:lang w:val="pl-PL"/>
        </w:rPr>
        <w:t>Zaduženost stanovništva prema bankama uvećana je za 16,6% tokom 2024. godine, dosegnuvši 1,97 mlrd. eura, čime je nastavljen trend započet još 2013. godine, čime je dostignut istorijski najviši nivo zaduženosti u apsolutnom iznosu. Tokom 2024. godine, stanovništvo se po osnovu novih kredita zadužilo</w:t>
      </w:r>
      <w:r w:rsidR="00AC573F" w:rsidRPr="0048184E">
        <w:rPr>
          <w:rFonts w:cstheme="minorHAnsi"/>
          <w:sz w:val="18"/>
          <w:szCs w:val="18"/>
          <w:lang w:val="pl-PL"/>
        </w:rPr>
        <w:t xml:space="preserve"> rekordnih 831,4 mil. eura. Gle</w:t>
      </w:r>
      <w:r w:rsidRPr="0048184E">
        <w:rPr>
          <w:rFonts w:cstheme="minorHAnsi"/>
          <w:sz w:val="18"/>
          <w:szCs w:val="18"/>
          <w:lang w:val="pl-PL"/>
        </w:rPr>
        <w:t xml:space="preserve">dano prema namjeni, najveći dio novog zaduživanja odnosio se na gotovinske (nenamjenske) kredite, koji su činili 59,1% ukupnih novih kredita. </w:t>
      </w:r>
    </w:p>
    <w:p w14:paraId="01A5FB8C" w14:textId="77777777" w:rsidR="00AC573F" w:rsidRPr="0048184E" w:rsidRDefault="00AC573F" w:rsidP="0048184E">
      <w:pPr>
        <w:spacing w:after="0" w:line="240" w:lineRule="auto"/>
        <w:jc w:val="both"/>
        <w:rPr>
          <w:rFonts w:cstheme="minorHAnsi"/>
          <w:sz w:val="18"/>
          <w:szCs w:val="18"/>
          <w:lang w:val="pl-PL"/>
        </w:rPr>
      </w:pPr>
    </w:p>
    <w:p w14:paraId="57AFED38" w14:textId="77777777" w:rsidR="00223F35" w:rsidRDefault="00223F35" w:rsidP="0048184E">
      <w:pPr>
        <w:spacing w:after="0" w:line="240" w:lineRule="auto"/>
        <w:jc w:val="both"/>
        <w:rPr>
          <w:rFonts w:cstheme="minorHAnsi"/>
          <w:sz w:val="18"/>
          <w:szCs w:val="18"/>
          <w:lang w:val="pl-PL"/>
        </w:rPr>
      </w:pPr>
      <w:r w:rsidRPr="0048184E">
        <w:rPr>
          <w:rFonts w:cstheme="minorHAnsi"/>
          <w:b/>
          <w:sz w:val="18"/>
          <w:szCs w:val="18"/>
          <w:lang w:val="pl-PL"/>
        </w:rPr>
        <w:t>Državni budžet zabilježio je deficit</w:t>
      </w:r>
      <w:r w:rsidRPr="0048184E">
        <w:rPr>
          <w:rFonts w:cstheme="minorHAnsi"/>
          <w:sz w:val="18"/>
          <w:szCs w:val="18"/>
          <w:lang w:val="pl-PL"/>
        </w:rPr>
        <w:t xml:space="preserve"> u iznosu od 230,9 mil. eura (</w:t>
      </w:r>
      <w:r w:rsidR="00AC573F" w:rsidRPr="0048184E">
        <w:rPr>
          <w:rFonts w:cstheme="minorHAnsi"/>
          <w:sz w:val="18"/>
          <w:szCs w:val="18"/>
          <w:lang w:val="pl-PL"/>
        </w:rPr>
        <w:t>3,1% BDP-a). Za 2025. godinu ta</w:t>
      </w:r>
      <w:r w:rsidRPr="0048184E">
        <w:rPr>
          <w:rFonts w:cstheme="minorHAnsi"/>
          <w:sz w:val="18"/>
          <w:szCs w:val="18"/>
          <w:lang w:val="pl-PL"/>
        </w:rPr>
        <w:t xml:space="preserve">kođe je projektovan budžetski deficit, u iznosu od 278,1 mil. eura </w:t>
      </w:r>
      <w:r w:rsidR="00AC573F" w:rsidRPr="0048184E">
        <w:rPr>
          <w:rFonts w:cstheme="minorHAnsi"/>
          <w:sz w:val="18"/>
          <w:szCs w:val="18"/>
          <w:lang w:val="pl-PL"/>
        </w:rPr>
        <w:t>ili 3,5% BDP-a.</w:t>
      </w:r>
      <w:r w:rsidRPr="0048184E">
        <w:rPr>
          <w:rFonts w:cstheme="minorHAnsi"/>
          <w:sz w:val="18"/>
          <w:szCs w:val="18"/>
          <w:lang w:val="pl-PL"/>
        </w:rPr>
        <w:t xml:space="preserve"> </w:t>
      </w:r>
      <w:r w:rsidRPr="0048184E">
        <w:rPr>
          <w:rFonts w:cstheme="minorHAnsi"/>
          <w:b/>
          <w:sz w:val="18"/>
          <w:szCs w:val="18"/>
          <w:lang w:val="pl-PL"/>
        </w:rPr>
        <w:t>Javni prihodi</w:t>
      </w:r>
      <w:r w:rsidRPr="0048184E">
        <w:rPr>
          <w:rFonts w:cstheme="minorHAnsi"/>
          <w:sz w:val="18"/>
          <w:szCs w:val="18"/>
          <w:lang w:val="pl-PL"/>
        </w:rPr>
        <w:t> u 2024. godini iznosili su  3.188,7 mil. € ili 42,7% preliminarnog BDP-a (7.459,2 mil. €)</w:t>
      </w:r>
      <w:r w:rsidRPr="0048184E">
        <w:rPr>
          <w:rStyle w:val="FootnoteReference"/>
          <w:rFonts w:cstheme="minorHAnsi"/>
          <w:sz w:val="18"/>
          <w:szCs w:val="18"/>
        </w:rPr>
        <w:footnoteReference w:id="22"/>
      </w:r>
      <w:r w:rsidRPr="0048184E">
        <w:rPr>
          <w:rFonts w:cstheme="minorHAnsi"/>
          <w:sz w:val="18"/>
          <w:szCs w:val="18"/>
          <w:lang w:val="pl-PL"/>
        </w:rPr>
        <w:t xml:space="preserve"> i u odnosu na planirane veći su za 26,5 mil. € ili 0,8%. U odnosu na isti period 2023. godine, javni prihodi su veći za 247,3 mil. € ili 8,4%. </w:t>
      </w:r>
      <w:r w:rsidRPr="0048184E">
        <w:rPr>
          <w:rFonts w:cstheme="minorHAnsi"/>
          <w:b/>
          <w:sz w:val="18"/>
          <w:szCs w:val="18"/>
          <w:lang w:val="pl-PL"/>
        </w:rPr>
        <w:t>Javna potrošnja</w:t>
      </w:r>
      <w:r w:rsidRPr="0048184E">
        <w:rPr>
          <w:rFonts w:cstheme="minorHAnsi"/>
          <w:sz w:val="18"/>
          <w:szCs w:val="18"/>
          <w:lang w:val="pl-PL"/>
        </w:rPr>
        <w:t xml:space="preserve"> u 2024. godini iznosila je 3.423,4 mil. € ili 45,9% BDP-a i veća je za 23,7 mil. € ili 0,7% u odnosu na planiranu, dok je u odnosu na prethodnu godinu veća za 523,9 mil. </w:t>
      </w:r>
      <w:r w:rsidRPr="004B0391">
        <w:rPr>
          <w:rFonts w:cstheme="minorHAnsi"/>
          <w:sz w:val="18"/>
          <w:szCs w:val="18"/>
          <w:lang w:val="pl-PL"/>
        </w:rPr>
        <w:t>€ ili 18,1%.</w:t>
      </w:r>
    </w:p>
    <w:p w14:paraId="132C6280" w14:textId="77777777" w:rsidR="004B0391" w:rsidRDefault="004B0391" w:rsidP="0048184E">
      <w:pPr>
        <w:spacing w:after="0" w:line="240" w:lineRule="auto"/>
        <w:jc w:val="both"/>
        <w:rPr>
          <w:rFonts w:cstheme="minorHAnsi"/>
          <w:sz w:val="18"/>
          <w:szCs w:val="18"/>
          <w:lang w:val="pl-PL"/>
        </w:rPr>
      </w:pPr>
    </w:p>
    <w:p w14:paraId="28CB8FAF" w14:textId="77777777" w:rsidR="00061252" w:rsidRDefault="00061252" w:rsidP="0048184E">
      <w:pPr>
        <w:spacing w:after="0" w:line="240" w:lineRule="auto"/>
        <w:jc w:val="both"/>
        <w:rPr>
          <w:rFonts w:cstheme="minorHAnsi"/>
          <w:sz w:val="18"/>
          <w:szCs w:val="18"/>
          <w:lang w:val="pl-PL"/>
        </w:rPr>
      </w:pPr>
    </w:p>
    <w:p w14:paraId="2453F57B" w14:textId="77777777" w:rsidR="00061252" w:rsidRDefault="00061252" w:rsidP="0048184E">
      <w:pPr>
        <w:spacing w:after="0" w:line="240" w:lineRule="auto"/>
        <w:jc w:val="both"/>
        <w:rPr>
          <w:rFonts w:cstheme="minorHAnsi"/>
          <w:sz w:val="18"/>
          <w:szCs w:val="18"/>
          <w:lang w:val="pl-PL"/>
        </w:rPr>
      </w:pPr>
    </w:p>
    <w:p w14:paraId="43FD3F68" w14:textId="77777777" w:rsidR="00061252" w:rsidRPr="004B0391" w:rsidRDefault="00061252" w:rsidP="0048184E">
      <w:pPr>
        <w:spacing w:after="0" w:line="240" w:lineRule="auto"/>
        <w:jc w:val="both"/>
        <w:rPr>
          <w:rFonts w:cstheme="minorHAnsi"/>
          <w:sz w:val="18"/>
          <w:szCs w:val="18"/>
          <w:lang w:val="pl-PL"/>
        </w:rPr>
      </w:pPr>
    </w:p>
    <w:p w14:paraId="65765CCF" w14:textId="77777777" w:rsidR="00223F35" w:rsidRPr="004B0391" w:rsidRDefault="00223F35" w:rsidP="004B0391">
      <w:pP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 xml:space="preserve">Grafik </w:t>
      </w:r>
      <w:r w:rsidR="004B0391" w:rsidRPr="004B0391">
        <w:rPr>
          <w:rFonts w:cstheme="minorHAnsi"/>
          <w:b/>
          <w:color w:val="4472C4" w:themeColor="accent5"/>
          <w:sz w:val="18"/>
          <w:szCs w:val="18"/>
          <w:lang w:val="pl-PL"/>
        </w:rPr>
        <w:t>6.</w:t>
      </w:r>
      <w:r w:rsidRPr="004B0391">
        <w:rPr>
          <w:rFonts w:cstheme="minorHAnsi"/>
          <w:b/>
          <w:color w:val="4472C4" w:themeColor="accent5"/>
          <w:sz w:val="18"/>
          <w:szCs w:val="18"/>
          <w:lang w:val="pl-PL"/>
        </w:rPr>
        <w:t xml:space="preserve">  Kretanje glavnih kategorija prihoda budžeta ( </w:t>
      </w:r>
      <w:r w:rsidRPr="004B0391">
        <w:rPr>
          <w:rFonts w:cstheme="minorHAnsi"/>
          <w:b/>
          <w:color w:val="4472C4" w:themeColor="accent5"/>
          <w:sz w:val="18"/>
          <w:szCs w:val="18"/>
          <w:lang w:val="sr-Latn-ME"/>
        </w:rPr>
        <w:t>mil. €)</w:t>
      </w:r>
    </w:p>
    <w:p w14:paraId="08D35DD9" w14:textId="77777777" w:rsidR="00223F35" w:rsidRPr="004B0391" w:rsidRDefault="00223F35" w:rsidP="004B0391">
      <w:pPr>
        <w:spacing w:after="0" w:line="240" w:lineRule="auto"/>
        <w:jc w:val="center"/>
        <w:rPr>
          <w:rFonts w:cstheme="minorHAnsi"/>
          <w:b/>
          <w:color w:val="4472C4" w:themeColor="accent5"/>
          <w:sz w:val="18"/>
          <w:szCs w:val="18"/>
          <w:lang w:val="pl-PL"/>
        </w:rPr>
      </w:pPr>
    </w:p>
    <w:p w14:paraId="2FC40FD8" w14:textId="77777777" w:rsidR="00223F35" w:rsidRPr="0048184E" w:rsidRDefault="00223F35" w:rsidP="0048184E">
      <w:pPr>
        <w:spacing w:after="0" w:line="240" w:lineRule="auto"/>
        <w:jc w:val="both"/>
        <w:rPr>
          <w:sz w:val="18"/>
          <w:szCs w:val="18"/>
          <w:lang w:val="pl-PL"/>
        </w:rPr>
      </w:pPr>
      <w:r w:rsidRPr="0048184E">
        <w:rPr>
          <w:noProof/>
          <w:sz w:val="18"/>
          <w:szCs w:val="18"/>
        </w:rPr>
        <w:drawing>
          <wp:inline distT="0" distB="0" distL="0" distR="0" wp14:anchorId="7F9469E0" wp14:editId="7BAEA544">
            <wp:extent cx="5731510" cy="2736804"/>
            <wp:effectExtent l="0" t="0" r="2540" b="6985"/>
            <wp:docPr id="5" name="Chart 5">
              <a:extLst xmlns:a="http://schemas.openxmlformats.org/drawingml/2006/main">
                <a:ext uri="{FF2B5EF4-FFF2-40B4-BE49-F238E27FC236}">
                  <a16:creationId xmlns:a16="http://schemas.microsoft.com/office/drawing/2014/main" id="{8D1B277C-DEA9-48E2-89B0-7465E2512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A0AC49" w14:textId="77777777" w:rsidR="00223F35" w:rsidRDefault="00223F35" w:rsidP="0048184E">
      <w:pPr>
        <w:spacing w:after="0" w:line="240" w:lineRule="auto"/>
        <w:jc w:val="both"/>
        <w:rPr>
          <w:sz w:val="18"/>
          <w:szCs w:val="18"/>
          <w:lang w:val="pl-PL"/>
        </w:rPr>
      </w:pPr>
      <w:r w:rsidRPr="0048184E">
        <w:rPr>
          <w:sz w:val="18"/>
          <w:szCs w:val="18"/>
          <w:lang w:val="pl-PL"/>
        </w:rPr>
        <w:t>Izvor: MF</w:t>
      </w:r>
    </w:p>
    <w:p w14:paraId="21FE25B1" w14:textId="77777777" w:rsidR="00061252" w:rsidRPr="0048184E" w:rsidRDefault="00061252" w:rsidP="0048184E">
      <w:pPr>
        <w:spacing w:after="0" w:line="240" w:lineRule="auto"/>
        <w:jc w:val="both"/>
        <w:rPr>
          <w:sz w:val="18"/>
          <w:szCs w:val="18"/>
          <w:lang w:val="pl-PL"/>
        </w:rPr>
      </w:pPr>
    </w:p>
    <w:p w14:paraId="2DF8C17B" w14:textId="77777777" w:rsidR="00223F35" w:rsidRPr="0048184E" w:rsidRDefault="00223F35" w:rsidP="0048184E">
      <w:pPr>
        <w:spacing w:after="0" w:line="240" w:lineRule="auto"/>
        <w:jc w:val="both"/>
        <w:rPr>
          <w:rFonts w:cstheme="minorHAnsi"/>
          <w:sz w:val="18"/>
          <w:szCs w:val="18"/>
          <w:lang w:val="pl-PL"/>
        </w:rPr>
      </w:pPr>
      <w:r w:rsidRPr="0048184E">
        <w:rPr>
          <w:rFonts w:eastAsia="Calibri" w:cstheme="minorHAnsi"/>
          <w:sz w:val="18"/>
          <w:szCs w:val="18"/>
          <w:lang w:val="pl-PL"/>
        </w:rPr>
        <w:t>Najznačajnija pozitivna odstupanja zabilježena su kod svih glavnih kategorija prihoda budžeta</w:t>
      </w:r>
      <w:r w:rsidRPr="0048184E">
        <w:rPr>
          <w:rFonts w:cstheme="minorHAnsi"/>
          <w:sz w:val="18"/>
          <w:szCs w:val="18"/>
          <w:lang w:val="pl-PL"/>
        </w:rPr>
        <w:t>: poreza na dobit pravnih lica, poreza na dohodak fizičkih lica, poreza na dodatu vrijednosti, akciza, i slično.</w:t>
      </w:r>
    </w:p>
    <w:p w14:paraId="3B235EC8"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b/>
          <w:bCs/>
          <w:sz w:val="18"/>
          <w:szCs w:val="18"/>
          <w:lang w:val="pl-PL"/>
        </w:rPr>
        <w:t>Prema preliminarnim podacima, izdaci budžeta</w:t>
      </w:r>
      <w:r w:rsidRPr="0048184E">
        <w:rPr>
          <w:rFonts w:cstheme="minorHAnsi"/>
          <w:sz w:val="18"/>
          <w:szCs w:val="18"/>
          <w:lang w:val="pl-PL"/>
        </w:rPr>
        <w:t xml:space="preserve"> u 2024. godini iznosili su 2.986,0 mil. € ili 40,0% procijenjenog BDP-a. U odnosu na isti period prethodne godine, izdaci su veći 430,5 mil. €, ili 16,8% i najveće odstupanje je kod izdvajanja za isplatu prava iz oblasti penzijskog i invalidskog osiguranja dominantno zbog povećanja minimalne penzije, transfera institucijama i značajnije kod institucija javnog zdravlja, kao i rasta izdvajanja za bruto zarade (usvajanje granskih kolektivnih ugovora kojima su povećane zarade zaposlenih u javnom sektoru u 2023. godini). U odnosu na plan ove godine, izdaci su manji za 22,1 mil. € ili 0,7%, i odraz su dinamike pristizanja obaveza u ovom periodu.</w:t>
      </w:r>
    </w:p>
    <w:p w14:paraId="56F7E2FD"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b/>
          <w:sz w:val="18"/>
          <w:szCs w:val="18"/>
          <w:lang w:val="pl-PL"/>
        </w:rPr>
        <w:t xml:space="preserve">Transferi institucijama, pojedincima, nevladinom i javnom sektoru </w:t>
      </w:r>
      <w:r w:rsidRPr="0048184E">
        <w:rPr>
          <w:rFonts w:cstheme="minorHAnsi"/>
          <w:sz w:val="18"/>
          <w:szCs w:val="18"/>
          <w:lang w:val="pl-PL"/>
        </w:rPr>
        <w:t>iznosili su 429,41 mil. € i veći su od plana za 9,58 mil. € ili 2,3%. Najznačajnije odstupanje je dominantno ostalih transfera na poziciji transfera opšt</w:t>
      </w:r>
      <w:r w:rsidR="00AC573F" w:rsidRPr="0048184E">
        <w:rPr>
          <w:rFonts w:cstheme="minorHAnsi"/>
          <w:sz w:val="18"/>
          <w:szCs w:val="18"/>
          <w:lang w:val="pl-PL"/>
        </w:rPr>
        <w:t>inama kod MF</w:t>
      </w:r>
      <w:r w:rsidRPr="0048184E">
        <w:rPr>
          <w:rFonts w:cstheme="minorHAnsi"/>
          <w:sz w:val="18"/>
          <w:szCs w:val="18"/>
          <w:lang w:val="pl-PL"/>
        </w:rPr>
        <w:t>.</w:t>
      </w:r>
    </w:p>
    <w:p w14:paraId="7ECBF6EC" w14:textId="77777777" w:rsidR="00223F35" w:rsidRDefault="00223F35" w:rsidP="0048184E">
      <w:pPr>
        <w:spacing w:after="0" w:line="240" w:lineRule="auto"/>
        <w:jc w:val="both"/>
        <w:rPr>
          <w:rFonts w:cstheme="minorHAnsi"/>
          <w:sz w:val="18"/>
          <w:szCs w:val="18"/>
          <w:lang w:val="pl-PL"/>
        </w:rPr>
      </w:pPr>
      <w:r w:rsidRPr="0048184E">
        <w:rPr>
          <w:rFonts w:cstheme="minorHAnsi"/>
          <w:b/>
          <w:sz w:val="18"/>
          <w:szCs w:val="18"/>
          <w:lang w:val="pl-PL"/>
        </w:rPr>
        <w:t xml:space="preserve">Kapitalni budžet, </w:t>
      </w:r>
      <w:r w:rsidRPr="0048184E">
        <w:rPr>
          <w:rFonts w:cstheme="minorHAnsi"/>
          <w:sz w:val="18"/>
          <w:szCs w:val="18"/>
          <w:lang w:val="pl-PL"/>
        </w:rPr>
        <w:t>koji uključuje budžetske pozicije kapitalnih izdataka, kao i pojedine pozicije u okviru rashoda za usluge i druge pozicije, realizovan je u iznosu od 251,17 mil. €, što predstavlja 106,0% plana kapitalnog budžeta za ovaj period. U odnosu na isti period prethodne godine, njegovo ostvarenje je veće za 62,15 mil. € ili 32,9%.</w:t>
      </w:r>
    </w:p>
    <w:p w14:paraId="71CCB4F7" w14:textId="77777777" w:rsidR="004B0391" w:rsidRPr="0048184E" w:rsidRDefault="004B0391" w:rsidP="0048184E">
      <w:pPr>
        <w:spacing w:after="0" w:line="240" w:lineRule="auto"/>
        <w:jc w:val="both"/>
        <w:rPr>
          <w:rFonts w:cstheme="minorHAnsi"/>
          <w:sz w:val="18"/>
          <w:szCs w:val="18"/>
          <w:lang w:val="pl-PL"/>
        </w:rPr>
      </w:pPr>
    </w:p>
    <w:p w14:paraId="55476409" w14:textId="77777777" w:rsidR="00223F35" w:rsidRPr="004B0391" w:rsidRDefault="00223F35" w:rsidP="004B0391">
      <w:pP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 xml:space="preserve">Grafik </w:t>
      </w:r>
      <w:r w:rsidR="004B0391" w:rsidRPr="004B0391">
        <w:rPr>
          <w:rFonts w:cstheme="minorHAnsi"/>
          <w:b/>
          <w:color w:val="4472C4" w:themeColor="accent5"/>
          <w:sz w:val="18"/>
          <w:szCs w:val="18"/>
          <w:lang w:val="pl-PL"/>
        </w:rPr>
        <w:t xml:space="preserve">7. </w:t>
      </w:r>
      <w:r w:rsidRPr="004B0391">
        <w:rPr>
          <w:rFonts w:cstheme="minorHAnsi"/>
          <w:b/>
          <w:color w:val="4472C4" w:themeColor="accent5"/>
          <w:sz w:val="18"/>
          <w:szCs w:val="18"/>
          <w:lang w:val="pl-PL"/>
        </w:rPr>
        <w:t>Kapitalni budžet ostvarenje 2023/2024.godina</w:t>
      </w:r>
    </w:p>
    <w:p w14:paraId="2ED5944C" w14:textId="77777777" w:rsidR="00223F35" w:rsidRPr="0048184E" w:rsidRDefault="00223F35" w:rsidP="0048184E">
      <w:pPr>
        <w:spacing w:after="0" w:line="240" w:lineRule="auto"/>
        <w:jc w:val="both"/>
        <w:rPr>
          <w:rFonts w:eastAsia="Calibri" w:cs="Times New Roman"/>
          <w:b/>
          <w:sz w:val="18"/>
          <w:szCs w:val="18"/>
          <w:lang w:val="pl-PL"/>
        </w:rPr>
      </w:pPr>
      <w:r w:rsidRPr="0048184E">
        <w:rPr>
          <w:noProof/>
          <w:sz w:val="18"/>
          <w:szCs w:val="18"/>
        </w:rPr>
        <w:lastRenderedPageBreak/>
        <w:drawing>
          <wp:inline distT="0" distB="0" distL="0" distR="0" wp14:anchorId="76071B4F" wp14:editId="09AF9E6A">
            <wp:extent cx="5714535" cy="24257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710" cy="2435113"/>
                    </a:xfrm>
                    <a:prstGeom prst="rect">
                      <a:avLst/>
                    </a:prstGeom>
                    <a:noFill/>
                  </pic:spPr>
                </pic:pic>
              </a:graphicData>
            </a:graphic>
          </wp:inline>
        </w:drawing>
      </w:r>
      <w:r w:rsidRPr="0048184E">
        <w:rPr>
          <w:rFonts w:eastAsia="Calibri" w:cstheme="minorHAnsi"/>
          <w:b/>
          <w:sz w:val="18"/>
          <w:szCs w:val="18"/>
          <w:lang w:val="pl-PL"/>
        </w:rPr>
        <w:t>Izvor: MF</w:t>
      </w:r>
    </w:p>
    <w:p w14:paraId="52A6F815" w14:textId="77777777" w:rsidR="00223F35" w:rsidRPr="0048184E" w:rsidRDefault="00223F35" w:rsidP="0048184E">
      <w:pPr>
        <w:pStyle w:val="NoSpacing"/>
        <w:jc w:val="both"/>
        <w:rPr>
          <w:rFonts w:asciiTheme="minorHAnsi" w:hAnsiTheme="minorHAnsi"/>
          <w:iCs/>
          <w:sz w:val="18"/>
          <w:szCs w:val="18"/>
          <w:lang w:val="sr-Latn-ME"/>
        </w:rPr>
      </w:pPr>
      <w:r w:rsidRPr="0048184E">
        <w:rPr>
          <w:rFonts w:asciiTheme="minorHAnsi" w:hAnsiTheme="minorHAnsi"/>
          <w:iCs/>
          <w:kern w:val="2"/>
          <w:sz w:val="18"/>
          <w:szCs w:val="18"/>
          <w:lang w:val="sr-Latn-ME"/>
        </w:rPr>
        <w:t xml:space="preserve">Početkom 2019. godine stupio je na snagu novi Zakon o finansiranju lokalne samouprave. Ovaj zakon je donešen u cilju jačanja fiskalnih pozicija JLS i mogućnosti obezbjeđenja njihovog stabilnog finansijskog položaja sa posebnim akcentom na podršku opštinama Sjevernog regiona. </w:t>
      </w:r>
      <w:r w:rsidRPr="0048184E">
        <w:rPr>
          <w:rFonts w:asciiTheme="minorHAnsi" w:hAnsiTheme="minorHAnsi"/>
          <w:iCs/>
          <w:sz w:val="18"/>
          <w:szCs w:val="18"/>
          <w:lang w:val="sr-Latn-ME"/>
        </w:rPr>
        <w:t>Naime, kao posljedica primjene novih zakonskih rješenja u 2019. godini značajno su poboljšani svi pokazatelji stanja javnih finansija na lokalnom nivou, dok je u 2020. godini došlo do određenog smanjenja sopstvenih i ustupljenih prihoda JLS usljed negativnih uticaja pandemije izazvane COVID-19.</w:t>
      </w:r>
    </w:p>
    <w:p w14:paraId="6A881A9D" w14:textId="77777777" w:rsidR="00223F35" w:rsidRPr="0048184E" w:rsidRDefault="00223F35" w:rsidP="0048184E">
      <w:pPr>
        <w:pStyle w:val="NoSpacing"/>
        <w:jc w:val="both"/>
        <w:rPr>
          <w:rFonts w:asciiTheme="minorHAnsi" w:hAnsiTheme="minorHAnsi"/>
          <w:iCs/>
          <w:sz w:val="18"/>
          <w:szCs w:val="18"/>
          <w:lang w:val="sr-Latn-ME"/>
        </w:rPr>
      </w:pPr>
    </w:p>
    <w:p w14:paraId="0271E2D7" w14:textId="77777777" w:rsidR="00223F35" w:rsidRPr="0048184E" w:rsidRDefault="00223F35"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Krajem 2021. godine usvojen je Zakon o izmjenama i dopunama Zakona o porezu na dohodak fizičkih lica kojim je, između ostalog, uveden neoporezivi dio zarade do 700 </w:t>
      </w:r>
      <w:r w:rsidRPr="0048184E">
        <w:rPr>
          <w:rFonts w:asciiTheme="minorHAnsi" w:hAnsiTheme="minorHAnsi" w:cs="Calibri"/>
          <w:sz w:val="18"/>
          <w:szCs w:val="18"/>
          <w:lang w:val="sr-Latn-ME"/>
        </w:rPr>
        <w:t>€</w:t>
      </w:r>
      <w:r w:rsidRPr="0048184E">
        <w:rPr>
          <w:rFonts w:asciiTheme="minorHAnsi" w:hAnsiTheme="minorHAnsi"/>
          <w:sz w:val="18"/>
          <w:szCs w:val="18"/>
          <w:lang w:val="sr-Latn-ME"/>
        </w:rPr>
        <w:t xml:space="preserve"> oporezivog dohotka. Uvođenje neoporezivog dijela zarade, pored uticaja na smanjenje prihoda države uticalo je i na smanjenje prihoda JLS, obzirom da </w:t>
      </w:r>
      <w:r w:rsidRPr="0048184E">
        <w:rPr>
          <w:rFonts w:asciiTheme="minorHAnsi" w:hAnsiTheme="minorHAnsi"/>
          <w:b/>
          <w:bCs/>
          <w:sz w:val="18"/>
          <w:szCs w:val="18"/>
          <w:lang w:val="sr-Latn-ME"/>
        </w:rPr>
        <w:t>jedan od izvora finansiranja lokalne samouprave predstavljaju zakonom ustupljeni prihodi od poreza na dohodak fizičkih lica, ali i da se značajan dio prihoda Egalizacionog fonda obezbjeđuje iz pomenutog poreza.</w:t>
      </w:r>
      <w:r w:rsidRPr="0048184E">
        <w:rPr>
          <w:rFonts w:asciiTheme="minorHAnsi" w:hAnsiTheme="minorHAnsi"/>
          <w:sz w:val="18"/>
          <w:szCs w:val="18"/>
          <w:lang w:val="sr-Latn-ME"/>
        </w:rPr>
        <w:t xml:space="preserve"> Osim toga, visina ostvarenja prihoda od prireza porezu na dohodak fizičkih lica direktno zavisi od visine utvrđenog poreza </w:t>
      </w:r>
      <w:r w:rsidRPr="0048184E">
        <w:rPr>
          <w:rFonts w:asciiTheme="minorHAnsi" w:hAnsiTheme="minorHAnsi"/>
          <w:b/>
          <w:bCs/>
          <w:sz w:val="18"/>
          <w:szCs w:val="18"/>
          <w:lang w:val="sr-Latn-ME"/>
        </w:rPr>
        <w:t>na dohodak fizičkih lica</w:t>
      </w:r>
      <w:r w:rsidRPr="0048184E">
        <w:rPr>
          <w:rFonts w:asciiTheme="minorHAnsi" w:hAnsiTheme="minorHAnsi"/>
          <w:sz w:val="18"/>
          <w:szCs w:val="18"/>
          <w:lang w:val="sr-Latn-ME"/>
        </w:rPr>
        <w:t>.</w:t>
      </w:r>
    </w:p>
    <w:p w14:paraId="6617F180" w14:textId="77777777" w:rsidR="00223F35" w:rsidRPr="0048184E" w:rsidRDefault="00223F35" w:rsidP="0048184E">
      <w:pPr>
        <w:pStyle w:val="NoSpacing"/>
        <w:jc w:val="both"/>
        <w:rPr>
          <w:rFonts w:asciiTheme="minorHAnsi" w:hAnsiTheme="minorHAnsi"/>
          <w:sz w:val="18"/>
          <w:szCs w:val="18"/>
          <w:lang w:val="sr-Latn-ME"/>
        </w:rPr>
      </w:pPr>
    </w:p>
    <w:p w14:paraId="3F989976" w14:textId="77777777" w:rsidR="00223F35" w:rsidRPr="0048184E" w:rsidRDefault="00223F35" w:rsidP="0048184E">
      <w:pPr>
        <w:pStyle w:val="NoSpacing"/>
        <w:jc w:val="both"/>
        <w:rPr>
          <w:rFonts w:asciiTheme="minorHAnsi" w:hAnsiTheme="minorHAnsi"/>
          <w:iCs/>
          <w:sz w:val="18"/>
          <w:szCs w:val="18"/>
          <w:lang w:val="sr-Latn-ME"/>
        </w:rPr>
      </w:pPr>
      <w:r w:rsidRPr="0048184E">
        <w:rPr>
          <w:rFonts w:asciiTheme="minorHAnsi" w:hAnsiTheme="minorHAnsi"/>
          <w:sz w:val="18"/>
          <w:szCs w:val="18"/>
          <w:lang w:val="sr-Latn-ME"/>
        </w:rPr>
        <w:t xml:space="preserve">Početkom avgusta 2022. godine donesene su izmjene i dopuna Zakona o finansiranju lokalne samouprave u </w:t>
      </w:r>
      <w:r w:rsidRPr="0048184E">
        <w:rPr>
          <w:rFonts w:asciiTheme="minorHAnsi" w:hAnsiTheme="minorHAnsi"/>
          <w:b/>
          <w:bCs/>
          <w:sz w:val="18"/>
          <w:szCs w:val="18"/>
          <w:lang w:val="sr-Latn-ME"/>
        </w:rPr>
        <w:t>dijelu koji se odnosi na procente ustupanja poreza na dohodak fizičkih lica i obezbjeđenja sredstava Egalizacionog fonda</w:t>
      </w:r>
      <w:r w:rsidRPr="0048184E">
        <w:rPr>
          <w:rFonts w:asciiTheme="minorHAnsi" w:hAnsiTheme="minorHAnsi"/>
          <w:sz w:val="18"/>
          <w:szCs w:val="18"/>
          <w:lang w:val="sr-Latn-ME"/>
        </w:rPr>
        <w:t>. Ovim izmjenama je povećan procenat ustupljenih prihoda od poreza na dohodak fizičkih lica opštinama. Takođe im je ustupljen prihod od poreza na promet nepokretnosti za 100%. Prema dostupnim</w:t>
      </w:r>
      <w:r w:rsidR="0054581F">
        <w:rPr>
          <w:rFonts w:asciiTheme="minorHAnsi" w:hAnsiTheme="minorHAnsi"/>
          <w:sz w:val="18"/>
          <w:szCs w:val="18"/>
          <w:lang w:val="sr-Latn-ME"/>
        </w:rPr>
        <w:t xml:space="preserve"> podacima MF</w:t>
      </w:r>
      <w:r w:rsidRPr="0048184E">
        <w:rPr>
          <w:rFonts w:asciiTheme="minorHAnsi" w:hAnsiTheme="minorHAnsi"/>
          <w:sz w:val="18"/>
          <w:szCs w:val="18"/>
          <w:lang w:val="sr-Latn-ME"/>
        </w:rPr>
        <w:t xml:space="preserve"> primjena ovih zakonski rješenja će uticati na povećanje prihoda lokalne samouprave po osnovu poreza na dohodak fizičkih lica u ukupnom iznosu od oko 50 mil. </w:t>
      </w:r>
      <w:r w:rsidRPr="0048184E">
        <w:rPr>
          <w:rFonts w:asciiTheme="minorHAnsi" w:hAnsiTheme="minorHAnsi" w:cs="Calibri"/>
          <w:sz w:val="18"/>
          <w:szCs w:val="18"/>
          <w:lang w:val="sr-Latn-ME"/>
        </w:rPr>
        <w:t>€</w:t>
      </w:r>
      <w:r w:rsidRPr="0048184E">
        <w:rPr>
          <w:rFonts w:asciiTheme="minorHAnsi" w:hAnsiTheme="minorHAnsi"/>
          <w:sz w:val="18"/>
          <w:szCs w:val="18"/>
          <w:lang w:val="sr-Latn-ME"/>
        </w:rPr>
        <w:t>.</w:t>
      </w:r>
    </w:p>
    <w:p w14:paraId="5C442C2A" w14:textId="77777777" w:rsidR="00223F35" w:rsidRPr="0048184E" w:rsidRDefault="00223F35" w:rsidP="0048184E">
      <w:pPr>
        <w:spacing w:after="0" w:line="240" w:lineRule="auto"/>
        <w:jc w:val="both"/>
        <w:rPr>
          <w:rFonts w:cstheme="minorHAnsi"/>
          <w:sz w:val="18"/>
          <w:szCs w:val="18"/>
          <w:lang w:val="sr-Latn-RS"/>
        </w:rPr>
      </w:pPr>
    </w:p>
    <w:p w14:paraId="3E5F4177" w14:textId="77777777" w:rsidR="00223F35" w:rsidRPr="0048184E" w:rsidRDefault="00223F35" w:rsidP="0048184E">
      <w:pPr>
        <w:spacing w:after="0" w:line="240" w:lineRule="auto"/>
        <w:jc w:val="both"/>
        <w:rPr>
          <w:rFonts w:cstheme="minorHAnsi"/>
          <w:sz w:val="18"/>
          <w:szCs w:val="18"/>
          <w:lang w:val="sr-Latn-RS"/>
        </w:rPr>
      </w:pPr>
      <w:r w:rsidRPr="0048184E">
        <w:rPr>
          <w:rFonts w:cstheme="minorHAnsi"/>
          <w:sz w:val="18"/>
          <w:szCs w:val="18"/>
          <w:lang w:val="sr-Latn-RS"/>
        </w:rPr>
        <w:t xml:space="preserve">Prema preliminarnim podacima, izvorni </w:t>
      </w:r>
      <w:r w:rsidRPr="0048184E">
        <w:rPr>
          <w:rFonts w:cstheme="minorHAnsi"/>
          <w:b/>
          <w:sz w:val="18"/>
          <w:szCs w:val="18"/>
          <w:lang w:val="sr-Latn-RS"/>
        </w:rPr>
        <w:t>prihodi budžeta jedinica lokalne samouprave</w:t>
      </w:r>
      <w:r w:rsidRPr="0048184E">
        <w:rPr>
          <w:rFonts w:cstheme="minorHAnsi"/>
          <w:sz w:val="18"/>
          <w:szCs w:val="18"/>
          <w:lang w:val="sr-Latn-RS"/>
        </w:rPr>
        <w:t xml:space="preserve"> u periodu januar - decembar 2024. godine iznosili su 433,6 mil. € ili 5,8% BDP-a i odnosu na ostvarene u istom periodu 2023. veći su za 58,7 mil. € ili 15,7%, dok su u odnosu na planirane veći za 44,1 mil. € ili 11,3%. Prihodi od poreza iznosili su 251,3 mil.€ ili 3,4% BDP-a, a u odnosu na uporedni period veći su za 27,8 mil. €.  </w:t>
      </w:r>
      <w:r w:rsidRPr="0048184E">
        <w:rPr>
          <w:rFonts w:cstheme="minorHAnsi"/>
          <w:b/>
          <w:sz w:val="18"/>
          <w:szCs w:val="18"/>
          <w:lang w:val="sr-Latn-RS"/>
        </w:rPr>
        <w:t>Izdaci budžeta lokalne samouprave</w:t>
      </w:r>
      <w:r w:rsidRPr="0048184E">
        <w:rPr>
          <w:rFonts w:cstheme="minorHAnsi"/>
          <w:sz w:val="18"/>
          <w:szCs w:val="18"/>
          <w:lang w:val="sr-Latn-RS"/>
        </w:rPr>
        <w:t xml:space="preserve"> u periodu januar - decembar 2024. godine iznosili su 437,4 mil. €, što je za 45,9 mil. € ili 11,7% više u odnosu na planirane dok su u odnosu na uporedni period 2023. godine izdaci veći za 93,5 mil. € ili 27,2%. Kapitalni izdaci, kao pojedinačno najveća rashodna stavka, iznosili su 145,4 mil. € ili 1,9% BDP-a. U odnosu na izvršenje od prethodne godine, kapitalni izdaci su bili veći za 47,1 mil. €. U četrvrtom kvartalu 2024. godine zabilježen </w:t>
      </w:r>
      <w:r w:rsidRPr="0048184E">
        <w:rPr>
          <w:rFonts w:cstheme="minorHAnsi"/>
          <w:b/>
          <w:sz w:val="18"/>
          <w:szCs w:val="18"/>
          <w:lang w:val="sr-Latn-RS"/>
        </w:rPr>
        <w:t>je deficit lokalne samouprave</w:t>
      </w:r>
      <w:r w:rsidRPr="0048184E">
        <w:rPr>
          <w:rFonts w:cstheme="minorHAnsi"/>
          <w:sz w:val="18"/>
          <w:szCs w:val="18"/>
          <w:lang w:val="sr-Latn-RS"/>
        </w:rPr>
        <w:t xml:space="preserve"> u iznosu od 3,8 mil. €. U posmatranom periodu došlo je do povećanja depozita lokalnih samouprava od 13,9 mil. € ili 0,2% BDP-a.</w:t>
      </w:r>
    </w:p>
    <w:p w14:paraId="675F55E2" w14:textId="77777777" w:rsidR="00223F35" w:rsidRPr="0048184E" w:rsidRDefault="00223F35" w:rsidP="0048184E">
      <w:pPr>
        <w:tabs>
          <w:tab w:val="left" w:pos="1077"/>
        </w:tabs>
        <w:spacing w:after="0" w:line="240" w:lineRule="auto"/>
        <w:jc w:val="both"/>
        <w:rPr>
          <w:sz w:val="18"/>
          <w:szCs w:val="18"/>
          <w:lang w:val="sr-Latn-RS"/>
        </w:rPr>
      </w:pPr>
    </w:p>
    <w:p w14:paraId="4F6EAF45" w14:textId="2F6D2EC2" w:rsidR="00223F35" w:rsidRPr="0048184E" w:rsidRDefault="00AC573F" w:rsidP="0048184E">
      <w:pPr>
        <w:tabs>
          <w:tab w:val="left" w:pos="1077"/>
        </w:tabs>
        <w:spacing w:after="0" w:line="240" w:lineRule="auto"/>
        <w:jc w:val="both"/>
        <w:rPr>
          <w:sz w:val="18"/>
          <w:szCs w:val="18"/>
          <w:lang w:val="sr-Latn-ME"/>
        </w:rPr>
      </w:pPr>
      <w:r w:rsidRPr="0048184E">
        <w:rPr>
          <w:sz w:val="18"/>
          <w:szCs w:val="18"/>
          <w:lang w:val="sr-Latn-ME"/>
        </w:rPr>
        <w:t xml:space="preserve">Kao </w:t>
      </w:r>
      <w:r w:rsidR="00223F35" w:rsidRPr="0048184E">
        <w:rPr>
          <w:sz w:val="18"/>
          <w:szCs w:val="18"/>
          <w:lang w:val="sr-Latn-RS"/>
        </w:rPr>
        <w:t>razloge</w:t>
      </w:r>
      <w:r w:rsidR="00223F35" w:rsidRPr="0048184E">
        <w:rPr>
          <w:sz w:val="18"/>
          <w:szCs w:val="18"/>
          <w:lang w:val="sr-Latn-ME"/>
        </w:rPr>
        <w:t xml:space="preserve"> </w:t>
      </w:r>
      <w:r w:rsidR="00223F35" w:rsidRPr="0048184E">
        <w:rPr>
          <w:sz w:val="18"/>
          <w:szCs w:val="18"/>
          <w:lang w:val="sr-Latn-RS"/>
        </w:rPr>
        <w:t>niske</w:t>
      </w:r>
      <w:r w:rsidR="00223F35" w:rsidRPr="0048184E">
        <w:rPr>
          <w:sz w:val="18"/>
          <w:szCs w:val="18"/>
          <w:lang w:val="sr-Latn-ME"/>
        </w:rPr>
        <w:t xml:space="preserve"> </w:t>
      </w:r>
      <w:r w:rsidR="00223F35" w:rsidRPr="0048184E">
        <w:rPr>
          <w:sz w:val="18"/>
          <w:szCs w:val="18"/>
          <w:lang w:val="sr-Latn-RS"/>
        </w:rPr>
        <w:t>naplate</w:t>
      </w:r>
      <w:r w:rsidR="00223F35" w:rsidRPr="0048184E">
        <w:rPr>
          <w:sz w:val="18"/>
          <w:szCs w:val="18"/>
          <w:lang w:val="sr-Latn-ME"/>
        </w:rPr>
        <w:t xml:space="preserve"> </w:t>
      </w:r>
      <w:r w:rsidR="00223F35" w:rsidRPr="0048184E">
        <w:rPr>
          <w:sz w:val="18"/>
          <w:szCs w:val="18"/>
          <w:lang w:val="sr-Latn-RS"/>
        </w:rPr>
        <w:t>lokalnih</w:t>
      </w:r>
      <w:r w:rsidR="00223F35" w:rsidRPr="0048184E">
        <w:rPr>
          <w:sz w:val="18"/>
          <w:szCs w:val="18"/>
          <w:lang w:val="sr-Latn-ME"/>
        </w:rPr>
        <w:t xml:space="preserve"> </w:t>
      </w:r>
      <w:r w:rsidR="00223F35" w:rsidRPr="0048184E">
        <w:rPr>
          <w:sz w:val="18"/>
          <w:szCs w:val="18"/>
          <w:lang w:val="sr-Latn-RS"/>
        </w:rPr>
        <w:t>prihoda</w:t>
      </w:r>
      <w:r w:rsidR="00223F35" w:rsidRPr="0048184E">
        <w:rPr>
          <w:sz w:val="18"/>
          <w:szCs w:val="18"/>
          <w:lang w:val="sr-Latn-ME"/>
        </w:rPr>
        <w:t xml:space="preserve"> </w:t>
      </w:r>
      <w:r w:rsidR="00223F35" w:rsidRPr="0048184E">
        <w:rPr>
          <w:sz w:val="18"/>
          <w:szCs w:val="18"/>
          <w:lang w:val="sr-Latn-RS"/>
        </w:rPr>
        <w:t>koja</w:t>
      </w:r>
      <w:r w:rsidR="00223F35" w:rsidRPr="0048184E">
        <w:rPr>
          <w:sz w:val="18"/>
          <w:szCs w:val="18"/>
          <w:lang w:val="sr-Latn-ME"/>
        </w:rPr>
        <w:t xml:space="preserve"> </w:t>
      </w:r>
      <w:r w:rsidR="00223F35" w:rsidRPr="0048184E">
        <w:rPr>
          <w:sz w:val="18"/>
          <w:szCs w:val="18"/>
          <w:lang w:val="sr-Latn-RS"/>
        </w:rPr>
        <w:t>je</w:t>
      </w:r>
      <w:r w:rsidR="00223F35" w:rsidRPr="0048184E">
        <w:rPr>
          <w:sz w:val="18"/>
          <w:szCs w:val="18"/>
          <w:lang w:val="sr-Latn-ME"/>
        </w:rPr>
        <w:t xml:space="preserve"> </w:t>
      </w:r>
      <w:r w:rsidR="00223F35" w:rsidRPr="0048184E">
        <w:rPr>
          <w:sz w:val="18"/>
          <w:szCs w:val="18"/>
          <w:lang w:val="sr-Latn-RS"/>
        </w:rPr>
        <w:t>ni</w:t>
      </w:r>
      <w:r w:rsidR="00223F35" w:rsidRPr="0048184E">
        <w:rPr>
          <w:sz w:val="18"/>
          <w:szCs w:val="18"/>
          <w:lang w:val="sr-Latn-ME"/>
        </w:rPr>
        <w:t>ž</w:t>
      </w:r>
      <w:r w:rsidR="00223F35" w:rsidRPr="0048184E">
        <w:rPr>
          <w:sz w:val="18"/>
          <w:szCs w:val="18"/>
          <w:lang w:val="sr-Latn-RS"/>
        </w:rPr>
        <w:t>a</w:t>
      </w:r>
      <w:r w:rsidR="00223F35" w:rsidRPr="0048184E">
        <w:rPr>
          <w:sz w:val="18"/>
          <w:szCs w:val="18"/>
          <w:lang w:val="sr-Latn-ME"/>
        </w:rPr>
        <w:t xml:space="preserve"> </w:t>
      </w:r>
      <w:r w:rsidR="00223F35" w:rsidRPr="0048184E">
        <w:rPr>
          <w:sz w:val="18"/>
          <w:szCs w:val="18"/>
          <w:lang w:val="sr-Latn-RS"/>
        </w:rPr>
        <w:t>u</w:t>
      </w:r>
      <w:r w:rsidR="00223F35" w:rsidRPr="0048184E">
        <w:rPr>
          <w:sz w:val="18"/>
          <w:szCs w:val="18"/>
          <w:lang w:val="sr-Latn-ME"/>
        </w:rPr>
        <w:t xml:space="preserve"> </w:t>
      </w:r>
      <w:r w:rsidR="00223F35" w:rsidRPr="0048184E">
        <w:rPr>
          <w:sz w:val="18"/>
          <w:szCs w:val="18"/>
          <w:lang w:val="sr-Latn-RS"/>
        </w:rPr>
        <w:t>odnosu</w:t>
      </w:r>
      <w:r w:rsidR="00223F35" w:rsidRPr="0048184E">
        <w:rPr>
          <w:sz w:val="18"/>
          <w:szCs w:val="18"/>
          <w:lang w:val="sr-Latn-ME"/>
        </w:rPr>
        <w:t xml:space="preserve"> </w:t>
      </w:r>
      <w:r w:rsidR="00223F35" w:rsidRPr="0048184E">
        <w:rPr>
          <w:sz w:val="18"/>
          <w:szCs w:val="18"/>
          <w:lang w:val="sr-Latn-RS"/>
        </w:rPr>
        <w:t>na</w:t>
      </w:r>
      <w:r w:rsidR="00223F35" w:rsidRPr="0048184E">
        <w:rPr>
          <w:sz w:val="18"/>
          <w:szCs w:val="18"/>
          <w:lang w:val="sr-Latn-ME"/>
        </w:rPr>
        <w:t xml:space="preserve"> </w:t>
      </w:r>
      <w:r w:rsidR="00BF02B1">
        <w:rPr>
          <w:sz w:val="18"/>
          <w:szCs w:val="18"/>
          <w:lang w:val="sr-Latn-RS"/>
        </w:rPr>
        <w:t>s</w:t>
      </w:r>
      <w:r w:rsidR="002B564A">
        <w:rPr>
          <w:sz w:val="18"/>
          <w:szCs w:val="18"/>
          <w:lang w:val="sr-Latn-RS"/>
        </w:rPr>
        <w:t>redišnji</w:t>
      </w:r>
      <w:r w:rsidR="00223F35" w:rsidRPr="0048184E">
        <w:rPr>
          <w:sz w:val="18"/>
          <w:szCs w:val="18"/>
          <w:lang w:val="sr-Latn-ME"/>
        </w:rPr>
        <w:t xml:space="preserve"> </w:t>
      </w:r>
      <w:r w:rsidR="00223F35" w:rsidRPr="0048184E">
        <w:rPr>
          <w:sz w:val="18"/>
          <w:szCs w:val="18"/>
          <w:lang w:val="sr-Latn-RS"/>
        </w:rPr>
        <w:t>i</w:t>
      </w:r>
      <w:r w:rsidR="00223F35" w:rsidRPr="0048184E">
        <w:rPr>
          <w:sz w:val="18"/>
          <w:szCs w:val="18"/>
          <w:lang w:val="sr-Latn-ME"/>
        </w:rPr>
        <w:t xml:space="preserve"> </w:t>
      </w:r>
      <w:r w:rsidR="00BF02B1">
        <w:rPr>
          <w:sz w:val="18"/>
          <w:szCs w:val="18"/>
          <w:lang w:val="sr-Latn-RS"/>
        </w:rPr>
        <w:t>p</w:t>
      </w:r>
      <w:r w:rsidR="002B564A">
        <w:rPr>
          <w:sz w:val="18"/>
          <w:szCs w:val="18"/>
          <w:lang w:val="sr-Latn-RS"/>
        </w:rPr>
        <w:t>rimorski</w:t>
      </w:r>
      <w:r w:rsidR="00223F35" w:rsidRPr="0048184E">
        <w:rPr>
          <w:sz w:val="18"/>
          <w:szCs w:val="18"/>
          <w:lang w:val="sr-Latn-ME"/>
        </w:rPr>
        <w:t xml:space="preserve"> </w:t>
      </w:r>
      <w:r w:rsidR="00223F35" w:rsidRPr="0048184E">
        <w:rPr>
          <w:sz w:val="18"/>
          <w:szCs w:val="18"/>
          <w:lang w:val="sr-Latn-RS"/>
        </w:rPr>
        <w:t>region</w:t>
      </w:r>
      <w:r w:rsidRPr="0048184E">
        <w:rPr>
          <w:sz w:val="18"/>
          <w:szCs w:val="18"/>
          <w:lang w:val="sr-Latn-RS"/>
        </w:rPr>
        <w:t>, opštine sjevernog regiona navode sljedeće</w:t>
      </w:r>
      <w:r w:rsidR="00223F35" w:rsidRPr="0048184E">
        <w:rPr>
          <w:sz w:val="18"/>
          <w:szCs w:val="18"/>
          <w:lang w:val="sr-Latn-ME"/>
        </w:rPr>
        <w:t xml:space="preserve">: </w:t>
      </w:r>
      <w:r w:rsidR="00223F35" w:rsidRPr="0048184E">
        <w:rPr>
          <w:sz w:val="18"/>
          <w:szCs w:val="18"/>
          <w:lang w:val="sr-Latn-RS"/>
        </w:rPr>
        <w:t>problem</w:t>
      </w:r>
      <w:r w:rsidR="00223F35" w:rsidRPr="0048184E">
        <w:rPr>
          <w:sz w:val="18"/>
          <w:szCs w:val="18"/>
          <w:lang w:val="sr-Latn-ME"/>
        </w:rPr>
        <w:t xml:space="preserve"> </w:t>
      </w:r>
      <w:r w:rsidR="00223F35" w:rsidRPr="0048184E">
        <w:rPr>
          <w:sz w:val="18"/>
          <w:szCs w:val="18"/>
          <w:lang w:val="sr-Latn-RS"/>
        </w:rPr>
        <w:t>nezaposlenosti</w:t>
      </w:r>
      <w:r w:rsidR="00223F35" w:rsidRPr="0048184E">
        <w:rPr>
          <w:sz w:val="18"/>
          <w:szCs w:val="18"/>
          <w:lang w:val="sr-Latn-ME"/>
        </w:rPr>
        <w:t xml:space="preserve">, </w:t>
      </w:r>
      <w:r w:rsidR="00223F35" w:rsidRPr="0048184E">
        <w:rPr>
          <w:sz w:val="18"/>
          <w:szCs w:val="18"/>
          <w:lang w:val="sr-Latn-RS"/>
        </w:rPr>
        <w:t>siva</w:t>
      </w:r>
      <w:r w:rsidR="00223F35" w:rsidRPr="0048184E">
        <w:rPr>
          <w:sz w:val="18"/>
          <w:szCs w:val="18"/>
          <w:lang w:val="sr-Latn-ME"/>
        </w:rPr>
        <w:t xml:space="preserve"> </w:t>
      </w:r>
      <w:r w:rsidR="00223F35" w:rsidRPr="0048184E">
        <w:rPr>
          <w:sz w:val="18"/>
          <w:szCs w:val="18"/>
          <w:lang w:val="sr-Latn-RS"/>
        </w:rPr>
        <w:t>ekonomija</w:t>
      </w:r>
      <w:r w:rsidR="00223F35" w:rsidRPr="0048184E">
        <w:rPr>
          <w:sz w:val="18"/>
          <w:szCs w:val="18"/>
          <w:lang w:val="sr-Latn-ME"/>
        </w:rPr>
        <w:t xml:space="preserve">, </w:t>
      </w:r>
      <w:r w:rsidR="00223F35" w:rsidRPr="0048184E">
        <w:rPr>
          <w:sz w:val="18"/>
          <w:szCs w:val="18"/>
          <w:lang w:val="sr-Latn-RS"/>
        </w:rPr>
        <w:t>slaba</w:t>
      </w:r>
      <w:r w:rsidR="00223F35" w:rsidRPr="0048184E">
        <w:rPr>
          <w:sz w:val="18"/>
          <w:szCs w:val="18"/>
          <w:lang w:val="sr-Latn-ME"/>
        </w:rPr>
        <w:t xml:space="preserve"> </w:t>
      </w:r>
      <w:r w:rsidR="00223F35" w:rsidRPr="0048184E">
        <w:rPr>
          <w:sz w:val="18"/>
          <w:szCs w:val="18"/>
          <w:lang w:val="sr-Latn-RS"/>
        </w:rPr>
        <w:t>plate</w:t>
      </w:r>
      <w:r w:rsidR="00223F35" w:rsidRPr="0048184E">
        <w:rPr>
          <w:sz w:val="18"/>
          <w:szCs w:val="18"/>
          <w:lang w:val="sr-Latn-ME"/>
        </w:rPr>
        <w:t>ž</w:t>
      </w:r>
      <w:r w:rsidR="00223F35" w:rsidRPr="0048184E">
        <w:rPr>
          <w:sz w:val="18"/>
          <w:szCs w:val="18"/>
          <w:lang w:val="sr-Latn-RS"/>
        </w:rPr>
        <w:t>na</w:t>
      </w:r>
      <w:r w:rsidR="00223F35" w:rsidRPr="0048184E">
        <w:rPr>
          <w:sz w:val="18"/>
          <w:szCs w:val="18"/>
          <w:lang w:val="sr-Latn-ME"/>
        </w:rPr>
        <w:t xml:space="preserve"> </w:t>
      </w:r>
      <w:r w:rsidR="00223F35" w:rsidRPr="0048184E">
        <w:rPr>
          <w:sz w:val="18"/>
          <w:szCs w:val="18"/>
          <w:lang w:val="sr-Latn-RS"/>
        </w:rPr>
        <w:t>mo</w:t>
      </w:r>
      <w:r w:rsidR="00223F35" w:rsidRPr="0048184E">
        <w:rPr>
          <w:sz w:val="18"/>
          <w:szCs w:val="18"/>
          <w:lang w:val="sr-Latn-ME"/>
        </w:rPr>
        <w:t xml:space="preserve">ć </w:t>
      </w:r>
      <w:r w:rsidR="00223F35" w:rsidRPr="0048184E">
        <w:rPr>
          <w:sz w:val="18"/>
          <w:szCs w:val="18"/>
          <w:lang w:val="sr-Latn-RS"/>
        </w:rPr>
        <w:t>stanovni</w:t>
      </w:r>
      <w:r w:rsidR="00223F35" w:rsidRPr="0048184E">
        <w:rPr>
          <w:sz w:val="18"/>
          <w:szCs w:val="18"/>
          <w:lang w:val="sr-Latn-ME"/>
        </w:rPr>
        <w:t>š</w:t>
      </w:r>
      <w:r w:rsidR="00223F35" w:rsidRPr="0048184E">
        <w:rPr>
          <w:sz w:val="18"/>
          <w:szCs w:val="18"/>
          <w:lang w:val="sr-Latn-RS"/>
        </w:rPr>
        <w:t>tva</w:t>
      </w:r>
      <w:r w:rsidR="00223F35" w:rsidRPr="0048184E">
        <w:rPr>
          <w:sz w:val="18"/>
          <w:szCs w:val="18"/>
          <w:lang w:val="sr-Latn-ME"/>
        </w:rPr>
        <w:t xml:space="preserve">, </w:t>
      </w:r>
      <w:r w:rsidR="00223F35" w:rsidRPr="0048184E">
        <w:rPr>
          <w:sz w:val="18"/>
          <w:szCs w:val="18"/>
          <w:lang w:val="sr-Latn-RS"/>
        </w:rPr>
        <w:t>slabija</w:t>
      </w:r>
      <w:r w:rsidR="00223F35" w:rsidRPr="0048184E">
        <w:rPr>
          <w:sz w:val="18"/>
          <w:szCs w:val="18"/>
          <w:lang w:val="sr-Latn-ME"/>
        </w:rPr>
        <w:t xml:space="preserve"> </w:t>
      </w:r>
      <w:r w:rsidR="00223F35" w:rsidRPr="0048184E">
        <w:rPr>
          <w:sz w:val="18"/>
          <w:szCs w:val="18"/>
          <w:lang w:val="sr-Latn-RS"/>
        </w:rPr>
        <w:t>poreska</w:t>
      </w:r>
      <w:r w:rsidR="00223F35" w:rsidRPr="0048184E">
        <w:rPr>
          <w:sz w:val="18"/>
          <w:szCs w:val="18"/>
          <w:lang w:val="sr-Latn-ME"/>
        </w:rPr>
        <w:t xml:space="preserve"> </w:t>
      </w:r>
      <w:r w:rsidR="00223F35" w:rsidRPr="0048184E">
        <w:rPr>
          <w:sz w:val="18"/>
          <w:szCs w:val="18"/>
          <w:lang w:val="sr-Latn-RS"/>
        </w:rPr>
        <w:t>disciplina</w:t>
      </w:r>
      <w:r w:rsidR="00223F35" w:rsidRPr="0048184E">
        <w:rPr>
          <w:sz w:val="18"/>
          <w:szCs w:val="18"/>
          <w:lang w:val="sr-Latn-ME"/>
        </w:rPr>
        <w:t xml:space="preserve">, </w:t>
      </w:r>
      <w:r w:rsidR="00223F35" w:rsidRPr="0048184E">
        <w:rPr>
          <w:sz w:val="18"/>
          <w:szCs w:val="18"/>
          <w:lang w:val="sr-Latn-RS"/>
        </w:rPr>
        <w:t>veliki</w:t>
      </w:r>
      <w:r w:rsidR="00223F35" w:rsidRPr="0048184E">
        <w:rPr>
          <w:sz w:val="18"/>
          <w:szCs w:val="18"/>
          <w:lang w:val="sr-Latn-ME"/>
        </w:rPr>
        <w:t xml:space="preserve"> </w:t>
      </w:r>
      <w:r w:rsidR="00223F35" w:rsidRPr="0048184E">
        <w:rPr>
          <w:sz w:val="18"/>
          <w:szCs w:val="18"/>
          <w:lang w:val="sr-Latn-RS"/>
        </w:rPr>
        <w:t>broj</w:t>
      </w:r>
      <w:r w:rsidR="00223F35" w:rsidRPr="0048184E">
        <w:rPr>
          <w:sz w:val="18"/>
          <w:szCs w:val="18"/>
          <w:lang w:val="sr-Latn-ME"/>
        </w:rPr>
        <w:t xml:space="preserve"> </w:t>
      </w:r>
      <w:r w:rsidR="00223F35" w:rsidRPr="0048184E">
        <w:rPr>
          <w:sz w:val="18"/>
          <w:szCs w:val="18"/>
          <w:lang w:val="sr-Latn-RS"/>
        </w:rPr>
        <w:t>poreskih</w:t>
      </w:r>
      <w:r w:rsidR="00223F35" w:rsidRPr="0048184E">
        <w:rPr>
          <w:sz w:val="18"/>
          <w:szCs w:val="18"/>
          <w:lang w:val="sr-Latn-ME"/>
        </w:rPr>
        <w:t xml:space="preserve"> </w:t>
      </w:r>
      <w:r w:rsidR="00223F35" w:rsidRPr="0048184E">
        <w:rPr>
          <w:sz w:val="18"/>
          <w:szCs w:val="18"/>
          <w:lang w:val="sr-Latn-RS"/>
        </w:rPr>
        <w:t>obveznika</w:t>
      </w:r>
      <w:r w:rsidR="00223F35" w:rsidRPr="0048184E">
        <w:rPr>
          <w:sz w:val="18"/>
          <w:szCs w:val="18"/>
          <w:lang w:val="sr-Latn-ME"/>
        </w:rPr>
        <w:t xml:space="preserve"> </w:t>
      </w:r>
      <w:r w:rsidR="00223F35" w:rsidRPr="0048184E">
        <w:rPr>
          <w:sz w:val="18"/>
          <w:szCs w:val="18"/>
          <w:lang w:val="sr-Latn-RS"/>
        </w:rPr>
        <w:t>u</w:t>
      </w:r>
      <w:r w:rsidR="00223F35" w:rsidRPr="0048184E">
        <w:rPr>
          <w:sz w:val="18"/>
          <w:szCs w:val="18"/>
          <w:lang w:val="sr-Latn-ME"/>
        </w:rPr>
        <w:t xml:space="preserve"> </w:t>
      </w:r>
      <w:r w:rsidR="00223F35" w:rsidRPr="0048184E">
        <w:rPr>
          <w:sz w:val="18"/>
          <w:szCs w:val="18"/>
          <w:lang w:val="sr-Latn-RS"/>
        </w:rPr>
        <w:t>inostranstvu</w:t>
      </w:r>
      <w:r w:rsidR="00223F35" w:rsidRPr="0048184E">
        <w:rPr>
          <w:rStyle w:val="FootnoteReference"/>
          <w:sz w:val="18"/>
          <w:szCs w:val="18"/>
          <w:lang w:val="pl-PL"/>
        </w:rPr>
        <w:footnoteReference w:id="23"/>
      </w:r>
      <w:r w:rsidR="00223F35" w:rsidRPr="0048184E">
        <w:rPr>
          <w:sz w:val="18"/>
          <w:szCs w:val="18"/>
          <w:lang w:val="sr-Latn-ME"/>
        </w:rPr>
        <w:t>.</w:t>
      </w:r>
    </w:p>
    <w:p w14:paraId="6446C0AE" w14:textId="77777777" w:rsidR="00223F35" w:rsidRPr="0048184E" w:rsidRDefault="00223F35" w:rsidP="0048184E">
      <w:pPr>
        <w:spacing w:after="0" w:line="240" w:lineRule="auto"/>
        <w:jc w:val="both"/>
        <w:rPr>
          <w:rFonts w:cstheme="minorHAnsi"/>
          <w:sz w:val="18"/>
          <w:szCs w:val="18"/>
          <w:lang w:val="sr-Latn-RS"/>
        </w:rPr>
      </w:pPr>
    </w:p>
    <w:p w14:paraId="095AD285" w14:textId="0AA78D44" w:rsidR="00223F35" w:rsidRPr="0048184E" w:rsidRDefault="00223F35" w:rsidP="0048184E">
      <w:pPr>
        <w:spacing w:after="0" w:line="240" w:lineRule="auto"/>
        <w:jc w:val="both"/>
        <w:rPr>
          <w:rFonts w:cs="Times New Roman"/>
          <w:sz w:val="18"/>
          <w:szCs w:val="18"/>
          <w:lang w:val="sr-Latn-RS"/>
        </w:rPr>
      </w:pPr>
      <w:r w:rsidRPr="0048184E">
        <w:rPr>
          <w:rFonts w:cs="Times New Roman"/>
          <w:sz w:val="18"/>
          <w:szCs w:val="18"/>
          <w:lang w:val="sr-Latn-RS"/>
        </w:rPr>
        <w:t>Zaključno sa 2024. godinom, lokalne samouprave su zajedno imale 68,4 miliona eura neizmirenih obaveza, što predstavlja blago smanjenje u poređenju sa nivoima iz 2023. godine. Najzaduženije opštine su Budva (15,2 miliona eura), Herceg Novi (10,9 miliona eura) i Ulcinj (10,3 miliona eura), s obavezama koje uglavnom proizlaze iz naslijeđenih dugova i zaduživanja u vezi sa infrastrukturom</w:t>
      </w:r>
      <w:r w:rsidR="00BF02B1">
        <w:rPr>
          <w:rFonts w:cs="Times New Roman"/>
          <w:sz w:val="18"/>
          <w:szCs w:val="18"/>
          <w:lang w:val="sr-Latn-RS"/>
        </w:rPr>
        <w:t>.</w:t>
      </w:r>
      <w:r w:rsidRPr="0048184E">
        <w:rPr>
          <w:rFonts w:cs="Times New Roman"/>
          <w:sz w:val="18"/>
          <w:szCs w:val="18"/>
          <w:lang w:val="sr-Latn-RS"/>
        </w:rPr>
        <w:t xml:space="preserve"> </w:t>
      </w:r>
    </w:p>
    <w:p w14:paraId="7C4ADCBA" w14:textId="58E31370" w:rsidR="00223F35" w:rsidRPr="0048184E" w:rsidRDefault="00223F35" w:rsidP="0048184E">
      <w:pPr>
        <w:spacing w:after="0" w:line="240" w:lineRule="auto"/>
        <w:jc w:val="both"/>
        <w:rPr>
          <w:rFonts w:cs="Times New Roman"/>
          <w:sz w:val="18"/>
          <w:szCs w:val="18"/>
          <w:lang w:val="sr-Latn-RS"/>
        </w:rPr>
      </w:pPr>
      <w:r w:rsidRPr="0048184E">
        <w:rPr>
          <w:rFonts w:cs="Times New Roman"/>
          <w:sz w:val="18"/>
          <w:szCs w:val="18"/>
          <w:lang w:val="sr-Latn-RS"/>
        </w:rPr>
        <w:t xml:space="preserve">Prilikom procjene duga u odnosu na ukupne opštinske prihode, primorske opštine izgledaju znatno zaduženije od sjevernih i </w:t>
      </w:r>
      <w:r w:rsidR="00BF02B1">
        <w:rPr>
          <w:rFonts w:cs="Times New Roman"/>
          <w:sz w:val="18"/>
          <w:szCs w:val="18"/>
          <w:lang w:val="sr-Latn-RS"/>
        </w:rPr>
        <w:t>središnjih</w:t>
      </w:r>
      <w:r w:rsidRPr="0048184E">
        <w:rPr>
          <w:rFonts w:cs="Times New Roman"/>
          <w:sz w:val="18"/>
          <w:szCs w:val="18"/>
          <w:lang w:val="sr-Latn-RS"/>
        </w:rPr>
        <w:t xml:space="preserve"> opština. To ukazuje na to da se, uprkos njihovim jačim kapacitetima za generisanje prihoda, primorski gradovi suočavaju s većim fiskalnim pritiskom zbog velikih investicija i obaveza iz prethodnog perioda, koje više opterećuju njihove bilanse stanja u odnosu na ukupne prihode.</w:t>
      </w:r>
    </w:p>
    <w:p w14:paraId="5F02D669" w14:textId="77777777" w:rsidR="00223F35" w:rsidRPr="0048184E" w:rsidRDefault="00223F35" w:rsidP="0048184E">
      <w:pPr>
        <w:spacing w:after="0" w:line="240" w:lineRule="auto"/>
        <w:jc w:val="both"/>
        <w:rPr>
          <w:rFonts w:cstheme="minorHAnsi"/>
          <w:b/>
          <w:sz w:val="18"/>
          <w:szCs w:val="18"/>
          <w:lang w:val="sr-Latn-RS"/>
        </w:rPr>
      </w:pPr>
    </w:p>
    <w:p w14:paraId="0AE86A51" w14:textId="77777777" w:rsidR="00223F35" w:rsidRPr="0048184E" w:rsidRDefault="00223F35" w:rsidP="0048184E">
      <w:pPr>
        <w:pStyle w:val="NoSpacing"/>
        <w:jc w:val="both"/>
        <w:rPr>
          <w:rFonts w:asciiTheme="minorHAnsi" w:hAnsiTheme="minorHAnsi"/>
          <w:kern w:val="2"/>
          <w:sz w:val="18"/>
          <w:szCs w:val="18"/>
          <w:lang w:val="sr-Latn-ME"/>
        </w:rPr>
      </w:pPr>
      <w:r w:rsidRPr="0048184E">
        <w:rPr>
          <w:rFonts w:asciiTheme="minorHAnsi" w:hAnsiTheme="minorHAnsi"/>
          <w:iCs/>
          <w:sz w:val="18"/>
          <w:szCs w:val="18"/>
          <w:lang w:val="sr-Latn-ME"/>
        </w:rPr>
        <w:t xml:space="preserve">Navedeno nam govori da, </w:t>
      </w:r>
      <w:r w:rsidRPr="0048184E">
        <w:rPr>
          <w:rFonts w:asciiTheme="minorHAnsi" w:hAnsiTheme="minorHAnsi"/>
          <w:b/>
          <w:bCs/>
          <w:iCs/>
          <w:sz w:val="18"/>
          <w:szCs w:val="18"/>
          <w:lang w:val="sr-Latn-ME"/>
        </w:rPr>
        <w:t>efekti do sada sprovođenih aktivnosti, iako su u određenoj mjeri doprinijele smanjenju razvojnog jaza između JLS i regiona, nijesu zadovoljavajući</w:t>
      </w:r>
      <w:r w:rsidRPr="0048184E">
        <w:rPr>
          <w:rFonts w:asciiTheme="minorHAnsi" w:hAnsiTheme="minorHAnsi"/>
          <w:iCs/>
          <w:sz w:val="18"/>
          <w:szCs w:val="18"/>
          <w:lang w:val="sr-Latn-ME"/>
        </w:rPr>
        <w:t xml:space="preserve">. Jedan od razloga su upravo i nedostaci u kooordinaciji aktivnostima politike regionalnog razvoja, </w:t>
      </w:r>
      <w:r w:rsidRPr="0048184E">
        <w:rPr>
          <w:rFonts w:asciiTheme="minorHAnsi" w:hAnsiTheme="minorHAnsi"/>
          <w:kern w:val="2"/>
          <w:sz w:val="18"/>
          <w:szCs w:val="18"/>
          <w:lang w:val="sr-Latn-ME"/>
        </w:rPr>
        <w:t>kao i fragmentiranost i preklapanje aktivnosti između resornih ministarstava i drugih organa državne uprave.</w:t>
      </w:r>
    </w:p>
    <w:p w14:paraId="114355AF" w14:textId="77777777" w:rsidR="00AC573F" w:rsidRPr="0048184E" w:rsidRDefault="00AC573F" w:rsidP="0048184E">
      <w:pPr>
        <w:spacing w:after="0" w:line="240" w:lineRule="auto"/>
        <w:jc w:val="both"/>
        <w:rPr>
          <w:rFonts w:cstheme="minorHAnsi"/>
          <w:b/>
          <w:sz w:val="18"/>
          <w:szCs w:val="18"/>
          <w:lang w:val="sr-Latn-RS"/>
        </w:rPr>
      </w:pPr>
    </w:p>
    <w:p w14:paraId="5F3ACD26"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b/>
          <w:sz w:val="18"/>
          <w:szCs w:val="18"/>
          <w:lang w:val="sr-Latn-RS"/>
        </w:rPr>
        <w:t>Javni dug</w:t>
      </w:r>
      <w:r w:rsidRPr="0048184E">
        <w:rPr>
          <w:rStyle w:val="FootnoteReference"/>
          <w:rFonts w:cstheme="minorHAnsi"/>
          <w:b/>
          <w:sz w:val="18"/>
          <w:szCs w:val="18"/>
          <w:lang w:val="pl-PL"/>
        </w:rPr>
        <w:footnoteReference w:id="24"/>
      </w:r>
      <w:r w:rsidRPr="0048184E">
        <w:rPr>
          <w:rFonts w:cstheme="minorHAnsi"/>
          <w:sz w:val="18"/>
          <w:szCs w:val="18"/>
          <w:lang w:val="sr-Latn-RS"/>
        </w:rPr>
        <w:t xml:space="preserve"> se tokom godine povećao za 2,1 pp BDP-a, a razlog tome su nova zaduženja, od čega je najveće emisija obv</w:t>
      </w:r>
      <w:r w:rsidR="001A0FD2" w:rsidRPr="0048184E">
        <w:rPr>
          <w:rFonts w:cstheme="minorHAnsi"/>
          <w:sz w:val="18"/>
          <w:szCs w:val="18"/>
          <w:lang w:val="sr-Latn-RS"/>
        </w:rPr>
        <w:t>eznica na međunarodnom tržištu</w:t>
      </w:r>
      <w:r w:rsidRPr="0048184E">
        <w:rPr>
          <w:rFonts w:cstheme="minorHAnsi"/>
          <w:sz w:val="18"/>
          <w:szCs w:val="18"/>
          <w:lang w:val="sr-Latn-RS"/>
        </w:rPr>
        <w:t xml:space="preserve">, pa je javni dug na dan 31. </w:t>
      </w:r>
      <w:r w:rsidR="001A0FD2" w:rsidRPr="0048184E">
        <w:rPr>
          <w:rFonts w:cstheme="minorHAnsi"/>
          <w:sz w:val="18"/>
          <w:szCs w:val="18"/>
          <w:lang w:val="pl-PL"/>
        </w:rPr>
        <w:t>12. 2024. go</w:t>
      </w:r>
      <w:r w:rsidRPr="0048184E">
        <w:rPr>
          <w:rFonts w:cstheme="minorHAnsi"/>
          <w:sz w:val="18"/>
          <w:szCs w:val="18"/>
          <w:lang w:val="pl-PL"/>
        </w:rPr>
        <w:t>dine iznosio 4,57 mlrd. eura ili 61,3% BDP-a. Na spoljni dug odno</w:t>
      </w:r>
      <w:r w:rsidR="001A0FD2" w:rsidRPr="0048184E">
        <w:rPr>
          <w:rFonts w:cstheme="minorHAnsi"/>
          <w:sz w:val="18"/>
          <w:szCs w:val="18"/>
          <w:lang w:val="pl-PL"/>
        </w:rPr>
        <w:t>silo se 4,18 mlrd. eura, na unu</w:t>
      </w:r>
      <w:r w:rsidRPr="0048184E">
        <w:rPr>
          <w:rFonts w:cstheme="minorHAnsi"/>
          <w:sz w:val="18"/>
          <w:szCs w:val="18"/>
          <w:lang w:val="pl-PL"/>
        </w:rPr>
        <w:t>trašnji 331,3 mil. eura, a na dug lokalnih samouprava 59,1 mil. eura.</w:t>
      </w:r>
    </w:p>
    <w:p w14:paraId="6DDD1BF2" w14:textId="77777777" w:rsidR="00223F35" w:rsidRDefault="00223F35" w:rsidP="004B0391">
      <w:pPr>
        <w:spacing w:after="0" w:line="240" w:lineRule="auto"/>
        <w:jc w:val="center"/>
        <w:rPr>
          <w:rFonts w:cstheme="minorHAnsi"/>
          <w:b/>
          <w:color w:val="4472C4" w:themeColor="accent5"/>
          <w:sz w:val="18"/>
          <w:szCs w:val="18"/>
          <w:lang w:val="pl-PL"/>
        </w:rPr>
      </w:pPr>
    </w:p>
    <w:p w14:paraId="5685F764" w14:textId="77777777" w:rsidR="00061252" w:rsidRDefault="00061252" w:rsidP="004B0391">
      <w:pPr>
        <w:spacing w:after="0" w:line="240" w:lineRule="auto"/>
        <w:jc w:val="center"/>
        <w:rPr>
          <w:rFonts w:cstheme="minorHAnsi"/>
          <w:b/>
          <w:color w:val="4472C4" w:themeColor="accent5"/>
          <w:sz w:val="18"/>
          <w:szCs w:val="18"/>
          <w:lang w:val="pl-PL"/>
        </w:rPr>
      </w:pPr>
    </w:p>
    <w:p w14:paraId="6C70A77E" w14:textId="77777777" w:rsidR="00061252" w:rsidRDefault="00061252" w:rsidP="004B0391">
      <w:pPr>
        <w:spacing w:after="0" w:line="240" w:lineRule="auto"/>
        <w:jc w:val="center"/>
        <w:rPr>
          <w:rFonts w:cstheme="minorHAnsi"/>
          <w:b/>
          <w:color w:val="4472C4" w:themeColor="accent5"/>
          <w:sz w:val="18"/>
          <w:szCs w:val="18"/>
          <w:lang w:val="pl-PL"/>
        </w:rPr>
      </w:pPr>
    </w:p>
    <w:p w14:paraId="38D689C1" w14:textId="77777777" w:rsidR="00061252" w:rsidRDefault="00061252" w:rsidP="004B0391">
      <w:pPr>
        <w:spacing w:after="0" w:line="240" w:lineRule="auto"/>
        <w:jc w:val="center"/>
        <w:rPr>
          <w:rFonts w:cstheme="minorHAnsi"/>
          <w:b/>
          <w:color w:val="4472C4" w:themeColor="accent5"/>
          <w:sz w:val="18"/>
          <w:szCs w:val="18"/>
          <w:lang w:val="pl-PL"/>
        </w:rPr>
      </w:pPr>
    </w:p>
    <w:p w14:paraId="196F8A0E" w14:textId="77777777" w:rsidR="00061252" w:rsidRDefault="00061252" w:rsidP="004B0391">
      <w:pPr>
        <w:spacing w:after="0" w:line="240" w:lineRule="auto"/>
        <w:jc w:val="center"/>
        <w:rPr>
          <w:rFonts w:cstheme="minorHAnsi"/>
          <w:b/>
          <w:color w:val="4472C4" w:themeColor="accent5"/>
          <w:sz w:val="18"/>
          <w:szCs w:val="18"/>
          <w:lang w:val="pl-PL"/>
        </w:rPr>
      </w:pPr>
    </w:p>
    <w:p w14:paraId="671005DD" w14:textId="77777777" w:rsidR="00061252" w:rsidRDefault="00061252" w:rsidP="004B0391">
      <w:pPr>
        <w:spacing w:after="0" w:line="240" w:lineRule="auto"/>
        <w:jc w:val="center"/>
        <w:rPr>
          <w:rFonts w:cstheme="minorHAnsi"/>
          <w:b/>
          <w:color w:val="4472C4" w:themeColor="accent5"/>
          <w:sz w:val="18"/>
          <w:szCs w:val="18"/>
          <w:lang w:val="pl-PL"/>
        </w:rPr>
      </w:pPr>
    </w:p>
    <w:p w14:paraId="6CBDD3C3" w14:textId="77777777" w:rsidR="00061252" w:rsidRDefault="00061252" w:rsidP="004B0391">
      <w:pPr>
        <w:spacing w:after="0" w:line="240" w:lineRule="auto"/>
        <w:jc w:val="center"/>
        <w:rPr>
          <w:rFonts w:cstheme="minorHAnsi"/>
          <w:b/>
          <w:color w:val="4472C4" w:themeColor="accent5"/>
          <w:sz w:val="18"/>
          <w:szCs w:val="18"/>
          <w:lang w:val="pl-PL"/>
        </w:rPr>
      </w:pPr>
    </w:p>
    <w:p w14:paraId="4971CFEF" w14:textId="77777777" w:rsidR="00061252" w:rsidRPr="004B0391" w:rsidRDefault="00061252" w:rsidP="004B0391">
      <w:pPr>
        <w:spacing w:after="0" w:line="240" w:lineRule="auto"/>
        <w:jc w:val="center"/>
        <w:rPr>
          <w:rFonts w:cstheme="minorHAnsi"/>
          <w:b/>
          <w:color w:val="4472C4" w:themeColor="accent5"/>
          <w:sz w:val="18"/>
          <w:szCs w:val="18"/>
          <w:lang w:val="pl-PL"/>
        </w:rPr>
      </w:pPr>
    </w:p>
    <w:p w14:paraId="2E42D379" w14:textId="77777777" w:rsidR="00223F35" w:rsidRPr="004B0391" w:rsidRDefault="004B0391" w:rsidP="004B0391">
      <w:pP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Grafik 8.</w:t>
      </w:r>
      <w:r w:rsidR="00223F35" w:rsidRPr="004B0391">
        <w:rPr>
          <w:rFonts w:cstheme="minorHAnsi"/>
          <w:b/>
          <w:color w:val="4472C4" w:themeColor="accent5"/>
          <w:sz w:val="18"/>
          <w:szCs w:val="18"/>
          <w:lang w:val="pl-PL"/>
        </w:rPr>
        <w:t xml:space="preserve"> Kretanje javnog duga</w:t>
      </w:r>
    </w:p>
    <w:p w14:paraId="54B7A604" w14:textId="77777777" w:rsidR="00223F35" w:rsidRPr="0048184E" w:rsidRDefault="00223F35" w:rsidP="0048184E">
      <w:pPr>
        <w:spacing w:after="0" w:line="240" w:lineRule="auto"/>
        <w:jc w:val="both"/>
        <w:rPr>
          <w:rFonts w:eastAsia="Aptos" w:cs="Times New Roman"/>
          <w:sz w:val="18"/>
          <w:szCs w:val="18"/>
          <w:lang w:val="pl-PL"/>
        </w:rPr>
      </w:pPr>
      <w:r w:rsidRPr="0048184E">
        <w:rPr>
          <w:noProof/>
          <w:sz w:val="18"/>
          <w:szCs w:val="18"/>
        </w:rPr>
        <w:drawing>
          <wp:inline distT="0" distB="0" distL="0" distR="0" wp14:anchorId="315CED99" wp14:editId="5513DD0C">
            <wp:extent cx="5648770" cy="2076628"/>
            <wp:effectExtent l="0" t="0" r="0" b="0"/>
            <wp:docPr id="10" name="Chart 10">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68D839"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Izvor: MF</w:t>
      </w:r>
    </w:p>
    <w:p w14:paraId="653BC458" w14:textId="77777777" w:rsidR="00223F35" w:rsidRPr="0048184E" w:rsidRDefault="00223F35" w:rsidP="0048184E">
      <w:pPr>
        <w:spacing w:after="0" w:line="240" w:lineRule="auto"/>
        <w:jc w:val="both"/>
        <w:rPr>
          <w:rFonts w:cs="Times New Roman"/>
          <w:sz w:val="18"/>
          <w:szCs w:val="18"/>
          <w:lang w:val="pl-PL"/>
        </w:rPr>
      </w:pPr>
    </w:p>
    <w:p w14:paraId="40E8424E"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Između 2020. i 2024. godine, broj poslovnih subjekata porastao je za 58%, iako je ovaj rast bio neravnomjerno geografski raspoređen. Sjeverna regija – istorijski nedovoljno zastupljena – doživjela je apsolutni pad aktivnih preduzeća (sa 8.400 na 4.967), za razliku od značajnog povećanja u centralnoj i južnoj regiji, gdje se poslovna aktivnost sve više koncentriše. Ovo pojačava već postojeće razlike u ekonomskim mogućnostima i doprinosi stalnim obrascima iseljavanja sa sjevera.</w:t>
      </w:r>
    </w:p>
    <w:p w14:paraId="2944781D" w14:textId="77777777" w:rsidR="00223F35" w:rsidRPr="0048184E" w:rsidRDefault="00223F35" w:rsidP="0048184E">
      <w:pPr>
        <w:spacing w:after="0" w:line="240" w:lineRule="auto"/>
        <w:jc w:val="both"/>
        <w:rPr>
          <w:rFonts w:cs="Times New Roman"/>
          <w:sz w:val="18"/>
          <w:szCs w:val="18"/>
          <w:lang w:val="pl-PL"/>
        </w:rPr>
      </w:pPr>
    </w:p>
    <w:p w14:paraId="42C0B8D7" w14:textId="77777777" w:rsidR="00223F35" w:rsidRPr="00AE5DE0" w:rsidRDefault="00AE5DE0" w:rsidP="00AE5DE0">
      <w:pPr>
        <w:spacing w:after="0" w:line="240" w:lineRule="auto"/>
        <w:jc w:val="center"/>
        <w:rPr>
          <w:rFonts w:cs="Times New Roman"/>
          <w:b/>
          <w:color w:val="4472C4" w:themeColor="accent5"/>
          <w:sz w:val="18"/>
          <w:szCs w:val="18"/>
          <w:lang w:val="pl-PL"/>
        </w:rPr>
      </w:pPr>
      <w:r w:rsidRPr="00AE5DE0">
        <w:rPr>
          <w:rFonts w:cs="Times New Roman"/>
          <w:b/>
          <w:color w:val="4472C4" w:themeColor="accent5"/>
          <w:sz w:val="18"/>
          <w:szCs w:val="18"/>
          <w:lang w:val="pl-PL"/>
        </w:rPr>
        <w:t xml:space="preserve">Tabela 2. </w:t>
      </w:r>
      <w:r w:rsidR="00223F35" w:rsidRPr="00AE5DE0">
        <w:rPr>
          <w:rFonts w:cs="Times New Roman"/>
          <w:b/>
          <w:color w:val="4472C4" w:themeColor="accent5"/>
          <w:sz w:val="18"/>
          <w:szCs w:val="18"/>
          <w:lang w:val="pl-PL"/>
        </w:rPr>
        <w:t>Promjena broja preduzeća po opštinama</w:t>
      </w:r>
    </w:p>
    <w:p w14:paraId="767FF4CE" w14:textId="77777777" w:rsidR="00AE5DE0" w:rsidRPr="0048184E" w:rsidRDefault="00AE5DE0" w:rsidP="0048184E">
      <w:pPr>
        <w:spacing w:after="0" w:line="240" w:lineRule="auto"/>
        <w:jc w:val="both"/>
        <w:rPr>
          <w:rFonts w:cs="Times New Roman"/>
          <w:sz w:val="18"/>
          <w:szCs w:val="18"/>
          <w:lang w:val="pl-PL"/>
        </w:rPr>
      </w:pPr>
    </w:p>
    <w:tbl>
      <w:tblPr>
        <w:tblStyle w:val="TableGridLight4"/>
        <w:tblW w:w="8149" w:type="dxa"/>
        <w:tblLook w:val="04A0" w:firstRow="1" w:lastRow="0" w:firstColumn="1" w:lastColumn="0" w:noHBand="0" w:noVBand="1"/>
      </w:tblPr>
      <w:tblGrid>
        <w:gridCol w:w="1292"/>
        <w:gridCol w:w="1911"/>
        <w:gridCol w:w="2569"/>
        <w:gridCol w:w="2377"/>
      </w:tblGrid>
      <w:tr w:rsidR="0048184E" w:rsidRPr="0048184E" w14:paraId="7B4977AD" w14:textId="77777777" w:rsidTr="00A445B6">
        <w:trPr>
          <w:trHeight w:val="203"/>
        </w:trPr>
        <w:tc>
          <w:tcPr>
            <w:tcW w:w="0" w:type="auto"/>
            <w:hideMark/>
          </w:tcPr>
          <w:p w14:paraId="25DF87D6"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Regija</w:t>
            </w:r>
          </w:p>
        </w:tc>
        <w:tc>
          <w:tcPr>
            <w:tcW w:w="0" w:type="auto"/>
            <w:hideMark/>
          </w:tcPr>
          <w:p w14:paraId="0B6AE01B"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2020 (procjena)</w:t>
            </w:r>
          </w:p>
        </w:tc>
        <w:tc>
          <w:tcPr>
            <w:tcW w:w="0" w:type="auto"/>
            <w:hideMark/>
          </w:tcPr>
          <w:p w14:paraId="1E242A9A"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2024 (zvanični podaci)</w:t>
            </w:r>
          </w:p>
        </w:tc>
        <w:tc>
          <w:tcPr>
            <w:tcW w:w="0" w:type="auto"/>
            <w:hideMark/>
          </w:tcPr>
          <w:p w14:paraId="6C8311A9"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Apsolutna promjena</w:t>
            </w:r>
          </w:p>
        </w:tc>
      </w:tr>
      <w:tr w:rsidR="0048184E" w:rsidRPr="0048184E" w14:paraId="179994FD" w14:textId="77777777" w:rsidTr="00A445B6">
        <w:trPr>
          <w:trHeight w:val="212"/>
        </w:trPr>
        <w:tc>
          <w:tcPr>
            <w:tcW w:w="0" w:type="auto"/>
            <w:hideMark/>
          </w:tcPr>
          <w:p w14:paraId="4C812EA5"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Sjeverna</w:t>
            </w:r>
          </w:p>
        </w:tc>
        <w:tc>
          <w:tcPr>
            <w:tcW w:w="0" w:type="auto"/>
            <w:hideMark/>
          </w:tcPr>
          <w:p w14:paraId="12E74118"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8,400</w:t>
            </w:r>
          </w:p>
        </w:tc>
        <w:tc>
          <w:tcPr>
            <w:tcW w:w="0" w:type="auto"/>
            <w:hideMark/>
          </w:tcPr>
          <w:p w14:paraId="4CB8DE54"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4,967</w:t>
            </w:r>
          </w:p>
        </w:tc>
        <w:tc>
          <w:tcPr>
            <w:tcW w:w="0" w:type="auto"/>
            <w:hideMark/>
          </w:tcPr>
          <w:p w14:paraId="6B362796"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–3,433</w:t>
            </w:r>
          </w:p>
        </w:tc>
      </w:tr>
      <w:tr w:rsidR="0048184E" w:rsidRPr="0048184E" w14:paraId="28BD9E71" w14:textId="77777777" w:rsidTr="00A445B6">
        <w:trPr>
          <w:trHeight w:val="212"/>
        </w:trPr>
        <w:tc>
          <w:tcPr>
            <w:tcW w:w="0" w:type="auto"/>
            <w:hideMark/>
          </w:tcPr>
          <w:p w14:paraId="79F56C2C"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Centralna</w:t>
            </w:r>
          </w:p>
        </w:tc>
        <w:tc>
          <w:tcPr>
            <w:tcW w:w="0" w:type="auto"/>
            <w:hideMark/>
          </w:tcPr>
          <w:p w14:paraId="5743D203"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15,500</w:t>
            </w:r>
          </w:p>
        </w:tc>
        <w:tc>
          <w:tcPr>
            <w:tcW w:w="0" w:type="auto"/>
            <w:hideMark/>
          </w:tcPr>
          <w:p w14:paraId="5FDCAB02"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25,762</w:t>
            </w:r>
          </w:p>
        </w:tc>
        <w:tc>
          <w:tcPr>
            <w:tcW w:w="0" w:type="auto"/>
            <w:hideMark/>
          </w:tcPr>
          <w:p w14:paraId="2F99577A"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+10,262</w:t>
            </w:r>
          </w:p>
        </w:tc>
      </w:tr>
      <w:tr w:rsidR="0048184E" w:rsidRPr="0048184E" w14:paraId="73050851" w14:textId="77777777" w:rsidTr="00A445B6">
        <w:trPr>
          <w:trHeight w:val="212"/>
        </w:trPr>
        <w:tc>
          <w:tcPr>
            <w:tcW w:w="0" w:type="auto"/>
            <w:hideMark/>
          </w:tcPr>
          <w:p w14:paraId="0D741498"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Južna</w:t>
            </w:r>
          </w:p>
        </w:tc>
        <w:tc>
          <w:tcPr>
            <w:tcW w:w="0" w:type="auto"/>
            <w:hideMark/>
          </w:tcPr>
          <w:p w14:paraId="3946BFE5"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13,300</w:t>
            </w:r>
          </w:p>
        </w:tc>
        <w:tc>
          <w:tcPr>
            <w:tcW w:w="0" w:type="auto"/>
            <w:hideMark/>
          </w:tcPr>
          <w:p w14:paraId="6A3C8244"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28,269</w:t>
            </w:r>
          </w:p>
        </w:tc>
        <w:tc>
          <w:tcPr>
            <w:tcW w:w="0" w:type="auto"/>
            <w:hideMark/>
          </w:tcPr>
          <w:p w14:paraId="2E5E4EE2"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+14,969</w:t>
            </w:r>
          </w:p>
        </w:tc>
      </w:tr>
    </w:tbl>
    <w:p w14:paraId="231D11ED" w14:textId="77777777" w:rsidR="00223F35" w:rsidRPr="0048184E" w:rsidRDefault="00223F35" w:rsidP="0048184E">
      <w:pPr>
        <w:autoSpaceDE w:val="0"/>
        <w:autoSpaceDN w:val="0"/>
        <w:adjustRightInd w:val="0"/>
        <w:spacing w:after="0" w:line="240" w:lineRule="auto"/>
        <w:jc w:val="both"/>
        <w:rPr>
          <w:rFonts w:eastAsia="Calibri" w:cs="Times New Roman"/>
          <w:sz w:val="18"/>
          <w:szCs w:val="18"/>
        </w:rPr>
      </w:pPr>
      <w:r w:rsidRPr="0048184E">
        <w:rPr>
          <w:rFonts w:eastAsia="Calibri" w:cs="Times New Roman"/>
          <w:b/>
          <w:bCs/>
          <w:sz w:val="18"/>
          <w:szCs w:val="18"/>
        </w:rPr>
        <w:t>Izvor:</w:t>
      </w:r>
      <w:r w:rsidRPr="0048184E">
        <w:rPr>
          <w:rFonts w:eastAsia="Calibri" w:cs="Times New Roman"/>
          <w:sz w:val="18"/>
          <w:szCs w:val="18"/>
        </w:rPr>
        <w:t xml:space="preserve"> MONSTAT</w:t>
      </w:r>
    </w:p>
    <w:p w14:paraId="2D456660" w14:textId="77777777" w:rsidR="00223F35" w:rsidRPr="0048184E" w:rsidRDefault="00223F35" w:rsidP="0048184E">
      <w:pPr>
        <w:spacing w:after="0" w:line="240" w:lineRule="auto"/>
        <w:jc w:val="both"/>
        <w:rPr>
          <w:rFonts w:cs="Times New Roman"/>
          <w:sz w:val="18"/>
          <w:szCs w:val="18"/>
        </w:rPr>
      </w:pPr>
    </w:p>
    <w:p w14:paraId="5A7529F8"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rPr>
        <w:t xml:space="preserve">Ova strukturna promjena pogoršava regionalnu nezaposlenost i neaktivnost radne snage, posebno u ruralnim opštinama poput Gusinja, Plava i Petnjice, gdje stope nezaposlenosti prelaze 40%, a stope aktivnosti padaju ispod 40%. </w:t>
      </w:r>
      <w:r w:rsidRPr="0048184E">
        <w:rPr>
          <w:rFonts w:cs="Times New Roman"/>
          <w:sz w:val="18"/>
          <w:szCs w:val="18"/>
          <w:lang w:val="pl-PL"/>
        </w:rPr>
        <w:t>Nasuprot tome, urbane opštine poput Budve, Podgorice i Tivta pokazuju mnogo zdravije pokazatelje tržišta rada, sa stopama nezaposlenosti u rasponu od 6% do 9% i stopama aktivnosti većim od 60%.</w:t>
      </w:r>
    </w:p>
    <w:p w14:paraId="5BD7F8AB" w14:textId="77777777" w:rsidR="00223F35" w:rsidRPr="0048184E" w:rsidRDefault="00223F35" w:rsidP="0048184E">
      <w:pPr>
        <w:spacing w:after="0" w:line="240" w:lineRule="auto"/>
        <w:jc w:val="both"/>
        <w:rPr>
          <w:rFonts w:cs="Times New Roman"/>
          <w:sz w:val="18"/>
          <w:szCs w:val="18"/>
          <w:lang w:val="pl-PL"/>
        </w:rPr>
      </w:pPr>
    </w:p>
    <w:p w14:paraId="076B8F57" w14:textId="77777777" w:rsidR="00AE5DE0" w:rsidRPr="00AE5DE0" w:rsidRDefault="00223F35" w:rsidP="00AE5DE0">
      <w:pPr>
        <w:spacing w:after="0" w:line="240" w:lineRule="auto"/>
        <w:jc w:val="center"/>
        <w:rPr>
          <w:rFonts w:cs="Times New Roman"/>
          <w:b/>
          <w:color w:val="4472C4" w:themeColor="accent5"/>
          <w:sz w:val="18"/>
          <w:szCs w:val="18"/>
        </w:rPr>
      </w:pPr>
      <w:r w:rsidRPr="00AE5DE0">
        <w:rPr>
          <w:rFonts w:cs="Times New Roman"/>
          <w:b/>
          <w:color w:val="4472C4" w:themeColor="accent5"/>
          <w:sz w:val="18"/>
          <w:szCs w:val="18"/>
        </w:rPr>
        <w:t xml:space="preserve">Tabela </w:t>
      </w:r>
      <w:r w:rsidR="00AE5DE0" w:rsidRPr="00AE5DE0">
        <w:rPr>
          <w:rFonts w:cs="Times New Roman"/>
          <w:b/>
          <w:color w:val="4472C4" w:themeColor="accent5"/>
          <w:sz w:val="18"/>
          <w:szCs w:val="18"/>
        </w:rPr>
        <w:t>3. Stopa aktivnost  zaposlenosti</w:t>
      </w:r>
    </w:p>
    <w:tbl>
      <w:tblPr>
        <w:tblStyle w:val="TableGridLigh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667"/>
        <w:gridCol w:w="1864"/>
        <w:gridCol w:w="2048"/>
      </w:tblGrid>
      <w:tr w:rsidR="0048184E" w:rsidRPr="0048184E" w14:paraId="005B9807" w14:textId="77777777" w:rsidTr="00AE5DE0">
        <w:trPr>
          <w:jc w:val="center"/>
        </w:trPr>
        <w:tc>
          <w:tcPr>
            <w:tcW w:w="0" w:type="auto"/>
            <w:hideMark/>
          </w:tcPr>
          <w:p w14:paraId="4466C091"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Opština</w:t>
            </w:r>
          </w:p>
        </w:tc>
        <w:tc>
          <w:tcPr>
            <w:tcW w:w="0" w:type="auto"/>
            <w:hideMark/>
          </w:tcPr>
          <w:p w14:paraId="34F64ADA"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Stopa aktivnosti (%)</w:t>
            </w:r>
          </w:p>
        </w:tc>
        <w:tc>
          <w:tcPr>
            <w:tcW w:w="0" w:type="auto"/>
            <w:hideMark/>
          </w:tcPr>
          <w:p w14:paraId="67A24E4E"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Stopa zaposlenosti (%)</w:t>
            </w:r>
          </w:p>
        </w:tc>
        <w:tc>
          <w:tcPr>
            <w:tcW w:w="0" w:type="auto"/>
            <w:hideMark/>
          </w:tcPr>
          <w:p w14:paraId="58A3009E"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Stopa nezaposlenosti (%)</w:t>
            </w:r>
          </w:p>
        </w:tc>
      </w:tr>
      <w:tr w:rsidR="0048184E" w:rsidRPr="0048184E" w14:paraId="6028EA87" w14:textId="77777777" w:rsidTr="00AE5DE0">
        <w:trPr>
          <w:jc w:val="center"/>
        </w:trPr>
        <w:tc>
          <w:tcPr>
            <w:tcW w:w="0" w:type="auto"/>
            <w:hideMark/>
          </w:tcPr>
          <w:p w14:paraId="54E3E3DD"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Budva</w:t>
            </w:r>
          </w:p>
        </w:tc>
        <w:tc>
          <w:tcPr>
            <w:tcW w:w="0" w:type="auto"/>
            <w:hideMark/>
          </w:tcPr>
          <w:p w14:paraId="45A96C47"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65.1</w:t>
            </w:r>
          </w:p>
        </w:tc>
        <w:tc>
          <w:tcPr>
            <w:tcW w:w="0" w:type="auto"/>
            <w:hideMark/>
          </w:tcPr>
          <w:p w14:paraId="0FABC39A"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60.7</w:t>
            </w:r>
          </w:p>
        </w:tc>
        <w:tc>
          <w:tcPr>
            <w:tcW w:w="0" w:type="auto"/>
            <w:hideMark/>
          </w:tcPr>
          <w:p w14:paraId="4B7B9C53"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6.8</w:t>
            </w:r>
          </w:p>
        </w:tc>
      </w:tr>
      <w:tr w:rsidR="0048184E" w:rsidRPr="0048184E" w14:paraId="63743C77" w14:textId="77777777" w:rsidTr="00AE5DE0">
        <w:trPr>
          <w:jc w:val="center"/>
        </w:trPr>
        <w:tc>
          <w:tcPr>
            <w:tcW w:w="0" w:type="auto"/>
            <w:hideMark/>
          </w:tcPr>
          <w:p w14:paraId="1CBA16BC"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Podgorica</w:t>
            </w:r>
          </w:p>
        </w:tc>
        <w:tc>
          <w:tcPr>
            <w:tcW w:w="0" w:type="auto"/>
            <w:hideMark/>
          </w:tcPr>
          <w:p w14:paraId="2A06EE09"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64.0</w:t>
            </w:r>
          </w:p>
        </w:tc>
        <w:tc>
          <w:tcPr>
            <w:tcW w:w="0" w:type="auto"/>
            <w:hideMark/>
          </w:tcPr>
          <w:p w14:paraId="66E68A89"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58.0</w:t>
            </w:r>
          </w:p>
        </w:tc>
        <w:tc>
          <w:tcPr>
            <w:tcW w:w="0" w:type="auto"/>
            <w:hideMark/>
          </w:tcPr>
          <w:p w14:paraId="355D9D9C"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9.3</w:t>
            </w:r>
          </w:p>
        </w:tc>
      </w:tr>
      <w:tr w:rsidR="0048184E" w:rsidRPr="0048184E" w14:paraId="505681F7" w14:textId="77777777" w:rsidTr="00AE5DE0">
        <w:trPr>
          <w:jc w:val="center"/>
        </w:trPr>
        <w:tc>
          <w:tcPr>
            <w:tcW w:w="0" w:type="auto"/>
            <w:hideMark/>
          </w:tcPr>
          <w:p w14:paraId="7D40966A"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lastRenderedPageBreak/>
              <w:t>Tivat</w:t>
            </w:r>
          </w:p>
        </w:tc>
        <w:tc>
          <w:tcPr>
            <w:tcW w:w="0" w:type="auto"/>
            <w:hideMark/>
          </w:tcPr>
          <w:p w14:paraId="31D76402"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60.5</w:t>
            </w:r>
          </w:p>
        </w:tc>
        <w:tc>
          <w:tcPr>
            <w:tcW w:w="0" w:type="auto"/>
            <w:hideMark/>
          </w:tcPr>
          <w:p w14:paraId="2F24722D"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56.7</w:t>
            </w:r>
          </w:p>
        </w:tc>
        <w:tc>
          <w:tcPr>
            <w:tcW w:w="0" w:type="auto"/>
            <w:hideMark/>
          </w:tcPr>
          <w:p w14:paraId="243CECD6"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6.4</w:t>
            </w:r>
          </w:p>
        </w:tc>
      </w:tr>
      <w:tr w:rsidR="0048184E" w:rsidRPr="0048184E" w14:paraId="246552EA" w14:textId="77777777" w:rsidTr="00AE5DE0">
        <w:trPr>
          <w:jc w:val="center"/>
        </w:trPr>
        <w:tc>
          <w:tcPr>
            <w:tcW w:w="0" w:type="auto"/>
            <w:hideMark/>
          </w:tcPr>
          <w:p w14:paraId="21C4D1B9"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Plav</w:t>
            </w:r>
          </w:p>
        </w:tc>
        <w:tc>
          <w:tcPr>
            <w:tcW w:w="0" w:type="auto"/>
            <w:hideMark/>
          </w:tcPr>
          <w:p w14:paraId="16AE7CC1"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39.7</w:t>
            </w:r>
          </w:p>
        </w:tc>
        <w:tc>
          <w:tcPr>
            <w:tcW w:w="0" w:type="auto"/>
            <w:hideMark/>
          </w:tcPr>
          <w:p w14:paraId="3EF4A3B9"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23.0</w:t>
            </w:r>
          </w:p>
        </w:tc>
        <w:tc>
          <w:tcPr>
            <w:tcW w:w="0" w:type="auto"/>
            <w:hideMark/>
          </w:tcPr>
          <w:p w14:paraId="4A39BF1B"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42.1</w:t>
            </w:r>
          </w:p>
        </w:tc>
      </w:tr>
      <w:tr w:rsidR="0048184E" w:rsidRPr="0048184E" w14:paraId="3607ECDE" w14:textId="77777777" w:rsidTr="00AE5DE0">
        <w:trPr>
          <w:jc w:val="center"/>
        </w:trPr>
        <w:tc>
          <w:tcPr>
            <w:tcW w:w="0" w:type="auto"/>
            <w:hideMark/>
          </w:tcPr>
          <w:p w14:paraId="5E2AA842"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Gusinje</w:t>
            </w:r>
          </w:p>
        </w:tc>
        <w:tc>
          <w:tcPr>
            <w:tcW w:w="0" w:type="auto"/>
            <w:hideMark/>
          </w:tcPr>
          <w:p w14:paraId="2585D03C"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35.6</w:t>
            </w:r>
          </w:p>
        </w:tc>
        <w:tc>
          <w:tcPr>
            <w:tcW w:w="0" w:type="auto"/>
            <w:hideMark/>
          </w:tcPr>
          <w:p w14:paraId="199242A0"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20.3</w:t>
            </w:r>
          </w:p>
        </w:tc>
        <w:tc>
          <w:tcPr>
            <w:tcW w:w="0" w:type="auto"/>
            <w:hideMark/>
          </w:tcPr>
          <w:p w14:paraId="1B12A9C7"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43.0</w:t>
            </w:r>
          </w:p>
        </w:tc>
      </w:tr>
      <w:tr w:rsidR="0048184E" w:rsidRPr="0048184E" w14:paraId="352E4AC4" w14:textId="77777777" w:rsidTr="00AE5DE0">
        <w:trPr>
          <w:jc w:val="center"/>
        </w:trPr>
        <w:tc>
          <w:tcPr>
            <w:tcW w:w="0" w:type="auto"/>
            <w:hideMark/>
          </w:tcPr>
          <w:p w14:paraId="6916D59D"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Petnjica</w:t>
            </w:r>
          </w:p>
        </w:tc>
        <w:tc>
          <w:tcPr>
            <w:tcW w:w="0" w:type="auto"/>
            <w:hideMark/>
          </w:tcPr>
          <w:p w14:paraId="2C0DE77D"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34.0</w:t>
            </w:r>
          </w:p>
        </w:tc>
        <w:tc>
          <w:tcPr>
            <w:tcW w:w="0" w:type="auto"/>
            <w:hideMark/>
          </w:tcPr>
          <w:p w14:paraId="2C767F20"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17.8</w:t>
            </w:r>
          </w:p>
        </w:tc>
        <w:tc>
          <w:tcPr>
            <w:tcW w:w="0" w:type="auto"/>
            <w:hideMark/>
          </w:tcPr>
          <w:p w14:paraId="58F7CADC"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47.5</w:t>
            </w:r>
          </w:p>
        </w:tc>
      </w:tr>
    </w:tbl>
    <w:p w14:paraId="4BF709CF" w14:textId="77777777" w:rsidR="00223F35" w:rsidRPr="0048184E" w:rsidRDefault="00AE5DE0" w:rsidP="0048184E">
      <w:pPr>
        <w:spacing w:after="0" w:line="240" w:lineRule="auto"/>
        <w:jc w:val="both"/>
        <w:rPr>
          <w:rFonts w:cs="Times New Roman"/>
          <w:sz w:val="18"/>
          <w:szCs w:val="18"/>
        </w:rPr>
      </w:pPr>
      <w:r>
        <w:rPr>
          <w:rFonts w:cs="Times New Roman"/>
          <w:sz w:val="18"/>
          <w:szCs w:val="18"/>
        </w:rPr>
        <w:t xml:space="preserve">                              </w:t>
      </w:r>
      <w:r w:rsidR="00223F35" w:rsidRPr="0048184E">
        <w:rPr>
          <w:rFonts w:cs="Times New Roman"/>
          <w:sz w:val="18"/>
          <w:szCs w:val="18"/>
        </w:rPr>
        <w:t>Izvor: MONSTAT</w:t>
      </w:r>
      <w:r w:rsidR="00223F35" w:rsidRPr="0048184E">
        <w:rPr>
          <w:rStyle w:val="FootnoteReference"/>
          <w:rFonts w:cs="Times New Roman"/>
          <w:sz w:val="18"/>
          <w:szCs w:val="18"/>
        </w:rPr>
        <w:footnoteReference w:id="25"/>
      </w:r>
    </w:p>
    <w:p w14:paraId="5F402469" w14:textId="77777777" w:rsidR="00223F35" w:rsidRPr="0048184E" w:rsidRDefault="00223F35" w:rsidP="0048184E">
      <w:pPr>
        <w:spacing w:after="0" w:line="240" w:lineRule="auto"/>
        <w:jc w:val="both"/>
        <w:rPr>
          <w:rFonts w:cs="Times New Roman"/>
          <w:sz w:val="18"/>
          <w:szCs w:val="18"/>
          <w:lang w:val="pl-PL"/>
        </w:rPr>
      </w:pPr>
    </w:p>
    <w:p w14:paraId="3AC1C4A9"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Značajna razlika u platama i dalje postoji između regija, pri čemu radnici na sjeveru zarađuju u prosjeku 450-500 eura manje mjesečno od svojih kolega u centralnim i južnim područjima - razlika od približno 40%. Ova nejednakost u prihodima pojačava pritiske unutrašnjih migracija i produbljuje socio-ekonomske podjele.</w:t>
      </w:r>
    </w:p>
    <w:p w14:paraId="36A24C2E" w14:textId="77777777" w:rsidR="00223F35" w:rsidRPr="0048184E" w:rsidRDefault="00223F35" w:rsidP="0048184E">
      <w:pPr>
        <w:spacing w:after="0" w:line="240" w:lineRule="auto"/>
        <w:jc w:val="both"/>
        <w:rPr>
          <w:rFonts w:cs="Times New Roman"/>
          <w:sz w:val="18"/>
          <w:szCs w:val="18"/>
          <w:lang w:val="pl-PL"/>
        </w:rPr>
      </w:pPr>
    </w:p>
    <w:p w14:paraId="0B5150D0"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Rodne i mlade nejednakosti su i dalje prisutne. Žene predstavljaju većinu neaktivnog stanovništva (59,8% u 2024. godini), a stope učešća u radnoj snazi i zaposlenosti među ženama i dalje zaostaju za stopama muškaraca. Nadalje, nezaposlenost mladih, sa 18,5%, znatno je viša od općeg prosjeka (11,5%)</w:t>
      </w:r>
      <w:r w:rsidRPr="0048184E">
        <w:rPr>
          <w:rStyle w:val="FootnoteReference"/>
          <w:rFonts w:cs="Times New Roman"/>
          <w:sz w:val="18"/>
          <w:szCs w:val="18"/>
        </w:rPr>
        <w:footnoteReference w:id="26"/>
      </w:r>
      <w:r w:rsidRPr="0048184E">
        <w:rPr>
          <w:rFonts w:cs="Times New Roman"/>
          <w:sz w:val="18"/>
          <w:szCs w:val="18"/>
          <w:lang w:val="pl-PL"/>
        </w:rPr>
        <w:t>, što naglašava strukturne prepreke integraciji mladih na tržište rada.</w:t>
      </w:r>
    </w:p>
    <w:p w14:paraId="4995F5B5" w14:textId="77777777" w:rsidR="00223F35" w:rsidRDefault="00223F35" w:rsidP="0048184E">
      <w:pPr>
        <w:spacing w:after="0" w:line="240" w:lineRule="auto"/>
        <w:jc w:val="both"/>
        <w:rPr>
          <w:rFonts w:cs="Times New Roman"/>
          <w:sz w:val="18"/>
          <w:szCs w:val="18"/>
          <w:lang w:val="pl-PL"/>
        </w:rPr>
      </w:pPr>
    </w:p>
    <w:p w14:paraId="18FFF8CC" w14:textId="77777777" w:rsidR="00061252" w:rsidRDefault="00061252" w:rsidP="0048184E">
      <w:pPr>
        <w:spacing w:after="0" w:line="240" w:lineRule="auto"/>
        <w:jc w:val="both"/>
        <w:rPr>
          <w:rFonts w:cs="Times New Roman"/>
          <w:sz w:val="18"/>
          <w:szCs w:val="18"/>
          <w:lang w:val="pl-PL"/>
        </w:rPr>
      </w:pPr>
    </w:p>
    <w:p w14:paraId="2EF86DFF" w14:textId="77777777" w:rsidR="00061252" w:rsidRDefault="00061252" w:rsidP="0048184E">
      <w:pPr>
        <w:spacing w:after="0" w:line="240" w:lineRule="auto"/>
        <w:jc w:val="both"/>
        <w:rPr>
          <w:rFonts w:cs="Times New Roman"/>
          <w:sz w:val="18"/>
          <w:szCs w:val="18"/>
          <w:lang w:val="pl-PL"/>
        </w:rPr>
      </w:pPr>
    </w:p>
    <w:p w14:paraId="0BA098D8" w14:textId="77777777" w:rsidR="00061252" w:rsidRDefault="00061252" w:rsidP="0048184E">
      <w:pPr>
        <w:spacing w:after="0" w:line="240" w:lineRule="auto"/>
        <w:jc w:val="both"/>
        <w:rPr>
          <w:rFonts w:cs="Times New Roman"/>
          <w:sz w:val="18"/>
          <w:szCs w:val="18"/>
          <w:lang w:val="pl-PL"/>
        </w:rPr>
      </w:pPr>
    </w:p>
    <w:p w14:paraId="2B145BB4" w14:textId="77777777" w:rsidR="00061252" w:rsidRPr="0048184E" w:rsidRDefault="00061252" w:rsidP="0048184E">
      <w:pPr>
        <w:spacing w:after="0" w:line="240" w:lineRule="auto"/>
        <w:jc w:val="both"/>
        <w:rPr>
          <w:rFonts w:cs="Times New Roman"/>
          <w:sz w:val="18"/>
          <w:szCs w:val="18"/>
          <w:lang w:val="pl-PL"/>
        </w:rPr>
      </w:pPr>
    </w:p>
    <w:p w14:paraId="470EDBF0" w14:textId="77777777" w:rsidR="00223F35" w:rsidRPr="007F6CB0" w:rsidRDefault="007F6CB0" w:rsidP="007F6CB0">
      <w:pPr>
        <w:spacing w:after="0" w:line="240" w:lineRule="auto"/>
        <w:jc w:val="center"/>
        <w:rPr>
          <w:rFonts w:cs="Times New Roman"/>
          <w:b/>
          <w:color w:val="4472C4" w:themeColor="accent5"/>
          <w:sz w:val="18"/>
          <w:szCs w:val="18"/>
          <w:lang w:val="pl-PL"/>
        </w:rPr>
      </w:pPr>
      <w:r w:rsidRPr="007F6CB0">
        <w:rPr>
          <w:rFonts w:cs="Times New Roman"/>
          <w:b/>
          <w:color w:val="4472C4" w:themeColor="accent5"/>
          <w:sz w:val="18"/>
          <w:szCs w:val="18"/>
          <w:lang w:val="pl-PL"/>
        </w:rPr>
        <w:t xml:space="preserve">Tabela 4. </w:t>
      </w:r>
      <w:r w:rsidR="00223F35" w:rsidRPr="007F6CB0">
        <w:rPr>
          <w:rFonts w:cs="Times New Roman"/>
          <w:b/>
          <w:color w:val="4472C4" w:themeColor="accent5"/>
          <w:sz w:val="18"/>
          <w:szCs w:val="18"/>
          <w:lang w:val="pl-PL"/>
        </w:rPr>
        <w:t>Radna snaga po polu</w:t>
      </w:r>
    </w:p>
    <w:tbl>
      <w:tblPr>
        <w:tblStyle w:val="TableGridLight4"/>
        <w:tblW w:w="0" w:type="auto"/>
        <w:tblInd w:w="535" w:type="dxa"/>
        <w:tblLook w:val="04A0" w:firstRow="1" w:lastRow="0" w:firstColumn="1" w:lastColumn="0" w:noHBand="0" w:noVBand="1"/>
      </w:tblPr>
      <w:tblGrid>
        <w:gridCol w:w="4455"/>
        <w:gridCol w:w="1935"/>
        <w:gridCol w:w="1530"/>
      </w:tblGrid>
      <w:tr w:rsidR="0048184E" w:rsidRPr="0048184E" w14:paraId="609A12DE" w14:textId="77777777" w:rsidTr="007F6CB0">
        <w:tc>
          <w:tcPr>
            <w:tcW w:w="4455" w:type="dxa"/>
            <w:hideMark/>
          </w:tcPr>
          <w:p w14:paraId="20184DF9" w14:textId="77777777" w:rsidR="00223F35" w:rsidRPr="0048184E" w:rsidRDefault="00223F35" w:rsidP="007F6CB0">
            <w:pPr>
              <w:autoSpaceDE w:val="0"/>
              <w:autoSpaceDN w:val="0"/>
              <w:adjustRightInd w:val="0"/>
              <w:jc w:val="center"/>
              <w:rPr>
                <w:rFonts w:cs="Times New Roman"/>
                <w:sz w:val="18"/>
                <w:szCs w:val="18"/>
                <w:lang w:val="pl-PL"/>
              </w:rPr>
            </w:pPr>
          </w:p>
        </w:tc>
        <w:tc>
          <w:tcPr>
            <w:tcW w:w="1935" w:type="dxa"/>
            <w:hideMark/>
          </w:tcPr>
          <w:p w14:paraId="5F73FD61"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2019</w:t>
            </w:r>
          </w:p>
        </w:tc>
        <w:tc>
          <w:tcPr>
            <w:tcW w:w="1530" w:type="dxa"/>
            <w:hideMark/>
          </w:tcPr>
          <w:p w14:paraId="7FCC6DB7"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2024</w:t>
            </w:r>
          </w:p>
        </w:tc>
      </w:tr>
      <w:tr w:rsidR="0048184E" w:rsidRPr="0048184E" w14:paraId="7D9CBCB6" w14:textId="77777777" w:rsidTr="007F6CB0">
        <w:tc>
          <w:tcPr>
            <w:tcW w:w="4455" w:type="dxa"/>
            <w:hideMark/>
          </w:tcPr>
          <w:p w14:paraId="11D2C590" w14:textId="77777777" w:rsidR="00223F35" w:rsidRPr="0048184E" w:rsidRDefault="00223F35" w:rsidP="007F6CB0">
            <w:pPr>
              <w:autoSpaceDE w:val="0"/>
              <w:autoSpaceDN w:val="0"/>
              <w:adjustRightInd w:val="0"/>
              <w:rPr>
                <w:rFonts w:cs="Times New Roman"/>
                <w:sz w:val="18"/>
                <w:szCs w:val="18"/>
              </w:rPr>
            </w:pPr>
            <w:r w:rsidRPr="0048184E">
              <w:rPr>
                <w:rFonts w:cs="Times New Roman"/>
                <w:sz w:val="18"/>
                <w:szCs w:val="18"/>
              </w:rPr>
              <w:t>Radna snaga – % muškaraca</w:t>
            </w:r>
          </w:p>
        </w:tc>
        <w:tc>
          <w:tcPr>
            <w:tcW w:w="1935" w:type="dxa"/>
            <w:hideMark/>
          </w:tcPr>
          <w:p w14:paraId="5DF1E2E7"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55.6%</w:t>
            </w:r>
          </w:p>
        </w:tc>
        <w:tc>
          <w:tcPr>
            <w:tcW w:w="1530" w:type="dxa"/>
            <w:hideMark/>
          </w:tcPr>
          <w:p w14:paraId="239A9D99"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54.9%</w:t>
            </w:r>
          </w:p>
        </w:tc>
      </w:tr>
      <w:tr w:rsidR="0048184E" w:rsidRPr="0048184E" w14:paraId="47BF1E37" w14:textId="77777777" w:rsidTr="007F6CB0">
        <w:tc>
          <w:tcPr>
            <w:tcW w:w="4455" w:type="dxa"/>
            <w:hideMark/>
          </w:tcPr>
          <w:p w14:paraId="010092EC" w14:textId="77777777" w:rsidR="00223F35" w:rsidRPr="0048184E" w:rsidRDefault="00223F35" w:rsidP="007F6CB0">
            <w:pPr>
              <w:autoSpaceDE w:val="0"/>
              <w:autoSpaceDN w:val="0"/>
              <w:adjustRightInd w:val="0"/>
              <w:rPr>
                <w:rFonts w:cs="Times New Roman"/>
                <w:sz w:val="18"/>
                <w:szCs w:val="18"/>
              </w:rPr>
            </w:pPr>
            <w:r w:rsidRPr="0048184E">
              <w:rPr>
                <w:rFonts w:cs="Times New Roman"/>
                <w:sz w:val="18"/>
                <w:szCs w:val="18"/>
              </w:rPr>
              <w:t>Zaposleni – % muškaraca</w:t>
            </w:r>
          </w:p>
        </w:tc>
        <w:tc>
          <w:tcPr>
            <w:tcW w:w="1935" w:type="dxa"/>
            <w:hideMark/>
          </w:tcPr>
          <w:p w14:paraId="0E112481"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55.9%</w:t>
            </w:r>
          </w:p>
        </w:tc>
        <w:tc>
          <w:tcPr>
            <w:tcW w:w="1530" w:type="dxa"/>
            <w:hideMark/>
          </w:tcPr>
          <w:p w14:paraId="42B22841"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55.3%</w:t>
            </w:r>
          </w:p>
        </w:tc>
      </w:tr>
      <w:tr w:rsidR="0048184E" w:rsidRPr="0048184E" w14:paraId="75CCEEE9" w14:textId="77777777" w:rsidTr="007F6CB0">
        <w:tc>
          <w:tcPr>
            <w:tcW w:w="4455" w:type="dxa"/>
            <w:hideMark/>
          </w:tcPr>
          <w:p w14:paraId="09F708FD" w14:textId="77777777" w:rsidR="00223F35" w:rsidRPr="0048184E" w:rsidRDefault="00223F35" w:rsidP="007F6CB0">
            <w:pPr>
              <w:autoSpaceDE w:val="0"/>
              <w:autoSpaceDN w:val="0"/>
              <w:adjustRightInd w:val="0"/>
              <w:rPr>
                <w:rFonts w:cs="Times New Roman"/>
                <w:sz w:val="18"/>
                <w:szCs w:val="18"/>
              </w:rPr>
            </w:pPr>
            <w:r w:rsidRPr="0048184E">
              <w:rPr>
                <w:rFonts w:cs="Times New Roman"/>
                <w:sz w:val="18"/>
                <w:szCs w:val="18"/>
              </w:rPr>
              <w:t>Neaktivno – % žena</w:t>
            </w:r>
          </w:p>
        </w:tc>
        <w:tc>
          <w:tcPr>
            <w:tcW w:w="1935" w:type="dxa"/>
            <w:hideMark/>
          </w:tcPr>
          <w:p w14:paraId="65207FB0"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60.1%</w:t>
            </w:r>
          </w:p>
        </w:tc>
        <w:tc>
          <w:tcPr>
            <w:tcW w:w="1530" w:type="dxa"/>
            <w:hideMark/>
          </w:tcPr>
          <w:p w14:paraId="2ACF8278"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59.8%</w:t>
            </w:r>
          </w:p>
        </w:tc>
      </w:tr>
    </w:tbl>
    <w:p w14:paraId="51F65F1F" w14:textId="77777777" w:rsidR="00223F35" w:rsidRPr="0048184E" w:rsidRDefault="007F6CB0" w:rsidP="007F6CB0">
      <w:pPr>
        <w:spacing w:after="0" w:line="240" w:lineRule="auto"/>
        <w:rPr>
          <w:rFonts w:cs="Times New Roman"/>
          <w:sz w:val="18"/>
          <w:szCs w:val="18"/>
        </w:rPr>
      </w:pPr>
      <w:r>
        <w:rPr>
          <w:rFonts w:cs="Times New Roman"/>
          <w:sz w:val="18"/>
          <w:szCs w:val="18"/>
        </w:rPr>
        <w:t xml:space="preserve">              </w:t>
      </w:r>
      <w:r w:rsidR="00223F35" w:rsidRPr="0048184E">
        <w:rPr>
          <w:rFonts w:cs="Times New Roman"/>
          <w:sz w:val="18"/>
          <w:szCs w:val="18"/>
        </w:rPr>
        <w:t>Izvor: MONSTAT</w:t>
      </w:r>
      <w:r w:rsidR="00223F35" w:rsidRPr="0048184E">
        <w:rPr>
          <w:rStyle w:val="FootnoteReference"/>
          <w:rFonts w:cs="Times New Roman"/>
          <w:sz w:val="18"/>
          <w:szCs w:val="18"/>
        </w:rPr>
        <w:footnoteReference w:id="27"/>
      </w:r>
    </w:p>
    <w:p w14:paraId="73AC197A" w14:textId="77777777" w:rsidR="00223F35" w:rsidRPr="0048184E" w:rsidRDefault="00223F35" w:rsidP="0048184E">
      <w:pPr>
        <w:spacing w:after="0" w:line="240" w:lineRule="auto"/>
        <w:jc w:val="both"/>
        <w:rPr>
          <w:rFonts w:eastAsia="Aptos" w:cs="Times New Roman"/>
          <w:sz w:val="18"/>
          <w:szCs w:val="18"/>
          <w:lang w:val="pl-PL"/>
        </w:rPr>
      </w:pPr>
    </w:p>
    <w:p w14:paraId="2C5A48C5"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Prema zvaničnim podacima MONSTAT-a koji se odnose na procjenu stanovništva i osnovne demografske pokazatelje u 2024. godini, broj djece (0-17 godina) u Crnoj Gori sredinom 2024. godine iznosi 135.474 ili 21,7% od ukupnog broja stanovnika, od čega je 70.282 muškog pola, a 65.192 ženskog pola.  Takođe, procenat zaposlenosti mladih (15-24 godine) na nivou Crne Gore je iznosio 10,3% što je više u odnosu na prethodne dvije godine. Od ključnog značaja za ostvarivanje cilja je intenziviranje aktivnosti i izrada strateškog okvira populacione politike, a kasnije i implementacija konkretnih mjera sa posebnim naglaskom za Sjeverni region.</w:t>
      </w:r>
    </w:p>
    <w:p w14:paraId="1EA67354" w14:textId="77777777" w:rsidR="00223F35" w:rsidRPr="0048184E" w:rsidRDefault="00223F35" w:rsidP="0048184E">
      <w:pPr>
        <w:spacing w:after="0" w:line="240" w:lineRule="auto"/>
        <w:jc w:val="both"/>
        <w:rPr>
          <w:rFonts w:cstheme="minorHAnsi"/>
          <w:sz w:val="18"/>
          <w:szCs w:val="18"/>
          <w:lang w:val="sr-Latn-ME"/>
        </w:rPr>
      </w:pPr>
    </w:p>
    <w:p w14:paraId="72A3151C" w14:textId="77777777" w:rsidR="00223F35" w:rsidRPr="0048184E" w:rsidRDefault="00223F35" w:rsidP="0048184E">
      <w:pPr>
        <w:spacing w:after="0" w:line="240" w:lineRule="auto"/>
        <w:jc w:val="both"/>
        <w:rPr>
          <w:sz w:val="18"/>
          <w:szCs w:val="18"/>
          <w:lang w:val="sr-Latn-ME"/>
        </w:rPr>
      </w:pPr>
      <w:r w:rsidRPr="0048184E">
        <w:rPr>
          <w:sz w:val="18"/>
          <w:szCs w:val="18"/>
          <w:lang w:val="pl-PL"/>
        </w:rPr>
        <w:t>Statistike</w:t>
      </w:r>
      <w:r w:rsidRPr="0048184E">
        <w:rPr>
          <w:sz w:val="18"/>
          <w:szCs w:val="18"/>
          <w:lang w:val="sr-Latn-ME"/>
        </w:rPr>
        <w:t xml:space="preserve"> </w:t>
      </w:r>
      <w:r w:rsidRPr="0048184E">
        <w:rPr>
          <w:sz w:val="18"/>
          <w:szCs w:val="18"/>
          <w:lang w:val="pl-PL"/>
        </w:rPr>
        <w:t>pokazuju</w:t>
      </w:r>
      <w:r w:rsidRPr="0048184E">
        <w:rPr>
          <w:sz w:val="18"/>
          <w:szCs w:val="18"/>
          <w:lang w:val="sr-Latn-ME"/>
        </w:rPr>
        <w:t xml:space="preserve"> </w:t>
      </w:r>
      <w:r w:rsidRPr="0048184E">
        <w:rPr>
          <w:sz w:val="18"/>
          <w:szCs w:val="18"/>
          <w:lang w:val="pl-PL"/>
        </w:rPr>
        <w:t>da</w:t>
      </w:r>
      <w:r w:rsidRPr="0048184E">
        <w:rPr>
          <w:sz w:val="18"/>
          <w:szCs w:val="18"/>
          <w:lang w:val="sr-Latn-ME"/>
        </w:rPr>
        <w:t xml:space="preserve"> ž</w:t>
      </w:r>
      <w:r w:rsidRPr="0048184E">
        <w:rPr>
          <w:sz w:val="18"/>
          <w:szCs w:val="18"/>
          <w:lang w:val="pl-PL"/>
        </w:rPr>
        <w:t>ene</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sjeveru</w:t>
      </w:r>
      <w:r w:rsidRPr="0048184E">
        <w:rPr>
          <w:sz w:val="18"/>
          <w:szCs w:val="18"/>
          <w:lang w:val="sr-Latn-ME"/>
        </w:rPr>
        <w:t xml:space="preserve"> </w:t>
      </w:r>
      <w:r w:rsidRPr="0048184E">
        <w:rPr>
          <w:sz w:val="18"/>
          <w:szCs w:val="18"/>
          <w:lang w:val="pl-PL"/>
        </w:rPr>
        <w:t>Crne</w:t>
      </w:r>
      <w:r w:rsidRPr="0048184E">
        <w:rPr>
          <w:sz w:val="18"/>
          <w:szCs w:val="18"/>
          <w:lang w:val="sr-Latn-ME"/>
        </w:rPr>
        <w:t xml:space="preserve"> </w:t>
      </w:r>
      <w:r w:rsidRPr="0048184E">
        <w:rPr>
          <w:sz w:val="18"/>
          <w:szCs w:val="18"/>
          <w:lang w:val="pl-PL"/>
        </w:rPr>
        <w:t>Gore</w:t>
      </w:r>
      <w:r w:rsidRPr="0048184E">
        <w:rPr>
          <w:sz w:val="18"/>
          <w:szCs w:val="18"/>
          <w:lang w:val="sr-Latn-ME"/>
        </w:rPr>
        <w:t xml:space="preserve"> </w:t>
      </w:r>
      <w:r w:rsidRPr="0048184E">
        <w:rPr>
          <w:sz w:val="18"/>
          <w:szCs w:val="18"/>
          <w:lang w:val="pl-PL"/>
        </w:rPr>
        <w:t>imaju</w:t>
      </w:r>
      <w:r w:rsidRPr="0048184E">
        <w:rPr>
          <w:sz w:val="18"/>
          <w:szCs w:val="18"/>
          <w:lang w:val="sr-Latn-ME"/>
        </w:rPr>
        <w:t xml:space="preserve"> </w:t>
      </w:r>
      <w:r w:rsidRPr="0048184E">
        <w:rPr>
          <w:sz w:val="18"/>
          <w:szCs w:val="18"/>
          <w:lang w:val="pl-PL"/>
        </w:rPr>
        <w:t>sedam</w:t>
      </w:r>
      <w:r w:rsidRPr="0048184E">
        <w:rPr>
          <w:sz w:val="18"/>
          <w:szCs w:val="18"/>
          <w:lang w:val="sr-Latn-ME"/>
        </w:rPr>
        <w:t xml:space="preserve"> </w:t>
      </w:r>
      <w:r w:rsidRPr="0048184E">
        <w:rPr>
          <w:sz w:val="18"/>
          <w:szCs w:val="18"/>
          <w:lang w:val="pl-PL"/>
        </w:rPr>
        <w:t>puta</w:t>
      </w:r>
      <w:r w:rsidRPr="0048184E">
        <w:rPr>
          <w:sz w:val="18"/>
          <w:szCs w:val="18"/>
          <w:lang w:val="sr-Latn-ME"/>
        </w:rPr>
        <w:t xml:space="preserve"> </w:t>
      </w:r>
      <w:r w:rsidRPr="0048184E">
        <w:rPr>
          <w:sz w:val="18"/>
          <w:szCs w:val="18"/>
          <w:lang w:val="pl-PL"/>
        </w:rPr>
        <w:t>manje</w:t>
      </w:r>
      <w:r w:rsidRPr="0048184E">
        <w:rPr>
          <w:sz w:val="18"/>
          <w:szCs w:val="18"/>
          <w:lang w:val="sr-Latn-ME"/>
        </w:rPr>
        <w:t xml:space="preserve"> š</w:t>
      </w:r>
      <w:r w:rsidRPr="0048184E">
        <w:rPr>
          <w:sz w:val="18"/>
          <w:szCs w:val="18"/>
          <w:lang w:val="pl-PL"/>
        </w:rPr>
        <w:t>anse</w:t>
      </w:r>
      <w:r w:rsidRPr="0048184E">
        <w:rPr>
          <w:sz w:val="18"/>
          <w:szCs w:val="18"/>
          <w:lang w:val="sr-Latn-ME"/>
        </w:rPr>
        <w:t xml:space="preserve"> </w:t>
      </w:r>
      <w:r w:rsidRPr="0048184E">
        <w:rPr>
          <w:sz w:val="18"/>
          <w:szCs w:val="18"/>
          <w:lang w:val="pl-PL"/>
        </w:rPr>
        <w:t>da</w:t>
      </w:r>
      <w:r w:rsidRPr="0048184E">
        <w:rPr>
          <w:sz w:val="18"/>
          <w:szCs w:val="18"/>
          <w:lang w:val="sr-Latn-ME"/>
        </w:rPr>
        <w:t xml:space="preserve"> </w:t>
      </w:r>
      <w:r w:rsidRPr="0048184E">
        <w:rPr>
          <w:sz w:val="18"/>
          <w:szCs w:val="18"/>
          <w:lang w:val="pl-PL"/>
        </w:rPr>
        <w:t>se</w:t>
      </w:r>
      <w:r w:rsidRPr="0048184E">
        <w:rPr>
          <w:sz w:val="18"/>
          <w:szCs w:val="18"/>
          <w:lang w:val="sr-Latn-ME"/>
        </w:rPr>
        <w:t xml:space="preserve"> </w:t>
      </w:r>
      <w:r w:rsidRPr="0048184E">
        <w:rPr>
          <w:sz w:val="18"/>
          <w:szCs w:val="18"/>
          <w:lang w:val="pl-PL"/>
        </w:rPr>
        <w:t>zaposle</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pore</w:t>
      </w:r>
      <w:r w:rsidRPr="0048184E">
        <w:rPr>
          <w:sz w:val="18"/>
          <w:szCs w:val="18"/>
          <w:lang w:val="sr-Latn-ME"/>
        </w:rPr>
        <w:t>đ</w:t>
      </w:r>
      <w:r w:rsidRPr="0048184E">
        <w:rPr>
          <w:sz w:val="18"/>
          <w:szCs w:val="18"/>
          <w:lang w:val="pl-PL"/>
        </w:rPr>
        <w:t>enju</w:t>
      </w:r>
      <w:r w:rsidRPr="0048184E">
        <w:rPr>
          <w:sz w:val="18"/>
          <w:szCs w:val="18"/>
          <w:lang w:val="sr-Latn-ME"/>
        </w:rPr>
        <w:t xml:space="preserve"> </w:t>
      </w:r>
      <w:r w:rsidRPr="0048184E">
        <w:rPr>
          <w:sz w:val="18"/>
          <w:szCs w:val="18"/>
          <w:lang w:val="pl-PL"/>
        </w:rPr>
        <w:t>sa</w:t>
      </w:r>
      <w:r w:rsidRPr="0048184E">
        <w:rPr>
          <w:sz w:val="18"/>
          <w:szCs w:val="18"/>
          <w:lang w:val="sr-Latn-ME"/>
        </w:rPr>
        <w:t xml:space="preserve"> ž</w:t>
      </w:r>
      <w:r w:rsidRPr="0048184E">
        <w:rPr>
          <w:sz w:val="18"/>
          <w:szCs w:val="18"/>
          <w:lang w:val="pl-PL"/>
        </w:rPr>
        <w:t>enama</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jugu</w:t>
      </w:r>
      <w:r w:rsidRPr="0048184E">
        <w:rPr>
          <w:sz w:val="18"/>
          <w:szCs w:val="18"/>
          <w:lang w:val="sr-Latn-ME"/>
        </w:rPr>
        <w:t xml:space="preserve">, </w:t>
      </w:r>
      <w:r w:rsidRPr="0048184E">
        <w:rPr>
          <w:sz w:val="18"/>
          <w:szCs w:val="18"/>
          <w:lang w:val="pl-PL"/>
        </w:rPr>
        <w:t>a</w:t>
      </w:r>
      <w:r w:rsidRPr="0048184E">
        <w:rPr>
          <w:sz w:val="18"/>
          <w:szCs w:val="18"/>
          <w:lang w:val="sr-Latn-ME"/>
        </w:rPr>
        <w:t xml:space="preserve"> </w:t>
      </w:r>
      <w:r w:rsidRPr="0048184E">
        <w:rPr>
          <w:sz w:val="18"/>
          <w:szCs w:val="18"/>
          <w:lang w:val="pl-PL"/>
        </w:rPr>
        <w:t>vi</w:t>
      </w:r>
      <w:r w:rsidRPr="0048184E">
        <w:rPr>
          <w:sz w:val="18"/>
          <w:szCs w:val="18"/>
          <w:lang w:val="sr-Latn-ME"/>
        </w:rPr>
        <w:t>š</w:t>
      </w:r>
      <w:r w:rsidRPr="0048184E">
        <w:rPr>
          <w:sz w:val="18"/>
          <w:szCs w:val="18"/>
          <w:lang w:val="pl-PL"/>
        </w:rPr>
        <w:t>e</w:t>
      </w:r>
      <w:r w:rsidRPr="0048184E">
        <w:rPr>
          <w:sz w:val="18"/>
          <w:szCs w:val="18"/>
          <w:lang w:val="sr-Latn-ME"/>
        </w:rPr>
        <w:t xml:space="preserve"> </w:t>
      </w:r>
      <w:r w:rsidRPr="0048184E">
        <w:rPr>
          <w:sz w:val="18"/>
          <w:szCs w:val="18"/>
          <w:lang w:val="pl-PL"/>
        </w:rPr>
        <w:t>od</w:t>
      </w:r>
      <w:r w:rsidRPr="0048184E">
        <w:rPr>
          <w:sz w:val="18"/>
          <w:szCs w:val="18"/>
          <w:lang w:val="sr-Latn-ME"/>
        </w:rPr>
        <w:t xml:space="preserve"> </w:t>
      </w:r>
      <w:r w:rsidRPr="0048184E">
        <w:rPr>
          <w:sz w:val="18"/>
          <w:szCs w:val="18"/>
          <w:lang w:val="pl-PL"/>
        </w:rPr>
        <w:t>polovine</w:t>
      </w:r>
      <w:r w:rsidRPr="0048184E">
        <w:rPr>
          <w:sz w:val="18"/>
          <w:szCs w:val="18"/>
          <w:lang w:val="sr-Latn-ME"/>
        </w:rPr>
        <w:t xml:space="preserve"> </w:t>
      </w:r>
      <w:r w:rsidRPr="0048184E">
        <w:rPr>
          <w:sz w:val="18"/>
          <w:szCs w:val="18"/>
          <w:lang w:val="pl-PL"/>
        </w:rPr>
        <w:t>nezaposlenih</w:t>
      </w:r>
      <w:r w:rsidRPr="0048184E">
        <w:rPr>
          <w:sz w:val="18"/>
          <w:szCs w:val="18"/>
          <w:lang w:val="sr-Latn-ME"/>
        </w:rPr>
        <w:t xml:space="preserve"> ž</w:t>
      </w:r>
      <w:r w:rsidRPr="0048184E">
        <w:rPr>
          <w:sz w:val="18"/>
          <w:szCs w:val="18"/>
          <w:lang w:val="pl-PL"/>
        </w:rPr>
        <w:t>ena</w:t>
      </w:r>
      <w:r w:rsidRPr="0048184E">
        <w:rPr>
          <w:sz w:val="18"/>
          <w:szCs w:val="18"/>
          <w:lang w:val="sr-Latn-ME"/>
        </w:rPr>
        <w:t xml:space="preserve"> </w:t>
      </w:r>
      <w:r w:rsidRPr="0048184E">
        <w:rPr>
          <w:sz w:val="18"/>
          <w:szCs w:val="18"/>
          <w:lang w:val="pl-PL"/>
        </w:rPr>
        <w:t>nikada</w:t>
      </w:r>
      <w:r w:rsidRPr="0048184E">
        <w:rPr>
          <w:sz w:val="18"/>
          <w:szCs w:val="18"/>
          <w:lang w:val="sr-Latn-ME"/>
        </w:rPr>
        <w:t xml:space="preserve"> </w:t>
      </w:r>
      <w:r w:rsidRPr="0048184E">
        <w:rPr>
          <w:sz w:val="18"/>
          <w:szCs w:val="18"/>
          <w:lang w:val="pl-PL"/>
        </w:rPr>
        <w:t>nije</w:t>
      </w:r>
      <w:r w:rsidRPr="0048184E">
        <w:rPr>
          <w:sz w:val="18"/>
          <w:szCs w:val="18"/>
          <w:lang w:val="sr-Latn-ME"/>
        </w:rPr>
        <w:t xml:space="preserve"> </w:t>
      </w:r>
      <w:r w:rsidRPr="0048184E">
        <w:rPr>
          <w:sz w:val="18"/>
          <w:szCs w:val="18"/>
          <w:lang w:val="pl-PL"/>
        </w:rPr>
        <w:t>ni</w:t>
      </w:r>
      <w:r w:rsidRPr="0048184E">
        <w:rPr>
          <w:sz w:val="18"/>
          <w:szCs w:val="18"/>
          <w:lang w:val="sr-Latn-ME"/>
        </w:rPr>
        <w:t xml:space="preserve"> </w:t>
      </w:r>
      <w:r w:rsidRPr="0048184E">
        <w:rPr>
          <w:sz w:val="18"/>
          <w:szCs w:val="18"/>
          <w:lang w:val="pl-PL"/>
        </w:rPr>
        <w:t>poku</w:t>
      </w:r>
      <w:r w:rsidRPr="0048184E">
        <w:rPr>
          <w:sz w:val="18"/>
          <w:szCs w:val="18"/>
          <w:lang w:val="sr-Latn-ME"/>
        </w:rPr>
        <w:t>š</w:t>
      </w:r>
      <w:r w:rsidRPr="0048184E">
        <w:rPr>
          <w:sz w:val="18"/>
          <w:szCs w:val="18"/>
          <w:lang w:val="pl-PL"/>
        </w:rPr>
        <w:t>alo</w:t>
      </w:r>
      <w:r w:rsidRPr="0048184E">
        <w:rPr>
          <w:sz w:val="18"/>
          <w:szCs w:val="18"/>
          <w:lang w:val="sr-Latn-ME"/>
        </w:rPr>
        <w:t xml:space="preserve"> </w:t>
      </w:r>
      <w:r w:rsidRPr="0048184E">
        <w:rPr>
          <w:sz w:val="18"/>
          <w:szCs w:val="18"/>
          <w:lang w:val="pl-PL"/>
        </w:rPr>
        <w:t>da</w:t>
      </w:r>
      <w:r w:rsidRPr="0048184E">
        <w:rPr>
          <w:sz w:val="18"/>
          <w:szCs w:val="18"/>
          <w:lang w:val="sr-Latn-ME"/>
        </w:rPr>
        <w:t xml:space="preserve"> </w:t>
      </w:r>
      <w:r w:rsidRPr="0048184E">
        <w:rPr>
          <w:sz w:val="18"/>
          <w:szCs w:val="18"/>
          <w:lang w:val="pl-PL"/>
        </w:rPr>
        <w:t>u</w:t>
      </w:r>
      <w:r w:rsidRPr="0048184E">
        <w:rPr>
          <w:sz w:val="18"/>
          <w:szCs w:val="18"/>
          <w:lang w:val="sr-Latn-ME"/>
        </w:rPr>
        <w:t>đ</w:t>
      </w:r>
      <w:r w:rsidRPr="0048184E">
        <w:rPr>
          <w:sz w:val="18"/>
          <w:szCs w:val="18"/>
          <w:lang w:val="pl-PL"/>
        </w:rPr>
        <w:t>e</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tr</w:t>
      </w:r>
      <w:r w:rsidRPr="0048184E">
        <w:rPr>
          <w:sz w:val="18"/>
          <w:szCs w:val="18"/>
          <w:lang w:val="sr-Latn-ME"/>
        </w:rPr>
        <w:t>ž</w:t>
      </w:r>
      <w:r w:rsidRPr="0048184E">
        <w:rPr>
          <w:sz w:val="18"/>
          <w:szCs w:val="18"/>
          <w:lang w:val="pl-PL"/>
        </w:rPr>
        <w:t>i</w:t>
      </w:r>
      <w:r w:rsidRPr="0048184E">
        <w:rPr>
          <w:sz w:val="18"/>
          <w:szCs w:val="18"/>
          <w:lang w:val="sr-Latn-ME"/>
        </w:rPr>
        <w:t>š</w:t>
      </w:r>
      <w:r w:rsidRPr="0048184E">
        <w:rPr>
          <w:sz w:val="18"/>
          <w:szCs w:val="18"/>
          <w:lang w:val="pl-PL"/>
        </w:rPr>
        <w:t>te</w:t>
      </w:r>
      <w:r w:rsidRPr="0048184E">
        <w:rPr>
          <w:sz w:val="18"/>
          <w:szCs w:val="18"/>
          <w:lang w:val="sr-Latn-ME"/>
        </w:rPr>
        <w:t xml:space="preserve"> </w:t>
      </w:r>
      <w:r w:rsidRPr="0048184E">
        <w:rPr>
          <w:sz w:val="18"/>
          <w:szCs w:val="18"/>
          <w:lang w:val="pl-PL"/>
        </w:rPr>
        <w:t>rada</w:t>
      </w:r>
      <w:r w:rsidRPr="0048184E">
        <w:rPr>
          <w:sz w:val="18"/>
          <w:szCs w:val="18"/>
          <w:lang w:val="sr-Latn-ME"/>
        </w:rPr>
        <w:t>. Ž</w:t>
      </w:r>
      <w:r w:rsidRPr="0048184E">
        <w:rPr>
          <w:sz w:val="18"/>
          <w:szCs w:val="18"/>
          <w:lang w:val="pl-PL"/>
        </w:rPr>
        <w:t>ene</w:t>
      </w:r>
      <w:r w:rsidRPr="0048184E">
        <w:rPr>
          <w:sz w:val="18"/>
          <w:szCs w:val="18"/>
          <w:lang w:val="sr-Latn-ME"/>
        </w:rPr>
        <w:t xml:space="preserve"> </w:t>
      </w:r>
      <w:r w:rsidRPr="0048184E">
        <w:rPr>
          <w:sz w:val="18"/>
          <w:szCs w:val="18"/>
          <w:lang w:val="pl-PL"/>
        </w:rPr>
        <w:t>prete</w:t>
      </w:r>
      <w:r w:rsidRPr="0048184E">
        <w:rPr>
          <w:sz w:val="18"/>
          <w:szCs w:val="18"/>
          <w:lang w:val="sr-Latn-ME"/>
        </w:rPr>
        <w:t>ž</w:t>
      </w:r>
      <w:r w:rsidRPr="0048184E">
        <w:rPr>
          <w:sz w:val="18"/>
          <w:szCs w:val="18"/>
          <w:lang w:val="pl-PL"/>
        </w:rPr>
        <w:t>no</w:t>
      </w:r>
      <w:r w:rsidRPr="0048184E">
        <w:rPr>
          <w:sz w:val="18"/>
          <w:szCs w:val="18"/>
          <w:lang w:val="sr-Latn-ME"/>
        </w:rPr>
        <w:t xml:space="preserve"> </w:t>
      </w:r>
      <w:r w:rsidRPr="0048184E">
        <w:rPr>
          <w:sz w:val="18"/>
          <w:szCs w:val="18"/>
          <w:lang w:val="pl-PL"/>
        </w:rPr>
        <w:t>obavljaju</w:t>
      </w:r>
      <w:r w:rsidRPr="0048184E">
        <w:rPr>
          <w:sz w:val="18"/>
          <w:szCs w:val="18"/>
          <w:lang w:val="sr-Latn-ME"/>
        </w:rPr>
        <w:t xml:space="preserve"> </w:t>
      </w:r>
      <w:r w:rsidRPr="0048184E">
        <w:rPr>
          <w:sz w:val="18"/>
          <w:szCs w:val="18"/>
          <w:lang w:val="pl-PL"/>
        </w:rPr>
        <w:t>nepla</w:t>
      </w:r>
      <w:r w:rsidRPr="0048184E">
        <w:rPr>
          <w:sz w:val="18"/>
          <w:szCs w:val="18"/>
          <w:lang w:val="sr-Latn-ME"/>
        </w:rPr>
        <w:t>ć</w:t>
      </w:r>
      <w:r w:rsidRPr="0048184E">
        <w:rPr>
          <w:sz w:val="18"/>
          <w:szCs w:val="18"/>
          <w:lang w:val="pl-PL"/>
        </w:rPr>
        <w:t>ene</w:t>
      </w:r>
      <w:r w:rsidRPr="0048184E">
        <w:rPr>
          <w:sz w:val="18"/>
          <w:szCs w:val="18"/>
          <w:lang w:val="sr-Latn-ME"/>
        </w:rPr>
        <w:t xml:space="preserve"> </w:t>
      </w:r>
      <w:r w:rsidRPr="0048184E">
        <w:rPr>
          <w:sz w:val="18"/>
          <w:szCs w:val="18"/>
          <w:lang w:val="pl-PL"/>
        </w:rPr>
        <w:t>ku</w:t>
      </w:r>
      <w:r w:rsidRPr="0048184E">
        <w:rPr>
          <w:sz w:val="18"/>
          <w:szCs w:val="18"/>
          <w:lang w:val="sr-Latn-ME"/>
        </w:rPr>
        <w:t>ć</w:t>
      </w:r>
      <w:r w:rsidRPr="0048184E">
        <w:rPr>
          <w:sz w:val="18"/>
          <w:szCs w:val="18"/>
          <w:lang w:val="pl-PL"/>
        </w:rPr>
        <w:t>ne</w:t>
      </w:r>
      <w:r w:rsidRPr="0048184E">
        <w:rPr>
          <w:sz w:val="18"/>
          <w:szCs w:val="18"/>
          <w:lang w:val="sr-Latn-ME"/>
        </w:rPr>
        <w:t xml:space="preserve"> </w:t>
      </w:r>
      <w:r w:rsidRPr="0048184E">
        <w:rPr>
          <w:sz w:val="18"/>
          <w:szCs w:val="18"/>
          <w:lang w:val="pl-PL"/>
        </w:rPr>
        <w:t>poslove</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prosjeku</w:t>
      </w:r>
      <w:r w:rsidRPr="0048184E">
        <w:rPr>
          <w:sz w:val="18"/>
          <w:szCs w:val="18"/>
          <w:lang w:val="sr-Latn-ME"/>
        </w:rPr>
        <w:t xml:space="preserve"> </w:t>
      </w:r>
      <w:r w:rsidRPr="0048184E">
        <w:rPr>
          <w:sz w:val="18"/>
          <w:szCs w:val="18"/>
          <w:lang w:val="pl-PL"/>
        </w:rPr>
        <w:t>provode</w:t>
      </w:r>
      <w:r w:rsidRPr="0048184E">
        <w:rPr>
          <w:sz w:val="18"/>
          <w:szCs w:val="18"/>
          <w:lang w:val="sr-Latn-ME"/>
        </w:rPr>
        <w:t xml:space="preserve"> </w:t>
      </w:r>
      <w:r w:rsidRPr="0048184E">
        <w:rPr>
          <w:sz w:val="18"/>
          <w:szCs w:val="18"/>
          <w:lang w:val="pl-PL"/>
        </w:rPr>
        <w:t>deset</w:t>
      </w:r>
      <w:r w:rsidRPr="0048184E">
        <w:rPr>
          <w:sz w:val="18"/>
          <w:szCs w:val="18"/>
          <w:lang w:val="sr-Latn-ME"/>
        </w:rPr>
        <w:t xml:space="preserve"> </w:t>
      </w:r>
      <w:r w:rsidRPr="0048184E">
        <w:rPr>
          <w:sz w:val="18"/>
          <w:szCs w:val="18"/>
          <w:lang w:val="pl-PL"/>
        </w:rPr>
        <w:t>godina</w:t>
      </w:r>
      <w:r w:rsidRPr="0048184E">
        <w:rPr>
          <w:sz w:val="18"/>
          <w:szCs w:val="18"/>
          <w:lang w:val="sr-Latn-ME"/>
        </w:rPr>
        <w:t xml:space="preserve"> </w:t>
      </w:r>
      <w:r w:rsidRPr="0048184E">
        <w:rPr>
          <w:sz w:val="18"/>
          <w:szCs w:val="18"/>
          <w:lang w:val="pl-PL"/>
        </w:rPr>
        <w:t>svog</w:t>
      </w:r>
      <w:r w:rsidRPr="0048184E">
        <w:rPr>
          <w:sz w:val="18"/>
          <w:szCs w:val="18"/>
          <w:lang w:val="sr-Latn-ME"/>
        </w:rPr>
        <w:t xml:space="preserve"> ž</w:t>
      </w:r>
      <w:r w:rsidRPr="0048184E">
        <w:rPr>
          <w:sz w:val="18"/>
          <w:szCs w:val="18"/>
          <w:lang w:val="pl-PL"/>
        </w:rPr>
        <w:t>ivota</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ove</w:t>
      </w:r>
      <w:r w:rsidRPr="0048184E">
        <w:rPr>
          <w:sz w:val="18"/>
          <w:szCs w:val="18"/>
          <w:lang w:val="sr-Latn-ME"/>
        </w:rPr>
        <w:t xml:space="preserve"> </w:t>
      </w:r>
      <w:r w:rsidRPr="0048184E">
        <w:rPr>
          <w:sz w:val="18"/>
          <w:szCs w:val="18"/>
          <w:lang w:val="pl-PL"/>
        </w:rPr>
        <w:t>aktivnosti</w:t>
      </w:r>
      <w:r w:rsidRPr="0048184E">
        <w:rPr>
          <w:rStyle w:val="FootnoteReference"/>
          <w:sz w:val="18"/>
          <w:szCs w:val="18"/>
          <w:lang w:val="pl-PL"/>
        </w:rPr>
        <w:footnoteReference w:id="28"/>
      </w:r>
      <w:r w:rsidRPr="0048184E">
        <w:rPr>
          <w:sz w:val="18"/>
          <w:szCs w:val="18"/>
          <w:lang w:val="sr-Latn-ME"/>
        </w:rPr>
        <w:t>.</w:t>
      </w:r>
    </w:p>
    <w:p w14:paraId="756DCAD4" w14:textId="77777777" w:rsidR="00223F35" w:rsidRPr="003C2A72" w:rsidRDefault="00223F35" w:rsidP="0048184E">
      <w:pPr>
        <w:spacing w:after="0" w:line="240" w:lineRule="auto"/>
        <w:jc w:val="both"/>
        <w:rPr>
          <w:color w:val="4472C4" w:themeColor="accent5"/>
          <w:sz w:val="18"/>
          <w:szCs w:val="18"/>
          <w:lang w:val="sr-Latn-ME"/>
        </w:rPr>
      </w:pPr>
    </w:p>
    <w:p w14:paraId="100B2A5E" w14:textId="77777777" w:rsidR="00223F35" w:rsidRPr="003C2A72" w:rsidRDefault="00223F35" w:rsidP="0048184E">
      <w:pPr>
        <w:pStyle w:val="Heading21"/>
        <w:numPr>
          <w:ilvl w:val="1"/>
          <w:numId w:val="27"/>
        </w:numPr>
        <w:spacing w:before="0"/>
        <w:rPr>
          <w:color w:val="4472C4" w:themeColor="accent5"/>
          <w:szCs w:val="22"/>
          <w:lang w:val="pl-PL"/>
        </w:rPr>
      </w:pPr>
      <w:bookmarkStart w:id="24" w:name="_Toc205215836"/>
      <w:r w:rsidRPr="003C2A72">
        <w:rPr>
          <w:color w:val="4472C4" w:themeColor="accent5"/>
          <w:szCs w:val="22"/>
          <w:lang w:val="pl-PL"/>
        </w:rPr>
        <w:t>Kratka analiza stanja sektora MMSP</w:t>
      </w:r>
      <w:bookmarkEnd w:id="24"/>
      <w:r w:rsidRPr="003C2A72">
        <w:rPr>
          <w:color w:val="4472C4" w:themeColor="accent5"/>
          <w:szCs w:val="22"/>
          <w:lang w:val="pl-PL"/>
        </w:rPr>
        <w:t xml:space="preserve"> </w:t>
      </w:r>
    </w:p>
    <w:p w14:paraId="17651BA9" w14:textId="77777777" w:rsidR="00223F35" w:rsidRPr="0048184E" w:rsidRDefault="00223F35" w:rsidP="0048184E">
      <w:pPr>
        <w:spacing w:after="0" w:line="240" w:lineRule="auto"/>
        <w:rPr>
          <w:sz w:val="18"/>
          <w:szCs w:val="18"/>
          <w:lang w:val="pl-PL"/>
        </w:rPr>
      </w:pPr>
    </w:p>
    <w:p w14:paraId="1CE2EF20"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U Crnoj Gori su najzastupljenija mikro, mala i srednja preduzeća. Prema podacima MONSTATA broj MMSP u 2024. godini iznosio je 58.998 što čini povećanje od 9,07% u odnosu na 2023. godinu (54.094 preduzeća), odnosno 84.29% u odnosu na 2019. godinu (32.013 preduzeća). </w:t>
      </w:r>
    </w:p>
    <w:p w14:paraId="48FC521A" w14:textId="77777777" w:rsidR="00223F35" w:rsidRPr="0048184E" w:rsidRDefault="00223F35" w:rsidP="0048184E">
      <w:pPr>
        <w:spacing w:after="0" w:line="240" w:lineRule="auto"/>
        <w:jc w:val="both"/>
        <w:rPr>
          <w:sz w:val="18"/>
          <w:szCs w:val="18"/>
          <w:lang w:val="pl-PL"/>
        </w:rPr>
      </w:pPr>
    </w:p>
    <w:p w14:paraId="12E6811F" w14:textId="77777777" w:rsidR="001A0FD2" w:rsidRPr="0048184E" w:rsidRDefault="001A0FD2" w:rsidP="0048184E">
      <w:pPr>
        <w:spacing w:after="0" w:line="240" w:lineRule="auto"/>
        <w:jc w:val="both"/>
        <w:rPr>
          <w:rFonts w:eastAsia="Calibri" w:cstheme="minorHAnsi"/>
          <w:sz w:val="18"/>
          <w:szCs w:val="18"/>
          <w:lang w:val="pl-PL"/>
        </w:rPr>
      </w:pPr>
      <w:r w:rsidRPr="0048184E">
        <w:rPr>
          <w:rFonts w:eastAsia="Calibri" w:cstheme="minorHAnsi"/>
          <w:sz w:val="18"/>
          <w:szCs w:val="18"/>
          <w:lang w:val="pl-PL"/>
        </w:rPr>
        <w:t>U ukupnoj strukturi MMSP, na kraju 2024. godine najviše je bilo registrovano mikro preduzeća 45,759, odnosno 95,07%, koja zapošljavaju 81,545 lica odnosno 54,50%, zatim malih preduzeća 2,089, odnosno 4,34% broja ukupnih MMSP, koja zapošljavaju 39,414 lica, odnosno 26,34%, dok je broj srednjih preduzeća iznosio 283 odnosno 0,59% koja zapošljavaju 28,656 lica – 19,15%.</w:t>
      </w:r>
    </w:p>
    <w:p w14:paraId="2FF4354A" w14:textId="77777777" w:rsidR="001A0FD2" w:rsidRPr="0048184E" w:rsidRDefault="001A0FD2" w:rsidP="0048184E">
      <w:pPr>
        <w:spacing w:after="0" w:line="240" w:lineRule="auto"/>
        <w:jc w:val="both"/>
        <w:rPr>
          <w:rFonts w:eastAsia="Calibri" w:cstheme="minorHAnsi"/>
          <w:sz w:val="18"/>
          <w:szCs w:val="18"/>
          <w:lang w:val="pl-PL"/>
        </w:rPr>
      </w:pPr>
      <w:r w:rsidRPr="0048184E">
        <w:rPr>
          <w:rFonts w:eastAsia="Calibri" w:cstheme="minorHAnsi"/>
          <w:sz w:val="18"/>
          <w:szCs w:val="18"/>
          <w:lang w:val="pl-PL"/>
        </w:rPr>
        <w:t>Prema podacima Poreske uprave, broj mikro, malih i srednjih preduzeća u periodu od 2020. do 2024. godine bilježi kontinuiran rast, tako da u 2024. godini imamo 45,16% više preduzeća u odnosu na 2020. godinu, dok je broj zaposlenih povećan za 6,6%. U strukturi MMSP, najviše posluju mikro preduzeća koja zapošljavaju 1-10 zaposlenih, a koja istovremeno bilježe najveći rast u periodu 2020-2024. godine i to za 49,80%. Takođe, u istom periodu, rast broja zaposlenih zabilježen je u mikro preduzećima za 31,46%.</w:t>
      </w:r>
    </w:p>
    <w:p w14:paraId="46AD261C" w14:textId="77777777" w:rsidR="001A0FD2" w:rsidRPr="0048184E" w:rsidRDefault="001A0FD2" w:rsidP="0048184E">
      <w:pPr>
        <w:spacing w:after="0" w:line="240" w:lineRule="auto"/>
        <w:jc w:val="both"/>
        <w:rPr>
          <w:rFonts w:eastAsia="Calibri" w:cstheme="minorHAnsi"/>
          <w:sz w:val="18"/>
          <w:szCs w:val="18"/>
          <w:lang w:val="pl-PL"/>
        </w:rPr>
      </w:pPr>
      <w:r w:rsidRPr="0048184E">
        <w:rPr>
          <w:rFonts w:eastAsia="Calibri" w:cstheme="minorHAnsi"/>
          <w:sz w:val="18"/>
          <w:szCs w:val="18"/>
          <w:lang w:val="pl-PL"/>
        </w:rPr>
        <w:t>Žene u Crnoj Gori su vlasnice 25.41% privrednih društava, najčešće su vlasnice mikro preduzeća (97%) a rjeđe malih (2.8%) i srednjih (0.2%), dok ih skoro i nema kao vlasnica velikih preduzeća. U mikro, malim i srednjim preduzećima u vlasništvu žena, zaposleno je 29.259 lica odnosno 19.55% svih zaposlenih u MMSP u Crnoj Gori (149.615 lica). U periodu 2020-2024 i broj preduzeća u većinskom vlasništv</w:t>
      </w:r>
      <w:r w:rsidR="00F8696A" w:rsidRPr="0048184E">
        <w:rPr>
          <w:rFonts w:eastAsia="Calibri" w:cstheme="minorHAnsi"/>
          <w:sz w:val="18"/>
          <w:szCs w:val="18"/>
          <w:lang w:val="pl-PL"/>
        </w:rPr>
        <w:t>u žena je porastao za oko 2,5%.</w:t>
      </w:r>
    </w:p>
    <w:p w14:paraId="7B9BCBEC" w14:textId="77777777" w:rsidR="00223F35" w:rsidRPr="0048184E" w:rsidRDefault="00223F35" w:rsidP="0048184E">
      <w:pPr>
        <w:spacing w:after="0" w:line="240" w:lineRule="auto"/>
        <w:jc w:val="both"/>
        <w:rPr>
          <w:sz w:val="18"/>
          <w:szCs w:val="18"/>
          <w:lang w:val="pl-PL"/>
        </w:rPr>
      </w:pPr>
      <w:r w:rsidRPr="0048184E">
        <w:rPr>
          <w:sz w:val="18"/>
          <w:szCs w:val="18"/>
          <w:lang w:val="pl-PL"/>
        </w:rPr>
        <w:lastRenderedPageBreak/>
        <w:t xml:space="preserve">U 2024. godini u sjevernom regionu </w:t>
      </w:r>
      <w:r w:rsidRPr="0048184E">
        <w:rPr>
          <w:b/>
          <w:sz w:val="18"/>
          <w:szCs w:val="18"/>
          <w:lang w:val="pl-PL"/>
        </w:rPr>
        <w:t>poslovao je najmanji broj preduzeća, odnosno 4.967 preduzeća, što je pet (5) puta manje u odnosu na centralni region</w:t>
      </w:r>
      <w:r w:rsidRPr="0048184E">
        <w:rPr>
          <w:sz w:val="18"/>
          <w:szCs w:val="18"/>
          <w:lang w:val="pl-PL"/>
        </w:rPr>
        <w:t>, u kojem je poslovalo 25.762 preduzeća, dok je na jugu poslovalo najviše preduzeća, odnosno 28.269</w:t>
      </w:r>
      <w:r w:rsidRPr="0048184E">
        <w:rPr>
          <w:rStyle w:val="FootnoteReference"/>
          <w:sz w:val="18"/>
          <w:szCs w:val="18"/>
          <w:lang w:val="pl-PL"/>
        </w:rPr>
        <w:footnoteReference w:id="29"/>
      </w:r>
      <w:r w:rsidRPr="0048184E">
        <w:rPr>
          <w:sz w:val="18"/>
          <w:szCs w:val="18"/>
          <w:lang w:val="pl-PL"/>
        </w:rPr>
        <w:t>.</w:t>
      </w:r>
    </w:p>
    <w:p w14:paraId="22EB0F14" w14:textId="77777777" w:rsidR="00223F35" w:rsidRPr="0048184E" w:rsidRDefault="00223F35" w:rsidP="0048184E">
      <w:pPr>
        <w:spacing w:after="0" w:line="240" w:lineRule="auto"/>
        <w:jc w:val="both"/>
        <w:rPr>
          <w:sz w:val="18"/>
          <w:szCs w:val="18"/>
          <w:lang w:val="pl-PL"/>
        </w:rPr>
      </w:pPr>
    </w:p>
    <w:p w14:paraId="2EAE2CF0" w14:textId="77777777" w:rsidR="00223F35" w:rsidRPr="0048184E" w:rsidRDefault="00223F35" w:rsidP="0048184E">
      <w:pPr>
        <w:spacing w:after="0" w:line="240" w:lineRule="auto"/>
        <w:jc w:val="both"/>
        <w:rPr>
          <w:sz w:val="18"/>
          <w:szCs w:val="18"/>
          <w:lang w:val="pl-PL"/>
        </w:rPr>
      </w:pPr>
      <w:r w:rsidRPr="0048184E">
        <w:rPr>
          <w:sz w:val="18"/>
          <w:szCs w:val="18"/>
          <w:lang w:val="pl-PL"/>
        </w:rPr>
        <w:t>Posmatrano u kraćem vremenskom periodu, podaci MONSTATA ukazuju da broj mikro, malih i srednjih preduzeća u periodu od 2019 - 2024. godine bilježi kontinuiran rast, tako da u 2024. godini imamo 84.29% više preduzeća u odnosu na 2019. Godinu, međutim i dalje izazov predstavlja mnogo manji broj preduzeća na sjeveru. U strukturi MMSP najviše posluju mikro preduzeća koja zapošljavaju manje od 10 zaposlenih, a koja istovremeno bilježe najveći rast u periodu 2019 - 2024. godine i to za 94,92%, dok je broj malih i srednjih preduzeća smanjen, i to malih preduzeća za 22,89%, a srednjih za 16,25%.</w:t>
      </w:r>
    </w:p>
    <w:p w14:paraId="6AFEAF47" w14:textId="77777777" w:rsidR="00223F35" w:rsidRPr="0048184E" w:rsidRDefault="00223F35" w:rsidP="0048184E">
      <w:pPr>
        <w:spacing w:after="0" w:line="240" w:lineRule="auto"/>
        <w:jc w:val="both"/>
        <w:rPr>
          <w:sz w:val="18"/>
          <w:szCs w:val="18"/>
          <w:lang w:val="pl-PL"/>
        </w:rPr>
      </w:pPr>
    </w:p>
    <w:p w14:paraId="47972A8F"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Najznačajnija podrška preduzećima je realizovana kroz kreditne linije IRFCG za rast konkurentnosti privrede u okviru koje je odobreno 414 kredita (119 žene) u vrijednosti 186.127.530,69 eur. Posmatrano po regionima, preduzećima iz Sjevernog regiona je </w:t>
      </w:r>
      <w:bookmarkStart w:id="25" w:name="_Hlk167868770"/>
      <w:r w:rsidRPr="0048184E">
        <w:rPr>
          <w:rFonts w:cstheme="minorHAnsi"/>
          <w:sz w:val="18"/>
          <w:szCs w:val="18"/>
          <w:lang w:val="sr-Latn-ME"/>
        </w:rPr>
        <w:t>odobreno 137 kredita  u vrijednosti 18.236.612,25 eur (10%), od čega žene čine 1%, odnosno 1.522.696,59 eura. U Središnjem regionu odobreno je 233 kredita u vrijednosti od 134.948.796,15 eura (73%), od čega žene čine 11%, odnosno 11.816.482,20 eura. U Primorskom dijelu odobreno je 44 kredita (17%) u iznosu od 32.942.122,29 eura, od čega žene čine 1% odnosno 1.201.000 eura.</w:t>
      </w:r>
    </w:p>
    <w:bookmarkEnd w:id="25"/>
    <w:p w14:paraId="0D487BDB" w14:textId="77777777" w:rsidR="00223F35" w:rsidRPr="0048184E" w:rsidRDefault="00223F35" w:rsidP="0048184E">
      <w:pPr>
        <w:spacing w:after="0" w:line="240" w:lineRule="auto"/>
        <w:jc w:val="both"/>
        <w:rPr>
          <w:rFonts w:cstheme="minorHAnsi"/>
          <w:sz w:val="18"/>
          <w:szCs w:val="18"/>
          <w:lang w:val="sr-Latn-ME"/>
        </w:rPr>
      </w:pPr>
    </w:p>
    <w:p w14:paraId="30C4341C" w14:textId="77777777" w:rsidR="00F8696A"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Dodatno, pružena je podrška preduzećima od strane </w:t>
      </w:r>
      <w:r w:rsidR="0054581F">
        <w:rPr>
          <w:rFonts w:cstheme="minorHAnsi"/>
          <w:sz w:val="18"/>
          <w:szCs w:val="18"/>
          <w:lang w:val="sr-Latn-ME"/>
        </w:rPr>
        <w:t>MERa</w:t>
      </w:r>
      <w:r w:rsidRPr="0048184E">
        <w:rPr>
          <w:rFonts w:cstheme="minorHAnsi"/>
          <w:sz w:val="18"/>
          <w:szCs w:val="18"/>
          <w:lang w:val="sr-Latn-ME"/>
        </w:rPr>
        <w:t xml:space="preserve"> i drugih organizacija kroz programe razvoja inovacija i startapova, unaprjeđenje konkurentnosti privrede, podršku razvoju i promociji zanatstva, kao i podsticanje direktnih investicija u turizmu i ugostiteljstvu. </w:t>
      </w:r>
    </w:p>
    <w:p w14:paraId="720FEECF" w14:textId="77777777" w:rsidR="00F8696A" w:rsidRPr="0048184E" w:rsidRDefault="00F8696A" w:rsidP="0048184E">
      <w:pPr>
        <w:spacing w:after="0" w:line="240" w:lineRule="auto"/>
        <w:jc w:val="both"/>
        <w:rPr>
          <w:rFonts w:cstheme="minorHAnsi"/>
          <w:sz w:val="18"/>
          <w:szCs w:val="18"/>
          <w:lang w:val="sr-Latn-ME"/>
        </w:rPr>
      </w:pPr>
    </w:p>
    <w:p w14:paraId="684976D4"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Kroz programe Fonda za inovacije, pružena je podrška za ukupno 29 projekata u iznosu od 1.426.023 eura, od čega u Sjevernom regionu 33.260 eura, i u Središnjem 1.392.763 eura. Kroz Program za unapređenje konkurentnosti koji sprovodi</w:t>
      </w:r>
      <w:r w:rsidR="0054581F">
        <w:rPr>
          <w:rFonts w:cstheme="minorHAnsi"/>
          <w:sz w:val="18"/>
          <w:szCs w:val="18"/>
          <w:lang w:val="sr-Latn-ME"/>
        </w:rPr>
        <w:t xml:space="preserve"> MERa</w:t>
      </w:r>
      <w:r w:rsidRPr="0048184E">
        <w:rPr>
          <w:rFonts w:cstheme="minorHAnsi"/>
          <w:sz w:val="18"/>
          <w:szCs w:val="18"/>
          <w:lang w:val="sr-Latn-ME"/>
        </w:rPr>
        <w:t>, pružena je podrška za 94 projekta u ukupnom iznosu od 2.646.826 eura, od toga za žene 38 projekata u iznosu od 756.445 eura. Od pomenutih sredstava, za Sjeverni region izdvojeno je 1.060.867 eura, Središnji 1.488.652 eura, Primorski 97.307 eura. Kroz Program za razvoj i promociju zanatstva za 2024. godinu, plasirano je ukupno 200.000 eura (23 prijave, žene i mlađi od 35 godina 13 prijava), od čega u Sjevernom regionu 52.037 eura (6 prijava, žene i mlađi od 35 godina 2 prijave), u Središnjem 133.661 eura (15 prijava, žene i mlađi od 35 godina 8 prijava), u Primorskom 14.302 eura (2 prijave, žene i mlađi od 35 godina 1 prijava).</w:t>
      </w:r>
    </w:p>
    <w:p w14:paraId="65609820"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Takođe, </w:t>
      </w:r>
      <w:bookmarkStart w:id="26" w:name="_Hlk167868317"/>
      <w:r w:rsidRPr="0048184E">
        <w:rPr>
          <w:rFonts w:cstheme="minorHAnsi"/>
          <w:sz w:val="18"/>
          <w:szCs w:val="18"/>
          <w:lang w:val="sr-Latn-ME"/>
        </w:rPr>
        <w:t>realizovane su značajne investicije u infrastrukturu za širokopojasni pristup internetu</w:t>
      </w:r>
      <w:bookmarkEnd w:id="26"/>
      <w:r w:rsidRPr="0048184E">
        <w:rPr>
          <w:rFonts w:cstheme="minorHAnsi"/>
          <w:sz w:val="18"/>
          <w:szCs w:val="18"/>
          <w:lang w:val="sr-Latn-ME"/>
        </w:rPr>
        <w:t>, što je rezultiralo većim brojem domaćinstava povezanih na internet (84,50% domaćinstava u Crnoj Gori) i povećanim udjelom preduzeća koja imaju pristup mrežama nove generacije sa brzinama većim od 30 Mbps (82,02% preduzeća).</w:t>
      </w:r>
    </w:p>
    <w:p w14:paraId="45B90028"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Za sprovođenje kapitalnih projekata finansiranih iz prihoda ostvarenih putem Programa ekonomskog državljanstva, u 2023. godini sredstva su odobrena za 13 opština u Sjevernom regionu, u ukupnom iznosu od 13 mil. eura. Od pomenutog iznosa, u 2024. godini utrošeno je 5.131.920,59 eura.   Takođe, za unapređenje i razvoj lokalne tržišne infrastrukture opredijeljeno je 747.174,39 eura, od čega u Sjevernom regionu 697.853,76 eura, a u Središnjem 49.320,63 eura.</w:t>
      </w:r>
    </w:p>
    <w:p w14:paraId="6547D406" w14:textId="77777777" w:rsidR="00223F35" w:rsidRPr="0048184E" w:rsidRDefault="00223F35" w:rsidP="0048184E">
      <w:pPr>
        <w:spacing w:after="0" w:line="240" w:lineRule="auto"/>
        <w:jc w:val="both"/>
        <w:rPr>
          <w:rFonts w:eastAsia="Aptos" w:cs="Times New Roman"/>
          <w:sz w:val="18"/>
          <w:szCs w:val="18"/>
          <w:lang w:val="sr-Latn-ME"/>
        </w:rPr>
      </w:pPr>
    </w:p>
    <w:p w14:paraId="0F9DCDB0" w14:textId="77777777" w:rsidR="00223F35" w:rsidRPr="003C2A72" w:rsidRDefault="00223F35" w:rsidP="0048184E">
      <w:pPr>
        <w:pStyle w:val="Heading2"/>
        <w:numPr>
          <w:ilvl w:val="0"/>
          <w:numId w:val="27"/>
        </w:numPr>
        <w:spacing w:before="0" w:line="240" w:lineRule="auto"/>
        <w:rPr>
          <w:rFonts w:asciiTheme="minorHAnsi" w:eastAsia="Aptos" w:hAnsiTheme="minorHAnsi"/>
        </w:rPr>
      </w:pPr>
      <w:bookmarkStart w:id="27" w:name="_Toc205215837"/>
      <w:r w:rsidRPr="003C2A72">
        <w:rPr>
          <w:rFonts w:asciiTheme="minorHAnsi" w:eastAsia="Aptos" w:hAnsiTheme="minorHAnsi"/>
        </w:rPr>
        <w:t>Demografska kretanja</w:t>
      </w:r>
      <w:bookmarkEnd w:id="27"/>
      <w:r w:rsidRPr="003C2A72">
        <w:rPr>
          <w:rFonts w:asciiTheme="minorHAnsi" w:eastAsia="Aptos" w:hAnsiTheme="minorHAnsi"/>
        </w:rPr>
        <w:t xml:space="preserve"> </w:t>
      </w:r>
    </w:p>
    <w:p w14:paraId="33E894CE" w14:textId="77777777" w:rsidR="00223F35" w:rsidRPr="0048184E" w:rsidRDefault="00223F35" w:rsidP="0048184E">
      <w:pPr>
        <w:spacing w:after="0" w:line="240" w:lineRule="auto"/>
        <w:jc w:val="both"/>
        <w:rPr>
          <w:rFonts w:eastAsia="Aptos" w:cs="Times New Roman"/>
          <w:sz w:val="18"/>
          <w:szCs w:val="18"/>
          <w:lang w:val="pl-PL"/>
        </w:rPr>
      </w:pPr>
    </w:p>
    <w:p w14:paraId="7CA181B1" w14:textId="77777777" w:rsidR="00223F35" w:rsidRPr="0048184E" w:rsidRDefault="00223F35" w:rsidP="0048184E">
      <w:pPr>
        <w:spacing w:after="0" w:line="240" w:lineRule="auto"/>
        <w:jc w:val="both"/>
        <w:rPr>
          <w:rFonts w:eastAsia="Aptos" w:cstheme="minorHAnsi"/>
          <w:sz w:val="18"/>
          <w:szCs w:val="18"/>
          <w:lang w:val="pl-PL"/>
        </w:rPr>
      </w:pPr>
      <w:r w:rsidRPr="0048184E">
        <w:rPr>
          <w:rFonts w:cstheme="minorHAnsi"/>
          <w:sz w:val="18"/>
          <w:szCs w:val="18"/>
          <w:lang w:val="pl-PL"/>
        </w:rPr>
        <w:t xml:space="preserve">Poslednji Popis stanovništva, domaćinstava i stanova sproveden je 2023. </w:t>
      </w:r>
      <w:r w:rsidR="00D94DBB" w:rsidRPr="0048184E">
        <w:rPr>
          <w:rFonts w:cstheme="minorHAnsi"/>
          <w:sz w:val="18"/>
          <w:szCs w:val="18"/>
          <w:lang w:val="pl-PL"/>
        </w:rPr>
        <w:t>godine. Prema rezultatima ovog p</w:t>
      </w:r>
      <w:r w:rsidRPr="0048184E">
        <w:rPr>
          <w:rFonts w:cstheme="minorHAnsi"/>
          <w:sz w:val="18"/>
          <w:szCs w:val="18"/>
          <w:lang w:val="pl-PL"/>
        </w:rPr>
        <w:t xml:space="preserve">opisa u Crnoj Gori živjelo je 623.633 stanovnika, od čega 50,80% ili 316.826 žena, a 49,20% ili 306.807 muškaraca. Najveći broj stanovništva po Popisu zabilježen je u Podgorici (179.505), što predstavlja 28,78% ukupnog stanovništva Crne Gore, a zatim slijede Nikšić i Bar. </w:t>
      </w:r>
      <w:r w:rsidRPr="0048184E">
        <w:rPr>
          <w:rFonts w:eastAsia="Aptos" w:cstheme="minorHAnsi"/>
          <w:sz w:val="18"/>
          <w:szCs w:val="18"/>
          <w:lang w:val="pl-PL"/>
        </w:rPr>
        <w:t>Zajedno, ove tri opštine čine približno polovinu (47 posto) stanovništva zemlje. Najmanje naseljena opština je Šavnik, sa samo 1.569 stanovnika, što predstavlja 0,25 posto ukupnog stanovništva. Gradsko stanovništvo Crne Gore je u stalnom porastu. Danas više od 400.000 ljudi – preko dvije trećine ukupnog stanovništva – živi u urbanim područjima.</w:t>
      </w:r>
      <w:r w:rsidRPr="0048184E">
        <w:rPr>
          <w:rFonts w:eastAsia="Aptos" w:cstheme="minorHAnsi"/>
          <w:sz w:val="18"/>
          <w:szCs w:val="18"/>
          <w:vertAlign w:val="superscript"/>
        </w:rPr>
        <w:footnoteReference w:id="30"/>
      </w:r>
    </w:p>
    <w:p w14:paraId="5AF961DA" w14:textId="77777777" w:rsidR="00223F35" w:rsidRPr="0048184E" w:rsidRDefault="00223F35" w:rsidP="0048184E">
      <w:pPr>
        <w:pBdr>
          <w:top w:val="nil"/>
          <w:left w:val="nil"/>
          <w:bottom w:val="nil"/>
          <w:right w:val="nil"/>
          <w:between w:val="nil"/>
        </w:pBdr>
        <w:spacing w:after="0" w:line="240" w:lineRule="auto"/>
        <w:jc w:val="both"/>
        <w:rPr>
          <w:rFonts w:cstheme="minorHAnsi"/>
          <w:sz w:val="18"/>
          <w:szCs w:val="18"/>
          <w:lang w:val="pl-PL"/>
        </w:rPr>
      </w:pPr>
    </w:p>
    <w:p w14:paraId="2C2BE075" w14:textId="77777777" w:rsidR="00223F35" w:rsidRDefault="00223F35" w:rsidP="0048184E">
      <w:pPr>
        <w:pBdr>
          <w:top w:val="nil"/>
          <w:left w:val="nil"/>
          <w:bottom w:val="nil"/>
          <w:right w:val="nil"/>
          <w:between w:val="nil"/>
        </w:pBdr>
        <w:spacing w:after="0" w:line="240" w:lineRule="auto"/>
        <w:jc w:val="both"/>
        <w:rPr>
          <w:rFonts w:cstheme="minorHAnsi"/>
          <w:sz w:val="18"/>
          <w:szCs w:val="18"/>
          <w:lang w:val="pl-PL"/>
        </w:rPr>
      </w:pPr>
      <w:r w:rsidRPr="0048184E">
        <w:rPr>
          <w:rFonts w:cstheme="minorHAnsi"/>
          <w:sz w:val="18"/>
          <w:szCs w:val="18"/>
          <w:lang w:val="pl-PL"/>
        </w:rPr>
        <w:t xml:space="preserve">Struktura stanovništva po polu, nije znatno izmijenjena u odnosu na Popis 2011. godine (50,61% žena i 49,39% muškaraca), ali je ukupan broj stanovništva povećan. Naime prema rezultatima  Popisa 2011 u Crnoj Gori živjelo je 620.029 stanovnika. I 2011. godine, kao i 2023. godine najveći broj stanovništva zabilježen je u Podgorici (185.937), što predstavlja 30% ukupnog stanovništva Crne Gore. </w:t>
      </w:r>
    </w:p>
    <w:p w14:paraId="2A4EB070" w14:textId="77777777" w:rsidR="00B26027" w:rsidRDefault="00B26027" w:rsidP="0048184E">
      <w:pPr>
        <w:pBdr>
          <w:top w:val="nil"/>
          <w:left w:val="nil"/>
          <w:bottom w:val="nil"/>
          <w:right w:val="nil"/>
          <w:between w:val="nil"/>
        </w:pBdr>
        <w:spacing w:after="0" w:line="240" w:lineRule="auto"/>
        <w:jc w:val="both"/>
        <w:rPr>
          <w:rFonts w:cstheme="minorHAnsi"/>
          <w:sz w:val="18"/>
          <w:szCs w:val="18"/>
          <w:lang w:val="pl-PL"/>
        </w:rPr>
      </w:pPr>
    </w:p>
    <w:p w14:paraId="27D37A8D" w14:textId="77777777" w:rsidR="00B26027" w:rsidRDefault="00B26027" w:rsidP="0048184E">
      <w:pPr>
        <w:pBdr>
          <w:top w:val="nil"/>
          <w:left w:val="nil"/>
          <w:bottom w:val="nil"/>
          <w:right w:val="nil"/>
          <w:between w:val="nil"/>
        </w:pBdr>
        <w:spacing w:after="0" w:line="240" w:lineRule="auto"/>
        <w:jc w:val="both"/>
        <w:rPr>
          <w:rFonts w:cstheme="minorHAnsi"/>
          <w:sz w:val="18"/>
          <w:szCs w:val="18"/>
          <w:lang w:val="pl-PL"/>
        </w:rPr>
      </w:pPr>
    </w:p>
    <w:p w14:paraId="77114019" w14:textId="77777777" w:rsidR="00B26027" w:rsidRPr="0048184E" w:rsidRDefault="00B26027" w:rsidP="0048184E">
      <w:pPr>
        <w:pBdr>
          <w:top w:val="nil"/>
          <w:left w:val="nil"/>
          <w:bottom w:val="nil"/>
          <w:right w:val="nil"/>
          <w:between w:val="nil"/>
        </w:pBdr>
        <w:spacing w:after="0" w:line="240" w:lineRule="auto"/>
        <w:jc w:val="both"/>
        <w:rPr>
          <w:rFonts w:cstheme="minorHAnsi"/>
          <w:sz w:val="18"/>
          <w:szCs w:val="18"/>
          <w:lang w:val="pl-PL"/>
        </w:rPr>
      </w:pPr>
    </w:p>
    <w:p w14:paraId="6BD4E6DB" w14:textId="77777777" w:rsidR="00223F35" w:rsidRPr="004B0391" w:rsidRDefault="00223F35" w:rsidP="004B0391">
      <w:pPr>
        <w:pBdr>
          <w:top w:val="nil"/>
          <w:left w:val="nil"/>
          <w:bottom w:val="nil"/>
          <w:right w:val="nil"/>
          <w:between w:val="nil"/>
        </w:pBdr>
        <w:spacing w:after="0" w:line="240" w:lineRule="auto"/>
        <w:jc w:val="center"/>
        <w:rPr>
          <w:rFonts w:cstheme="minorHAnsi"/>
          <w:b/>
          <w:color w:val="4472C4" w:themeColor="accent5"/>
          <w:sz w:val="18"/>
          <w:szCs w:val="18"/>
          <w:lang w:val="pl-PL"/>
        </w:rPr>
      </w:pPr>
    </w:p>
    <w:p w14:paraId="61A94F6D" w14:textId="77777777" w:rsidR="00223F35" w:rsidRPr="004B0391" w:rsidRDefault="00223F35" w:rsidP="004B0391">
      <w:pPr>
        <w:pBdr>
          <w:top w:val="nil"/>
          <w:left w:val="nil"/>
          <w:bottom w:val="nil"/>
          <w:right w:val="nil"/>
          <w:between w:val="nil"/>
        </w:pBd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 xml:space="preserve">Grafik </w:t>
      </w:r>
      <w:r w:rsidR="004B0391" w:rsidRPr="004B0391">
        <w:rPr>
          <w:rFonts w:cstheme="minorHAnsi"/>
          <w:b/>
          <w:color w:val="4472C4" w:themeColor="accent5"/>
          <w:sz w:val="18"/>
          <w:szCs w:val="18"/>
          <w:lang w:val="pl-PL"/>
        </w:rPr>
        <w:t>9</w:t>
      </w:r>
      <w:r w:rsidRPr="004B0391">
        <w:rPr>
          <w:rFonts w:cstheme="minorHAnsi"/>
          <w:b/>
          <w:color w:val="4472C4" w:themeColor="accent5"/>
          <w:sz w:val="18"/>
          <w:szCs w:val="18"/>
          <w:lang w:val="pl-PL"/>
        </w:rPr>
        <w:t>. Procijenjeni broj stanovnika u Crnoj Gori od 2013. do 2023., početkom godine</w:t>
      </w:r>
    </w:p>
    <w:p w14:paraId="3758E9C8" w14:textId="77777777" w:rsidR="00223F35" w:rsidRPr="0048184E" w:rsidRDefault="00223F35" w:rsidP="0048184E">
      <w:pPr>
        <w:pBdr>
          <w:top w:val="nil"/>
          <w:left w:val="nil"/>
          <w:bottom w:val="nil"/>
          <w:right w:val="nil"/>
          <w:between w:val="nil"/>
        </w:pBdr>
        <w:spacing w:after="0" w:line="240" w:lineRule="auto"/>
        <w:jc w:val="both"/>
        <w:rPr>
          <w:rFonts w:cstheme="minorHAnsi"/>
          <w:sz w:val="18"/>
          <w:szCs w:val="18"/>
          <w:lang w:val="pl-PL"/>
        </w:rPr>
      </w:pPr>
    </w:p>
    <w:p w14:paraId="690D67AF" w14:textId="77777777" w:rsidR="00223F35" w:rsidRPr="0048184E" w:rsidRDefault="00223F35" w:rsidP="0048184E">
      <w:pPr>
        <w:spacing w:after="0" w:line="240" w:lineRule="auto"/>
        <w:jc w:val="both"/>
        <w:rPr>
          <w:rFonts w:eastAsia="Aptos" w:cs="Times New Roman"/>
          <w:sz w:val="18"/>
          <w:szCs w:val="18"/>
          <w:lang w:val="pl-PL"/>
        </w:rPr>
      </w:pPr>
    </w:p>
    <w:p w14:paraId="424F9019" w14:textId="77777777" w:rsidR="00223F35" w:rsidRPr="0048184E" w:rsidRDefault="00223F35" w:rsidP="0048184E">
      <w:pPr>
        <w:spacing w:after="0" w:line="240" w:lineRule="auto"/>
        <w:jc w:val="both"/>
        <w:rPr>
          <w:rFonts w:eastAsia="Aptos" w:cs="Times New Roman"/>
          <w:sz w:val="18"/>
          <w:szCs w:val="18"/>
          <w:lang w:val="pl-PL"/>
        </w:rPr>
      </w:pPr>
      <w:r w:rsidRPr="0048184E">
        <w:rPr>
          <w:noProof/>
          <w:sz w:val="18"/>
          <w:szCs w:val="18"/>
        </w:rPr>
        <w:lastRenderedPageBreak/>
        <w:drawing>
          <wp:inline distT="0" distB="0" distL="0" distR="0" wp14:anchorId="761406B9" wp14:editId="7952E096">
            <wp:extent cx="5114925" cy="2651760"/>
            <wp:effectExtent l="0" t="0" r="0" b="0"/>
            <wp:docPr id="9" name="Chart 9">
              <a:extLst xmlns:a="http://schemas.openxmlformats.org/drawingml/2006/main">
                <a:ext uri="{FF2B5EF4-FFF2-40B4-BE49-F238E27FC236}">
                  <a16:creationId xmlns:a16="http://schemas.microsoft.com/office/drawing/2014/main" id="{A511102C-B21D-4B1F-85B8-F6EC0EC84D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57DBAA" w14:textId="77777777" w:rsidR="00223F35" w:rsidRPr="0048184E" w:rsidRDefault="00223F35" w:rsidP="0048184E">
      <w:pPr>
        <w:spacing w:after="0" w:line="240" w:lineRule="auto"/>
        <w:jc w:val="both"/>
        <w:rPr>
          <w:rFonts w:eastAsia="Aptos" w:cs="Times New Roman"/>
          <w:sz w:val="18"/>
          <w:szCs w:val="18"/>
          <w:lang w:val="pl-PL"/>
        </w:rPr>
      </w:pPr>
    </w:p>
    <w:p w14:paraId="2292AE4D" w14:textId="77777777" w:rsidR="00223F35" w:rsidRPr="0048184E" w:rsidRDefault="00223F35" w:rsidP="0048184E">
      <w:pPr>
        <w:spacing w:after="0" w:line="240" w:lineRule="auto"/>
        <w:jc w:val="both"/>
        <w:rPr>
          <w:rFonts w:eastAsia="Aptos" w:cs="Times New Roman"/>
          <w:sz w:val="18"/>
          <w:szCs w:val="18"/>
          <w:lang w:val="pl-PL"/>
        </w:rPr>
      </w:pPr>
      <w:r w:rsidRPr="0048184E">
        <w:rPr>
          <w:rFonts w:eastAsia="Aptos" w:cs="Times New Roman"/>
          <w:sz w:val="18"/>
          <w:szCs w:val="18"/>
          <w:lang w:val="pl-PL"/>
        </w:rPr>
        <w:t xml:space="preserve">Izvor: Monstat </w:t>
      </w:r>
    </w:p>
    <w:p w14:paraId="70357386" w14:textId="77777777" w:rsidR="00223F35" w:rsidRPr="0048184E" w:rsidRDefault="00223F35" w:rsidP="0048184E">
      <w:pPr>
        <w:spacing w:after="0" w:line="240" w:lineRule="auto"/>
        <w:jc w:val="both"/>
        <w:rPr>
          <w:rFonts w:eastAsia="Aptos" w:cs="Times New Roman"/>
          <w:sz w:val="18"/>
          <w:szCs w:val="18"/>
          <w:lang w:val="pl-PL"/>
        </w:rPr>
      </w:pPr>
    </w:p>
    <w:p w14:paraId="4D9DBFD2" w14:textId="77777777" w:rsidR="00223F35" w:rsidRPr="0048184E" w:rsidRDefault="00223F35" w:rsidP="0048184E">
      <w:pPr>
        <w:pBdr>
          <w:top w:val="nil"/>
          <w:left w:val="nil"/>
          <w:bottom w:val="nil"/>
          <w:right w:val="nil"/>
          <w:between w:val="nil"/>
        </w:pBdr>
        <w:spacing w:after="0" w:line="240" w:lineRule="auto"/>
        <w:jc w:val="both"/>
        <w:rPr>
          <w:sz w:val="18"/>
          <w:szCs w:val="18"/>
          <w:lang w:val="pl-PL"/>
        </w:rPr>
      </w:pPr>
      <w:r w:rsidRPr="0048184E">
        <w:rPr>
          <w:sz w:val="18"/>
          <w:szCs w:val="18"/>
          <w:lang w:val="pl-PL"/>
        </w:rPr>
        <w:t>Statističke procjene pokazuju da je došlo do pada u broju stanovnika u Crnoj Gori za poslednjih deset godina, što je prikazano na prethodnom graf</w:t>
      </w:r>
      <w:r w:rsidR="00D94DBB" w:rsidRPr="0048184E">
        <w:rPr>
          <w:sz w:val="18"/>
          <w:szCs w:val="18"/>
          <w:lang w:val="pl-PL"/>
        </w:rPr>
        <w:t xml:space="preserve">iku, kao i u Tabeli u nastavku. </w:t>
      </w:r>
      <w:r w:rsidRPr="0048184E">
        <w:rPr>
          <w:sz w:val="18"/>
          <w:szCs w:val="18"/>
          <w:lang w:val="pl-PL"/>
        </w:rPr>
        <w:t>Tabelom</w:t>
      </w:r>
      <w:r w:rsidR="007F6CB0">
        <w:rPr>
          <w:sz w:val="18"/>
          <w:szCs w:val="18"/>
          <w:lang w:val="pl-PL"/>
        </w:rPr>
        <w:t xml:space="preserve"> 5</w:t>
      </w:r>
      <w:r w:rsidRPr="0048184E">
        <w:rPr>
          <w:sz w:val="18"/>
          <w:szCs w:val="18"/>
          <w:lang w:val="pl-PL"/>
        </w:rPr>
        <w:t xml:space="preserve">  prikazano je i kretanje ukupnog stanovništva po polu, u periodu od 2013. do 2023. godine. Može se zaključiti da učešće po polu ostalo je na sličnom nivou tokom posmatranog desetogodišnjeg perioda.</w:t>
      </w:r>
    </w:p>
    <w:p w14:paraId="37D4BF52" w14:textId="77777777" w:rsidR="00223F35" w:rsidRPr="007F6CB0" w:rsidRDefault="00223F35" w:rsidP="007F6CB0">
      <w:pPr>
        <w:spacing w:after="0" w:line="240" w:lineRule="auto"/>
        <w:jc w:val="center"/>
        <w:rPr>
          <w:b/>
          <w:color w:val="4472C4" w:themeColor="accent5"/>
          <w:sz w:val="18"/>
          <w:szCs w:val="18"/>
          <w:lang w:val="pl-PL"/>
        </w:rPr>
      </w:pPr>
    </w:p>
    <w:p w14:paraId="77BC7312" w14:textId="77777777" w:rsidR="00223F35" w:rsidRPr="007F6CB0" w:rsidRDefault="00223F35" w:rsidP="007F6CB0">
      <w:pPr>
        <w:spacing w:after="0" w:line="240" w:lineRule="auto"/>
        <w:jc w:val="center"/>
        <w:rPr>
          <w:b/>
          <w:color w:val="4472C4" w:themeColor="accent5"/>
          <w:sz w:val="18"/>
          <w:szCs w:val="18"/>
          <w:lang w:val="pl-PL"/>
        </w:rPr>
      </w:pPr>
      <w:r w:rsidRPr="007F6CB0">
        <w:rPr>
          <w:b/>
          <w:bCs/>
          <w:color w:val="4472C4" w:themeColor="accent5"/>
          <w:sz w:val="18"/>
          <w:szCs w:val="18"/>
          <w:lang w:val="pl-PL"/>
        </w:rPr>
        <w:t xml:space="preserve">Tabela </w:t>
      </w:r>
      <w:r w:rsidR="007F6CB0" w:rsidRPr="007F6CB0">
        <w:rPr>
          <w:b/>
          <w:bCs/>
          <w:color w:val="4472C4" w:themeColor="accent5"/>
          <w:sz w:val="18"/>
          <w:szCs w:val="18"/>
          <w:lang w:val="pl-PL"/>
        </w:rPr>
        <w:t>5.</w:t>
      </w:r>
      <w:r w:rsidRPr="007F6CB0">
        <w:rPr>
          <w:b/>
          <w:color w:val="4472C4" w:themeColor="accent5"/>
          <w:sz w:val="18"/>
          <w:szCs w:val="18"/>
          <w:lang w:val="pl-PL"/>
        </w:rPr>
        <w:t xml:space="preserve"> Procijenjeni broj stanovnika u Crnoj Gori od 2013. do 2023. godine, ukupno i po polu, početkom godine</w:t>
      </w:r>
    </w:p>
    <w:tbl>
      <w:tblPr>
        <w:tblStyle w:val="ListTable7Colorful-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13"/>
        <w:gridCol w:w="713"/>
        <w:gridCol w:w="713"/>
        <w:gridCol w:w="713"/>
        <w:gridCol w:w="713"/>
        <w:gridCol w:w="713"/>
        <w:gridCol w:w="713"/>
        <w:gridCol w:w="713"/>
        <w:gridCol w:w="713"/>
        <w:gridCol w:w="713"/>
        <w:gridCol w:w="713"/>
      </w:tblGrid>
      <w:tr w:rsidR="007F6CB0" w:rsidRPr="007F6CB0" w14:paraId="13A27D0D" w14:textId="77777777" w:rsidTr="00A445B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651" w:type="pct"/>
            <w:noWrap/>
            <w:hideMark/>
          </w:tcPr>
          <w:p w14:paraId="139761EB" w14:textId="77777777" w:rsidR="00223F35" w:rsidRPr="0048184E" w:rsidRDefault="00223F35" w:rsidP="0048184E">
            <w:pPr>
              <w:jc w:val="center"/>
              <w:rPr>
                <w:rFonts w:asciiTheme="minorHAnsi" w:eastAsia="Times New Roman" w:hAnsiTheme="minorHAnsi" w:cstheme="minorHAnsi"/>
                <w:color w:val="auto"/>
                <w:sz w:val="18"/>
                <w:szCs w:val="18"/>
                <w:lang w:val="pl-PL"/>
              </w:rPr>
            </w:pPr>
          </w:p>
        </w:tc>
        <w:tc>
          <w:tcPr>
            <w:tcW w:w="445" w:type="pct"/>
            <w:noWrap/>
            <w:hideMark/>
          </w:tcPr>
          <w:p w14:paraId="319428E6"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2013</w:t>
            </w:r>
          </w:p>
        </w:tc>
        <w:tc>
          <w:tcPr>
            <w:tcW w:w="346" w:type="pct"/>
            <w:noWrap/>
            <w:hideMark/>
          </w:tcPr>
          <w:p w14:paraId="1BF1BFB2"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2014</w:t>
            </w:r>
          </w:p>
        </w:tc>
        <w:tc>
          <w:tcPr>
            <w:tcW w:w="395" w:type="pct"/>
            <w:noWrap/>
            <w:hideMark/>
          </w:tcPr>
          <w:p w14:paraId="2453D5B9"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2015</w:t>
            </w:r>
          </w:p>
        </w:tc>
        <w:tc>
          <w:tcPr>
            <w:tcW w:w="395" w:type="pct"/>
            <w:noWrap/>
            <w:hideMark/>
          </w:tcPr>
          <w:p w14:paraId="3F3AEDAD"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2016</w:t>
            </w:r>
          </w:p>
        </w:tc>
        <w:tc>
          <w:tcPr>
            <w:tcW w:w="395" w:type="pct"/>
            <w:noWrap/>
            <w:hideMark/>
          </w:tcPr>
          <w:p w14:paraId="52BCED06"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2017</w:t>
            </w:r>
          </w:p>
        </w:tc>
        <w:tc>
          <w:tcPr>
            <w:tcW w:w="395" w:type="pct"/>
            <w:noWrap/>
            <w:hideMark/>
          </w:tcPr>
          <w:p w14:paraId="34DDDD97"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2018</w:t>
            </w:r>
          </w:p>
        </w:tc>
        <w:tc>
          <w:tcPr>
            <w:tcW w:w="395" w:type="pct"/>
            <w:noWrap/>
            <w:hideMark/>
          </w:tcPr>
          <w:p w14:paraId="3E8ABE9A"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2019</w:t>
            </w:r>
          </w:p>
        </w:tc>
        <w:tc>
          <w:tcPr>
            <w:tcW w:w="395" w:type="pct"/>
            <w:noWrap/>
            <w:hideMark/>
          </w:tcPr>
          <w:p w14:paraId="6BBEDE21"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2020</w:t>
            </w:r>
          </w:p>
        </w:tc>
        <w:tc>
          <w:tcPr>
            <w:tcW w:w="395" w:type="pct"/>
            <w:noWrap/>
            <w:hideMark/>
          </w:tcPr>
          <w:p w14:paraId="145C7D12"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2021</w:t>
            </w:r>
          </w:p>
        </w:tc>
        <w:tc>
          <w:tcPr>
            <w:tcW w:w="395" w:type="pct"/>
            <w:noWrap/>
            <w:hideMark/>
          </w:tcPr>
          <w:p w14:paraId="3B36D05D"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2022</w:t>
            </w:r>
          </w:p>
        </w:tc>
        <w:tc>
          <w:tcPr>
            <w:tcW w:w="395" w:type="pct"/>
          </w:tcPr>
          <w:p w14:paraId="40E45BCC"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2023</w:t>
            </w:r>
          </w:p>
        </w:tc>
      </w:tr>
      <w:tr w:rsidR="00223F35" w:rsidRPr="0048184E" w14:paraId="0CD3DE55" w14:textId="77777777" w:rsidTr="00A445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1" w:type="pct"/>
            <w:noWrap/>
            <w:hideMark/>
          </w:tcPr>
          <w:p w14:paraId="5BA40A54" w14:textId="77777777" w:rsidR="00223F35" w:rsidRPr="0048184E" w:rsidRDefault="00223F35" w:rsidP="0048184E">
            <w:pPr>
              <w:jc w:val="center"/>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Ukupno stanov.</w:t>
            </w:r>
          </w:p>
        </w:tc>
        <w:tc>
          <w:tcPr>
            <w:tcW w:w="445" w:type="pct"/>
            <w:noWrap/>
            <w:vAlign w:val="center"/>
            <w:hideMark/>
          </w:tcPr>
          <w:p w14:paraId="3F2D119B"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620,893</w:t>
            </w:r>
          </w:p>
        </w:tc>
        <w:tc>
          <w:tcPr>
            <w:tcW w:w="346" w:type="pct"/>
            <w:noWrap/>
            <w:vAlign w:val="center"/>
            <w:hideMark/>
          </w:tcPr>
          <w:p w14:paraId="3F094006"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621,521</w:t>
            </w:r>
          </w:p>
        </w:tc>
        <w:tc>
          <w:tcPr>
            <w:tcW w:w="395" w:type="pct"/>
            <w:noWrap/>
            <w:vAlign w:val="center"/>
            <w:hideMark/>
          </w:tcPr>
          <w:p w14:paraId="60EA026A"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622,099</w:t>
            </w:r>
          </w:p>
        </w:tc>
        <w:tc>
          <w:tcPr>
            <w:tcW w:w="395" w:type="pct"/>
            <w:noWrap/>
            <w:vAlign w:val="center"/>
            <w:hideMark/>
          </w:tcPr>
          <w:p w14:paraId="0C6B8D5A"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622,218</w:t>
            </w:r>
          </w:p>
        </w:tc>
        <w:tc>
          <w:tcPr>
            <w:tcW w:w="395" w:type="pct"/>
            <w:noWrap/>
            <w:vAlign w:val="center"/>
            <w:hideMark/>
          </w:tcPr>
          <w:p w14:paraId="151A7E4E"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622,387</w:t>
            </w:r>
          </w:p>
        </w:tc>
        <w:tc>
          <w:tcPr>
            <w:tcW w:w="395" w:type="pct"/>
            <w:noWrap/>
            <w:vAlign w:val="center"/>
            <w:hideMark/>
          </w:tcPr>
          <w:p w14:paraId="346C2A30"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622,359</w:t>
            </w:r>
          </w:p>
        </w:tc>
        <w:tc>
          <w:tcPr>
            <w:tcW w:w="395" w:type="pct"/>
            <w:noWrap/>
            <w:vAlign w:val="center"/>
            <w:hideMark/>
          </w:tcPr>
          <w:p w14:paraId="349B4197"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622,182</w:t>
            </w:r>
          </w:p>
        </w:tc>
        <w:tc>
          <w:tcPr>
            <w:tcW w:w="395" w:type="pct"/>
            <w:noWrap/>
            <w:vAlign w:val="center"/>
            <w:hideMark/>
          </w:tcPr>
          <w:p w14:paraId="433002A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621,873</w:t>
            </w:r>
          </w:p>
        </w:tc>
        <w:tc>
          <w:tcPr>
            <w:tcW w:w="395" w:type="pct"/>
            <w:noWrap/>
            <w:vAlign w:val="center"/>
            <w:hideMark/>
          </w:tcPr>
          <w:p w14:paraId="23E21DAE"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620,739</w:t>
            </w:r>
          </w:p>
        </w:tc>
        <w:tc>
          <w:tcPr>
            <w:tcW w:w="395" w:type="pct"/>
            <w:noWrap/>
            <w:vAlign w:val="center"/>
            <w:hideMark/>
          </w:tcPr>
          <w:p w14:paraId="3499565B"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617,683</w:t>
            </w:r>
          </w:p>
        </w:tc>
        <w:tc>
          <w:tcPr>
            <w:tcW w:w="395" w:type="pct"/>
            <w:vAlign w:val="center"/>
          </w:tcPr>
          <w:p w14:paraId="7992B919"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616,695</w:t>
            </w:r>
          </w:p>
        </w:tc>
      </w:tr>
      <w:tr w:rsidR="00223F35" w:rsidRPr="0048184E" w14:paraId="72FF1093" w14:textId="77777777" w:rsidTr="00A445B6">
        <w:trPr>
          <w:trHeight w:val="288"/>
          <w:jc w:val="center"/>
        </w:trPr>
        <w:tc>
          <w:tcPr>
            <w:cnfStyle w:val="001000000000" w:firstRow="0" w:lastRow="0" w:firstColumn="1" w:lastColumn="0" w:oddVBand="0" w:evenVBand="0" w:oddHBand="0" w:evenHBand="0" w:firstRowFirstColumn="0" w:firstRowLastColumn="0" w:lastRowFirstColumn="0" w:lastRowLastColumn="0"/>
            <w:tcW w:w="651" w:type="pct"/>
            <w:tcBorders>
              <w:right w:val="none" w:sz="0" w:space="0" w:color="auto"/>
            </w:tcBorders>
            <w:noWrap/>
            <w:hideMark/>
          </w:tcPr>
          <w:p w14:paraId="37052C3C" w14:textId="77777777" w:rsidR="00223F35" w:rsidRPr="0048184E" w:rsidRDefault="00223F35" w:rsidP="0048184E">
            <w:pPr>
              <w:jc w:val="center"/>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Ženski</w:t>
            </w:r>
          </w:p>
        </w:tc>
        <w:tc>
          <w:tcPr>
            <w:tcW w:w="445" w:type="pct"/>
            <w:noWrap/>
            <w:vAlign w:val="center"/>
            <w:hideMark/>
          </w:tcPr>
          <w:p w14:paraId="5C7ECCF7"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314,092</w:t>
            </w:r>
          </w:p>
        </w:tc>
        <w:tc>
          <w:tcPr>
            <w:tcW w:w="346" w:type="pct"/>
            <w:noWrap/>
            <w:vAlign w:val="center"/>
            <w:hideMark/>
          </w:tcPr>
          <w:p w14:paraId="078A1167"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314,366</w:t>
            </w:r>
          </w:p>
        </w:tc>
        <w:tc>
          <w:tcPr>
            <w:tcW w:w="395" w:type="pct"/>
            <w:noWrap/>
            <w:vAlign w:val="center"/>
            <w:hideMark/>
          </w:tcPr>
          <w:p w14:paraId="56CA3E96"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314,577</w:t>
            </w:r>
          </w:p>
        </w:tc>
        <w:tc>
          <w:tcPr>
            <w:tcW w:w="395" w:type="pct"/>
            <w:noWrap/>
            <w:vAlign w:val="center"/>
            <w:hideMark/>
          </w:tcPr>
          <w:p w14:paraId="27CFD3BD"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314,484</w:t>
            </w:r>
          </w:p>
        </w:tc>
        <w:tc>
          <w:tcPr>
            <w:tcW w:w="395" w:type="pct"/>
            <w:noWrap/>
            <w:vAlign w:val="center"/>
            <w:hideMark/>
          </w:tcPr>
          <w:p w14:paraId="6AFACBEE"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314,635</w:t>
            </w:r>
          </w:p>
        </w:tc>
        <w:tc>
          <w:tcPr>
            <w:tcW w:w="395" w:type="pct"/>
            <w:noWrap/>
            <w:vAlign w:val="center"/>
            <w:hideMark/>
          </w:tcPr>
          <w:p w14:paraId="326E543C"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314,618</w:t>
            </w:r>
          </w:p>
        </w:tc>
        <w:tc>
          <w:tcPr>
            <w:tcW w:w="395" w:type="pct"/>
            <w:noWrap/>
            <w:vAlign w:val="center"/>
            <w:hideMark/>
          </w:tcPr>
          <w:p w14:paraId="4DA2557E"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314,470</w:t>
            </w:r>
          </w:p>
        </w:tc>
        <w:tc>
          <w:tcPr>
            <w:tcW w:w="395" w:type="pct"/>
            <w:noWrap/>
            <w:vAlign w:val="center"/>
            <w:hideMark/>
          </w:tcPr>
          <w:p w14:paraId="67B6987D"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314,318</w:t>
            </w:r>
          </w:p>
        </w:tc>
        <w:tc>
          <w:tcPr>
            <w:tcW w:w="395" w:type="pct"/>
            <w:noWrap/>
            <w:vAlign w:val="center"/>
            <w:hideMark/>
          </w:tcPr>
          <w:p w14:paraId="6304EBD1"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313,875</w:t>
            </w:r>
          </w:p>
        </w:tc>
        <w:tc>
          <w:tcPr>
            <w:tcW w:w="395" w:type="pct"/>
            <w:noWrap/>
            <w:vAlign w:val="center"/>
            <w:hideMark/>
          </w:tcPr>
          <w:p w14:paraId="4ED7AD28"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312,509</w:t>
            </w:r>
          </w:p>
        </w:tc>
        <w:tc>
          <w:tcPr>
            <w:tcW w:w="395" w:type="pct"/>
            <w:vAlign w:val="center"/>
          </w:tcPr>
          <w:p w14:paraId="431AB784"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312,004</w:t>
            </w:r>
          </w:p>
        </w:tc>
      </w:tr>
      <w:tr w:rsidR="00223F35" w:rsidRPr="0048184E" w14:paraId="13FAB9B5" w14:textId="77777777" w:rsidTr="00A445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1" w:type="pct"/>
            <w:noWrap/>
            <w:hideMark/>
          </w:tcPr>
          <w:p w14:paraId="3E2BDE80" w14:textId="77777777" w:rsidR="00223F35" w:rsidRPr="0048184E" w:rsidRDefault="00223F35" w:rsidP="0048184E">
            <w:pPr>
              <w:jc w:val="center"/>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Muški</w:t>
            </w:r>
          </w:p>
        </w:tc>
        <w:tc>
          <w:tcPr>
            <w:tcW w:w="445" w:type="pct"/>
            <w:noWrap/>
            <w:vAlign w:val="center"/>
            <w:hideMark/>
          </w:tcPr>
          <w:p w14:paraId="34039B29"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306,801</w:t>
            </w:r>
          </w:p>
        </w:tc>
        <w:tc>
          <w:tcPr>
            <w:tcW w:w="346" w:type="pct"/>
            <w:noWrap/>
            <w:vAlign w:val="center"/>
            <w:hideMark/>
          </w:tcPr>
          <w:p w14:paraId="09643263"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307,155</w:t>
            </w:r>
          </w:p>
        </w:tc>
        <w:tc>
          <w:tcPr>
            <w:tcW w:w="395" w:type="pct"/>
            <w:noWrap/>
            <w:vAlign w:val="center"/>
            <w:hideMark/>
          </w:tcPr>
          <w:p w14:paraId="63EDC62C"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307,522</w:t>
            </w:r>
          </w:p>
        </w:tc>
        <w:tc>
          <w:tcPr>
            <w:tcW w:w="395" w:type="pct"/>
            <w:noWrap/>
            <w:vAlign w:val="center"/>
            <w:hideMark/>
          </w:tcPr>
          <w:p w14:paraId="33D8676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307,734</w:t>
            </w:r>
          </w:p>
        </w:tc>
        <w:tc>
          <w:tcPr>
            <w:tcW w:w="395" w:type="pct"/>
            <w:noWrap/>
            <w:vAlign w:val="center"/>
            <w:hideMark/>
          </w:tcPr>
          <w:p w14:paraId="1003464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307,752</w:t>
            </w:r>
          </w:p>
        </w:tc>
        <w:tc>
          <w:tcPr>
            <w:tcW w:w="395" w:type="pct"/>
            <w:noWrap/>
            <w:vAlign w:val="center"/>
            <w:hideMark/>
          </w:tcPr>
          <w:p w14:paraId="68AB577F"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307,741</w:t>
            </w:r>
          </w:p>
        </w:tc>
        <w:tc>
          <w:tcPr>
            <w:tcW w:w="395" w:type="pct"/>
            <w:noWrap/>
            <w:vAlign w:val="center"/>
            <w:hideMark/>
          </w:tcPr>
          <w:p w14:paraId="1048973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307,712</w:t>
            </w:r>
          </w:p>
        </w:tc>
        <w:tc>
          <w:tcPr>
            <w:tcW w:w="395" w:type="pct"/>
            <w:noWrap/>
            <w:vAlign w:val="center"/>
            <w:hideMark/>
          </w:tcPr>
          <w:p w14:paraId="4BDD673A"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307,555</w:t>
            </w:r>
          </w:p>
        </w:tc>
        <w:tc>
          <w:tcPr>
            <w:tcW w:w="395" w:type="pct"/>
            <w:noWrap/>
            <w:vAlign w:val="center"/>
            <w:hideMark/>
          </w:tcPr>
          <w:p w14:paraId="07CE04E6"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306,864</w:t>
            </w:r>
          </w:p>
        </w:tc>
        <w:tc>
          <w:tcPr>
            <w:tcW w:w="395" w:type="pct"/>
            <w:noWrap/>
            <w:vAlign w:val="center"/>
            <w:hideMark/>
          </w:tcPr>
          <w:p w14:paraId="059EA375"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305,174</w:t>
            </w:r>
          </w:p>
        </w:tc>
        <w:tc>
          <w:tcPr>
            <w:tcW w:w="395" w:type="pct"/>
            <w:vAlign w:val="center"/>
          </w:tcPr>
          <w:p w14:paraId="31F15FF3"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304,691</w:t>
            </w:r>
          </w:p>
        </w:tc>
      </w:tr>
    </w:tbl>
    <w:p w14:paraId="14B312B9" w14:textId="77777777" w:rsidR="00223F35" w:rsidRPr="0048184E" w:rsidRDefault="00223F35" w:rsidP="0048184E">
      <w:pPr>
        <w:spacing w:after="0" w:line="240" w:lineRule="auto"/>
        <w:rPr>
          <w:sz w:val="18"/>
          <w:szCs w:val="18"/>
        </w:rPr>
      </w:pPr>
      <w:r w:rsidRPr="0048184E">
        <w:rPr>
          <w:sz w:val="18"/>
          <w:szCs w:val="18"/>
        </w:rPr>
        <w:t>Izvor: Monstat</w:t>
      </w:r>
    </w:p>
    <w:p w14:paraId="34E1FF00" w14:textId="77777777" w:rsidR="00223F35" w:rsidRPr="0048184E" w:rsidRDefault="00223F35" w:rsidP="0048184E">
      <w:pPr>
        <w:spacing w:after="0" w:line="240" w:lineRule="auto"/>
        <w:jc w:val="both"/>
        <w:rPr>
          <w:sz w:val="18"/>
          <w:szCs w:val="18"/>
          <w:lang w:val="pl-PL"/>
        </w:rPr>
      </w:pPr>
    </w:p>
    <w:p w14:paraId="5D007AE4" w14:textId="77777777" w:rsidR="00223F35" w:rsidRPr="00726A49" w:rsidRDefault="00223F35" w:rsidP="00726A49">
      <w:pPr>
        <w:spacing w:after="0" w:line="240" w:lineRule="auto"/>
        <w:jc w:val="both"/>
        <w:rPr>
          <w:sz w:val="18"/>
          <w:szCs w:val="18"/>
          <w:lang w:val="pl-PL"/>
        </w:rPr>
      </w:pPr>
      <w:r w:rsidRPr="0048184E">
        <w:rPr>
          <w:sz w:val="18"/>
          <w:szCs w:val="18"/>
          <w:lang w:val="pl-PL"/>
        </w:rPr>
        <w:t>Prema podacima iz Popisa 2023. godine, prosječna starost stanovništva Crne Gore je 40 godina. Žene u prosjeku imaju 41, a muškarci 39 godina.</w:t>
      </w:r>
      <w:r w:rsidRPr="0048184E">
        <w:rPr>
          <w:sz w:val="18"/>
          <w:szCs w:val="18"/>
          <w:vertAlign w:val="superscript"/>
          <w:lang w:val="pl-PL"/>
        </w:rPr>
        <w:t xml:space="preserve"> </w:t>
      </w:r>
      <w:r w:rsidRPr="0048184E">
        <w:rPr>
          <w:sz w:val="18"/>
          <w:szCs w:val="18"/>
          <w:vertAlign w:val="superscript"/>
        </w:rPr>
        <w:footnoteReference w:id="31"/>
      </w:r>
      <w:r w:rsidRPr="0048184E">
        <w:rPr>
          <w:sz w:val="18"/>
          <w:szCs w:val="18"/>
          <w:lang w:val="pl-PL"/>
        </w:rPr>
        <w:t xml:space="preserve"> </w:t>
      </w:r>
      <w:r w:rsidR="00D94DBB" w:rsidRPr="0048184E">
        <w:rPr>
          <w:sz w:val="18"/>
          <w:szCs w:val="18"/>
          <w:lang w:val="pl-PL"/>
        </w:rPr>
        <w:t>U gradskim naseljima, prema Popisu iz 2011. godine, prosječna starost stanovnika je 37, a u ostalim 38 godina. Stanovništvo Plužina je u prosjeku najstarije sa 47 godina, a Rožaja najmlađe sa prosjekom 36 godina. U odnosu na popis 2011. godine, došlo je do značajnijih promjena. Naime u 2011. godini prosječna starost stanovništva Crne Gore je iznosila 37 godina. Žene su u prosjeku imale 38, a muškarci 36 godina. Stanovništvo Plužina je u prosjeku najstarije sa 44 godine, a Rožaja najmlađe sa prosjekom 32 godine.</w:t>
      </w:r>
      <w:r w:rsidR="00D94DBB" w:rsidRPr="0048184E">
        <w:rPr>
          <w:rStyle w:val="FootnoteReference"/>
          <w:sz w:val="18"/>
          <w:szCs w:val="18"/>
        </w:rPr>
        <w:footnoteReference w:id="32"/>
      </w:r>
    </w:p>
    <w:p w14:paraId="76775923" w14:textId="77777777" w:rsidR="00223F35" w:rsidRPr="00EC14B9" w:rsidRDefault="00223F35" w:rsidP="00EC14B9">
      <w:pPr>
        <w:spacing w:after="0" w:line="240" w:lineRule="auto"/>
        <w:jc w:val="center"/>
        <w:rPr>
          <w:rFonts w:eastAsiaTheme="minorEastAsia" w:cs="Times New Roman"/>
          <w:b/>
          <w:color w:val="4472C4" w:themeColor="accent5"/>
          <w:kern w:val="2"/>
          <w:sz w:val="18"/>
          <w:szCs w:val="18"/>
          <w:lang w:val="pl-PL" w:eastAsia="zh-TW"/>
          <w14:ligatures w14:val="standardContextual"/>
        </w:rPr>
      </w:pPr>
      <w:bookmarkStart w:id="28" w:name="_Hlk201138967"/>
      <w:r w:rsidRPr="00EC14B9">
        <w:rPr>
          <w:rFonts w:eastAsiaTheme="minorEastAsia" w:cs="Times New Roman"/>
          <w:b/>
          <w:bCs/>
          <w:color w:val="4472C4" w:themeColor="accent5"/>
          <w:kern w:val="2"/>
          <w:sz w:val="18"/>
          <w:szCs w:val="18"/>
          <w:lang w:val="pl-PL" w:eastAsia="zh-TW"/>
          <w14:ligatures w14:val="standardContextual"/>
        </w:rPr>
        <w:t>Tabela</w:t>
      </w:r>
      <w:r w:rsidR="00EC14B9" w:rsidRPr="00EC14B9">
        <w:rPr>
          <w:rFonts w:eastAsiaTheme="minorEastAsia" w:cs="Times New Roman"/>
          <w:b/>
          <w:bCs/>
          <w:color w:val="4472C4" w:themeColor="accent5"/>
          <w:kern w:val="2"/>
          <w:sz w:val="18"/>
          <w:szCs w:val="18"/>
          <w:lang w:val="pl-PL" w:eastAsia="zh-TW"/>
          <w14:ligatures w14:val="standardContextual"/>
        </w:rPr>
        <w:t xml:space="preserve"> 6.</w:t>
      </w:r>
      <w:r w:rsidRPr="00EC14B9">
        <w:rPr>
          <w:rFonts w:eastAsiaTheme="minorEastAsia" w:cs="Times New Roman"/>
          <w:b/>
          <w:bCs/>
          <w:color w:val="4472C4" w:themeColor="accent5"/>
          <w:kern w:val="2"/>
          <w:sz w:val="18"/>
          <w:szCs w:val="18"/>
          <w:lang w:val="pl-PL" w:eastAsia="zh-TW"/>
          <w14:ligatures w14:val="standardContextual"/>
        </w:rPr>
        <w:t xml:space="preserve"> Odabrani pokazatelji za opštine</w:t>
      </w:r>
    </w:p>
    <w:tbl>
      <w:tblPr>
        <w:tblStyle w:val="TableGrid3"/>
        <w:tblW w:w="0" w:type="auto"/>
        <w:tblLook w:val="04A0" w:firstRow="1" w:lastRow="0" w:firstColumn="1" w:lastColumn="0" w:noHBand="0" w:noVBand="1"/>
      </w:tblPr>
      <w:tblGrid>
        <w:gridCol w:w="1003"/>
        <w:gridCol w:w="1060"/>
        <w:gridCol w:w="1059"/>
        <w:gridCol w:w="1020"/>
        <w:gridCol w:w="894"/>
        <w:gridCol w:w="1068"/>
        <w:gridCol w:w="950"/>
        <w:gridCol w:w="950"/>
        <w:gridCol w:w="1012"/>
      </w:tblGrid>
      <w:tr w:rsidR="0048184E" w:rsidRPr="002A2822" w14:paraId="060FE304" w14:textId="77777777" w:rsidTr="00A445B6">
        <w:tc>
          <w:tcPr>
            <w:tcW w:w="974" w:type="dxa"/>
            <w:hideMark/>
          </w:tcPr>
          <w:p w14:paraId="5BA38B86" w14:textId="77777777" w:rsidR="00223F35" w:rsidRPr="0048184E" w:rsidRDefault="00223F35" w:rsidP="0048184E">
            <w:pPr>
              <w:rPr>
                <w:rFonts w:asciiTheme="minorHAnsi" w:hAnsiTheme="minorHAnsi"/>
                <w:sz w:val="18"/>
                <w:szCs w:val="18"/>
                <w:lang w:val="pl-PL" w:eastAsia="zh-TW"/>
              </w:rPr>
            </w:pPr>
            <w:r w:rsidRPr="0048184E">
              <w:rPr>
                <w:rFonts w:asciiTheme="minorHAnsi" w:hAnsiTheme="minorHAnsi"/>
                <w:sz w:val="18"/>
                <w:szCs w:val="18"/>
                <w:lang w:val="pl-PL" w:eastAsia="zh-TW"/>
              </w:rPr>
              <w:t> </w:t>
            </w:r>
          </w:p>
        </w:tc>
        <w:tc>
          <w:tcPr>
            <w:tcW w:w="1114" w:type="dxa"/>
            <w:hideMark/>
          </w:tcPr>
          <w:p w14:paraId="2C2C7E9B"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Stanovništvo</w:t>
            </w:r>
          </w:p>
          <w:p w14:paraId="4201BB81"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2023</w:t>
            </w:r>
          </w:p>
        </w:tc>
        <w:tc>
          <w:tcPr>
            <w:tcW w:w="1057" w:type="dxa"/>
            <w:hideMark/>
          </w:tcPr>
          <w:p w14:paraId="57830A5F"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Stanovništvo 2023. godine, kao % nacionalnog prosjeka</w:t>
            </w:r>
          </w:p>
        </w:tc>
        <w:tc>
          <w:tcPr>
            <w:tcW w:w="1115" w:type="dxa"/>
            <w:noWrap/>
            <w:hideMark/>
          </w:tcPr>
          <w:p w14:paraId="5931B56D"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Aktivna preduzeća 2024. godine, kao % nacionalnog prosjeka</w:t>
            </w:r>
          </w:p>
        </w:tc>
        <w:tc>
          <w:tcPr>
            <w:tcW w:w="852" w:type="dxa"/>
            <w:noWrap/>
            <w:hideMark/>
          </w:tcPr>
          <w:p w14:paraId="630A0B6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Stopa aktivnosti, %, 2023</w:t>
            </w:r>
          </w:p>
        </w:tc>
        <w:tc>
          <w:tcPr>
            <w:tcW w:w="1169" w:type="dxa"/>
            <w:noWrap/>
            <w:hideMark/>
          </w:tcPr>
          <w:p w14:paraId="13649BC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Nezaposleni %, 2023.</w:t>
            </w:r>
          </w:p>
        </w:tc>
        <w:tc>
          <w:tcPr>
            <w:tcW w:w="906" w:type="dxa"/>
            <w:noWrap/>
            <w:hideMark/>
          </w:tcPr>
          <w:p w14:paraId="15B9ED7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 novih stambenih jedinica (izgrađenih 2001-2023), 2023</w:t>
            </w:r>
          </w:p>
        </w:tc>
        <w:tc>
          <w:tcPr>
            <w:tcW w:w="873" w:type="dxa"/>
            <w:noWrap/>
            <w:hideMark/>
          </w:tcPr>
          <w:p w14:paraId="18D736C9"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 praznih i napuštenih stambenih jedinica u ukupnom fondu, 2023.</w:t>
            </w:r>
          </w:p>
        </w:tc>
        <w:tc>
          <w:tcPr>
            <w:tcW w:w="956" w:type="dxa"/>
            <w:hideMark/>
          </w:tcPr>
          <w:p w14:paraId="135D86FA"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plata I-XI 2024, kao % nacionalnog prosjeka</w:t>
            </w:r>
          </w:p>
        </w:tc>
      </w:tr>
      <w:tr w:rsidR="0048184E" w:rsidRPr="0048184E" w14:paraId="10E59521" w14:textId="77777777" w:rsidTr="00A445B6">
        <w:tc>
          <w:tcPr>
            <w:tcW w:w="974" w:type="dxa"/>
            <w:hideMark/>
          </w:tcPr>
          <w:p w14:paraId="2A84BACA" w14:textId="77777777" w:rsidR="00223F35" w:rsidRPr="0048184E" w:rsidRDefault="00223F35" w:rsidP="0048184E">
            <w:pPr>
              <w:rPr>
                <w:rFonts w:asciiTheme="minorHAnsi" w:hAnsiTheme="minorHAnsi"/>
                <w:b/>
                <w:bCs/>
                <w:sz w:val="18"/>
                <w:szCs w:val="18"/>
                <w:lang w:eastAsia="zh-TW"/>
              </w:rPr>
            </w:pPr>
            <w:r w:rsidRPr="0048184E">
              <w:rPr>
                <w:rFonts w:asciiTheme="minorHAnsi" w:hAnsiTheme="minorHAnsi"/>
                <w:b/>
                <w:bCs/>
                <w:sz w:val="18"/>
                <w:szCs w:val="18"/>
                <w:lang w:eastAsia="zh-TW"/>
              </w:rPr>
              <w:t>Crna Gora</w:t>
            </w:r>
          </w:p>
        </w:tc>
        <w:tc>
          <w:tcPr>
            <w:tcW w:w="1114" w:type="dxa"/>
            <w:noWrap/>
            <w:hideMark/>
          </w:tcPr>
          <w:p w14:paraId="40FEA2E9"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623633</w:t>
            </w:r>
          </w:p>
        </w:tc>
        <w:tc>
          <w:tcPr>
            <w:tcW w:w="1057" w:type="dxa"/>
            <w:noWrap/>
            <w:hideMark/>
          </w:tcPr>
          <w:p w14:paraId="03BCA216"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100.0</w:t>
            </w:r>
          </w:p>
        </w:tc>
        <w:tc>
          <w:tcPr>
            <w:tcW w:w="1115" w:type="dxa"/>
            <w:noWrap/>
            <w:hideMark/>
          </w:tcPr>
          <w:p w14:paraId="76A2C682"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100.0</w:t>
            </w:r>
          </w:p>
        </w:tc>
        <w:tc>
          <w:tcPr>
            <w:tcW w:w="852" w:type="dxa"/>
            <w:noWrap/>
            <w:hideMark/>
          </w:tcPr>
          <w:p w14:paraId="5DA662FC"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56.0</w:t>
            </w:r>
          </w:p>
        </w:tc>
        <w:tc>
          <w:tcPr>
            <w:tcW w:w="1169" w:type="dxa"/>
            <w:noWrap/>
            <w:hideMark/>
          </w:tcPr>
          <w:p w14:paraId="53303DD4"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13.3</w:t>
            </w:r>
          </w:p>
        </w:tc>
        <w:tc>
          <w:tcPr>
            <w:tcW w:w="906" w:type="dxa"/>
            <w:noWrap/>
            <w:hideMark/>
          </w:tcPr>
          <w:p w14:paraId="7CC0D783"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33</w:t>
            </w:r>
          </w:p>
        </w:tc>
        <w:tc>
          <w:tcPr>
            <w:tcW w:w="873" w:type="dxa"/>
            <w:noWrap/>
            <w:hideMark/>
          </w:tcPr>
          <w:p w14:paraId="0D18B334"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25</w:t>
            </w:r>
          </w:p>
        </w:tc>
        <w:tc>
          <w:tcPr>
            <w:tcW w:w="956" w:type="dxa"/>
            <w:noWrap/>
            <w:hideMark/>
          </w:tcPr>
          <w:p w14:paraId="079F9A0D"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100</w:t>
            </w:r>
          </w:p>
        </w:tc>
      </w:tr>
      <w:tr w:rsidR="00223F35" w:rsidRPr="0048184E" w14:paraId="7F3CBE65" w14:textId="77777777" w:rsidTr="00A445B6">
        <w:tc>
          <w:tcPr>
            <w:tcW w:w="9016" w:type="dxa"/>
            <w:gridSpan w:val="9"/>
            <w:shd w:val="clear" w:color="auto" w:fill="E7E6E6" w:themeFill="background2"/>
          </w:tcPr>
          <w:p w14:paraId="5296D380" w14:textId="77777777" w:rsidR="00223F35" w:rsidRPr="0048184E" w:rsidRDefault="00223F35" w:rsidP="0048184E">
            <w:pPr>
              <w:jc w:val="center"/>
              <w:rPr>
                <w:rFonts w:asciiTheme="minorHAnsi" w:eastAsia="Times New Roman" w:hAnsiTheme="minorHAnsi" w:cstheme="minorHAnsi"/>
                <w:b/>
                <w:bCs/>
                <w:sz w:val="18"/>
                <w:szCs w:val="18"/>
                <w:lang w:eastAsia="zh-TW"/>
              </w:rPr>
            </w:pPr>
            <w:r w:rsidRPr="0048184E">
              <w:rPr>
                <w:rFonts w:asciiTheme="minorHAnsi" w:eastAsia="Times New Roman" w:hAnsiTheme="minorHAnsi" w:cstheme="minorHAnsi"/>
                <w:b/>
                <w:bCs/>
                <w:sz w:val="18"/>
                <w:szCs w:val="18"/>
                <w:lang w:eastAsia="zh-TW"/>
              </w:rPr>
              <w:lastRenderedPageBreak/>
              <w:t xml:space="preserve">Primorska regija </w:t>
            </w:r>
          </w:p>
        </w:tc>
      </w:tr>
      <w:tr w:rsidR="0048184E" w:rsidRPr="0048184E" w14:paraId="09F93F5A" w14:textId="77777777" w:rsidTr="00A445B6">
        <w:tc>
          <w:tcPr>
            <w:tcW w:w="974" w:type="dxa"/>
            <w:hideMark/>
          </w:tcPr>
          <w:p w14:paraId="58613448"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Bar</w:t>
            </w:r>
          </w:p>
        </w:tc>
        <w:tc>
          <w:tcPr>
            <w:tcW w:w="1114" w:type="dxa"/>
            <w:hideMark/>
          </w:tcPr>
          <w:p w14:paraId="241F974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45812</w:t>
            </w:r>
          </w:p>
        </w:tc>
        <w:tc>
          <w:tcPr>
            <w:tcW w:w="1057" w:type="dxa"/>
            <w:noWrap/>
            <w:hideMark/>
          </w:tcPr>
          <w:p w14:paraId="6AFB78E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7.3</w:t>
            </w:r>
          </w:p>
        </w:tc>
        <w:tc>
          <w:tcPr>
            <w:tcW w:w="1115" w:type="dxa"/>
            <w:hideMark/>
          </w:tcPr>
          <w:p w14:paraId="4C5AF8C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9.8</w:t>
            </w:r>
          </w:p>
        </w:tc>
        <w:tc>
          <w:tcPr>
            <w:tcW w:w="852" w:type="dxa"/>
            <w:noWrap/>
            <w:hideMark/>
          </w:tcPr>
          <w:p w14:paraId="5907050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55.3</w:t>
            </w:r>
          </w:p>
        </w:tc>
        <w:tc>
          <w:tcPr>
            <w:tcW w:w="1169" w:type="dxa"/>
            <w:noWrap/>
            <w:hideMark/>
          </w:tcPr>
          <w:p w14:paraId="7D586E0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11.9</w:t>
            </w:r>
          </w:p>
        </w:tc>
        <w:tc>
          <w:tcPr>
            <w:tcW w:w="906" w:type="dxa"/>
            <w:noWrap/>
            <w:hideMark/>
          </w:tcPr>
          <w:p w14:paraId="4481DAE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35</w:t>
            </w:r>
          </w:p>
        </w:tc>
        <w:tc>
          <w:tcPr>
            <w:tcW w:w="873" w:type="dxa"/>
            <w:noWrap/>
            <w:hideMark/>
          </w:tcPr>
          <w:p w14:paraId="44B6EFE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37</w:t>
            </w:r>
          </w:p>
        </w:tc>
        <w:tc>
          <w:tcPr>
            <w:tcW w:w="956" w:type="dxa"/>
            <w:noWrap/>
            <w:hideMark/>
          </w:tcPr>
          <w:p w14:paraId="391F89E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95</w:t>
            </w:r>
          </w:p>
        </w:tc>
      </w:tr>
      <w:tr w:rsidR="0048184E" w:rsidRPr="0048184E" w14:paraId="6014D1D6" w14:textId="77777777" w:rsidTr="00A445B6">
        <w:tc>
          <w:tcPr>
            <w:tcW w:w="974" w:type="dxa"/>
            <w:hideMark/>
          </w:tcPr>
          <w:p w14:paraId="3A002587"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Herceg Novi</w:t>
            </w:r>
          </w:p>
        </w:tc>
        <w:tc>
          <w:tcPr>
            <w:tcW w:w="1114" w:type="dxa"/>
            <w:hideMark/>
          </w:tcPr>
          <w:p w14:paraId="32AC90F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30824</w:t>
            </w:r>
          </w:p>
        </w:tc>
        <w:tc>
          <w:tcPr>
            <w:tcW w:w="1057" w:type="dxa"/>
            <w:noWrap/>
            <w:hideMark/>
          </w:tcPr>
          <w:p w14:paraId="21426D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4.9</w:t>
            </w:r>
          </w:p>
        </w:tc>
        <w:tc>
          <w:tcPr>
            <w:tcW w:w="1115" w:type="dxa"/>
            <w:hideMark/>
          </w:tcPr>
          <w:p w14:paraId="0C74BD2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7.4</w:t>
            </w:r>
          </w:p>
        </w:tc>
        <w:tc>
          <w:tcPr>
            <w:tcW w:w="852" w:type="dxa"/>
            <w:noWrap/>
            <w:hideMark/>
          </w:tcPr>
          <w:p w14:paraId="7588C70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55.8</w:t>
            </w:r>
          </w:p>
        </w:tc>
        <w:tc>
          <w:tcPr>
            <w:tcW w:w="1169" w:type="dxa"/>
            <w:noWrap/>
            <w:hideMark/>
          </w:tcPr>
          <w:p w14:paraId="1B480CD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7.9</w:t>
            </w:r>
          </w:p>
        </w:tc>
        <w:tc>
          <w:tcPr>
            <w:tcW w:w="906" w:type="dxa"/>
            <w:noWrap/>
            <w:hideMark/>
          </w:tcPr>
          <w:p w14:paraId="36208D7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29</w:t>
            </w:r>
          </w:p>
        </w:tc>
        <w:tc>
          <w:tcPr>
            <w:tcW w:w="873" w:type="dxa"/>
            <w:noWrap/>
            <w:hideMark/>
          </w:tcPr>
          <w:p w14:paraId="19DFB20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956" w:type="dxa"/>
            <w:noWrap/>
            <w:hideMark/>
          </w:tcPr>
          <w:p w14:paraId="35BE497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92</w:t>
            </w:r>
          </w:p>
        </w:tc>
      </w:tr>
      <w:tr w:rsidR="0048184E" w:rsidRPr="0048184E" w14:paraId="6E7DED2A" w14:textId="77777777" w:rsidTr="00A445B6">
        <w:tc>
          <w:tcPr>
            <w:tcW w:w="974" w:type="dxa"/>
            <w:hideMark/>
          </w:tcPr>
          <w:p w14:paraId="19C2F1C3"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Budva</w:t>
            </w:r>
          </w:p>
        </w:tc>
        <w:tc>
          <w:tcPr>
            <w:tcW w:w="1114" w:type="dxa"/>
            <w:hideMark/>
          </w:tcPr>
          <w:p w14:paraId="66C1725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27445</w:t>
            </w:r>
          </w:p>
        </w:tc>
        <w:tc>
          <w:tcPr>
            <w:tcW w:w="1057" w:type="dxa"/>
            <w:noWrap/>
            <w:hideMark/>
          </w:tcPr>
          <w:p w14:paraId="264C962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4.4</w:t>
            </w:r>
          </w:p>
        </w:tc>
        <w:tc>
          <w:tcPr>
            <w:tcW w:w="1115" w:type="dxa"/>
            <w:hideMark/>
          </w:tcPr>
          <w:p w14:paraId="632822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19.9</w:t>
            </w:r>
          </w:p>
        </w:tc>
        <w:tc>
          <w:tcPr>
            <w:tcW w:w="852" w:type="dxa"/>
            <w:noWrap/>
            <w:hideMark/>
          </w:tcPr>
          <w:p w14:paraId="15C5BF5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65.1</w:t>
            </w:r>
          </w:p>
        </w:tc>
        <w:tc>
          <w:tcPr>
            <w:tcW w:w="1169" w:type="dxa"/>
            <w:noWrap/>
            <w:hideMark/>
          </w:tcPr>
          <w:p w14:paraId="5E49B38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6.8</w:t>
            </w:r>
          </w:p>
        </w:tc>
        <w:tc>
          <w:tcPr>
            <w:tcW w:w="906" w:type="dxa"/>
            <w:noWrap/>
            <w:hideMark/>
          </w:tcPr>
          <w:p w14:paraId="4C7872B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58</w:t>
            </w:r>
          </w:p>
        </w:tc>
        <w:tc>
          <w:tcPr>
            <w:tcW w:w="873" w:type="dxa"/>
            <w:noWrap/>
            <w:hideMark/>
          </w:tcPr>
          <w:p w14:paraId="43D4E2C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956" w:type="dxa"/>
            <w:noWrap/>
            <w:hideMark/>
          </w:tcPr>
          <w:p w14:paraId="590D4E3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97</w:t>
            </w:r>
          </w:p>
        </w:tc>
      </w:tr>
      <w:tr w:rsidR="0048184E" w:rsidRPr="0048184E" w14:paraId="0CB341E9" w14:textId="77777777" w:rsidTr="00A445B6">
        <w:trPr>
          <w:trHeight w:val="47"/>
        </w:trPr>
        <w:tc>
          <w:tcPr>
            <w:tcW w:w="974" w:type="dxa"/>
            <w:hideMark/>
          </w:tcPr>
          <w:p w14:paraId="70006103"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Kotor</w:t>
            </w:r>
          </w:p>
        </w:tc>
        <w:tc>
          <w:tcPr>
            <w:tcW w:w="1114" w:type="dxa"/>
            <w:hideMark/>
          </w:tcPr>
          <w:p w14:paraId="59969A9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22746</w:t>
            </w:r>
          </w:p>
        </w:tc>
        <w:tc>
          <w:tcPr>
            <w:tcW w:w="1057" w:type="dxa"/>
            <w:noWrap/>
            <w:hideMark/>
          </w:tcPr>
          <w:p w14:paraId="01B4648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3.6</w:t>
            </w:r>
          </w:p>
        </w:tc>
        <w:tc>
          <w:tcPr>
            <w:tcW w:w="1115" w:type="dxa"/>
            <w:hideMark/>
          </w:tcPr>
          <w:p w14:paraId="0080425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3.3</w:t>
            </w:r>
          </w:p>
        </w:tc>
        <w:tc>
          <w:tcPr>
            <w:tcW w:w="852" w:type="dxa"/>
            <w:noWrap/>
            <w:hideMark/>
          </w:tcPr>
          <w:p w14:paraId="537DD42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56.5</w:t>
            </w:r>
          </w:p>
        </w:tc>
        <w:tc>
          <w:tcPr>
            <w:tcW w:w="1169" w:type="dxa"/>
            <w:noWrap/>
            <w:hideMark/>
          </w:tcPr>
          <w:p w14:paraId="1D40D7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7.2</w:t>
            </w:r>
          </w:p>
        </w:tc>
        <w:tc>
          <w:tcPr>
            <w:tcW w:w="906" w:type="dxa"/>
            <w:noWrap/>
            <w:hideMark/>
          </w:tcPr>
          <w:p w14:paraId="5B8989C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873" w:type="dxa"/>
            <w:noWrap/>
            <w:hideMark/>
          </w:tcPr>
          <w:p w14:paraId="4677054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956" w:type="dxa"/>
            <w:noWrap/>
            <w:hideMark/>
          </w:tcPr>
          <w:p w14:paraId="5F1391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101</w:t>
            </w:r>
          </w:p>
        </w:tc>
      </w:tr>
      <w:tr w:rsidR="0048184E" w:rsidRPr="0048184E" w14:paraId="79CB3C49" w14:textId="77777777" w:rsidTr="00A445B6">
        <w:tc>
          <w:tcPr>
            <w:tcW w:w="974" w:type="dxa"/>
            <w:hideMark/>
          </w:tcPr>
          <w:p w14:paraId="53F42D7C"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Ulcinj</w:t>
            </w:r>
          </w:p>
        </w:tc>
        <w:tc>
          <w:tcPr>
            <w:tcW w:w="1114" w:type="dxa"/>
            <w:hideMark/>
          </w:tcPr>
          <w:p w14:paraId="5981BD7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20507</w:t>
            </w:r>
          </w:p>
        </w:tc>
        <w:tc>
          <w:tcPr>
            <w:tcW w:w="1057" w:type="dxa"/>
            <w:noWrap/>
            <w:hideMark/>
          </w:tcPr>
          <w:p w14:paraId="614E931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3.3</w:t>
            </w:r>
          </w:p>
        </w:tc>
        <w:tc>
          <w:tcPr>
            <w:tcW w:w="1115" w:type="dxa"/>
            <w:hideMark/>
          </w:tcPr>
          <w:p w14:paraId="1E6E964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852" w:type="dxa"/>
            <w:noWrap/>
            <w:hideMark/>
          </w:tcPr>
          <w:p w14:paraId="1388EED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50.2</w:t>
            </w:r>
          </w:p>
        </w:tc>
        <w:tc>
          <w:tcPr>
            <w:tcW w:w="1169" w:type="dxa"/>
            <w:noWrap/>
            <w:hideMark/>
          </w:tcPr>
          <w:p w14:paraId="073FE3B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16.5</w:t>
            </w:r>
          </w:p>
        </w:tc>
        <w:tc>
          <w:tcPr>
            <w:tcW w:w="906" w:type="dxa"/>
            <w:noWrap/>
            <w:hideMark/>
          </w:tcPr>
          <w:p w14:paraId="3910622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32</w:t>
            </w:r>
          </w:p>
        </w:tc>
        <w:tc>
          <w:tcPr>
            <w:tcW w:w="873" w:type="dxa"/>
            <w:noWrap/>
            <w:hideMark/>
          </w:tcPr>
          <w:p w14:paraId="4492A7F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38</w:t>
            </w:r>
          </w:p>
        </w:tc>
        <w:tc>
          <w:tcPr>
            <w:tcW w:w="956" w:type="dxa"/>
            <w:noWrap/>
            <w:hideMark/>
          </w:tcPr>
          <w:p w14:paraId="4941BBB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0FDCFE0F" w14:textId="77777777" w:rsidTr="00A445B6">
        <w:tc>
          <w:tcPr>
            <w:tcW w:w="974" w:type="dxa"/>
            <w:hideMark/>
          </w:tcPr>
          <w:p w14:paraId="04D4B070"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Tivat</w:t>
            </w:r>
          </w:p>
        </w:tc>
        <w:tc>
          <w:tcPr>
            <w:tcW w:w="1114" w:type="dxa"/>
            <w:hideMark/>
          </w:tcPr>
          <w:p w14:paraId="6E816C2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16338</w:t>
            </w:r>
          </w:p>
        </w:tc>
        <w:tc>
          <w:tcPr>
            <w:tcW w:w="1057" w:type="dxa"/>
            <w:noWrap/>
            <w:hideMark/>
          </w:tcPr>
          <w:p w14:paraId="761F58E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1115" w:type="dxa"/>
            <w:hideMark/>
          </w:tcPr>
          <w:p w14:paraId="2BA37C0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4.8</w:t>
            </w:r>
          </w:p>
        </w:tc>
        <w:tc>
          <w:tcPr>
            <w:tcW w:w="852" w:type="dxa"/>
            <w:noWrap/>
            <w:hideMark/>
          </w:tcPr>
          <w:p w14:paraId="39D8E83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60.5</w:t>
            </w:r>
          </w:p>
        </w:tc>
        <w:tc>
          <w:tcPr>
            <w:tcW w:w="1169" w:type="dxa"/>
            <w:noWrap/>
            <w:hideMark/>
          </w:tcPr>
          <w:p w14:paraId="515236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6.4</w:t>
            </w:r>
          </w:p>
        </w:tc>
        <w:tc>
          <w:tcPr>
            <w:tcW w:w="906" w:type="dxa"/>
            <w:noWrap/>
            <w:hideMark/>
          </w:tcPr>
          <w:p w14:paraId="5A06FA2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36</w:t>
            </w:r>
          </w:p>
        </w:tc>
        <w:tc>
          <w:tcPr>
            <w:tcW w:w="873" w:type="dxa"/>
            <w:noWrap/>
            <w:hideMark/>
          </w:tcPr>
          <w:p w14:paraId="58B8B74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32</w:t>
            </w:r>
          </w:p>
        </w:tc>
        <w:tc>
          <w:tcPr>
            <w:tcW w:w="956" w:type="dxa"/>
            <w:noWrap/>
            <w:hideMark/>
          </w:tcPr>
          <w:p w14:paraId="415C600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122</w:t>
            </w:r>
          </w:p>
        </w:tc>
      </w:tr>
      <w:tr w:rsidR="00223F35" w:rsidRPr="0048184E" w14:paraId="441DFE95" w14:textId="77777777" w:rsidTr="00A445B6">
        <w:tc>
          <w:tcPr>
            <w:tcW w:w="9016" w:type="dxa"/>
            <w:gridSpan w:val="9"/>
            <w:shd w:val="clear" w:color="auto" w:fill="E7E6E6" w:themeFill="background2"/>
          </w:tcPr>
          <w:p w14:paraId="2C0B2F30" w14:textId="77777777" w:rsidR="00223F35" w:rsidRPr="0048184E" w:rsidRDefault="00223F35" w:rsidP="0048184E">
            <w:pPr>
              <w:jc w:val="center"/>
              <w:rPr>
                <w:rFonts w:asciiTheme="minorHAnsi" w:eastAsia="Times New Roman" w:hAnsiTheme="minorHAnsi" w:cstheme="minorHAnsi"/>
                <w:b/>
                <w:bCs/>
                <w:sz w:val="18"/>
                <w:szCs w:val="18"/>
                <w:lang w:eastAsia="zh-TW"/>
              </w:rPr>
            </w:pPr>
            <w:r w:rsidRPr="0048184E">
              <w:rPr>
                <w:rFonts w:asciiTheme="minorHAnsi" w:eastAsia="Times New Roman" w:hAnsiTheme="minorHAnsi" w:cstheme="minorHAnsi"/>
                <w:b/>
                <w:bCs/>
                <w:sz w:val="18"/>
                <w:szCs w:val="18"/>
                <w:lang w:eastAsia="zh-TW"/>
              </w:rPr>
              <w:t xml:space="preserve">Centralna regija </w:t>
            </w:r>
          </w:p>
        </w:tc>
      </w:tr>
      <w:tr w:rsidR="0048184E" w:rsidRPr="0048184E" w14:paraId="5FABE0BA" w14:textId="77777777" w:rsidTr="00A445B6">
        <w:tc>
          <w:tcPr>
            <w:tcW w:w="974" w:type="dxa"/>
            <w:hideMark/>
          </w:tcPr>
          <w:p w14:paraId="4DBC722B"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Podgorica</w:t>
            </w:r>
          </w:p>
        </w:tc>
        <w:tc>
          <w:tcPr>
            <w:tcW w:w="1114" w:type="dxa"/>
            <w:hideMark/>
          </w:tcPr>
          <w:p w14:paraId="5174C5D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179505</w:t>
            </w:r>
          </w:p>
        </w:tc>
        <w:tc>
          <w:tcPr>
            <w:tcW w:w="1057" w:type="dxa"/>
            <w:noWrap/>
            <w:hideMark/>
          </w:tcPr>
          <w:p w14:paraId="07D7C53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28.8</w:t>
            </w:r>
          </w:p>
        </w:tc>
        <w:tc>
          <w:tcPr>
            <w:tcW w:w="1115" w:type="dxa"/>
            <w:hideMark/>
          </w:tcPr>
          <w:p w14:paraId="7BB5BA9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35.5</w:t>
            </w:r>
          </w:p>
        </w:tc>
        <w:tc>
          <w:tcPr>
            <w:tcW w:w="852" w:type="dxa"/>
            <w:noWrap/>
            <w:hideMark/>
          </w:tcPr>
          <w:p w14:paraId="05C3935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64.0</w:t>
            </w:r>
          </w:p>
        </w:tc>
        <w:tc>
          <w:tcPr>
            <w:tcW w:w="1169" w:type="dxa"/>
            <w:noWrap/>
            <w:hideMark/>
          </w:tcPr>
          <w:p w14:paraId="3AF72BE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9.3</w:t>
            </w:r>
          </w:p>
        </w:tc>
        <w:tc>
          <w:tcPr>
            <w:tcW w:w="906" w:type="dxa"/>
            <w:noWrap/>
            <w:hideMark/>
          </w:tcPr>
          <w:p w14:paraId="375CB7A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w:t>
            </w:r>
          </w:p>
        </w:tc>
        <w:tc>
          <w:tcPr>
            <w:tcW w:w="873" w:type="dxa"/>
            <w:noWrap/>
            <w:hideMark/>
          </w:tcPr>
          <w:p w14:paraId="7AFD6C7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19</w:t>
            </w:r>
          </w:p>
        </w:tc>
        <w:tc>
          <w:tcPr>
            <w:tcW w:w="956" w:type="dxa"/>
            <w:noWrap/>
            <w:hideMark/>
          </w:tcPr>
          <w:p w14:paraId="6737B87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104</w:t>
            </w:r>
          </w:p>
        </w:tc>
      </w:tr>
      <w:tr w:rsidR="0048184E" w:rsidRPr="0048184E" w14:paraId="7E07CD74" w14:textId="77777777" w:rsidTr="00A445B6">
        <w:tc>
          <w:tcPr>
            <w:tcW w:w="974" w:type="dxa"/>
            <w:hideMark/>
          </w:tcPr>
          <w:p w14:paraId="5FD92E50"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Nikšić</w:t>
            </w:r>
          </w:p>
        </w:tc>
        <w:tc>
          <w:tcPr>
            <w:tcW w:w="1114" w:type="dxa"/>
            <w:hideMark/>
          </w:tcPr>
          <w:p w14:paraId="29D29EB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65705</w:t>
            </w:r>
          </w:p>
        </w:tc>
        <w:tc>
          <w:tcPr>
            <w:tcW w:w="1057" w:type="dxa"/>
            <w:noWrap/>
            <w:hideMark/>
          </w:tcPr>
          <w:p w14:paraId="10206CD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10.5</w:t>
            </w:r>
          </w:p>
        </w:tc>
        <w:tc>
          <w:tcPr>
            <w:tcW w:w="1115" w:type="dxa"/>
            <w:hideMark/>
          </w:tcPr>
          <w:p w14:paraId="46FB2B3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w:t>
            </w:r>
          </w:p>
        </w:tc>
        <w:tc>
          <w:tcPr>
            <w:tcW w:w="852" w:type="dxa"/>
            <w:noWrap/>
            <w:hideMark/>
          </w:tcPr>
          <w:p w14:paraId="2CB6045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54.0</w:t>
            </w:r>
          </w:p>
        </w:tc>
        <w:tc>
          <w:tcPr>
            <w:tcW w:w="1169" w:type="dxa"/>
            <w:noWrap/>
            <w:hideMark/>
          </w:tcPr>
          <w:p w14:paraId="5DD2821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16.5</w:t>
            </w:r>
          </w:p>
        </w:tc>
        <w:tc>
          <w:tcPr>
            <w:tcW w:w="906" w:type="dxa"/>
            <w:noWrap/>
            <w:hideMark/>
          </w:tcPr>
          <w:p w14:paraId="6FD63E9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22</w:t>
            </w:r>
          </w:p>
        </w:tc>
        <w:tc>
          <w:tcPr>
            <w:tcW w:w="873" w:type="dxa"/>
            <w:noWrap/>
            <w:hideMark/>
          </w:tcPr>
          <w:p w14:paraId="092C1F9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w:t>
            </w:r>
          </w:p>
        </w:tc>
        <w:tc>
          <w:tcPr>
            <w:tcW w:w="956" w:type="dxa"/>
            <w:noWrap/>
            <w:hideMark/>
          </w:tcPr>
          <w:p w14:paraId="7CC3C92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97</w:t>
            </w:r>
          </w:p>
        </w:tc>
      </w:tr>
      <w:tr w:rsidR="0048184E" w:rsidRPr="0048184E" w14:paraId="7EFF0742" w14:textId="77777777" w:rsidTr="00A445B6">
        <w:tc>
          <w:tcPr>
            <w:tcW w:w="974" w:type="dxa"/>
            <w:hideMark/>
          </w:tcPr>
          <w:p w14:paraId="0C61CCA9"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Danilovgrad</w:t>
            </w:r>
          </w:p>
        </w:tc>
        <w:tc>
          <w:tcPr>
            <w:tcW w:w="1114" w:type="dxa"/>
            <w:hideMark/>
          </w:tcPr>
          <w:p w14:paraId="1EF52A1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18617</w:t>
            </w:r>
          </w:p>
        </w:tc>
        <w:tc>
          <w:tcPr>
            <w:tcW w:w="1057" w:type="dxa"/>
            <w:noWrap/>
            <w:hideMark/>
          </w:tcPr>
          <w:p w14:paraId="3E5B8A4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1115" w:type="dxa"/>
            <w:hideMark/>
          </w:tcPr>
          <w:p w14:paraId="58D4467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1.4</w:t>
            </w:r>
          </w:p>
        </w:tc>
        <w:tc>
          <w:tcPr>
            <w:tcW w:w="852" w:type="dxa"/>
            <w:noWrap/>
            <w:hideMark/>
          </w:tcPr>
          <w:p w14:paraId="62A0356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53.2</w:t>
            </w:r>
          </w:p>
        </w:tc>
        <w:tc>
          <w:tcPr>
            <w:tcW w:w="1169" w:type="dxa"/>
            <w:noWrap/>
            <w:hideMark/>
          </w:tcPr>
          <w:p w14:paraId="372E432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10.0</w:t>
            </w:r>
          </w:p>
        </w:tc>
        <w:tc>
          <w:tcPr>
            <w:tcW w:w="906" w:type="dxa"/>
            <w:noWrap/>
            <w:hideMark/>
          </w:tcPr>
          <w:p w14:paraId="04D4187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873" w:type="dxa"/>
            <w:noWrap/>
            <w:hideMark/>
          </w:tcPr>
          <w:p w14:paraId="57BBAED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20</w:t>
            </w:r>
          </w:p>
        </w:tc>
        <w:tc>
          <w:tcPr>
            <w:tcW w:w="956" w:type="dxa"/>
            <w:noWrap/>
            <w:hideMark/>
          </w:tcPr>
          <w:p w14:paraId="562FB35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87</w:t>
            </w:r>
          </w:p>
        </w:tc>
      </w:tr>
      <w:tr w:rsidR="0048184E" w:rsidRPr="0048184E" w14:paraId="55F51E80" w14:textId="77777777" w:rsidTr="00A445B6">
        <w:tc>
          <w:tcPr>
            <w:tcW w:w="974" w:type="dxa"/>
            <w:hideMark/>
          </w:tcPr>
          <w:p w14:paraId="18C67134"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Zeta</w:t>
            </w:r>
          </w:p>
        </w:tc>
        <w:tc>
          <w:tcPr>
            <w:tcW w:w="1114" w:type="dxa"/>
            <w:hideMark/>
          </w:tcPr>
          <w:p w14:paraId="0FF1A60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16071</w:t>
            </w:r>
          </w:p>
        </w:tc>
        <w:tc>
          <w:tcPr>
            <w:tcW w:w="1057" w:type="dxa"/>
            <w:noWrap/>
            <w:hideMark/>
          </w:tcPr>
          <w:p w14:paraId="447BB8C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1115" w:type="dxa"/>
            <w:hideMark/>
          </w:tcPr>
          <w:p w14:paraId="596CA0C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75FEC9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56.8</w:t>
            </w:r>
          </w:p>
        </w:tc>
        <w:tc>
          <w:tcPr>
            <w:tcW w:w="1169" w:type="dxa"/>
            <w:noWrap/>
            <w:hideMark/>
          </w:tcPr>
          <w:p w14:paraId="760567C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10.8</w:t>
            </w:r>
          </w:p>
        </w:tc>
        <w:tc>
          <w:tcPr>
            <w:tcW w:w="906" w:type="dxa"/>
            <w:noWrap/>
            <w:hideMark/>
          </w:tcPr>
          <w:p w14:paraId="486C0DB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w:t>
            </w:r>
          </w:p>
        </w:tc>
        <w:tc>
          <w:tcPr>
            <w:tcW w:w="873" w:type="dxa"/>
            <w:noWrap/>
            <w:hideMark/>
          </w:tcPr>
          <w:p w14:paraId="74573B8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13</w:t>
            </w:r>
          </w:p>
        </w:tc>
        <w:tc>
          <w:tcPr>
            <w:tcW w:w="956" w:type="dxa"/>
            <w:noWrap/>
            <w:hideMark/>
          </w:tcPr>
          <w:p w14:paraId="5194D67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113</w:t>
            </w:r>
          </w:p>
        </w:tc>
      </w:tr>
      <w:tr w:rsidR="0048184E" w:rsidRPr="0048184E" w14:paraId="5D136BC3" w14:textId="77777777" w:rsidTr="00A445B6">
        <w:tc>
          <w:tcPr>
            <w:tcW w:w="974" w:type="dxa"/>
            <w:hideMark/>
          </w:tcPr>
          <w:p w14:paraId="379FEAF8"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Cetinje</w:t>
            </w:r>
          </w:p>
        </w:tc>
        <w:tc>
          <w:tcPr>
            <w:tcW w:w="1114" w:type="dxa"/>
            <w:hideMark/>
          </w:tcPr>
          <w:p w14:paraId="0D05F71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14494</w:t>
            </w:r>
          </w:p>
        </w:tc>
        <w:tc>
          <w:tcPr>
            <w:tcW w:w="1057" w:type="dxa"/>
            <w:noWrap/>
            <w:hideMark/>
          </w:tcPr>
          <w:p w14:paraId="38E54D1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2.3</w:t>
            </w:r>
          </w:p>
        </w:tc>
        <w:tc>
          <w:tcPr>
            <w:tcW w:w="1115" w:type="dxa"/>
            <w:hideMark/>
          </w:tcPr>
          <w:p w14:paraId="4FCBC22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w:t>
            </w:r>
          </w:p>
        </w:tc>
        <w:tc>
          <w:tcPr>
            <w:tcW w:w="852" w:type="dxa"/>
            <w:noWrap/>
            <w:hideMark/>
          </w:tcPr>
          <w:p w14:paraId="56E509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53.6</w:t>
            </w:r>
          </w:p>
        </w:tc>
        <w:tc>
          <w:tcPr>
            <w:tcW w:w="1169" w:type="dxa"/>
            <w:noWrap/>
            <w:hideMark/>
          </w:tcPr>
          <w:p w14:paraId="2B9BBCC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12.5</w:t>
            </w:r>
          </w:p>
        </w:tc>
        <w:tc>
          <w:tcPr>
            <w:tcW w:w="906" w:type="dxa"/>
            <w:noWrap/>
            <w:hideMark/>
          </w:tcPr>
          <w:p w14:paraId="10A537C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w:t>
            </w:r>
          </w:p>
        </w:tc>
        <w:tc>
          <w:tcPr>
            <w:tcW w:w="873" w:type="dxa"/>
            <w:noWrap/>
            <w:hideMark/>
          </w:tcPr>
          <w:p w14:paraId="2D5A2E0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23</w:t>
            </w:r>
          </w:p>
        </w:tc>
        <w:tc>
          <w:tcPr>
            <w:tcW w:w="956" w:type="dxa"/>
            <w:noWrap/>
            <w:hideMark/>
          </w:tcPr>
          <w:p w14:paraId="77A3AC3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102</w:t>
            </w:r>
          </w:p>
        </w:tc>
      </w:tr>
      <w:tr w:rsidR="0048184E" w:rsidRPr="0048184E" w14:paraId="7D42D24C" w14:textId="77777777" w:rsidTr="00A445B6">
        <w:tc>
          <w:tcPr>
            <w:tcW w:w="974" w:type="dxa"/>
            <w:hideMark/>
          </w:tcPr>
          <w:p w14:paraId="4D19FC5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Tuzi</w:t>
            </w:r>
          </w:p>
        </w:tc>
        <w:tc>
          <w:tcPr>
            <w:tcW w:w="1114" w:type="dxa"/>
            <w:hideMark/>
          </w:tcPr>
          <w:p w14:paraId="78F19F8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12979</w:t>
            </w:r>
          </w:p>
        </w:tc>
        <w:tc>
          <w:tcPr>
            <w:tcW w:w="1057" w:type="dxa"/>
            <w:noWrap/>
            <w:hideMark/>
          </w:tcPr>
          <w:p w14:paraId="688180F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w:t>
            </w:r>
          </w:p>
        </w:tc>
        <w:tc>
          <w:tcPr>
            <w:tcW w:w="1115" w:type="dxa"/>
            <w:hideMark/>
          </w:tcPr>
          <w:p w14:paraId="4B3D60D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0.5</w:t>
            </w:r>
          </w:p>
        </w:tc>
        <w:tc>
          <w:tcPr>
            <w:tcW w:w="852" w:type="dxa"/>
            <w:noWrap/>
            <w:hideMark/>
          </w:tcPr>
          <w:p w14:paraId="0CB9F60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48.9</w:t>
            </w:r>
          </w:p>
        </w:tc>
        <w:tc>
          <w:tcPr>
            <w:tcW w:w="1169" w:type="dxa"/>
            <w:noWrap/>
            <w:hideMark/>
          </w:tcPr>
          <w:p w14:paraId="552001B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18.0</w:t>
            </w:r>
          </w:p>
        </w:tc>
        <w:tc>
          <w:tcPr>
            <w:tcW w:w="906" w:type="dxa"/>
            <w:noWrap/>
            <w:hideMark/>
          </w:tcPr>
          <w:p w14:paraId="47EDE86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44</w:t>
            </w:r>
          </w:p>
        </w:tc>
        <w:tc>
          <w:tcPr>
            <w:tcW w:w="873" w:type="dxa"/>
            <w:noWrap/>
            <w:hideMark/>
          </w:tcPr>
          <w:p w14:paraId="0CF8752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956" w:type="dxa"/>
            <w:noWrap/>
            <w:hideMark/>
          </w:tcPr>
          <w:p w14:paraId="32B24D0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81</w:t>
            </w:r>
          </w:p>
        </w:tc>
      </w:tr>
      <w:tr w:rsidR="00223F35" w:rsidRPr="0048184E" w14:paraId="6C4F4C59" w14:textId="77777777" w:rsidTr="00A445B6">
        <w:tc>
          <w:tcPr>
            <w:tcW w:w="9016" w:type="dxa"/>
            <w:gridSpan w:val="9"/>
            <w:shd w:val="clear" w:color="auto" w:fill="E7E6E6" w:themeFill="background2"/>
          </w:tcPr>
          <w:p w14:paraId="078AA101" w14:textId="77777777" w:rsidR="00223F35" w:rsidRPr="0048184E" w:rsidRDefault="00223F35" w:rsidP="0048184E">
            <w:pPr>
              <w:jc w:val="center"/>
              <w:rPr>
                <w:rFonts w:asciiTheme="minorHAnsi" w:eastAsia="Times New Roman" w:hAnsiTheme="minorHAnsi" w:cstheme="minorHAnsi"/>
                <w:b/>
                <w:bCs/>
                <w:sz w:val="18"/>
                <w:szCs w:val="18"/>
                <w:lang w:eastAsia="zh-TW"/>
              </w:rPr>
            </w:pPr>
            <w:r w:rsidRPr="0048184E">
              <w:rPr>
                <w:rFonts w:asciiTheme="minorHAnsi" w:eastAsia="Times New Roman" w:hAnsiTheme="minorHAnsi" w:cstheme="minorHAnsi"/>
                <w:b/>
                <w:bCs/>
                <w:sz w:val="18"/>
                <w:szCs w:val="18"/>
                <w:lang w:eastAsia="zh-TW"/>
              </w:rPr>
              <w:t>Sjeverna regija</w:t>
            </w:r>
          </w:p>
        </w:tc>
      </w:tr>
      <w:tr w:rsidR="0048184E" w:rsidRPr="0048184E" w14:paraId="1D356CF6" w14:textId="77777777" w:rsidTr="00A445B6">
        <w:tc>
          <w:tcPr>
            <w:tcW w:w="974" w:type="dxa"/>
            <w:hideMark/>
          </w:tcPr>
          <w:p w14:paraId="3930D9E2"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Bijelo Polje</w:t>
            </w:r>
          </w:p>
        </w:tc>
        <w:tc>
          <w:tcPr>
            <w:tcW w:w="1114" w:type="dxa"/>
            <w:hideMark/>
          </w:tcPr>
          <w:p w14:paraId="22238E2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38662</w:t>
            </w:r>
          </w:p>
        </w:tc>
        <w:tc>
          <w:tcPr>
            <w:tcW w:w="1057" w:type="dxa"/>
            <w:noWrap/>
            <w:hideMark/>
          </w:tcPr>
          <w:p w14:paraId="4910C92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6.2</w:t>
            </w:r>
          </w:p>
        </w:tc>
        <w:tc>
          <w:tcPr>
            <w:tcW w:w="1115" w:type="dxa"/>
            <w:hideMark/>
          </w:tcPr>
          <w:p w14:paraId="2401C15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w:t>
            </w:r>
          </w:p>
        </w:tc>
        <w:tc>
          <w:tcPr>
            <w:tcW w:w="852" w:type="dxa"/>
            <w:noWrap/>
            <w:hideMark/>
          </w:tcPr>
          <w:p w14:paraId="7263478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51.6</w:t>
            </w:r>
          </w:p>
        </w:tc>
        <w:tc>
          <w:tcPr>
            <w:tcW w:w="1169" w:type="dxa"/>
            <w:noWrap/>
            <w:hideMark/>
          </w:tcPr>
          <w:p w14:paraId="65BCCC5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17.6</w:t>
            </w:r>
          </w:p>
        </w:tc>
        <w:tc>
          <w:tcPr>
            <w:tcW w:w="906" w:type="dxa"/>
            <w:noWrap/>
            <w:hideMark/>
          </w:tcPr>
          <w:p w14:paraId="16F89AB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w:t>
            </w:r>
          </w:p>
        </w:tc>
        <w:tc>
          <w:tcPr>
            <w:tcW w:w="873" w:type="dxa"/>
            <w:noWrap/>
            <w:hideMark/>
          </w:tcPr>
          <w:p w14:paraId="5A537E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25</w:t>
            </w:r>
          </w:p>
        </w:tc>
        <w:tc>
          <w:tcPr>
            <w:tcW w:w="956" w:type="dxa"/>
            <w:noWrap/>
            <w:hideMark/>
          </w:tcPr>
          <w:p w14:paraId="501A54D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87</w:t>
            </w:r>
          </w:p>
        </w:tc>
      </w:tr>
      <w:tr w:rsidR="0048184E" w:rsidRPr="0048184E" w14:paraId="7E83F323" w14:textId="77777777" w:rsidTr="00A445B6">
        <w:tc>
          <w:tcPr>
            <w:tcW w:w="974" w:type="dxa"/>
            <w:hideMark/>
          </w:tcPr>
          <w:p w14:paraId="25A1DD54"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Berane</w:t>
            </w:r>
          </w:p>
        </w:tc>
        <w:tc>
          <w:tcPr>
            <w:tcW w:w="1114" w:type="dxa"/>
            <w:hideMark/>
          </w:tcPr>
          <w:p w14:paraId="4DB4AFB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24645</w:t>
            </w:r>
          </w:p>
        </w:tc>
        <w:tc>
          <w:tcPr>
            <w:tcW w:w="1057" w:type="dxa"/>
            <w:noWrap/>
            <w:hideMark/>
          </w:tcPr>
          <w:p w14:paraId="27C4DA6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4.0</w:t>
            </w:r>
          </w:p>
        </w:tc>
        <w:tc>
          <w:tcPr>
            <w:tcW w:w="1115" w:type="dxa"/>
            <w:hideMark/>
          </w:tcPr>
          <w:p w14:paraId="45FBE86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1.3</w:t>
            </w:r>
          </w:p>
        </w:tc>
        <w:tc>
          <w:tcPr>
            <w:tcW w:w="852" w:type="dxa"/>
            <w:noWrap/>
            <w:hideMark/>
          </w:tcPr>
          <w:p w14:paraId="6C10883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50.1</w:t>
            </w:r>
          </w:p>
        </w:tc>
        <w:tc>
          <w:tcPr>
            <w:tcW w:w="1169" w:type="dxa"/>
            <w:noWrap/>
            <w:hideMark/>
          </w:tcPr>
          <w:p w14:paraId="5146B86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25.8</w:t>
            </w:r>
          </w:p>
        </w:tc>
        <w:tc>
          <w:tcPr>
            <w:tcW w:w="906" w:type="dxa"/>
            <w:noWrap/>
            <w:hideMark/>
          </w:tcPr>
          <w:p w14:paraId="211CAB7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22</w:t>
            </w:r>
          </w:p>
        </w:tc>
        <w:tc>
          <w:tcPr>
            <w:tcW w:w="873" w:type="dxa"/>
            <w:noWrap/>
            <w:hideMark/>
          </w:tcPr>
          <w:p w14:paraId="63EAFDF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956" w:type="dxa"/>
            <w:noWrap/>
            <w:hideMark/>
          </w:tcPr>
          <w:p w14:paraId="491D279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94</w:t>
            </w:r>
          </w:p>
        </w:tc>
      </w:tr>
      <w:tr w:rsidR="0048184E" w:rsidRPr="0048184E" w14:paraId="7B669701" w14:textId="77777777" w:rsidTr="00A445B6">
        <w:tc>
          <w:tcPr>
            <w:tcW w:w="974" w:type="dxa"/>
            <w:hideMark/>
          </w:tcPr>
          <w:p w14:paraId="27138385"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Pljevlja</w:t>
            </w:r>
          </w:p>
        </w:tc>
        <w:tc>
          <w:tcPr>
            <w:tcW w:w="1114" w:type="dxa"/>
            <w:hideMark/>
          </w:tcPr>
          <w:p w14:paraId="32A95E4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24134</w:t>
            </w:r>
          </w:p>
        </w:tc>
        <w:tc>
          <w:tcPr>
            <w:tcW w:w="1057" w:type="dxa"/>
            <w:noWrap/>
            <w:hideMark/>
          </w:tcPr>
          <w:p w14:paraId="2691D4C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w:t>
            </w:r>
          </w:p>
        </w:tc>
        <w:tc>
          <w:tcPr>
            <w:tcW w:w="1115" w:type="dxa"/>
            <w:hideMark/>
          </w:tcPr>
          <w:p w14:paraId="439BD49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w:t>
            </w:r>
          </w:p>
        </w:tc>
        <w:tc>
          <w:tcPr>
            <w:tcW w:w="852" w:type="dxa"/>
            <w:noWrap/>
            <w:hideMark/>
          </w:tcPr>
          <w:p w14:paraId="4C3794F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50.5</w:t>
            </w:r>
          </w:p>
        </w:tc>
        <w:tc>
          <w:tcPr>
            <w:tcW w:w="1169" w:type="dxa"/>
            <w:noWrap/>
            <w:hideMark/>
          </w:tcPr>
          <w:p w14:paraId="0B59FDE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16.8</w:t>
            </w:r>
          </w:p>
        </w:tc>
        <w:tc>
          <w:tcPr>
            <w:tcW w:w="906" w:type="dxa"/>
            <w:noWrap/>
            <w:hideMark/>
          </w:tcPr>
          <w:p w14:paraId="166F4A2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13</w:t>
            </w:r>
          </w:p>
        </w:tc>
        <w:tc>
          <w:tcPr>
            <w:tcW w:w="873" w:type="dxa"/>
            <w:noWrap/>
            <w:hideMark/>
          </w:tcPr>
          <w:p w14:paraId="467CD14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956" w:type="dxa"/>
            <w:noWrap/>
            <w:hideMark/>
          </w:tcPr>
          <w:p w14:paraId="3D76389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103</w:t>
            </w:r>
          </w:p>
        </w:tc>
      </w:tr>
      <w:tr w:rsidR="0048184E" w:rsidRPr="0048184E" w14:paraId="36DF3750" w14:textId="77777777" w:rsidTr="00A445B6">
        <w:tc>
          <w:tcPr>
            <w:tcW w:w="974" w:type="dxa"/>
            <w:hideMark/>
          </w:tcPr>
          <w:p w14:paraId="29BBF58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Rožaje</w:t>
            </w:r>
          </w:p>
        </w:tc>
        <w:tc>
          <w:tcPr>
            <w:tcW w:w="1114" w:type="dxa"/>
            <w:hideMark/>
          </w:tcPr>
          <w:p w14:paraId="2AC61E5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23184</w:t>
            </w:r>
          </w:p>
        </w:tc>
        <w:tc>
          <w:tcPr>
            <w:tcW w:w="1057" w:type="dxa"/>
            <w:noWrap/>
            <w:hideMark/>
          </w:tcPr>
          <w:p w14:paraId="0D85FC1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3.7</w:t>
            </w:r>
          </w:p>
        </w:tc>
        <w:tc>
          <w:tcPr>
            <w:tcW w:w="1115" w:type="dxa"/>
            <w:hideMark/>
          </w:tcPr>
          <w:p w14:paraId="6823EE9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1.4</w:t>
            </w:r>
          </w:p>
        </w:tc>
        <w:tc>
          <w:tcPr>
            <w:tcW w:w="852" w:type="dxa"/>
            <w:noWrap/>
            <w:hideMark/>
          </w:tcPr>
          <w:p w14:paraId="45841B1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42.2</w:t>
            </w:r>
          </w:p>
        </w:tc>
        <w:tc>
          <w:tcPr>
            <w:tcW w:w="1169" w:type="dxa"/>
            <w:noWrap/>
            <w:hideMark/>
          </w:tcPr>
          <w:p w14:paraId="780F7F0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36.9</w:t>
            </w:r>
          </w:p>
        </w:tc>
        <w:tc>
          <w:tcPr>
            <w:tcW w:w="906" w:type="dxa"/>
            <w:noWrap/>
            <w:hideMark/>
          </w:tcPr>
          <w:p w14:paraId="0589AC5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34</w:t>
            </w:r>
          </w:p>
        </w:tc>
        <w:tc>
          <w:tcPr>
            <w:tcW w:w="873" w:type="dxa"/>
            <w:noWrap/>
            <w:hideMark/>
          </w:tcPr>
          <w:p w14:paraId="0DA5CD2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w:t>
            </w:r>
          </w:p>
        </w:tc>
        <w:tc>
          <w:tcPr>
            <w:tcW w:w="956" w:type="dxa"/>
            <w:noWrap/>
            <w:hideMark/>
          </w:tcPr>
          <w:p w14:paraId="2CBBACC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2034950B" w14:textId="77777777" w:rsidTr="00A445B6">
        <w:tc>
          <w:tcPr>
            <w:tcW w:w="974" w:type="dxa"/>
            <w:hideMark/>
          </w:tcPr>
          <w:p w14:paraId="2C59D1AE"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Plav</w:t>
            </w:r>
          </w:p>
        </w:tc>
        <w:tc>
          <w:tcPr>
            <w:tcW w:w="1114" w:type="dxa"/>
            <w:hideMark/>
          </w:tcPr>
          <w:p w14:paraId="0CCDBCF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9050</w:t>
            </w:r>
          </w:p>
        </w:tc>
        <w:tc>
          <w:tcPr>
            <w:tcW w:w="1057" w:type="dxa"/>
            <w:noWrap/>
            <w:hideMark/>
          </w:tcPr>
          <w:p w14:paraId="4BD7A89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w:t>
            </w:r>
          </w:p>
        </w:tc>
        <w:tc>
          <w:tcPr>
            <w:tcW w:w="1115" w:type="dxa"/>
            <w:hideMark/>
          </w:tcPr>
          <w:p w14:paraId="2B6ADC8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D9A172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39.7</w:t>
            </w:r>
          </w:p>
        </w:tc>
        <w:tc>
          <w:tcPr>
            <w:tcW w:w="1169" w:type="dxa"/>
            <w:noWrap/>
            <w:hideMark/>
          </w:tcPr>
          <w:p w14:paraId="5B78232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42.1</w:t>
            </w:r>
          </w:p>
        </w:tc>
        <w:tc>
          <w:tcPr>
            <w:tcW w:w="906" w:type="dxa"/>
            <w:noWrap/>
            <w:hideMark/>
          </w:tcPr>
          <w:p w14:paraId="2AE8F75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873" w:type="dxa"/>
            <w:noWrap/>
            <w:hideMark/>
          </w:tcPr>
          <w:p w14:paraId="4665A79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34</w:t>
            </w:r>
          </w:p>
        </w:tc>
        <w:tc>
          <w:tcPr>
            <w:tcW w:w="956" w:type="dxa"/>
            <w:noWrap/>
            <w:hideMark/>
          </w:tcPr>
          <w:p w14:paraId="44DAFD4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92</w:t>
            </w:r>
          </w:p>
        </w:tc>
      </w:tr>
      <w:tr w:rsidR="0048184E" w:rsidRPr="0048184E" w14:paraId="09A9F40E" w14:textId="77777777" w:rsidTr="00A445B6">
        <w:tc>
          <w:tcPr>
            <w:tcW w:w="974" w:type="dxa"/>
            <w:hideMark/>
          </w:tcPr>
          <w:p w14:paraId="1C469C9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Mojkovac</w:t>
            </w:r>
          </w:p>
        </w:tc>
        <w:tc>
          <w:tcPr>
            <w:tcW w:w="1114" w:type="dxa"/>
            <w:hideMark/>
          </w:tcPr>
          <w:p w14:paraId="5BF12AC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6728</w:t>
            </w:r>
          </w:p>
        </w:tc>
        <w:tc>
          <w:tcPr>
            <w:tcW w:w="1057" w:type="dxa"/>
            <w:noWrap/>
            <w:hideMark/>
          </w:tcPr>
          <w:p w14:paraId="4E033F2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w:t>
            </w:r>
          </w:p>
        </w:tc>
        <w:tc>
          <w:tcPr>
            <w:tcW w:w="1115" w:type="dxa"/>
            <w:hideMark/>
          </w:tcPr>
          <w:p w14:paraId="6D99B43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CA3C36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49.4</w:t>
            </w:r>
          </w:p>
        </w:tc>
        <w:tc>
          <w:tcPr>
            <w:tcW w:w="1169" w:type="dxa"/>
            <w:noWrap/>
            <w:hideMark/>
          </w:tcPr>
          <w:p w14:paraId="718B1D9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17.8</w:t>
            </w:r>
          </w:p>
        </w:tc>
        <w:tc>
          <w:tcPr>
            <w:tcW w:w="906" w:type="dxa"/>
            <w:noWrap/>
            <w:hideMark/>
          </w:tcPr>
          <w:p w14:paraId="00FB941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w:t>
            </w:r>
          </w:p>
        </w:tc>
        <w:tc>
          <w:tcPr>
            <w:tcW w:w="873" w:type="dxa"/>
            <w:noWrap/>
            <w:hideMark/>
          </w:tcPr>
          <w:p w14:paraId="4E6CBC4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24</w:t>
            </w:r>
          </w:p>
        </w:tc>
        <w:tc>
          <w:tcPr>
            <w:tcW w:w="956" w:type="dxa"/>
            <w:noWrap/>
            <w:hideMark/>
          </w:tcPr>
          <w:p w14:paraId="3C7FB0A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23199951" w14:textId="77777777" w:rsidTr="00A445B6">
        <w:tc>
          <w:tcPr>
            <w:tcW w:w="974" w:type="dxa"/>
            <w:hideMark/>
          </w:tcPr>
          <w:p w14:paraId="580485B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Kolašin</w:t>
            </w:r>
          </w:p>
        </w:tc>
        <w:tc>
          <w:tcPr>
            <w:tcW w:w="1114" w:type="dxa"/>
            <w:hideMark/>
          </w:tcPr>
          <w:p w14:paraId="4089B18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6700</w:t>
            </w:r>
          </w:p>
        </w:tc>
        <w:tc>
          <w:tcPr>
            <w:tcW w:w="1057" w:type="dxa"/>
            <w:noWrap/>
            <w:hideMark/>
          </w:tcPr>
          <w:p w14:paraId="7D6BE31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w:t>
            </w:r>
          </w:p>
        </w:tc>
        <w:tc>
          <w:tcPr>
            <w:tcW w:w="1115" w:type="dxa"/>
            <w:hideMark/>
          </w:tcPr>
          <w:p w14:paraId="2EF4479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0.5</w:t>
            </w:r>
          </w:p>
        </w:tc>
        <w:tc>
          <w:tcPr>
            <w:tcW w:w="852" w:type="dxa"/>
            <w:noWrap/>
            <w:hideMark/>
          </w:tcPr>
          <w:p w14:paraId="6C6B627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52.0</w:t>
            </w:r>
          </w:p>
        </w:tc>
        <w:tc>
          <w:tcPr>
            <w:tcW w:w="1169" w:type="dxa"/>
            <w:noWrap/>
            <w:hideMark/>
          </w:tcPr>
          <w:p w14:paraId="6EAD5DA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11.7</w:t>
            </w:r>
          </w:p>
        </w:tc>
        <w:tc>
          <w:tcPr>
            <w:tcW w:w="906" w:type="dxa"/>
            <w:noWrap/>
            <w:hideMark/>
          </w:tcPr>
          <w:p w14:paraId="0BEF85C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w:t>
            </w:r>
          </w:p>
        </w:tc>
        <w:tc>
          <w:tcPr>
            <w:tcW w:w="873" w:type="dxa"/>
            <w:noWrap/>
            <w:hideMark/>
          </w:tcPr>
          <w:p w14:paraId="7EECB5C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956" w:type="dxa"/>
            <w:noWrap/>
            <w:hideMark/>
          </w:tcPr>
          <w:p w14:paraId="5A05945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91</w:t>
            </w:r>
          </w:p>
        </w:tc>
      </w:tr>
      <w:tr w:rsidR="0048184E" w:rsidRPr="0048184E" w14:paraId="5DD77E6B" w14:textId="77777777" w:rsidTr="00A445B6">
        <w:tc>
          <w:tcPr>
            <w:tcW w:w="974" w:type="dxa"/>
            <w:hideMark/>
          </w:tcPr>
          <w:p w14:paraId="281B70A0"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Petnjica</w:t>
            </w:r>
          </w:p>
        </w:tc>
        <w:tc>
          <w:tcPr>
            <w:tcW w:w="1114" w:type="dxa"/>
            <w:hideMark/>
          </w:tcPr>
          <w:p w14:paraId="3FBC667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4957</w:t>
            </w:r>
          </w:p>
        </w:tc>
        <w:tc>
          <w:tcPr>
            <w:tcW w:w="1057" w:type="dxa"/>
            <w:noWrap/>
            <w:hideMark/>
          </w:tcPr>
          <w:p w14:paraId="39B2DF5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0.8</w:t>
            </w:r>
          </w:p>
        </w:tc>
        <w:tc>
          <w:tcPr>
            <w:tcW w:w="1115" w:type="dxa"/>
            <w:hideMark/>
          </w:tcPr>
          <w:p w14:paraId="1E2F8BE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2116578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34.0</w:t>
            </w:r>
          </w:p>
        </w:tc>
        <w:tc>
          <w:tcPr>
            <w:tcW w:w="1169" w:type="dxa"/>
            <w:noWrap/>
            <w:hideMark/>
          </w:tcPr>
          <w:p w14:paraId="7128F4F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47.5</w:t>
            </w:r>
          </w:p>
        </w:tc>
        <w:tc>
          <w:tcPr>
            <w:tcW w:w="906" w:type="dxa"/>
            <w:noWrap/>
            <w:hideMark/>
          </w:tcPr>
          <w:p w14:paraId="4B4A8B8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33</w:t>
            </w:r>
          </w:p>
        </w:tc>
        <w:tc>
          <w:tcPr>
            <w:tcW w:w="873" w:type="dxa"/>
            <w:noWrap/>
            <w:hideMark/>
          </w:tcPr>
          <w:p w14:paraId="05D7DE8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w:t>
            </w:r>
          </w:p>
        </w:tc>
        <w:tc>
          <w:tcPr>
            <w:tcW w:w="956" w:type="dxa"/>
            <w:noWrap/>
            <w:hideMark/>
          </w:tcPr>
          <w:p w14:paraId="458015F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84</w:t>
            </w:r>
          </w:p>
        </w:tc>
      </w:tr>
      <w:tr w:rsidR="0048184E" w:rsidRPr="0048184E" w14:paraId="1D7418B6" w14:textId="77777777" w:rsidTr="00A445B6">
        <w:tc>
          <w:tcPr>
            <w:tcW w:w="974" w:type="dxa"/>
            <w:hideMark/>
          </w:tcPr>
          <w:p w14:paraId="2F19B8F9"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Gusinje</w:t>
            </w:r>
          </w:p>
        </w:tc>
        <w:tc>
          <w:tcPr>
            <w:tcW w:w="1114" w:type="dxa"/>
            <w:hideMark/>
          </w:tcPr>
          <w:p w14:paraId="08D9E3B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3933</w:t>
            </w:r>
          </w:p>
        </w:tc>
        <w:tc>
          <w:tcPr>
            <w:tcW w:w="1057" w:type="dxa"/>
            <w:noWrap/>
            <w:hideMark/>
          </w:tcPr>
          <w:p w14:paraId="2A02240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0.6</w:t>
            </w:r>
          </w:p>
        </w:tc>
        <w:tc>
          <w:tcPr>
            <w:tcW w:w="1115" w:type="dxa"/>
            <w:hideMark/>
          </w:tcPr>
          <w:p w14:paraId="2F2DB32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073ED45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35.6</w:t>
            </w:r>
          </w:p>
        </w:tc>
        <w:tc>
          <w:tcPr>
            <w:tcW w:w="1169" w:type="dxa"/>
            <w:noWrap/>
            <w:hideMark/>
          </w:tcPr>
          <w:p w14:paraId="1065843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43.0</w:t>
            </w:r>
          </w:p>
        </w:tc>
        <w:tc>
          <w:tcPr>
            <w:tcW w:w="906" w:type="dxa"/>
            <w:noWrap/>
            <w:hideMark/>
          </w:tcPr>
          <w:p w14:paraId="218D438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40</w:t>
            </w:r>
          </w:p>
        </w:tc>
        <w:tc>
          <w:tcPr>
            <w:tcW w:w="873" w:type="dxa"/>
            <w:noWrap/>
            <w:hideMark/>
          </w:tcPr>
          <w:p w14:paraId="4364C2A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32</w:t>
            </w:r>
          </w:p>
        </w:tc>
        <w:tc>
          <w:tcPr>
            <w:tcW w:w="956" w:type="dxa"/>
            <w:noWrap/>
            <w:hideMark/>
          </w:tcPr>
          <w:p w14:paraId="0B8C390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6356B152" w14:textId="77777777" w:rsidTr="00A445B6">
        <w:tc>
          <w:tcPr>
            <w:tcW w:w="974" w:type="dxa"/>
            <w:hideMark/>
          </w:tcPr>
          <w:p w14:paraId="09E4B1D2"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Andrijevica</w:t>
            </w:r>
          </w:p>
        </w:tc>
        <w:tc>
          <w:tcPr>
            <w:tcW w:w="1114" w:type="dxa"/>
            <w:hideMark/>
          </w:tcPr>
          <w:p w14:paraId="2586858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3910</w:t>
            </w:r>
          </w:p>
        </w:tc>
        <w:tc>
          <w:tcPr>
            <w:tcW w:w="1057" w:type="dxa"/>
            <w:noWrap/>
            <w:hideMark/>
          </w:tcPr>
          <w:p w14:paraId="34BC72E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0.6</w:t>
            </w:r>
          </w:p>
        </w:tc>
        <w:tc>
          <w:tcPr>
            <w:tcW w:w="1115" w:type="dxa"/>
            <w:hideMark/>
          </w:tcPr>
          <w:p w14:paraId="3C90642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0.2</w:t>
            </w:r>
          </w:p>
        </w:tc>
        <w:tc>
          <w:tcPr>
            <w:tcW w:w="852" w:type="dxa"/>
            <w:noWrap/>
            <w:hideMark/>
          </w:tcPr>
          <w:p w14:paraId="0A5FF9E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44.8</w:t>
            </w:r>
          </w:p>
        </w:tc>
        <w:tc>
          <w:tcPr>
            <w:tcW w:w="1169" w:type="dxa"/>
            <w:noWrap/>
            <w:hideMark/>
          </w:tcPr>
          <w:p w14:paraId="1F02C77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26.9</w:t>
            </w:r>
          </w:p>
        </w:tc>
        <w:tc>
          <w:tcPr>
            <w:tcW w:w="906" w:type="dxa"/>
            <w:noWrap/>
            <w:hideMark/>
          </w:tcPr>
          <w:p w14:paraId="48AA208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19</w:t>
            </w:r>
          </w:p>
        </w:tc>
        <w:tc>
          <w:tcPr>
            <w:tcW w:w="873" w:type="dxa"/>
            <w:noWrap/>
            <w:hideMark/>
          </w:tcPr>
          <w:p w14:paraId="41AFADA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w:t>
            </w:r>
          </w:p>
        </w:tc>
        <w:tc>
          <w:tcPr>
            <w:tcW w:w="956" w:type="dxa"/>
            <w:noWrap/>
            <w:hideMark/>
          </w:tcPr>
          <w:p w14:paraId="0BA5666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85</w:t>
            </w:r>
          </w:p>
        </w:tc>
      </w:tr>
      <w:tr w:rsidR="0048184E" w:rsidRPr="0048184E" w14:paraId="1C28A44B" w14:textId="77777777" w:rsidTr="00A445B6">
        <w:tc>
          <w:tcPr>
            <w:tcW w:w="974" w:type="dxa"/>
            <w:hideMark/>
          </w:tcPr>
          <w:p w14:paraId="0FDD7534"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Žabljak</w:t>
            </w:r>
          </w:p>
        </w:tc>
        <w:tc>
          <w:tcPr>
            <w:tcW w:w="1114" w:type="dxa"/>
            <w:hideMark/>
          </w:tcPr>
          <w:p w14:paraId="3DE5FA4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2941</w:t>
            </w:r>
          </w:p>
        </w:tc>
        <w:tc>
          <w:tcPr>
            <w:tcW w:w="1057" w:type="dxa"/>
            <w:noWrap/>
            <w:hideMark/>
          </w:tcPr>
          <w:p w14:paraId="3ABF139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0.5</w:t>
            </w:r>
          </w:p>
        </w:tc>
        <w:tc>
          <w:tcPr>
            <w:tcW w:w="1115" w:type="dxa"/>
            <w:hideMark/>
          </w:tcPr>
          <w:p w14:paraId="4F60531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D615AA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53.1</w:t>
            </w:r>
          </w:p>
        </w:tc>
        <w:tc>
          <w:tcPr>
            <w:tcW w:w="1169" w:type="dxa"/>
            <w:noWrap/>
            <w:hideMark/>
          </w:tcPr>
          <w:p w14:paraId="5ADF675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12.0</w:t>
            </w:r>
          </w:p>
        </w:tc>
        <w:tc>
          <w:tcPr>
            <w:tcW w:w="906" w:type="dxa"/>
            <w:noWrap/>
            <w:hideMark/>
          </w:tcPr>
          <w:p w14:paraId="478CA16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873" w:type="dxa"/>
            <w:noWrap/>
            <w:hideMark/>
          </w:tcPr>
          <w:p w14:paraId="79184DE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37</w:t>
            </w:r>
          </w:p>
        </w:tc>
        <w:tc>
          <w:tcPr>
            <w:tcW w:w="956" w:type="dxa"/>
            <w:noWrap/>
            <w:hideMark/>
          </w:tcPr>
          <w:p w14:paraId="3472335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98</w:t>
            </w:r>
          </w:p>
        </w:tc>
      </w:tr>
      <w:tr w:rsidR="0048184E" w:rsidRPr="0048184E" w14:paraId="772FD53D" w14:textId="77777777" w:rsidTr="00A445B6">
        <w:tc>
          <w:tcPr>
            <w:tcW w:w="974" w:type="dxa"/>
            <w:hideMark/>
          </w:tcPr>
          <w:p w14:paraId="5E33853F"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Plužine</w:t>
            </w:r>
          </w:p>
        </w:tc>
        <w:tc>
          <w:tcPr>
            <w:tcW w:w="1114" w:type="dxa"/>
            <w:hideMark/>
          </w:tcPr>
          <w:p w14:paraId="798B9DF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2177</w:t>
            </w:r>
          </w:p>
        </w:tc>
        <w:tc>
          <w:tcPr>
            <w:tcW w:w="1057" w:type="dxa"/>
            <w:noWrap/>
            <w:hideMark/>
          </w:tcPr>
          <w:p w14:paraId="7C383C5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1115" w:type="dxa"/>
            <w:hideMark/>
          </w:tcPr>
          <w:p w14:paraId="14708C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3CCFFC6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46.9</w:t>
            </w:r>
          </w:p>
        </w:tc>
        <w:tc>
          <w:tcPr>
            <w:tcW w:w="1169" w:type="dxa"/>
            <w:noWrap/>
            <w:hideMark/>
          </w:tcPr>
          <w:p w14:paraId="1212647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17.6</w:t>
            </w:r>
          </w:p>
        </w:tc>
        <w:tc>
          <w:tcPr>
            <w:tcW w:w="906" w:type="dxa"/>
            <w:noWrap/>
            <w:hideMark/>
          </w:tcPr>
          <w:p w14:paraId="66A5F94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w:t>
            </w:r>
          </w:p>
        </w:tc>
        <w:tc>
          <w:tcPr>
            <w:tcW w:w="873" w:type="dxa"/>
            <w:noWrap/>
            <w:hideMark/>
          </w:tcPr>
          <w:p w14:paraId="0859324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43</w:t>
            </w:r>
          </w:p>
        </w:tc>
        <w:tc>
          <w:tcPr>
            <w:tcW w:w="956" w:type="dxa"/>
            <w:noWrap/>
            <w:hideMark/>
          </w:tcPr>
          <w:p w14:paraId="60E974B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95</w:t>
            </w:r>
          </w:p>
        </w:tc>
      </w:tr>
      <w:tr w:rsidR="0048184E" w:rsidRPr="0048184E" w14:paraId="683D4D8B" w14:textId="77777777" w:rsidTr="00A445B6">
        <w:tc>
          <w:tcPr>
            <w:tcW w:w="974" w:type="dxa"/>
            <w:hideMark/>
          </w:tcPr>
          <w:p w14:paraId="011484EB"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Šavnik</w:t>
            </w:r>
          </w:p>
        </w:tc>
        <w:tc>
          <w:tcPr>
            <w:tcW w:w="1114" w:type="dxa"/>
            <w:hideMark/>
          </w:tcPr>
          <w:p w14:paraId="0B3BD35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1569</w:t>
            </w:r>
          </w:p>
        </w:tc>
        <w:tc>
          <w:tcPr>
            <w:tcW w:w="1057" w:type="dxa"/>
            <w:noWrap/>
            <w:hideMark/>
          </w:tcPr>
          <w:p w14:paraId="1126506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1115" w:type="dxa"/>
            <w:hideMark/>
          </w:tcPr>
          <w:p w14:paraId="05E8129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331E1AC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53.3</w:t>
            </w:r>
          </w:p>
        </w:tc>
        <w:tc>
          <w:tcPr>
            <w:tcW w:w="1169" w:type="dxa"/>
            <w:noWrap/>
            <w:hideMark/>
          </w:tcPr>
          <w:p w14:paraId="24F57C4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7.9</w:t>
            </w:r>
          </w:p>
        </w:tc>
        <w:tc>
          <w:tcPr>
            <w:tcW w:w="906" w:type="dxa"/>
            <w:noWrap/>
            <w:hideMark/>
          </w:tcPr>
          <w:p w14:paraId="78AC776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w:t>
            </w:r>
          </w:p>
        </w:tc>
        <w:tc>
          <w:tcPr>
            <w:tcW w:w="873" w:type="dxa"/>
            <w:noWrap/>
            <w:hideMark/>
          </w:tcPr>
          <w:p w14:paraId="0B6EA6C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58</w:t>
            </w:r>
          </w:p>
        </w:tc>
        <w:tc>
          <w:tcPr>
            <w:tcW w:w="956" w:type="dxa"/>
            <w:noWrap/>
            <w:hideMark/>
          </w:tcPr>
          <w:p w14:paraId="2F01844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90</w:t>
            </w:r>
          </w:p>
        </w:tc>
      </w:tr>
    </w:tbl>
    <w:p w14:paraId="12D4C9F4" w14:textId="77777777" w:rsidR="00223F35" w:rsidRPr="0048184E" w:rsidRDefault="00223F35" w:rsidP="0048184E">
      <w:pPr>
        <w:spacing w:after="0" w:line="240" w:lineRule="auto"/>
        <w:rPr>
          <w:rFonts w:eastAsia="Aptos" w:cs="Times New Roman"/>
          <w:sz w:val="18"/>
          <w:szCs w:val="18"/>
          <w:lang w:val="pl-PL"/>
        </w:rPr>
      </w:pPr>
      <w:r w:rsidRPr="0048184E">
        <w:rPr>
          <w:rFonts w:eastAsiaTheme="minorEastAsia" w:cs="Times New Roman"/>
          <w:kern w:val="2"/>
          <w:sz w:val="18"/>
          <w:szCs w:val="18"/>
          <w:lang w:val="pl-PL" w:eastAsia="zh-TW"/>
          <w14:ligatures w14:val="standardContextual"/>
        </w:rPr>
        <w:t xml:space="preserve">Izvor: </w:t>
      </w:r>
      <w:bookmarkEnd w:id="28"/>
      <w:r w:rsidRPr="0048184E">
        <w:rPr>
          <w:rFonts w:eastAsiaTheme="minorEastAsia" w:cs="Times New Roman"/>
          <w:kern w:val="2"/>
          <w:sz w:val="18"/>
          <w:szCs w:val="18"/>
          <w:lang w:val="pl-PL" w:eastAsia="zh-TW"/>
          <w14:ligatures w14:val="standardContextual"/>
        </w:rPr>
        <w:t>MONSTAT</w:t>
      </w:r>
    </w:p>
    <w:p w14:paraId="0854642B" w14:textId="77777777" w:rsidR="00223F35" w:rsidRPr="0048184E" w:rsidRDefault="00223F35" w:rsidP="0048184E">
      <w:pPr>
        <w:spacing w:after="0" w:line="240" w:lineRule="auto"/>
        <w:jc w:val="both"/>
        <w:rPr>
          <w:sz w:val="18"/>
          <w:szCs w:val="18"/>
          <w:u w:val="single"/>
          <w:lang w:val="pl-PL"/>
        </w:rPr>
      </w:pPr>
    </w:p>
    <w:p w14:paraId="289386E3" w14:textId="77777777" w:rsidR="00223F35" w:rsidRDefault="00223F35" w:rsidP="0048184E">
      <w:pPr>
        <w:spacing w:after="0" w:line="240" w:lineRule="auto"/>
        <w:jc w:val="both"/>
        <w:rPr>
          <w:sz w:val="18"/>
          <w:szCs w:val="18"/>
          <w:lang w:val="pl-PL"/>
        </w:rPr>
      </w:pPr>
      <w:r w:rsidRPr="0048184E">
        <w:rPr>
          <w:sz w:val="18"/>
          <w:szCs w:val="18"/>
          <w:lang w:val="pl-PL"/>
        </w:rPr>
        <w:t xml:space="preserve">Natalitet, mortalitet, prirodni priraštaj - U Crnoj Gori u 2022. godini, na osnovu prirodnog priraštaja na 1000 stanovnika, broj stanovnika se smanjio za 0,1 stanovnik. Očigledan je pad prirodnog priraštaja u prikazanih deset godina sa  2,5 na -0,1. </w:t>
      </w:r>
    </w:p>
    <w:p w14:paraId="3EAA6DF5" w14:textId="77777777" w:rsidR="004B0391" w:rsidRDefault="004B0391" w:rsidP="0048184E">
      <w:pPr>
        <w:spacing w:after="0" w:line="240" w:lineRule="auto"/>
        <w:jc w:val="both"/>
        <w:rPr>
          <w:sz w:val="18"/>
          <w:szCs w:val="18"/>
          <w:lang w:val="pl-PL"/>
        </w:rPr>
      </w:pPr>
    </w:p>
    <w:p w14:paraId="2B493263" w14:textId="77777777" w:rsidR="004B0391" w:rsidRPr="0048184E" w:rsidRDefault="004B0391" w:rsidP="0048184E">
      <w:pPr>
        <w:spacing w:after="0" w:line="240" w:lineRule="auto"/>
        <w:jc w:val="both"/>
        <w:rPr>
          <w:sz w:val="18"/>
          <w:szCs w:val="18"/>
          <w:lang w:val="pl-PL"/>
        </w:rPr>
      </w:pPr>
    </w:p>
    <w:p w14:paraId="321EC666" w14:textId="77777777" w:rsidR="00223F35" w:rsidRPr="0048184E" w:rsidRDefault="00223F35" w:rsidP="0048184E">
      <w:pPr>
        <w:spacing w:after="0" w:line="240" w:lineRule="auto"/>
        <w:rPr>
          <w:sz w:val="18"/>
          <w:szCs w:val="18"/>
          <w:lang w:val="pl-PL"/>
        </w:rPr>
      </w:pPr>
      <w:bookmarkStart w:id="29" w:name="_Hlk182985594"/>
    </w:p>
    <w:p w14:paraId="61AE0700" w14:textId="77777777" w:rsidR="00223F35" w:rsidRPr="004B0391" w:rsidRDefault="00223F35"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Grafik</w:t>
      </w:r>
      <w:r w:rsidR="004B0391" w:rsidRPr="004B0391">
        <w:rPr>
          <w:b/>
          <w:color w:val="4472C4" w:themeColor="accent5"/>
          <w:sz w:val="18"/>
          <w:szCs w:val="18"/>
          <w:lang w:val="pl-PL"/>
        </w:rPr>
        <w:t xml:space="preserve"> 10</w:t>
      </w:r>
      <w:r w:rsidRPr="004B0391">
        <w:rPr>
          <w:b/>
          <w:color w:val="4472C4" w:themeColor="accent5"/>
          <w:sz w:val="18"/>
          <w:szCs w:val="18"/>
          <w:lang w:val="pl-PL"/>
        </w:rPr>
        <w:t xml:space="preserve"> : Stope nataliteta, mortaliteta i stopa prirodnog priraštaja, 2013-2022.</w:t>
      </w:r>
    </w:p>
    <w:p w14:paraId="6C4F83EF" w14:textId="77777777" w:rsidR="00223F35" w:rsidRPr="0048184E" w:rsidRDefault="00223F35" w:rsidP="0048184E">
      <w:pPr>
        <w:pBdr>
          <w:top w:val="nil"/>
          <w:left w:val="nil"/>
          <w:bottom w:val="nil"/>
          <w:right w:val="nil"/>
          <w:between w:val="nil"/>
        </w:pBdr>
        <w:spacing w:after="0" w:line="240" w:lineRule="auto"/>
        <w:jc w:val="center"/>
        <w:rPr>
          <w:sz w:val="18"/>
          <w:szCs w:val="18"/>
        </w:rPr>
      </w:pPr>
      <w:r w:rsidRPr="0048184E">
        <w:rPr>
          <w:rFonts w:eastAsia="Arial" w:cs="Arial"/>
          <w:noProof/>
          <w:sz w:val="18"/>
          <w:szCs w:val="18"/>
        </w:rPr>
        <w:drawing>
          <wp:inline distT="0" distB="0" distL="0" distR="0" wp14:anchorId="7B7EE495" wp14:editId="4E141F57">
            <wp:extent cx="4772660" cy="2225040"/>
            <wp:effectExtent l="0" t="0" r="8890" b="3810"/>
            <wp:docPr id="233" name="Chart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85481B"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bookmarkEnd w:id="29"/>
    <w:p w14:paraId="312C1D62" w14:textId="77777777" w:rsidR="00223F35" w:rsidRPr="0048184E" w:rsidRDefault="00223F35" w:rsidP="0048184E">
      <w:pPr>
        <w:spacing w:after="0" w:line="240" w:lineRule="auto"/>
        <w:jc w:val="both"/>
        <w:rPr>
          <w:sz w:val="18"/>
          <w:szCs w:val="18"/>
          <w:lang w:val="pl-PL"/>
        </w:rPr>
      </w:pPr>
    </w:p>
    <w:p w14:paraId="04700FD2" w14:textId="77777777" w:rsidR="00223F35" w:rsidRPr="0048184E" w:rsidRDefault="00223F35" w:rsidP="0048184E">
      <w:pPr>
        <w:spacing w:after="0" w:line="240" w:lineRule="auto"/>
        <w:jc w:val="both"/>
        <w:rPr>
          <w:sz w:val="18"/>
          <w:szCs w:val="18"/>
          <w:lang w:val="pl-PL"/>
        </w:rPr>
      </w:pPr>
      <w:r w:rsidRPr="0048184E">
        <w:rPr>
          <w:sz w:val="18"/>
          <w:szCs w:val="18"/>
          <w:lang w:val="pl-PL"/>
        </w:rPr>
        <w:t>Prirodno kretanje i reprodukcija stanovništva imaju veliki značaj za društveni, ekonomski i prostorni razvoj svake zemlje. Osnovno obilježje demografskih kretanja za posljednjih 10 godina (2013-2022) u Crnoj Gori je prirodni pad broja stanovnika, tj. negativan prirodni priraštaj, što je prikazano prethodnim grafikom.</w:t>
      </w:r>
    </w:p>
    <w:p w14:paraId="5A1BAF3F" w14:textId="77777777" w:rsidR="00726A49" w:rsidRDefault="00223F35" w:rsidP="00E33C79">
      <w:pPr>
        <w:spacing w:after="0" w:line="240" w:lineRule="auto"/>
        <w:jc w:val="both"/>
        <w:rPr>
          <w:sz w:val="18"/>
          <w:szCs w:val="18"/>
          <w:lang w:val="pl-PL"/>
        </w:rPr>
      </w:pPr>
      <w:r w:rsidRPr="0048184E">
        <w:rPr>
          <w:sz w:val="18"/>
          <w:szCs w:val="18"/>
          <w:lang w:val="pl-PL"/>
        </w:rPr>
        <w:lastRenderedPageBreak/>
        <w:t>Prema podacima Monstat-a, očekivano trajanje života u Crnoj Gori se kreće oko 76 godina za ukupno stanovništvo u periodu od 2013. do 2022. godine. Očekivano trajanje života može varirati između muškaraca i žena, s obzirom na biološke razlike i druge faktore, pa tako (računajući poslednjih deset godina)  očekivano trajanje života za muškarce u Crnoj Gori bilo je nešto niže od 74 godine, dok je za žene bilo nešto niže od 79 godina. Očekivano trajanje života zavisi od različitih faktora kao što su</w:t>
      </w:r>
      <w:r w:rsidR="00D94DBB" w:rsidRPr="0048184E">
        <w:rPr>
          <w:sz w:val="18"/>
          <w:szCs w:val="18"/>
          <w:lang w:val="pl-PL"/>
        </w:rPr>
        <w:t>:</w:t>
      </w:r>
      <w:r w:rsidRPr="0048184E">
        <w:rPr>
          <w:sz w:val="18"/>
          <w:szCs w:val="18"/>
          <w:lang w:val="pl-PL"/>
        </w:rPr>
        <w:t xml:space="preserve"> zdravstveni sistem, socio-ekonomski uslovi, životni stilovi stanovništva i drugi fakt</w:t>
      </w:r>
      <w:r w:rsidR="00D94DBB" w:rsidRPr="0048184E">
        <w:rPr>
          <w:sz w:val="18"/>
          <w:szCs w:val="18"/>
          <w:lang w:val="pl-PL"/>
        </w:rPr>
        <w:t xml:space="preserve">ori. </w:t>
      </w:r>
      <w:r w:rsidRPr="0048184E">
        <w:rPr>
          <w:sz w:val="18"/>
          <w:szCs w:val="18"/>
          <w:lang w:val="pl-PL"/>
        </w:rPr>
        <w:t>Detaljniji podaci o očekivanom trajanju života na ukupnom nivou, kao i po polu prikazani su u nastavku, za period od 2013. do 2022. godine.</w:t>
      </w:r>
    </w:p>
    <w:p w14:paraId="731EFA6C" w14:textId="77777777" w:rsidR="00E33C79" w:rsidRDefault="00E33C79" w:rsidP="00E33C79">
      <w:pPr>
        <w:spacing w:after="0" w:line="240" w:lineRule="auto"/>
        <w:jc w:val="both"/>
        <w:rPr>
          <w:sz w:val="18"/>
          <w:szCs w:val="18"/>
          <w:lang w:val="pl-PL"/>
        </w:rPr>
      </w:pPr>
    </w:p>
    <w:p w14:paraId="0679E8B7" w14:textId="77777777" w:rsidR="00E33C79" w:rsidRDefault="00E33C79" w:rsidP="00E33C79">
      <w:pPr>
        <w:spacing w:after="0" w:line="240" w:lineRule="auto"/>
        <w:jc w:val="both"/>
        <w:rPr>
          <w:sz w:val="18"/>
          <w:szCs w:val="18"/>
          <w:lang w:val="pl-PL"/>
        </w:rPr>
      </w:pPr>
    </w:p>
    <w:p w14:paraId="0DE1621D" w14:textId="77777777" w:rsidR="00E33C79" w:rsidRDefault="00E33C79" w:rsidP="00E33C79">
      <w:pPr>
        <w:spacing w:after="0" w:line="240" w:lineRule="auto"/>
        <w:jc w:val="both"/>
        <w:rPr>
          <w:sz w:val="18"/>
          <w:szCs w:val="18"/>
          <w:lang w:val="pl-PL"/>
        </w:rPr>
      </w:pPr>
    </w:p>
    <w:p w14:paraId="1A7DBDC4" w14:textId="77777777" w:rsidR="00E33C79" w:rsidRDefault="00E33C79" w:rsidP="00E33C79">
      <w:pPr>
        <w:spacing w:after="0" w:line="240" w:lineRule="auto"/>
        <w:jc w:val="both"/>
        <w:rPr>
          <w:sz w:val="18"/>
          <w:szCs w:val="18"/>
          <w:lang w:val="pl-PL"/>
        </w:rPr>
      </w:pPr>
    </w:p>
    <w:p w14:paraId="64E5C9C3" w14:textId="77777777" w:rsidR="00E33C79" w:rsidRDefault="00E33C79" w:rsidP="00E33C79">
      <w:pPr>
        <w:spacing w:after="0" w:line="240" w:lineRule="auto"/>
        <w:jc w:val="both"/>
        <w:rPr>
          <w:sz w:val="18"/>
          <w:szCs w:val="18"/>
          <w:lang w:val="pl-PL"/>
        </w:rPr>
      </w:pPr>
    </w:p>
    <w:p w14:paraId="5E7A3B91" w14:textId="77777777" w:rsidR="00E33C79" w:rsidRDefault="00E33C79" w:rsidP="00E33C79">
      <w:pPr>
        <w:spacing w:after="0" w:line="240" w:lineRule="auto"/>
        <w:jc w:val="both"/>
        <w:rPr>
          <w:sz w:val="18"/>
          <w:szCs w:val="18"/>
          <w:lang w:val="pl-PL"/>
        </w:rPr>
      </w:pPr>
    </w:p>
    <w:p w14:paraId="124C21F0" w14:textId="77777777" w:rsidR="00E33C79" w:rsidRDefault="00E33C79" w:rsidP="00E33C79">
      <w:pPr>
        <w:spacing w:after="0" w:line="240" w:lineRule="auto"/>
        <w:jc w:val="both"/>
        <w:rPr>
          <w:sz w:val="18"/>
          <w:szCs w:val="18"/>
          <w:lang w:val="pl-PL"/>
        </w:rPr>
      </w:pPr>
    </w:p>
    <w:p w14:paraId="0DBEBC1F" w14:textId="77777777" w:rsidR="00E33C79" w:rsidRDefault="00E33C79" w:rsidP="00E33C79">
      <w:pPr>
        <w:spacing w:after="0" w:line="240" w:lineRule="auto"/>
        <w:jc w:val="both"/>
        <w:rPr>
          <w:sz w:val="18"/>
          <w:szCs w:val="18"/>
          <w:lang w:val="pl-PL"/>
        </w:rPr>
      </w:pPr>
    </w:p>
    <w:p w14:paraId="6943B31F" w14:textId="77777777" w:rsidR="00E33C79" w:rsidRDefault="00E33C79" w:rsidP="00E33C79">
      <w:pPr>
        <w:spacing w:after="0" w:line="240" w:lineRule="auto"/>
        <w:jc w:val="both"/>
        <w:rPr>
          <w:sz w:val="18"/>
          <w:szCs w:val="18"/>
          <w:lang w:val="pl-PL"/>
        </w:rPr>
      </w:pPr>
    </w:p>
    <w:p w14:paraId="653B9F80" w14:textId="77777777" w:rsidR="00E33C79" w:rsidRDefault="00E33C79" w:rsidP="00E33C79">
      <w:pPr>
        <w:spacing w:after="0" w:line="240" w:lineRule="auto"/>
        <w:jc w:val="both"/>
        <w:rPr>
          <w:sz w:val="18"/>
          <w:szCs w:val="18"/>
          <w:lang w:val="pl-PL"/>
        </w:rPr>
      </w:pPr>
    </w:p>
    <w:p w14:paraId="3B62D947" w14:textId="77777777" w:rsidR="00E33C79" w:rsidRDefault="00E33C79" w:rsidP="00E33C79">
      <w:pPr>
        <w:spacing w:after="0" w:line="240" w:lineRule="auto"/>
        <w:jc w:val="both"/>
        <w:rPr>
          <w:sz w:val="18"/>
          <w:szCs w:val="18"/>
          <w:lang w:val="pl-PL"/>
        </w:rPr>
      </w:pPr>
    </w:p>
    <w:p w14:paraId="5A364239" w14:textId="77777777" w:rsidR="00E33C79" w:rsidRDefault="00E33C79" w:rsidP="00E33C79">
      <w:pPr>
        <w:spacing w:after="0" w:line="240" w:lineRule="auto"/>
        <w:jc w:val="both"/>
        <w:rPr>
          <w:sz w:val="18"/>
          <w:szCs w:val="18"/>
          <w:lang w:val="pl-PL"/>
        </w:rPr>
      </w:pPr>
    </w:p>
    <w:p w14:paraId="6E975ED8" w14:textId="77777777" w:rsidR="00E33C79" w:rsidRDefault="00E33C79" w:rsidP="00E33C79">
      <w:pPr>
        <w:spacing w:after="0" w:line="240" w:lineRule="auto"/>
        <w:jc w:val="both"/>
        <w:rPr>
          <w:sz w:val="18"/>
          <w:szCs w:val="18"/>
          <w:lang w:val="pl-PL"/>
        </w:rPr>
      </w:pPr>
    </w:p>
    <w:p w14:paraId="401E7204" w14:textId="77777777" w:rsidR="00E33C79" w:rsidRDefault="00E33C79" w:rsidP="00E33C79">
      <w:pPr>
        <w:spacing w:after="0" w:line="240" w:lineRule="auto"/>
        <w:jc w:val="both"/>
        <w:rPr>
          <w:sz w:val="18"/>
          <w:szCs w:val="18"/>
          <w:lang w:val="pl-PL"/>
        </w:rPr>
      </w:pPr>
    </w:p>
    <w:p w14:paraId="6B08CC82" w14:textId="77777777" w:rsidR="00E33C79" w:rsidRDefault="00E33C79" w:rsidP="00E33C79">
      <w:pPr>
        <w:spacing w:after="0" w:line="240" w:lineRule="auto"/>
        <w:jc w:val="both"/>
        <w:rPr>
          <w:sz w:val="18"/>
          <w:szCs w:val="18"/>
          <w:lang w:val="pl-PL"/>
        </w:rPr>
      </w:pPr>
    </w:p>
    <w:p w14:paraId="4B9A74E3" w14:textId="77777777" w:rsidR="00E33C79" w:rsidRDefault="00E33C79" w:rsidP="00E33C79">
      <w:pPr>
        <w:spacing w:after="0" w:line="240" w:lineRule="auto"/>
        <w:jc w:val="both"/>
        <w:rPr>
          <w:sz w:val="18"/>
          <w:szCs w:val="18"/>
          <w:lang w:val="pl-PL"/>
        </w:rPr>
      </w:pPr>
    </w:p>
    <w:p w14:paraId="7F830466" w14:textId="77777777" w:rsidR="00E33C79" w:rsidRPr="00E33C79" w:rsidRDefault="00E33C79" w:rsidP="00E33C79">
      <w:pPr>
        <w:spacing w:after="0" w:line="240" w:lineRule="auto"/>
        <w:jc w:val="both"/>
        <w:rPr>
          <w:sz w:val="18"/>
          <w:szCs w:val="18"/>
          <w:lang w:val="pl-PL"/>
        </w:rPr>
      </w:pPr>
    </w:p>
    <w:p w14:paraId="604CB863" w14:textId="77777777" w:rsidR="00223F35" w:rsidRPr="004B0391" w:rsidRDefault="00223F35"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Grafik</w:t>
      </w:r>
      <w:r w:rsidR="004B0391" w:rsidRPr="004B0391">
        <w:rPr>
          <w:b/>
          <w:color w:val="4472C4" w:themeColor="accent5"/>
          <w:sz w:val="18"/>
          <w:szCs w:val="18"/>
          <w:lang w:val="pl-PL"/>
        </w:rPr>
        <w:t xml:space="preserve"> 11.</w:t>
      </w:r>
      <w:r w:rsidRPr="004B0391">
        <w:rPr>
          <w:b/>
          <w:color w:val="4472C4" w:themeColor="accent5"/>
          <w:sz w:val="18"/>
          <w:szCs w:val="18"/>
          <w:lang w:val="pl-PL"/>
        </w:rPr>
        <w:t xml:space="preserve"> Očekivano trajanje života, 2013-2022.</w:t>
      </w:r>
    </w:p>
    <w:p w14:paraId="7A4A8734" w14:textId="77777777" w:rsidR="00223F35" w:rsidRPr="004B0391" w:rsidRDefault="00223F35" w:rsidP="0048184E">
      <w:pPr>
        <w:spacing w:after="0" w:line="240" w:lineRule="auto"/>
        <w:jc w:val="center"/>
        <w:rPr>
          <w:sz w:val="18"/>
          <w:szCs w:val="18"/>
          <w:lang w:val="pl-PL"/>
        </w:rPr>
      </w:pPr>
      <w:r w:rsidRPr="0048184E">
        <w:rPr>
          <w:noProof/>
          <w:sz w:val="18"/>
          <w:szCs w:val="18"/>
        </w:rPr>
        <w:drawing>
          <wp:inline distT="0" distB="0" distL="0" distR="0" wp14:anchorId="75032624" wp14:editId="14DB359B">
            <wp:extent cx="4336473" cy="2334491"/>
            <wp:effectExtent l="0" t="0" r="0" b="0"/>
            <wp:docPr id="236" name="Chart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31BC8C" w14:textId="77777777" w:rsidR="00223F35" w:rsidRPr="004B0391" w:rsidRDefault="00223F35" w:rsidP="0048184E">
      <w:pPr>
        <w:spacing w:after="0" w:line="240" w:lineRule="auto"/>
        <w:rPr>
          <w:sz w:val="18"/>
          <w:szCs w:val="18"/>
          <w:lang w:val="pl-PL"/>
        </w:rPr>
      </w:pPr>
      <w:r w:rsidRPr="004B0391">
        <w:rPr>
          <w:sz w:val="18"/>
          <w:szCs w:val="18"/>
          <w:lang w:val="pl-PL"/>
        </w:rPr>
        <w:t>Izvor: Monstat</w:t>
      </w:r>
    </w:p>
    <w:p w14:paraId="471AF4A4" w14:textId="77777777" w:rsidR="00223F35" w:rsidRPr="004B0391" w:rsidRDefault="00223F35" w:rsidP="0048184E">
      <w:pPr>
        <w:spacing w:after="0" w:line="240" w:lineRule="auto"/>
        <w:jc w:val="both"/>
        <w:rPr>
          <w:sz w:val="18"/>
          <w:szCs w:val="18"/>
          <w:u w:val="single"/>
          <w:lang w:val="pl-PL"/>
        </w:rPr>
      </w:pPr>
    </w:p>
    <w:p w14:paraId="702810BD" w14:textId="77777777" w:rsidR="00223F35" w:rsidRPr="0048184E" w:rsidRDefault="00223F35" w:rsidP="0048184E">
      <w:pPr>
        <w:spacing w:after="0" w:line="240" w:lineRule="auto"/>
        <w:jc w:val="both"/>
        <w:rPr>
          <w:sz w:val="18"/>
          <w:szCs w:val="18"/>
          <w:lang w:val="pl-PL"/>
        </w:rPr>
      </w:pPr>
      <w:r w:rsidRPr="004B0391">
        <w:rPr>
          <w:sz w:val="18"/>
          <w:szCs w:val="18"/>
          <w:lang w:val="pl-PL"/>
        </w:rPr>
        <w:t xml:space="preserve">Pored negativnog prirodnog priraštaja, drugi faktor smanjenja broja stanovništva Sjevernog regiona su </w:t>
      </w:r>
      <w:r w:rsidRPr="004B0391">
        <w:rPr>
          <w:b/>
          <w:sz w:val="18"/>
          <w:szCs w:val="18"/>
          <w:lang w:val="pl-PL"/>
        </w:rPr>
        <w:t>migraci</w:t>
      </w:r>
      <w:r w:rsidRPr="003C2A72">
        <w:rPr>
          <w:b/>
          <w:sz w:val="18"/>
          <w:szCs w:val="18"/>
          <w:lang w:val="pl-PL"/>
        </w:rPr>
        <w:t>je,</w:t>
      </w:r>
      <w:r w:rsidRPr="003C2A72">
        <w:rPr>
          <w:sz w:val="18"/>
          <w:szCs w:val="18"/>
          <w:lang w:val="pl-PL"/>
        </w:rPr>
        <w:t xml:space="preserve"> što je višedecenijski trend. </w:t>
      </w:r>
      <w:r w:rsidRPr="0048184E">
        <w:rPr>
          <w:sz w:val="18"/>
          <w:szCs w:val="18"/>
          <w:lang w:val="pl-PL"/>
        </w:rPr>
        <w:t>Migracije stanovništva u inostranstvo, naročito “brain drain”</w:t>
      </w:r>
      <w:r w:rsidR="00D94DBB" w:rsidRPr="0048184E">
        <w:rPr>
          <w:rStyle w:val="FootnoteReference"/>
          <w:sz w:val="18"/>
          <w:szCs w:val="18"/>
          <w:lang w:val="pl-PL"/>
        </w:rPr>
        <w:footnoteReference w:id="33"/>
      </w:r>
      <w:r w:rsidRPr="0048184E">
        <w:rPr>
          <w:sz w:val="18"/>
          <w:szCs w:val="18"/>
          <w:lang w:val="pl-PL"/>
        </w:rPr>
        <w:t xml:space="preserve">, su posljednjih decenija karakteristične za Crnu Goru. </w:t>
      </w:r>
    </w:p>
    <w:p w14:paraId="4C1728B5" w14:textId="77777777" w:rsidR="00223F35" w:rsidRPr="0048184E" w:rsidRDefault="00223F35" w:rsidP="0048184E">
      <w:pPr>
        <w:spacing w:after="0" w:line="240" w:lineRule="auto"/>
        <w:jc w:val="both"/>
        <w:rPr>
          <w:sz w:val="18"/>
          <w:szCs w:val="18"/>
          <w:lang w:val="pl-PL"/>
        </w:rPr>
      </w:pPr>
    </w:p>
    <w:p w14:paraId="2F817FF2"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Ključni razlozi emigracija sa Sjevera u inostranstvo, kao i unutrašnjih migracija sa Sjevera u ostala dva regiona </w:t>
      </w:r>
      <w:r w:rsidR="00D94DBB" w:rsidRPr="0048184E">
        <w:rPr>
          <w:sz w:val="18"/>
          <w:szCs w:val="18"/>
          <w:lang w:val="pl-PL"/>
        </w:rPr>
        <w:t xml:space="preserve">dominantno </w:t>
      </w:r>
      <w:r w:rsidRPr="0048184E">
        <w:rPr>
          <w:sz w:val="18"/>
          <w:szCs w:val="18"/>
          <w:lang w:val="pl-PL"/>
        </w:rPr>
        <w:t xml:space="preserve">su: nepovoljna situacija na tržištu rada odnosno visoka stopa nezaposlenosti zbog nedovoljnog broja prilika za otvaranje novih radnih mjesta, niža prosječna zarada u odnosu na ostatak Crne Gore, a naročito u odnosu na zemlje Zapadne Evrope, neformalna ekonomija, nedovoljno razvijena osnovna i poslovna infrastruktura u funkciji veće konkurentnosti i kvaliteta života. Pored migracija u inostranstvo, unutrašnje migracije iz Sjevernog u Središnji i Primorski region Crne Gore su veoma izražene. Negativni saldo migracija iz Sjevernog u Središnji i Primorski region, prosječno godišnje iznosio je oko 1.300 lica, što ukazuje da je iz ovog regiona u Središnji i Primorski migriralo više od 10 hiljada lica u periodu 2013-2022. godina. </w:t>
      </w:r>
    </w:p>
    <w:p w14:paraId="161638BD" w14:textId="77777777" w:rsidR="00223F35" w:rsidRPr="0048184E" w:rsidRDefault="00223F35" w:rsidP="0048184E">
      <w:pPr>
        <w:spacing w:after="0" w:line="240" w:lineRule="auto"/>
        <w:jc w:val="both"/>
        <w:rPr>
          <w:sz w:val="18"/>
          <w:szCs w:val="18"/>
          <w:lang w:val="pl-PL"/>
        </w:rPr>
      </w:pPr>
    </w:p>
    <w:p w14:paraId="6D8B6B9F" w14:textId="77777777" w:rsidR="005B402C" w:rsidRPr="0048184E" w:rsidRDefault="00223F35" w:rsidP="0048184E">
      <w:pPr>
        <w:spacing w:after="0" w:line="240" w:lineRule="auto"/>
        <w:jc w:val="both"/>
        <w:rPr>
          <w:sz w:val="18"/>
          <w:szCs w:val="18"/>
          <w:lang w:val="pl-PL"/>
        </w:rPr>
      </w:pPr>
      <w:r w:rsidRPr="0048184E">
        <w:rPr>
          <w:sz w:val="18"/>
          <w:szCs w:val="18"/>
          <w:lang w:val="pl-PL"/>
        </w:rPr>
        <w:t xml:space="preserve">Trenutno Crnu Goru karakteriše veći priliv od odliva stanovništva u inostranstvo, i taj priliv je dominantan u Središnji i Primorski region, utičući tako na strukturu lokalnog stanovništva, i moguća kretanja na tržištu roba i usluga, kao i na tržištu rada. Opštine sjevera, sa najvećim odlivom stanovništva prema opštinama Primorskog i Središnjeg regiona, naročito Podgorice, u posmatranom periodu 2013-2022. godina su Bijelo Polje, Berane, Pljevlja i Rožaje, kao najveće opštine Sjevera. Povećanje urbanizacije i unutrašnje migracije iz Sjevernog u Središnji i Primorski region, dovele su do sve manje tražnje za </w:t>
      </w:r>
      <w:r w:rsidRPr="0048184E">
        <w:rPr>
          <w:b/>
          <w:sz w:val="18"/>
          <w:szCs w:val="18"/>
          <w:lang w:val="pl-PL"/>
        </w:rPr>
        <w:lastRenderedPageBreak/>
        <w:t xml:space="preserve">obrazovanjem </w:t>
      </w:r>
      <w:r w:rsidRPr="0048184E">
        <w:rPr>
          <w:sz w:val="18"/>
          <w:szCs w:val="18"/>
          <w:lang w:val="pl-PL"/>
        </w:rPr>
        <w:t xml:space="preserve">na Sjeveru i ruralnim sredinama. Crna Gora se suočava s ozbiljnom neusklađenošću potreba i raspoloživosti u pogledu obrazovne infrastrukture, koja je dodatno naglašena pomenutim demografskim promjenama. </w:t>
      </w:r>
      <w:r w:rsidR="005B402C" w:rsidRPr="0048184E">
        <w:rPr>
          <w:sz w:val="18"/>
          <w:szCs w:val="18"/>
          <w:lang w:val="pl-PL"/>
        </w:rPr>
        <w:t>Crnogorski obrazovni sistem, iako pokazuje napredak u posljednjih nekoliko godina, još uvijek ne priprema adekvatno adolescente za brze promjene na tržištu rada i u ekonomiji. U 2023. je procenat NEET u Crnoj Gori pao sa 23. 2 na 20.3% sa 23. 2 u 2022. godini. Rješavanje obrazovnih potreba biće ključno za podsticanje održivog razvoja u sljedećoj deceniji.</w:t>
      </w:r>
    </w:p>
    <w:p w14:paraId="18AC9F1C" w14:textId="77777777" w:rsidR="005B402C" w:rsidRPr="0048184E" w:rsidRDefault="005B402C" w:rsidP="0048184E">
      <w:pPr>
        <w:spacing w:after="0" w:line="240" w:lineRule="auto"/>
        <w:rPr>
          <w:sz w:val="18"/>
          <w:szCs w:val="18"/>
          <w:lang w:val="pl-PL"/>
        </w:rPr>
      </w:pPr>
    </w:p>
    <w:p w14:paraId="3160C1D3" w14:textId="77777777" w:rsidR="005B402C" w:rsidRPr="0048184E" w:rsidRDefault="005B402C" w:rsidP="0048184E">
      <w:pPr>
        <w:spacing w:after="0" w:line="240" w:lineRule="auto"/>
        <w:jc w:val="both"/>
        <w:rPr>
          <w:sz w:val="18"/>
          <w:szCs w:val="18"/>
          <w:lang w:val="pl-PL"/>
        </w:rPr>
      </w:pPr>
      <w:r w:rsidRPr="0048184E">
        <w:rPr>
          <w:sz w:val="18"/>
          <w:szCs w:val="18"/>
          <w:lang w:val="pl-PL"/>
        </w:rPr>
        <w:t>Upis u programe vaspitanja i obrazovanja u ranom uzrastu iznosi svega 16%. Dodatno, samo 56% romske djece završi osnovno obrazovanje, a samo 3% srednje obrazovanje. Na ovakve ishode dodatno utiču siromaštvo i razlike između regiona, pri čemu se djeca iz siromašnijih domaćinstava i ruralnih područja suočavaju s najvećim preprekama. Broj djece koja se ne školuju je u padu od 2013. godine, ali je ova pojava i dalje prisutna u ruralnim područjima i kod socio-ekonomski ugroženih porodica, naročito u sjevernom dijelu zemlje.</w:t>
      </w:r>
      <w:r w:rsidRPr="0048184E">
        <w:rPr>
          <w:rStyle w:val="FootnoteReference"/>
          <w:sz w:val="18"/>
          <w:szCs w:val="18"/>
          <w:lang w:val="pl-PL"/>
        </w:rPr>
        <w:footnoteReference w:id="34"/>
      </w:r>
    </w:p>
    <w:p w14:paraId="67F88E85" w14:textId="77777777" w:rsidR="005B402C" w:rsidRPr="0048184E" w:rsidRDefault="005B402C" w:rsidP="0048184E">
      <w:pPr>
        <w:spacing w:after="0" w:line="240" w:lineRule="auto"/>
        <w:jc w:val="both"/>
        <w:rPr>
          <w:sz w:val="18"/>
          <w:szCs w:val="18"/>
          <w:lang w:val="pl-PL"/>
        </w:rPr>
      </w:pPr>
    </w:p>
    <w:p w14:paraId="45808079" w14:textId="77777777" w:rsidR="005B402C" w:rsidRPr="0048184E" w:rsidRDefault="005B402C" w:rsidP="0048184E">
      <w:pPr>
        <w:spacing w:after="0" w:line="240" w:lineRule="auto"/>
        <w:jc w:val="both"/>
        <w:rPr>
          <w:sz w:val="18"/>
          <w:szCs w:val="18"/>
          <w:lang w:val="pl-PL"/>
        </w:rPr>
      </w:pPr>
      <w:r w:rsidRPr="0048184E">
        <w:rPr>
          <w:sz w:val="18"/>
          <w:szCs w:val="18"/>
          <w:lang w:val="pl-PL"/>
        </w:rPr>
        <w:t>Socio-ekonomski status (SES) učenika ima značajan uticaj na obrazovne ishode. Djeca koja potiču iz porodica niskog sicio-ekonomskog statusa pogođenih siromaštvom, šest do osam puta manje pohađaju predškolske ustanove u odnosu na njihove vršnjake koji potiču iz porodica boljeg socio-ekonomskog statusa. Srednje obrazovanje pohađa 64% djece iz siromaštvom pogođenih porodica, u poređenju s 97%  djece iz porodica prosječnog ili srednjeg socio-ekonomski statusa, pri čemu je primjetan pad stope školovanja u južnom regionu. Broj učenika koji završavaju završetka škole prati sličan obrazac, pri čemu su razlike u materijalnom statusu, kao determinante, izraženije na nivou srednjeg obrazovanja.</w:t>
      </w:r>
    </w:p>
    <w:p w14:paraId="6DCD7AF8" w14:textId="77777777" w:rsidR="005B402C" w:rsidRPr="0048184E" w:rsidRDefault="005B402C" w:rsidP="0048184E">
      <w:pPr>
        <w:spacing w:after="0" w:line="240" w:lineRule="auto"/>
        <w:jc w:val="both"/>
        <w:rPr>
          <w:sz w:val="18"/>
          <w:szCs w:val="18"/>
          <w:lang w:val="pl-PL"/>
        </w:rPr>
      </w:pPr>
    </w:p>
    <w:p w14:paraId="7EF37433" w14:textId="77777777" w:rsidR="005B402C" w:rsidRPr="0048184E" w:rsidRDefault="005B402C" w:rsidP="0048184E">
      <w:pPr>
        <w:spacing w:after="0" w:line="240" w:lineRule="auto"/>
        <w:jc w:val="both"/>
        <w:rPr>
          <w:sz w:val="18"/>
          <w:szCs w:val="18"/>
          <w:lang w:val="pl-PL"/>
        </w:rPr>
      </w:pPr>
      <w:r w:rsidRPr="0048184E">
        <w:rPr>
          <w:sz w:val="18"/>
          <w:szCs w:val="18"/>
          <w:lang w:val="pl-PL"/>
        </w:rPr>
        <w:t xml:space="preserve">Neujednačena demografska struktura i migracija stanovništva sa sjevera u centralni i južni region, kao i značajan porast broja migranata iz drugih jezičkih područja, direktno se odražavaju na sektor obrazovanja i neravnomjerno opterećenje nastavnika. Odnos u broju nastavnika i učenika u osnovnom obrazovanju kreće se od 1:2, 7 (Šavnik) do 1:19 (Budva, Tivat), dok je u najvećim školama u Podgorici i Budvi taj odnos 1:30, 1:33. U srednjim stručnim školama, odnos u broju nastavnika i učenika bliži je prosjeku OECD-a i iznosi 1:12/13 </w:t>
      </w:r>
    </w:p>
    <w:p w14:paraId="5CBDCF52" w14:textId="77777777" w:rsidR="00223F35" w:rsidRPr="0048184E" w:rsidRDefault="00223F35" w:rsidP="0048184E">
      <w:pPr>
        <w:spacing w:after="0" w:line="240" w:lineRule="auto"/>
        <w:jc w:val="both"/>
        <w:rPr>
          <w:sz w:val="18"/>
          <w:szCs w:val="18"/>
          <w:lang w:val="pl-PL"/>
        </w:rPr>
      </w:pPr>
    </w:p>
    <w:p w14:paraId="78C7744C" w14:textId="77777777" w:rsidR="004D3E60" w:rsidRDefault="00223F35" w:rsidP="0048184E">
      <w:pPr>
        <w:spacing w:after="0" w:line="240" w:lineRule="auto"/>
        <w:jc w:val="both"/>
        <w:rPr>
          <w:sz w:val="18"/>
          <w:szCs w:val="18"/>
          <w:lang w:val="pl-PL"/>
        </w:rPr>
      </w:pPr>
      <w:r w:rsidRPr="0048184E">
        <w:rPr>
          <w:sz w:val="18"/>
          <w:szCs w:val="18"/>
          <w:lang w:val="pl-PL"/>
        </w:rPr>
        <w:t>Tokom prethodne decenije evidentan je trend rasta broja stanovništva koje je promijenilo mjesto prebivališta unutar Crne Gore, osim 2020. godine koja je prepoznata kao prva godina pandemije COVID-19 sa strogim epidemiološkim mjerama. Broj lica koja su promijenila mjesto prebivališta u 2023. godini manji je za 9,5% nego u 2013. godini.</w:t>
      </w:r>
      <w:r w:rsidRPr="0048184E">
        <w:rPr>
          <w:sz w:val="18"/>
          <w:szCs w:val="18"/>
          <w:vertAlign w:val="superscript"/>
        </w:rPr>
        <w:footnoteReference w:id="35"/>
      </w:r>
    </w:p>
    <w:p w14:paraId="16C57CF3" w14:textId="77777777" w:rsidR="004D3E60" w:rsidRPr="0048184E" w:rsidRDefault="004D3E60" w:rsidP="0048184E">
      <w:pPr>
        <w:spacing w:after="0" w:line="240" w:lineRule="auto"/>
        <w:jc w:val="both"/>
        <w:rPr>
          <w:sz w:val="18"/>
          <w:szCs w:val="18"/>
          <w:lang w:val="pl-PL"/>
        </w:rPr>
      </w:pPr>
    </w:p>
    <w:p w14:paraId="31573B23" w14:textId="77777777" w:rsidR="00223F35" w:rsidRPr="0048184E" w:rsidRDefault="00223F35" w:rsidP="0048184E">
      <w:pPr>
        <w:spacing w:after="0" w:line="240" w:lineRule="auto"/>
        <w:rPr>
          <w:b/>
          <w:sz w:val="18"/>
          <w:szCs w:val="18"/>
          <w:lang w:val="pl-PL"/>
        </w:rPr>
      </w:pPr>
    </w:p>
    <w:p w14:paraId="7A8484C7" w14:textId="77777777" w:rsidR="00223F35" w:rsidRPr="004B0391" w:rsidRDefault="00223F35"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 xml:space="preserve">Grafik </w:t>
      </w:r>
      <w:r w:rsidR="004B0391" w:rsidRPr="004B0391">
        <w:rPr>
          <w:b/>
          <w:color w:val="4472C4" w:themeColor="accent5"/>
          <w:sz w:val="18"/>
          <w:szCs w:val="18"/>
          <w:lang w:val="pl-PL"/>
        </w:rPr>
        <w:t>12.</w:t>
      </w:r>
      <w:r w:rsidRPr="004B0391">
        <w:rPr>
          <w:b/>
          <w:color w:val="4472C4" w:themeColor="accent5"/>
          <w:sz w:val="18"/>
          <w:szCs w:val="18"/>
          <w:lang w:val="pl-PL"/>
        </w:rPr>
        <w:t xml:space="preserve"> Migracije stanovništva unutar Crne Gore, 2013 - 2023.</w:t>
      </w:r>
    </w:p>
    <w:p w14:paraId="48E6C90B" w14:textId="77777777" w:rsidR="00223F35" w:rsidRPr="004B0391" w:rsidRDefault="00223F35" w:rsidP="0048184E">
      <w:pPr>
        <w:spacing w:after="0" w:line="240" w:lineRule="auto"/>
        <w:jc w:val="center"/>
        <w:rPr>
          <w:sz w:val="18"/>
          <w:szCs w:val="18"/>
          <w:lang w:val="pl-PL"/>
        </w:rPr>
      </w:pPr>
      <w:r w:rsidRPr="0048184E">
        <w:rPr>
          <w:noProof/>
          <w:sz w:val="18"/>
          <w:szCs w:val="18"/>
        </w:rPr>
        <w:drawing>
          <wp:inline distT="0" distB="0" distL="0" distR="0" wp14:anchorId="38A43EF8" wp14:editId="10108AC3">
            <wp:extent cx="4733925" cy="2446020"/>
            <wp:effectExtent l="0" t="0" r="0" b="0"/>
            <wp:docPr id="12" name="Chart 12">
              <a:extLst xmlns:a="http://schemas.openxmlformats.org/drawingml/2006/main">
                <a:ext uri="{FF2B5EF4-FFF2-40B4-BE49-F238E27FC236}">
                  <a16:creationId xmlns:a16="http://schemas.microsoft.com/office/drawing/2014/main" id="{80850E6B-1ACC-42B5-B380-33B5915D5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BB837C" w14:textId="77777777" w:rsidR="00223F35" w:rsidRPr="004B0391" w:rsidRDefault="0096069A" w:rsidP="0096069A">
      <w:pPr>
        <w:spacing w:after="0" w:line="240" w:lineRule="auto"/>
        <w:rPr>
          <w:sz w:val="18"/>
          <w:szCs w:val="18"/>
          <w:lang w:val="pl-PL"/>
        </w:rPr>
      </w:pPr>
      <w:r>
        <w:rPr>
          <w:sz w:val="18"/>
          <w:szCs w:val="18"/>
          <w:lang w:val="pl-PL"/>
        </w:rPr>
        <w:t xml:space="preserve">                     </w:t>
      </w:r>
      <w:r w:rsidR="00223F35" w:rsidRPr="004B0391">
        <w:rPr>
          <w:sz w:val="18"/>
          <w:szCs w:val="18"/>
          <w:lang w:val="pl-PL"/>
        </w:rPr>
        <w:t>Izvor: Monstat</w:t>
      </w:r>
    </w:p>
    <w:p w14:paraId="2CB019BE" w14:textId="77777777" w:rsidR="00223F35" w:rsidRPr="004B0391" w:rsidRDefault="00223F35" w:rsidP="0048184E">
      <w:pPr>
        <w:spacing w:after="0" w:line="240" w:lineRule="auto"/>
        <w:jc w:val="both"/>
        <w:rPr>
          <w:rFonts w:eastAsia="Aptos" w:cs="Times New Roman"/>
          <w:sz w:val="18"/>
          <w:szCs w:val="18"/>
          <w:lang w:val="pl-PL"/>
        </w:rPr>
      </w:pPr>
    </w:p>
    <w:p w14:paraId="7AD864DD" w14:textId="77777777" w:rsidR="00223F35" w:rsidRDefault="00223F35" w:rsidP="0048184E">
      <w:pPr>
        <w:spacing w:after="0" w:line="240" w:lineRule="auto"/>
        <w:jc w:val="both"/>
        <w:rPr>
          <w:rFonts w:eastAsia="Aptos" w:cs="Times New Roman"/>
          <w:sz w:val="18"/>
          <w:szCs w:val="18"/>
          <w:lang w:val="pl-PL"/>
        </w:rPr>
      </w:pPr>
      <w:r w:rsidRPr="004B0391">
        <w:rPr>
          <w:rFonts w:eastAsia="Aptos" w:cs="Times New Roman"/>
          <w:sz w:val="18"/>
          <w:szCs w:val="18"/>
          <w:lang w:val="pl-PL"/>
        </w:rPr>
        <w:t>Južna i priobalna područja zemlje prvenstveno su orijentisana na usluge, dok</w:t>
      </w:r>
      <w:r w:rsidR="00025468" w:rsidRPr="004B0391">
        <w:rPr>
          <w:rFonts w:eastAsia="Aptos" w:cs="Times New Roman"/>
          <w:sz w:val="18"/>
          <w:szCs w:val="18"/>
          <w:lang w:val="pl-PL"/>
        </w:rPr>
        <w:t xml:space="preserve"> je poljoprivreda koncentrisan</w:t>
      </w:r>
      <w:r w:rsidR="00025468" w:rsidRPr="003C2A72">
        <w:rPr>
          <w:rFonts w:eastAsia="Aptos" w:cs="Times New Roman"/>
          <w:sz w:val="18"/>
          <w:szCs w:val="18"/>
          <w:lang w:val="pl-PL"/>
        </w:rPr>
        <w:t>ija</w:t>
      </w:r>
      <w:r w:rsidRPr="003C2A72">
        <w:rPr>
          <w:rFonts w:eastAsia="Aptos" w:cs="Times New Roman"/>
          <w:sz w:val="18"/>
          <w:szCs w:val="18"/>
          <w:lang w:val="pl-PL"/>
        </w:rPr>
        <w:t xml:space="preserve"> u sjevernom dijelu zemlje.</w:t>
      </w:r>
    </w:p>
    <w:p w14:paraId="5AA26021" w14:textId="77777777" w:rsidR="00E33C79" w:rsidRDefault="00E33C79" w:rsidP="0048184E">
      <w:pPr>
        <w:spacing w:after="0" w:line="240" w:lineRule="auto"/>
        <w:jc w:val="both"/>
        <w:rPr>
          <w:rFonts w:eastAsia="Aptos" w:cs="Times New Roman"/>
          <w:sz w:val="18"/>
          <w:szCs w:val="18"/>
          <w:lang w:val="pl-PL"/>
        </w:rPr>
      </w:pPr>
    </w:p>
    <w:p w14:paraId="224EB6EB" w14:textId="77777777" w:rsidR="00E33C79" w:rsidRDefault="00E33C79" w:rsidP="0048184E">
      <w:pPr>
        <w:spacing w:after="0" w:line="240" w:lineRule="auto"/>
        <w:jc w:val="both"/>
        <w:rPr>
          <w:rFonts w:eastAsia="Aptos" w:cs="Times New Roman"/>
          <w:sz w:val="18"/>
          <w:szCs w:val="18"/>
          <w:lang w:val="pl-PL"/>
        </w:rPr>
      </w:pPr>
    </w:p>
    <w:p w14:paraId="40CC228C" w14:textId="77777777" w:rsidR="00E33C79" w:rsidRPr="003C2A72" w:rsidRDefault="00E33C79" w:rsidP="0048184E">
      <w:pPr>
        <w:spacing w:after="0" w:line="240" w:lineRule="auto"/>
        <w:jc w:val="both"/>
        <w:rPr>
          <w:rFonts w:eastAsia="Aptos" w:cs="Times New Roman"/>
          <w:sz w:val="18"/>
          <w:szCs w:val="18"/>
          <w:lang w:val="pl-PL"/>
        </w:rPr>
      </w:pPr>
    </w:p>
    <w:p w14:paraId="72563224" w14:textId="77777777" w:rsidR="003A09C5" w:rsidRPr="003C2A72" w:rsidRDefault="003A09C5" w:rsidP="0048184E">
      <w:pPr>
        <w:spacing w:after="0" w:line="240" w:lineRule="auto"/>
        <w:jc w:val="both"/>
        <w:rPr>
          <w:rFonts w:eastAsia="DengXian" w:cs="Arial"/>
          <w:kern w:val="2"/>
          <w:sz w:val="18"/>
          <w:szCs w:val="18"/>
          <w:lang w:val="pl-PL" w:eastAsia="zh-CN"/>
          <w14:ligatures w14:val="standardContextual"/>
        </w:rPr>
      </w:pPr>
    </w:p>
    <w:p w14:paraId="6FCE94BF" w14:textId="3D86E82B" w:rsidR="00223F35" w:rsidRPr="003C2A72" w:rsidRDefault="00223F35" w:rsidP="0048184E">
      <w:pPr>
        <w:pStyle w:val="Heading2"/>
        <w:numPr>
          <w:ilvl w:val="0"/>
          <w:numId w:val="27"/>
        </w:numPr>
        <w:spacing w:before="0" w:line="240" w:lineRule="auto"/>
        <w:rPr>
          <w:rFonts w:asciiTheme="minorHAnsi" w:hAnsiTheme="minorHAnsi"/>
          <w:color w:val="auto"/>
        </w:rPr>
      </w:pPr>
      <w:bookmarkStart w:id="30" w:name="_Toc205215838"/>
      <w:r w:rsidRPr="003C2A72">
        <w:rPr>
          <w:rFonts w:asciiTheme="minorHAnsi" w:hAnsiTheme="minorHAnsi"/>
        </w:rPr>
        <w:t>Rizik o</w:t>
      </w:r>
      <w:r w:rsidR="0093556F">
        <w:rPr>
          <w:rFonts w:asciiTheme="minorHAnsi" w:hAnsiTheme="minorHAnsi"/>
        </w:rPr>
        <w:t>d</w:t>
      </w:r>
      <w:r w:rsidRPr="003C2A72">
        <w:rPr>
          <w:rFonts w:asciiTheme="minorHAnsi" w:hAnsiTheme="minorHAnsi"/>
        </w:rPr>
        <w:t xml:space="preserve"> siromaštva u 2024. godini</w:t>
      </w:r>
      <w:bookmarkEnd w:id="30"/>
    </w:p>
    <w:p w14:paraId="632D6563" w14:textId="77777777" w:rsidR="00223F35" w:rsidRPr="0048184E" w:rsidRDefault="00223F35" w:rsidP="0048184E">
      <w:pPr>
        <w:spacing w:after="0" w:line="240" w:lineRule="auto"/>
        <w:jc w:val="both"/>
        <w:rPr>
          <w:b/>
          <w:sz w:val="18"/>
          <w:szCs w:val="18"/>
          <w:lang w:val="pl-PL"/>
        </w:rPr>
      </w:pPr>
    </w:p>
    <w:p w14:paraId="5F97667F" w14:textId="77777777" w:rsidR="00D40568" w:rsidRDefault="00223F35" w:rsidP="00E33C79">
      <w:pPr>
        <w:spacing w:after="0" w:line="240" w:lineRule="auto"/>
        <w:jc w:val="both"/>
        <w:rPr>
          <w:sz w:val="18"/>
          <w:szCs w:val="18"/>
          <w:lang w:val="pl-PL"/>
        </w:rPr>
      </w:pPr>
      <w:r w:rsidRPr="0048184E">
        <w:rPr>
          <w:sz w:val="18"/>
          <w:szCs w:val="18"/>
          <w:lang w:val="pl-PL"/>
        </w:rPr>
        <w:lastRenderedPageBreak/>
        <w:t>Stopa rizika od siromaštva u 2024. godini iznosila je 20,0%, što pokazuje procenat lica čiji je ekvivalentni raspoloživi dohodak ispod praga rizika od siromaštva. Ova lica nijesu nužno siromašna, samo imaju veći rizik da to budu, jer je njihov ekvivalentni raspoloživi dohodak ispod praga rizika od siromaštva. Poređenje osnovne stope rizika od siromaštva i stope rizika od siromaštva prije uključivanja socijalnih transfera, u 2024. godini, pokazuje da isključivanje socijalnih transfera iz dohotka utiče na povećanje procenta osoba koje su u riziku od siromaštva sa osnovnih 20,0% na 26,7%. Ako se iz dohotka isključe i socijalni transferi i penzije, tada stopa rizika od siromaštva iznosi 40,5%.</w:t>
      </w:r>
    </w:p>
    <w:p w14:paraId="4E4406AE" w14:textId="77777777" w:rsidR="00E33C79" w:rsidRDefault="00E33C79" w:rsidP="00E33C79">
      <w:pPr>
        <w:spacing w:after="0" w:line="240" w:lineRule="auto"/>
        <w:jc w:val="both"/>
        <w:rPr>
          <w:sz w:val="18"/>
          <w:szCs w:val="18"/>
          <w:lang w:val="pl-PL"/>
        </w:rPr>
      </w:pPr>
    </w:p>
    <w:p w14:paraId="22C1144F" w14:textId="77777777" w:rsidR="00E33C79" w:rsidRDefault="00E33C79" w:rsidP="00E33C79">
      <w:pPr>
        <w:spacing w:after="0" w:line="240" w:lineRule="auto"/>
        <w:jc w:val="both"/>
        <w:rPr>
          <w:sz w:val="18"/>
          <w:szCs w:val="18"/>
          <w:lang w:val="pl-PL"/>
        </w:rPr>
      </w:pPr>
    </w:p>
    <w:p w14:paraId="6434DF08" w14:textId="77777777" w:rsidR="00E33C79" w:rsidRDefault="00E33C79" w:rsidP="00E33C79">
      <w:pPr>
        <w:spacing w:after="0" w:line="240" w:lineRule="auto"/>
        <w:jc w:val="both"/>
        <w:rPr>
          <w:sz w:val="18"/>
          <w:szCs w:val="18"/>
          <w:lang w:val="pl-PL"/>
        </w:rPr>
      </w:pPr>
    </w:p>
    <w:p w14:paraId="5B5D28EB" w14:textId="77777777" w:rsidR="00E33C79" w:rsidRDefault="00E33C79" w:rsidP="00E33C79">
      <w:pPr>
        <w:spacing w:after="0" w:line="240" w:lineRule="auto"/>
        <w:jc w:val="both"/>
        <w:rPr>
          <w:sz w:val="18"/>
          <w:szCs w:val="18"/>
          <w:lang w:val="pl-PL"/>
        </w:rPr>
      </w:pPr>
    </w:p>
    <w:p w14:paraId="1FF7B89B" w14:textId="77777777" w:rsidR="00E33C79" w:rsidRDefault="00E33C79" w:rsidP="00E33C79">
      <w:pPr>
        <w:spacing w:after="0" w:line="240" w:lineRule="auto"/>
        <w:jc w:val="both"/>
        <w:rPr>
          <w:sz w:val="18"/>
          <w:szCs w:val="18"/>
          <w:lang w:val="pl-PL"/>
        </w:rPr>
      </w:pPr>
    </w:p>
    <w:p w14:paraId="7D71E819" w14:textId="77777777" w:rsidR="00E33C79" w:rsidRDefault="00E33C79" w:rsidP="00E33C79">
      <w:pPr>
        <w:spacing w:after="0" w:line="240" w:lineRule="auto"/>
        <w:jc w:val="both"/>
        <w:rPr>
          <w:sz w:val="18"/>
          <w:szCs w:val="18"/>
          <w:lang w:val="pl-PL"/>
        </w:rPr>
      </w:pPr>
    </w:p>
    <w:p w14:paraId="15E20677" w14:textId="77777777" w:rsidR="00E33C79" w:rsidRDefault="00E33C79" w:rsidP="00E33C79">
      <w:pPr>
        <w:spacing w:after="0" w:line="240" w:lineRule="auto"/>
        <w:jc w:val="both"/>
        <w:rPr>
          <w:sz w:val="18"/>
          <w:szCs w:val="18"/>
          <w:lang w:val="pl-PL"/>
        </w:rPr>
      </w:pPr>
    </w:p>
    <w:p w14:paraId="1B1EAE9E" w14:textId="77777777" w:rsidR="00E33C79" w:rsidRDefault="00E33C79" w:rsidP="00E33C79">
      <w:pPr>
        <w:spacing w:after="0" w:line="240" w:lineRule="auto"/>
        <w:jc w:val="both"/>
        <w:rPr>
          <w:sz w:val="18"/>
          <w:szCs w:val="18"/>
          <w:lang w:val="pl-PL"/>
        </w:rPr>
      </w:pPr>
    </w:p>
    <w:p w14:paraId="031D9D66" w14:textId="77777777" w:rsidR="00E33C79" w:rsidRDefault="00E33C79" w:rsidP="00E33C79">
      <w:pPr>
        <w:spacing w:after="0" w:line="240" w:lineRule="auto"/>
        <w:jc w:val="both"/>
        <w:rPr>
          <w:sz w:val="18"/>
          <w:szCs w:val="18"/>
          <w:lang w:val="pl-PL"/>
        </w:rPr>
      </w:pPr>
    </w:p>
    <w:p w14:paraId="222BF5CC" w14:textId="77777777" w:rsidR="00E33C79" w:rsidRDefault="00E33C79" w:rsidP="00E33C79">
      <w:pPr>
        <w:spacing w:after="0" w:line="240" w:lineRule="auto"/>
        <w:jc w:val="both"/>
        <w:rPr>
          <w:sz w:val="18"/>
          <w:szCs w:val="18"/>
          <w:lang w:val="pl-PL"/>
        </w:rPr>
      </w:pPr>
    </w:p>
    <w:p w14:paraId="0B815F3E" w14:textId="77777777" w:rsidR="00E33C79" w:rsidRDefault="00E33C79" w:rsidP="00E33C79">
      <w:pPr>
        <w:spacing w:after="0" w:line="240" w:lineRule="auto"/>
        <w:jc w:val="both"/>
        <w:rPr>
          <w:sz w:val="18"/>
          <w:szCs w:val="18"/>
          <w:lang w:val="pl-PL"/>
        </w:rPr>
      </w:pPr>
    </w:p>
    <w:p w14:paraId="7D2F869E" w14:textId="77777777" w:rsidR="00E33C79" w:rsidRDefault="00E33C79" w:rsidP="00E33C79">
      <w:pPr>
        <w:spacing w:after="0" w:line="240" w:lineRule="auto"/>
        <w:jc w:val="both"/>
        <w:rPr>
          <w:sz w:val="18"/>
          <w:szCs w:val="18"/>
          <w:lang w:val="pl-PL"/>
        </w:rPr>
      </w:pPr>
    </w:p>
    <w:p w14:paraId="234C44F9" w14:textId="77777777" w:rsidR="00E33C79" w:rsidRDefault="00E33C79" w:rsidP="00E33C79">
      <w:pPr>
        <w:spacing w:after="0" w:line="240" w:lineRule="auto"/>
        <w:jc w:val="both"/>
        <w:rPr>
          <w:sz w:val="18"/>
          <w:szCs w:val="18"/>
          <w:lang w:val="pl-PL"/>
        </w:rPr>
      </w:pPr>
    </w:p>
    <w:p w14:paraId="3FFEDBC0" w14:textId="77777777" w:rsidR="00E33C79" w:rsidRDefault="00E33C79" w:rsidP="00E33C79">
      <w:pPr>
        <w:spacing w:after="0" w:line="240" w:lineRule="auto"/>
        <w:jc w:val="both"/>
        <w:rPr>
          <w:sz w:val="18"/>
          <w:szCs w:val="18"/>
          <w:lang w:val="pl-PL"/>
        </w:rPr>
      </w:pPr>
    </w:p>
    <w:p w14:paraId="2F411FAE" w14:textId="77777777" w:rsidR="00E33C79" w:rsidRDefault="00E33C79" w:rsidP="00E33C79">
      <w:pPr>
        <w:spacing w:after="0" w:line="240" w:lineRule="auto"/>
        <w:jc w:val="both"/>
        <w:rPr>
          <w:sz w:val="18"/>
          <w:szCs w:val="18"/>
          <w:lang w:val="pl-PL"/>
        </w:rPr>
      </w:pPr>
    </w:p>
    <w:p w14:paraId="70692243" w14:textId="77777777" w:rsidR="00E33C79" w:rsidRPr="00E33C79" w:rsidRDefault="00E33C79" w:rsidP="00E33C79">
      <w:pPr>
        <w:spacing w:after="0" w:line="240" w:lineRule="auto"/>
        <w:jc w:val="both"/>
        <w:rPr>
          <w:sz w:val="18"/>
          <w:szCs w:val="18"/>
          <w:lang w:val="pl-PL"/>
        </w:rPr>
      </w:pPr>
    </w:p>
    <w:p w14:paraId="0C544C32" w14:textId="77777777" w:rsidR="003A09C5" w:rsidRPr="0096069A" w:rsidRDefault="003A09C5" w:rsidP="0096069A">
      <w:pPr>
        <w:spacing w:after="0" w:line="240" w:lineRule="auto"/>
        <w:jc w:val="center"/>
        <w:rPr>
          <w:b/>
          <w:color w:val="4472C4" w:themeColor="accent5"/>
          <w:sz w:val="18"/>
          <w:szCs w:val="18"/>
          <w:lang w:val="pl-PL"/>
        </w:rPr>
      </w:pPr>
    </w:p>
    <w:p w14:paraId="18FBC45A" w14:textId="77777777" w:rsidR="00223F35" w:rsidRPr="0096069A" w:rsidRDefault="00223F35" w:rsidP="0096069A">
      <w:pPr>
        <w:spacing w:after="0" w:line="240" w:lineRule="auto"/>
        <w:jc w:val="center"/>
        <w:rPr>
          <w:b/>
          <w:color w:val="4472C4" w:themeColor="accent5"/>
          <w:sz w:val="18"/>
          <w:szCs w:val="18"/>
          <w:lang w:val="pl-PL"/>
        </w:rPr>
      </w:pPr>
      <w:r w:rsidRPr="0096069A">
        <w:rPr>
          <w:b/>
          <w:color w:val="4472C4" w:themeColor="accent5"/>
          <w:sz w:val="18"/>
          <w:szCs w:val="18"/>
          <w:lang w:val="pl-PL"/>
        </w:rPr>
        <w:t>Grafik 1</w:t>
      </w:r>
      <w:r w:rsidR="0096069A" w:rsidRPr="0096069A">
        <w:rPr>
          <w:b/>
          <w:color w:val="4472C4" w:themeColor="accent5"/>
          <w:sz w:val="18"/>
          <w:szCs w:val="18"/>
          <w:lang w:val="pl-PL"/>
        </w:rPr>
        <w:t>3</w:t>
      </w:r>
      <w:r w:rsidRPr="0096069A">
        <w:rPr>
          <w:b/>
          <w:color w:val="4472C4" w:themeColor="accent5"/>
          <w:sz w:val="18"/>
          <w:szCs w:val="18"/>
          <w:lang w:val="pl-PL"/>
        </w:rPr>
        <w:t>. Stopa rizika od siromaštva, 2020 - 2024, u %</w:t>
      </w:r>
    </w:p>
    <w:p w14:paraId="0DA86E4A"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65A80612" wp14:editId="79FDD952">
            <wp:extent cx="4634345" cy="2862695"/>
            <wp:effectExtent l="0" t="0" r="13970" b="139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19BCC33"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p w14:paraId="20F586AA" w14:textId="77777777" w:rsidR="00223F35" w:rsidRDefault="00223F35" w:rsidP="0048184E">
      <w:pPr>
        <w:spacing w:after="0" w:line="240" w:lineRule="auto"/>
        <w:rPr>
          <w:sz w:val="18"/>
          <w:szCs w:val="18"/>
          <w:lang w:val="pl-PL"/>
        </w:rPr>
      </w:pPr>
    </w:p>
    <w:p w14:paraId="063BDBD6" w14:textId="77777777" w:rsidR="004D3E60" w:rsidRDefault="004D3E60" w:rsidP="0048184E">
      <w:pPr>
        <w:spacing w:after="0" w:line="240" w:lineRule="auto"/>
        <w:rPr>
          <w:sz w:val="18"/>
          <w:szCs w:val="18"/>
          <w:lang w:val="pl-PL"/>
        </w:rPr>
      </w:pPr>
    </w:p>
    <w:p w14:paraId="416D5D6F" w14:textId="77777777" w:rsidR="004D3E60" w:rsidRDefault="004D3E60" w:rsidP="0048184E">
      <w:pPr>
        <w:spacing w:after="0" w:line="240" w:lineRule="auto"/>
        <w:rPr>
          <w:sz w:val="18"/>
          <w:szCs w:val="18"/>
          <w:lang w:val="pl-PL"/>
        </w:rPr>
      </w:pPr>
    </w:p>
    <w:p w14:paraId="1BA64A1C" w14:textId="77777777" w:rsidR="004D3E60" w:rsidRPr="0048184E" w:rsidRDefault="004D3E60" w:rsidP="0048184E">
      <w:pPr>
        <w:spacing w:after="0" w:line="240" w:lineRule="auto"/>
        <w:rPr>
          <w:sz w:val="18"/>
          <w:szCs w:val="18"/>
          <w:lang w:val="pl-PL"/>
        </w:rPr>
      </w:pPr>
    </w:p>
    <w:p w14:paraId="5575E565" w14:textId="77777777" w:rsidR="00223F35" w:rsidRPr="0096069A" w:rsidRDefault="00223F35" w:rsidP="0048184E">
      <w:pPr>
        <w:spacing w:after="0" w:line="240" w:lineRule="auto"/>
        <w:rPr>
          <w:b/>
          <w:color w:val="4472C4" w:themeColor="accent5"/>
          <w:sz w:val="18"/>
          <w:szCs w:val="18"/>
          <w:lang w:val="pl-PL"/>
        </w:rPr>
      </w:pPr>
      <w:r w:rsidRPr="0096069A">
        <w:rPr>
          <w:b/>
          <w:color w:val="4472C4" w:themeColor="accent5"/>
          <w:sz w:val="18"/>
          <w:szCs w:val="18"/>
          <w:lang w:val="pl-PL"/>
        </w:rPr>
        <w:t xml:space="preserve">Grafik </w:t>
      </w:r>
      <w:r w:rsidR="0096069A" w:rsidRPr="0096069A">
        <w:rPr>
          <w:b/>
          <w:color w:val="4472C4" w:themeColor="accent5"/>
          <w:sz w:val="18"/>
          <w:szCs w:val="18"/>
          <w:lang w:val="pl-PL"/>
        </w:rPr>
        <w:t>14</w:t>
      </w:r>
      <w:r w:rsidRPr="0096069A">
        <w:rPr>
          <w:b/>
          <w:color w:val="4472C4" w:themeColor="accent5"/>
          <w:sz w:val="18"/>
          <w:szCs w:val="18"/>
          <w:lang w:val="pl-PL"/>
        </w:rPr>
        <w:t>. Stopa rizika od siromaštva ili socijalne isključenosti (AROPE) i stopa izrazite materijalne i socijalne deprivacije, 2020 - 2024, u %</w:t>
      </w:r>
    </w:p>
    <w:p w14:paraId="26EE29A3" w14:textId="77777777" w:rsidR="00223F35" w:rsidRPr="0048184E" w:rsidRDefault="00223F35" w:rsidP="0048184E">
      <w:pPr>
        <w:spacing w:after="0" w:line="240" w:lineRule="auto"/>
        <w:rPr>
          <w:sz w:val="18"/>
          <w:szCs w:val="18"/>
          <w:lang w:val="pl-PL"/>
        </w:rPr>
      </w:pPr>
    </w:p>
    <w:p w14:paraId="19C012CE" w14:textId="77777777" w:rsidR="00223F35" w:rsidRPr="0048184E" w:rsidRDefault="00223F35" w:rsidP="0048184E">
      <w:pPr>
        <w:spacing w:after="0" w:line="240" w:lineRule="auto"/>
        <w:rPr>
          <w:sz w:val="18"/>
          <w:szCs w:val="18"/>
          <w:lang w:val="pl-PL"/>
        </w:rPr>
      </w:pPr>
      <w:r w:rsidRPr="0048184E">
        <w:rPr>
          <w:noProof/>
          <w:sz w:val="18"/>
          <w:szCs w:val="18"/>
        </w:rPr>
        <w:lastRenderedPageBreak/>
        <w:drawing>
          <wp:inline distT="0" distB="0" distL="0" distR="0" wp14:anchorId="1A871780" wp14:editId="4B9D54F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9E3256" w14:textId="77777777" w:rsidR="00223F35" w:rsidRPr="0048184E" w:rsidRDefault="00223F35" w:rsidP="0048184E">
      <w:pPr>
        <w:spacing w:after="0" w:line="240" w:lineRule="auto"/>
        <w:rPr>
          <w:sz w:val="18"/>
          <w:szCs w:val="18"/>
          <w:lang w:val="pl-PL"/>
        </w:rPr>
      </w:pPr>
    </w:p>
    <w:p w14:paraId="67FE14B6" w14:textId="77777777" w:rsidR="00223F35" w:rsidRDefault="00223F35" w:rsidP="0048184E">
      <w:pPr>
        <w:spacing w:after="0" w:line="240" w:lineRule="auto"/>
        <w:jc w:val="both"/>
        <w:rPr>
          <w:sz w:val="18"/>
          <w:szCs w:val="18"/>
          <w:lang w:val="pl-PL"/>
        </w:rPr>
      </w:pPr>
      <w:r w:rsidRPr="0048184E">
        <w:rPr>
          <w:sz w:val="18"/>
          <w:szCs w:val="18"/>
          <w:lang w:val="pl-PL"/>
        </w:rPr>
        <w:t>Stopa rizika od siromaštva ili socijalne isključenosti (AROPE), kao procenat osoba koje se nalaze u riziku od siromaštva i/ili su izrazito materijalno i socijalno deprivirani i/ili žive u domaćinstvima sa veoma niskim intenzitetom rada, u 2024. godini iznosila je 29,2%. Stopa izrazite materijalne i socijalne deprivacije, u 2024. godini iznosila je 11,0% i pokazuje procenat lica koja žive u domaćinstvima koja ne mogu da priušte najmanje sedam od trinaest stavki materijalne deprivacije.</w:t>
      </w:r>
    </w:p>
    <w:p w14:paraId="196D738B" w14:textId="77777777" w:rsidR="00B26027" w:rsidRDefault="00B26027" w:rsidP="0048184E">
      <w:pPr>
        <w:spacing w:after="0" w:line="240" w:lineRule="auto"/>
        <w:jc w:val="both"/>
        <w:rPr>
          <w:sz w:val="18"/>
          <w:szCs w:val="18"/>
          <w:lang w:val="pl-PL"/>
        </w:rPr>
      </w:pPr>
    </w:p>
    <w:p w14:paraId="16F664C7" w14:textId="77777777" w:rsidR="00B26027" w:rsidRDefault="00B26027" w:rsidP="0048184E">
      <w:pPr>
        <w:spacing w:after="0" w:line="240" w:lineRule="auto"/>
        <w:jc w:val="both"/>
        <w:rPr>
          <w:sz w:val="18"/>
          <w:szCs w:val="18"/>
          <w:lang w:val="pl-PL"/>
        </w:rPr>
      </w:pPr>
    </w:p>
    <w:p w14:paraId="0584F280" w14:textId="77777777" w:rsidR="00B26027" w:rsidRPr="0048184E" w:rsidRDefault="00B26027" w:rsidP="0048184E">
      <w:pPr>
        <w:spacing w:after="0" w:line="240" w:lineRule="auto"/>
        <w:jc w:val="both"/>
        <w:rPr>
          <w:sz w:val="18"/>
          <w:szCs w:val="18"/>
          <w:lang w:val="pl-PL"/>
        </w:rPr>
      </w:pPr>
    </w:p>
    <w:p w14:paraId="5857C18F" w14:textId="77777777" w:rsidR="00223F35" w:rsidRDefault="00223F35" w:rsidP="0048184E">
      <w:pPr>
        <w:spacing w:after="0" w:line="240" w:lineRule="auto"/>
        <w:jc w:val="both"/>
        <w:rPr>
          <w:sz w:val="18"/>
          <w:szCs w:val="18"/>
          <w:lang w:val="pl-PL"/>
        </w:rPr>
      </w:pPr>
    </w:p>
    <w:p w14:paraId="39A97978" w14:textId="77777777" w:rsidR="003A09C5" w:rsidRDefault="003A09C5" w:rsidP="0048184E">
      <w:pPr>
        <w:spacing w:after="0" w:line="240" w:lineRule="auto"/>
        <w:jc w:val="both"/>
        <w:rPr>
          <w:sz w:val="18"/>
          <w:szCs w:val="18"/>
          <w:lang w:val="pl-PL"/>
        </w:rPr>
      </w:pPr>
    </w:p>
    <w:p w14:paraId="35A5C75D" w14:textId="77777777" w:rsidR="003A09C5" w:rsidRDefault="003A09C5" w:rsidP="0048184E">
      <w:pPr>
        <w:spacing w:after="0" w:line="240" w:lineRule="auto"/>
        <w:jc w:val="both"/>
        <w:rPr>
          <w:sz w:val="18"/>
          <w:szCs w:val="18"/>
          <w:lang w:val="pl-PL"/>
        </w:rPr>
      </w:pPr>
    </w:p>
    <w:p w14:paraId="33DDFB4D" w14:textId="77777777" w:rsidR="003A09C5" w:rsidRDefault="003A09C5" w:rsidP="0048184E">
      <w:pPr>
        <w:spacing w:after="0" w:line="240" w:lineRule="auto"/>
        <w:jc w:val="both"/>
        <w:rPr>
          <w:sz w:val="18"/>
          <w:szCs w:val="18"/>
          <w:lang w:val="pl-PL"/>
        </w:rPr>
      </w:pPr>
    </w:p>
    <w:p w14:paraId="65FE7B82" w14:textId="77777777" w:rsidR="00D40568" w:rsidRPr="0048184E" w:rsidRDefault="00D40568" w:rsidP="0048184E">
      <w:pPr>
        <w:spacing w:after="0" w:line="240" w:lineRule="auto"/>
        <w:jc w:val="both"/>
        <w:rPr>
          <w:sz w:val="18"/>
          <w:szCs w:val="18"/>
          <w:lang w:val="pl-PL"/>
        </w:rPr>
      </w:pPr>
    </w:p>
    <w:tbl>
      <w:tblPr>
        <w:tblW w:w="9116" w:type="dxa"/>
        <w:tblInd w:w="-90" w:type="dxa"/>
        <w:tblLook w:val="04A0" w:firstRow="1" w:lastRow="0" w:firstColumn="1" w:lastColumn="0" w:noHBand="0" w:noVBand="1"/>
      </w:tblPr>
      <w:tblGrid>
        <w:gridCol w:w="4692"/>
        <w:gridCol w:w="1017"/>
        <w:gridCol w:w="766"/>
        <w:gridCol w:w="660"/>
        <w:gridCol w:w="875"/>
        <w:gridCol w:w="1106"/>
      </w:tblGrid>
      <w:tr w:rsidR="0048184E" w:rsidRPr="0048184E" w14:paraId="4DE9BE37" w14:textId="77777777" w:rsidTr="00025468">
        <w:trPr>
          <w:trHeight w:val="288"/>
        </w:trPr>
        <w:tc>
          <w:tcPr>
            <w:tcW w:w="4692" w:type="dxa"/>
            <w:tcBorders>
              <w:top w:val="nil"/>
              <w:left w:val="nil"/>
              <w:bottom w:val="single" w:sz="4" w:space="0" w:color="auto"/>
              <w:right w:val="nil"/>
            </w:tcBorders>
            <w:shd w:val="clear" w:color="auto" w:fill="auto"/>
            <w:noWrap/>
            <w:vAlign w:val="bottom"/>
            <w:hideMark/>
          </w:tcPr>
          <w:p w14:paraId="6ED50F74" w14:textId="77777777" w:rsidR="00223F35" w:rsidRPr="0048184E" w:rsidRDefault="00EC14B9" w:rsidP="00EC14B9">
            <w:pPr>
              <w:spacing w:after="0" w:line="240" w:lineRule="auto"/>
              <w:jc w:val="center"/>
              <w:rPr>
                <w:rFonts w:eastAsia="Times New Roman" w:cs="Arial"/>
                <w:b/>
                <w:bCs/>
                <w:sz w:val="18"/>
                <w:szCs w:val="18"/>
                <w:lang w:val="pl-PL"/>
              </w:rPr>
            </w:pPr>
            <w:bookmarkStart w:id="31" w:name="RANGE!A1"/>
            <w:r>
              <w:rPr>
                <w:rFonts w:eastAsia="Times New Roman" w:cs="Arial"/>
                <w:b/>
                <w:bCs/>
                <w:color w:val="4472C4" w:themeColor="accent5"/>
                <w:sz w:val="18"/>
                <w:szCs w:val="18"/>
                <w:lang w:val="pl-PL"/>
              </w:rPr>
              <w:t xml:space="preserve">                             </w:t>
            </w:r>
            <w:r w:rsidR="00B26027">
              <w:rPr>
                <w:rFonts w:eastAsia="Times New Roman" w:cs="Arial"/>
                <w:b/>
                <w:bCs/>
                <w:color w:val="4472C4" w:themeColor="accent5"/>
                <w:sz w:val="18"/>
                <w:szCs w:val="18"/>
                <w:lang w:val="pl-PL"/>
              </w:rPr>
              <w:t xml:space="preserve">        </w:t>
            </w:r>
            <w:r w:rsidR="00223F35" w:rsidRPr="00EC14B9">
              <w:rPr>
                <w:rFonts w:eastAsia="Times New Roman" w:cs="Arial"/>
                <w:b/>
                <w:bCs/>
                <w:color w:val="4472C4" w:themeColor="accent5"/>
                <w:sz w:val="18"/>
                <w:szCs w:val="18"/>
                <w:lang w:val="pl-PL"/>
              </w:rPr>
              <w:t>Tabela</w:t>
            </w:r>
            <w:r w:rsidRPr="00EC14B9">
              <w:rPr>
                <w:rFonts w:eastAsia="Times New Roman" w:cs="Arial"/>
                <w:b/>
                <w:bCs/>
                <w:color w:val="4472C4" w:themeColor="accent5"/>
                <w:sz w:val="18"/>
                <w:szCs w:val="18"/>
                <w:lang w:val="pl-PL"/>
              </w:rPr>
              <w:t xml:space="preserve"> 7</w:t>
            </w:r>
            <w:r w:rsidR="00223F35" w:rsidRPr="00EC14B9">
              <w:rPr>
                <w:rFonts w:eastAsia="Times New Roman" w:cs="Arial"/>
                <w:b/>
                <w:bCs/>
                <w:color w:val="4472C4" w:themeColor="accent5"/>
                <w:sz w:val="18"/>
                <w:szCs w:val="18"/>
                <w:lang w:val="pl-PL"/>
              </w:rPr>
              <w:t>. Ostali pokazatelji siromaštva</w:t>
            </w:r>
            <w:bookmarkEnd w:id="31"/>
          </w:p>
        </w:tc>
        <w:tc>
          <w:tcPr>
            <w:tcW w:w="1017" w:type="dxa"/>
            <w:tcBorders>
              <w:top w:val="nil"/>
              <w:left w:val="nil"/>
              <w:bottom w:val="nil"/>
              <w:right w:val="nil"/>
            </w:tcBorders>
            <w:shd w:val="clear" w:color="auto" w:fill="auto"/>
            <w:noWrap/>
            <w:vAlign w:val="bottom"/>
            <w:hideMark/>
          </w:tcPr>
          <w:p w14:paraId="7EBEBE30" w14:textId="77777777" w:rsidR="00223F35" w:rsidRPr="0048184E" w:rsidRDefault="00223F35" w:rsidP="0048184E">
            <w:pPr>
              <w:spacing w:after="0" w:line="240" w:lineRule="auto"/>
              <w:rPr>
                <w:rFonts w:eastAsia="Times New Roman" w:cs="Arial"/>
                <w:b/>
                <w:bCs/>
                <w:sz w:val="18"/>
                <w:szCs w:val="18"/>
                <w:lang w:val="pl-PL"/>
              </w:rPr>
            </w:pPr>
          </w:p>
        </w:tc>
        <w:tc>
          <w:tcPr>
            <w:tcW w:w="766" w:type="dxa"/>
            <w:tcBorders>
              <w:top w:val="nil"/>
              <w:left w:val="nil"/>
              <w:bottom w:val="nil"/>
              <w:right w:val="nil"/>
            </w:tcBorders>
            <w:shd w:val="clear" w:color="auto" w:fill="auto"/>
            <w:noWrap/>
            <w:vAlign w:val="bottom"/>
            <w:hideMark/>
          </w:tcPr>
          <w:p w14:paraId="76932AC0" w14:textId="77777777" w:rsidR="00223F35" w:rsidRPr="0048184E" w:rsidRDefault="00223F35" w:rsidP="0048184E">
            <w:pPr>
              <w:spacing w:after="0" w:line="240" w:lineRule="auto"/>
              <w:rPr>
                <w:rFonts w:eastAsia="Times New Roman" w:cs="Times New Roman"/>
                <w:sz w:val="18"/>
                <w:szCs w:val="18"/>
                <w:lang w:val="pl-PL"/>
              </w:rPr>
            </w:pPr>
          </w:p>
        </w:tc>
        <w:tc>
          <w:tcPr>
            <w:tcW w:w="660" w:type="dxa"/>
            <w:tcBorders>
              <w:top w:val="nil"/>
              <w:left w:val="nil"/>
              <w:bottom w:val="nil"/>
              <w:right w:val="nil"/>
            </w:tcBorders>
            <w:shd w:val="clear" w:color="auto" w:fill="auto"/>
            <w:noWrap/>
            <w:vAlign w:val="bottom"/>
            <w:hideMark/>
          </w:tcPr>
          <w:p w14:paraId="06DBF693" w14:textId="77777777" w:rsidR="00223F35" w:rsidRPr="0048184E" w:rsidRDefault="00223F35" w:rsidP="0048184E">
            <w:pPr>
              <w:spacing w:after="0" w:line="240" w:lineRule="auto"/>
              <w:rPr>
                <w:rFonts w:eastAsia="Times New Roman" w:cs="Times New Roman"/>
                <w:sz w:val="18"/>
                <w:szCs w:val="18"/>
                <w:lang w:val="pl-PL"/>
              </w:rPr>
            </w:pPr>
          </w:p>
        </w:tc>
        <w:tc>
          <w:tcPr>
            <w:tcW w:w="875" w:type="dxa"/>
            <w:tcBorders>
              <w:top w:val="nil"/>
              <w:left w:val="nil"/>
              <w:bottom w:val="nil"/>
              <w:right w:val="nil"/>
            </w:tcBorders>
            <w:shd w:val="clear" w:color="auto" w:fill="auto"/>
            <w:noWrap/>
            <w:vAlign w:val="bottom"/>
            <w:hideMark/>
          </w:tcPr>
          <w:p w14:paraId="3F8F0B64" w14:textId="77777777" w:rsidR="00223F35" w:rsidRPr="0048184E" w:rsidRDefault="00223F35" w:rsidP="0048184E">
            <w:pPr>
              <w:spacing w:after="0" w:line="240" w:lineRule="auto"/>
              <w:rPr>
                <w:rFonts w:eastAsia="Times New Roman" w:cs="Times New Roman"/>
                <w:sz w:val="18"/>
                <w:szCs w:val="18"/>
                <w:lang w:val="pl-PL"/>
              </w:rPr>
            </w:pPr>
          </w:p>
        </w:tc>
        <w:tc>
          <w:tcPr>
            <w:tcW w:w="1106" w:type="dxa"/>
            <w:tcBorders>
              <w:top w:val="nil"/>
              <w:left w:val="nil"/>
              <w:bottom w:val="nil"/>
              <w:right w:val="nil"/>
            </w:tcBorders>
            <w:shd w:val="clear" w:color="auto" w:fill="auto"/>
            <w:noWrap/>
            <w:vAlign w:val="bottom"/>
            <w:hideMark/>
          </w:tcPr>
          <w:p w14:paraId="6DB4D8B0" w14:textId="77777777" w:rsidR="00223F35" w:rsidRPr="0048184E" w:rsidRDefault="00223F35" w:rsidP="0048184E">
            <w:pPr>
              <w:spacing w:after="0" w:line="240" w:lineRule="auto"/>
              <w:rPr>
                <w:rFonts w:eastAsia="Times New Roman" w:cs="Times New Roman"/>
                <w:sz w:val="18"/>
                <w:szCs w:val="18"/>
                <w:lang w:val="pl-PL"/>
              </w:rPr>
            </w:pPr>
          </w:p>
        </w:tc>
      </w:tr>
      <w:tr w:rsidR="0048184E" w:rsidRPr="0048184E" w14:paraId="45B70D1F"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B331B93"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 </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12B596D8"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2020</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5B689809"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2021</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569D7A9E"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2022</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7275E812"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2023</w:t>
            </w:r>
            <w:r w:rsidRPr="0048184E">
              <w:rPr>
                <w:rFonts w:eastAsia="Times New Roman" w:cs="Arial"/>
                <w:b/>
                <w:bCs/>
                <w:sz w:val="18"/>
                <w:szCs w:val="18"/>
                <w:vertAlign w:val="superscript"/>
              </w:rPr>
              <w:t>(p)</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3054F13A"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2024</w:t>
            </w:r>
            <w:r w:rsidRPr="0048184E">
              <w:rPr>
                <w:rFonts w:eastAsia="Times New Roman" w:cs="Arial"/>
                <w:b/>
                <w:bCs/>
                <w:sz w:val="18"/>
                <w:szCs w:val="18"/>
                <w:vertAlign w:val="superscript"/>
              </w:rPr>
              <w:t>(p)</w:t>
            </w:r>
          </w:p>
        </w:tc>
      </w:tr>
      <w:tr w:rsidR="0048184E" w:rsidRPr="002A2822" w14:paraId="1F04C598" w14:textId="77777777" w:rsidTr="00025468">
        <w:trPr>
          <w:trHeight w:val="285"/>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A7F29F1"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Prag rizika od siromaštva na godišnjem nivou, EUR</w:t>
            </w:r>
          </w:p>
        </w:tc>
        <w:tc>
          <w:tcPr>
            <w:tcW w:w="1017" w:type="dxa"/>
            <w:tcBorders>
              <w:top w:val="nil"/>
              <w:left w:val="nil"/>
              <w:bottom w:val="single" w:sz="4" w:space="0" w:color="auto"/>
              <w:right w:val="single" w:sz="4" w:space="0" w:color="auto"/>
            </w:tcBorders>
            <w:shd w:val="clear" w:color="auto" w:fill="auto"/>
            <w:noWrap/>
            <w:vAlign w:val="center"/>
            <w:hideMark/>
          </w:tcPr>
          <w:p w14:paraId="1B78C790"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766" w:type="dxa"/>
            <w:tcBorders>
              <w:top w:val="nil"/>
              <w:left w:val="nil"/>
              <w:bottom w:val="single" w:sz="4" w:space="0" w:color="auto"/>
              <w:right w:val="single" w:sz="4" w:space="0" w:color="auto"/>
            </w:tcBorders>
            <w:shd w:val="clear" w:color="auto" w:fill="auto"/>
            <w:noWrap/>
            <w:vAlign w:val="center"/>
            <w:hideMark/>
          </w:tcPr>
          <w:p w14:paraId="038C9DF5"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660" w:type="dxa"/>
            <w:tcBorders>
              <w:top w:val="nil"/>
              <w:left w:val="nil"/>
              <w:bottom w:val="single" w:sz="4" w:space="0" w:color="auto"/>
              <w:right w:val="single" w:sz="4" w:space="0" w:color="auto"/>
            </w:tcBorders>
            <w:shd w:val="clear" w:color="auto" w:fill="auto"/>
            <w:noWrap/>
            <w:vAlign w:val="center"/>
            <w:hideMark/>
          </w:tcPr>
          <w:p w14:paraId="44946DC9"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875" w:type="dxa"/>
            <w:tcBorders>
              <w:top w:val="nil"/>
              <w:left w:val="nil"/>
              <w:bottom w:val="single" w:sz="4" w:space="0" w:color="auto"/>
              <w:right w:val="single" w:sz="4" w:space="0" w:color="auto"/>
            </w:tcBorders>
            <w:shd w:val="clear" w:color="auto" w:fill="auto"/>
            <w:noWrap/>
            <w:vAlign w:val="center"/>
            <w:hideMark/>
          </w:tcPr>
          <w:p w14:paraId="0D449130"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1106" w:type="dxa"/>
            <w:tcBorders>
              <w:top w:val="nil"/>
              <w:left w:val="nil"/>
              <w:bottom w:val="single" w:sz="4" w:space="0" w:color="auto"/>
              <w:right w:val="single" w:sz="4" w:space="0" w:color="auto"/>
            </w:tcBorders>
            <w:shd w:val="clear" w:color="auto" w:fill="auto"/>
            <w:noWrap/>
            <w:vAlign w:val="center"/>
            <w:hideMark/>
          </w:tcPr>
          <w:p w14:paraId="1A8297C3"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r>
      <w:tr w:rsidR="0048184E" w:rsidRPr="0048184E" w14:paraId="41F0DCB1" w14:textId="77777777" w:rsidTr="00025468">
        <w:trPr>
          <w:trHeight w:val="285"/>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51D2313" w14:textId="77777777" w:rsidR="00223F35" w:rsidRPr="0048184E" w:rsidRDefault="00223F35" w:rsidP="0048184E">
            <w:pPr>
              <w:spacing w:after="0" w:line="240" w:lineRule="auto"/>
              <w:rPr>
                <w:rFonts w:eastAsia="Times New Roman" w:cs="Arial"/>
                <w:sz w:val="18"/>
                <w:szCs w:val="18"/>
              </w:rPr>
            </w:pPr>
            <w:r w:rsidRPr="0048184E">
              <w:rPr>
                <w:rFonts w:eastAsia="Times New Roman" w:cs="Arial"/>
                <w:sz w:val="18"/>
                <w:szCs w:val="18"/>
                <w:lang w:val="pl-PL"/>
              </w:rPr>
              <w:t xml:space="preserve">   </w:t>
            </w:r>
            <w:r w:rsidRPr="0048184E">
              <w:rPr>
                <w:rFonts w:eastAsia="Times New Roman" w:cs="Arial"/>
                <w:sz w:val="18"/>
                <w:szCs w:val="18"/>
              </w:rPr>
              <w:t>Jednočlano domaćinstvo</w:t>
            </w:r>
          </w:p>
        </w:tc>
        <w:tc>
          <w:tcPr>
            <w:tcW w:w="1017" w:type="dxa"/>
            <w:tcBorders>
              <w:top w:val="nil"/>
              <w:left w:val="nil"/>
              <w:bottom w:val="single" w:sz="4" w:space="0" w:color="auto"/>
              <w:right w:val="single" w:sz="4" w:space="0" w:color="auto"/>
            </w:tcBorders>
            <w:shd w:val="clear" w:color="auto" w:fill="auto"/>
            <w:noWrap/>
            <w:vAlign w:val="center"/>
            <w:hideMark/>
          </w:tcPr>
          <w:p w14:paraId="19D754FD"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2,347 </w:t>
            </w:r>
          </w:p>
        </w:tc>
        <w:tc>
          <w:tcPr>
            <w:tcW w:w="766" w:type="dxa"/>
            <w:tcBorders>
              <w:top w:val="nil"/>
              <w:left w:val="nil"/>
              <w:bottom w:val="single" w:sz="4" w:space="0" w:color="auto"/>
              <w:right w:val="single" w:sz="4" w:space="0" w:color="auto"/>
            </w:tcBorders>
            <w:shd w:val="clear" w:color="auto" w:fill="auto"/>
            <w:noWrap/>
            <w:vAlign w:val="center"/>
            <w:hideMark/>
          </w:tcPr>
          <w:p w14:paraId="74E43384"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2,278 </w:t>
            </w:r>
          </w:p>
        </w:tc>
        <w:tc>
          <w:tcPr>
            <w:tcW w:w="660" w:type="dxa"/>
            <w:tcBorders>
              <w:top w:val="nil"/>
              <w:left w:val="nil"/>
              <w:bottom w:val="single" w:sz="4" w:space="0" w:color="auto"/>
              <w:right w:val="single" w:sz="4" w:space="0" w:color="auto"/>
            </w:tcBorders>
            <w:shd w:val="clear" w:color="auto" w:fill="auto"/>
            <w:noWrap/>
            <w:vAlign w:val="center"/>
            <w:hideMark/>
          </w:tcPr>
          <w:p w14:paraId="71994556"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2,576 </w:t>
            </w:r>
          </w:p>
        </w:tc>
        <w:tc>
          <w:tcPr>
            <w:tcW w:w="875" w:type="dxa"/>
            <w:tcBorders>
              <w:top w:val="nil"/>
              <w:left w:val="nil"/>
              <w:bottom w:val="single" w:sz="4" w:space="0" w:color="auto"/>
              <w:right w:val="single" w:sz="4" w:space="0" w:color="auto"/>
            </w:tcBorders>
            <w:shd w:val="clear" w:color="auto" w:fill="auto"/>
            <w:noWrap/>
            <w:vAlign w:val="center"/>
            <w:hideMark/>
          </w:tcPr>
          <w:p w14:paraId="2005F426"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3,367 </w:t>
            </w:r>
          </w:p>
        </w:tc>
        <w:tc>
          <w:tcPr>
            <w:tcW w:w="1106" w:type="dxa"/>
            <w:tcBorders>
              <w:top w:val="nil"/>
              <w:left w:val="nil"/>
              <w:bottom w:val="single" w:sz="4" w:space="0" w:color="auto"/>
              <w:right w:val="single" w:sz="4" w:space="0" w:color="auto"/>
            </w:tcBorders>
            <w:shd w:val="clear" w:color="auto" w:fill="auto"/>
            <w:noWrap/>
            <w:vAlign w:val="center"/>
            <w:hideMark/>
          </w:tcPr>
          <w:p w14:paraId="1F740BAE"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 xml:space="preserve">          3,973 </w:t>
            </w:r>
          </w:p>
        </w:tc>
      </w:tr>
      <w:tr w:rsidR="0048184E" w:rsidRPr="0048184E" w14:paraId="1B7E143D" w14:textId="77777777" w:rsidTr="00025468">
        <w:trPr>
          <w:trHeight w:val="285"/>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504F3AE8"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 xml:space="preserve">   Domaćinstvo s dvije odrasle osobe i dvoje djece mlađe od 14 godina </w:t>
            </w:r>
          </w:p>
        </w:tc>
        <w:tc>
          <w:tcPr>
            <w:tcW w:w="1017" w:type="dxa"/>
            <w:tcBorders>
              <w:top w:val="nil"/>
              <w:left w:val="nil"/>
              <w:bottom w:val="single" w:sz="4" w:space="0" w:color="auto"/>
              <w:right w:val="single" w:sz="4" w:space="0" w:color="auto"/>
            </w:tcBorders>
            <w:shd w:val="clear" w:color="auto" w:fill="auto"/>
            <w:noWrap/>
            <w:vAlign w:val="center"/>
            <w:hideMark/>
          </w:tcPr>
          <w:p w14:paraId="0A93B080"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lang w:val="pl-PL"/>
              </w:rPr>
              <w:t xml:space="preserve">          </w:t>
            </w:r>
            <w:r w:rsidRPr="0048184E">
              <w:rPr>
                <w:rFonts w:eastAsia="Times New Roman" w:cs="Arial"/>
                <w:sz w:val="18"/>
                <w:szCs w:val="18"/>
              </w:rPr>
              <w:t xml:space="preserve">4,928 </w:t>
            </w:r>
          </w:p>
        </w:tc>
        <w:tc>
          <w:tcPr>
            <w:tcW w:w="766" w:type="dxa"/>
            <w:tcBorders>
              <w:top w:val="nil"/>
              <w:left w:val="nil"/>
              <w:bottom w:val="single" w:sz="4" w:space="0" w:color="auto"/>
              <w:right w:val="single" w:sz="4" w:space="0" w:color="auto"/>
            </w:tcBorders>
            <w:shd w:val="clear" w:color="auto" w:fill="auto"/>
            <w:noWrap/>
            <w:vAlign w:val="center"/>
            <w:hideMark/>
          </w:tcPr>
          <w:p w14:paraId="5EE6C64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4,784 </w:t>
            </w:r>
          </w:p>
        </w:tc>
        <w:tc>
          <w:tcPr>
            <w:tcW w:w="660" w:type="dxa"/>
            <w:tcBorders>
              <w:top w:val="nil"/>
              <w:left w:val="nil"/>
              <w:bottom w:val="single" w:sz="4" w:space="0" w:color="auto"/>
              <w:right w:val="single" w:sz="4" w:space="0" w:color="auto"/>
            </w:tcBorders>
            <w:shd w:val="clear" w:color="auto" w:fill="auto"/>
            <w:noWrap/>
            <w:vAlign w:val="center"/>
            <w:hideMark/>
          </w:tcPr>
          <w:p w14:paraId="5651C9AA"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5,409 </w:t>
            </w:r>
          </w:p>
        </w:tc>
        <w:tc>
          <w:tcPr>
            <w:tcW w:w="875" w:type="dxa"/>
            <w:tcBorders>
              <w:top w:val="nil"/>
              <w:left w:val="nil"/>
              <w:bottom w:val="single" w:sz="4" w:space="0" w:color="auto"/>
              <w:right w:val="single" w:sz="4" w:space="0" w:color="auto"/>
            </w:tcBorders>
            <w:shd w:val="clear" w:color="auto" w:fill="auto"/>
            <w:noWrap/>
            <w:vAlign w:val="center"/>
            <w:hideMark/>
          </w:tcPr>
          <w:p w14:paraId="1AB2753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7,070 </w:t>
            </w:r>
          </w:p>
        </w:tc>
        <w:tc>
          <w:tcPr>
            <w:tcW w:w="1106" w:type="dxa"/>
            <w:tcBorders>
              <w:top w:val="nil"/>
              <w:left w:val="nil"/>
              <w:bottom w:val="single" w:sz="4" w:space="0" w:color="auto"/>
              <w:right w:val="single" w:sz="4" w:space="0" w:color="auto"/>
            </w:tcBorders>
            <w:shd w:val="clear" w:color="auto" w:fill="auto"/>
            <w:noWrap/>
            <w:vAlign w:val="center"/>
            <w:hideMark/>
          </w:tcPr>
          <w:p w14:paraId="4B47C5DA"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 xml:space="preserve">          8,344 </w:t>
            </w:r>
          </w:p>
        </w:tc>
      </w:tr>
      <w:tr w:rsidR="0048184E" w:rsidRPr="0048184E" w14:paraId="701C8CFD"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4EDB2C0B"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Relativni jaz rizika od siromaštva, %</w:t>
            </w:r>
          </w:p>
        </w:tc>
        <w:tc>
          <w:tcPr>
            <w:tcW w:w="1017" w:type="dxa"/>
            <w:tcBorders>
              <w:top w:val="nil"/>
              <w:left w:val="nil"/>
              <w:bottom w:val="single" w:sz="4" w:space="0" w:color="auto"/>
              <w:right w:val="single" w:sz="4" w:space="0" w:color="auto"/>
            </w:tcBorders>
            <w:shd w:val="clear" w:color="auto" w:fill="auto"/>
            <w:noWrap/>
            <w:vAlign w:val="center"/>
            <w:hideMark/>
          </w:tcPr>
          <w:p w14:paraId="49359190"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28.2</w:t>
            </w:r>
          </w:p>
        </w:tc>
        <w:tc>
          <w:tcPr>
            <w:tcW w:w="766" w:type="dxa"/>
            <w:tcBorders>
              <w:top w:val="nil"/>
              <w:left w:val="nil"/>
              <w:bottom w:val="single" w:sz="4" w:space="0" w:color="auto"/>
              <w:right w:val="single" w:sz="4" w:space="0" w:color="auto"/>
            </w:tcBorders>
            <w:shd w:val="clear" w:color="auto" w:fill="auto"/>
            <w:noWrap/>
            <w:vAlign w:val="center"/>
            <w:hideMark/>
          </w:tcPr>
          <w:p w14:paraId="271E2CE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29.5</w:t>
            </w:r>
          </w:p>
        </w:tc>
        <w:tc>
          <w:tcPr>
            <w:tcW w:w="660" w:type="dxa"/>
            <w:tcBorders>
              <w:top w:val="nil"/>
              <w:left w:val="nil"/>
              <w:bottom w:val="single" w:sz="4" w:space="0" w:color="auto"/>
              <w:right w:val="single" w:sz="4" w:space="0" w:color="auto"/>
            </w:tcBorders>
            <w:shd w:val="clear" w:color="auto" w:fill="auto"/>
            <w:noWrap/>
            <w:vAlign w:val="center"/>
            <w:hideMark/>
          </w:tcPr>
          <w:p w14:paraId="4BADBA30"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29.5</w:t>
            </w:r>
          </w:p>
        </w:tc>
        <w:tc>
          <w:tcPr>
            <w:tcW w:w="875" w:type="dxa"/>
            <w:tcBorders>
              <w:top w:val="nil"/>
              <w:left w:val="nil"/>
              <w:bottom w:val="single" w:sz="4" w:space="0" w:color="auto"/>
              <w:right w:val="single" w:sz="4" w:space="0" w:color="auto"/>
            </w:tcBorders>
            <w:shd w:val="clear" w:color="auto" w:fill="auto"/>
            <w:noWrap/>
            <w:vAlign w:val="center"/>
            <w:hideMark/>
          </w:tcPr>
          <w:p w14:paraId="62CCB195"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28.0</w:t>
            </w:r>
          </w:p>
        </w:tc>
        <w:tc>
          <w:tcPr>
            <w:tcW w:w="1106" w:type="dxa"/>
            <w:tcBorders>
              <w:top w:val="nil"/>
              <w:left w:val="nil"/>
              <w:bottom w:val="single" w:sz="4" w:space="0" w:color="auto"/>
              <w:right w:val="single" w:sz="4" w:space="0" w:color="auto"/>
            </w:tcBorders>
            <w:shd w:val="clear" w:color="auto" w:fill="auto"/>
            <w:noWrap/>
            <w:vAlign w:val="center"/>
            <w:hideMark/>
          </w:tcPr>
          <w:p w14:paraId="61C57B6A"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34.0</w:t>
            </w:r>
          </w:p>
        </w:tc>
      </w:tr>
      <w:tr w:rsidR="0048184E" w:rsidRPr="0048184E" w14:paraId="2DCA0016"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259ACF1"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Nejednakost distribucije dohotka – kvintilni odnos (S80/S20)</w:t>
            </w:r>
          </w:p>
        </w:tc>
        <w:tc>
          <w:tcPr>
            <w:tcW w:w="1017" w:type="dxa"/>
            <w:tcBorders>
              <w:top w:val="nil"/>
              <w:left w:val="nil"/>
              <w:bottom w:val="single" w:sz="4" w:space="0" w:color="auto"/>
              <w:right w:val="single" w:sz="4" w:space="0" w:color="auto"/>
            </w:tcBorders>
            <w:shd w:val="clear" w:color="auto" w:fill="auto"/>
            <w:noWrap/>
            <w:vAlign w:val="center"/>
            <w:hideMark/>
          </w:tcPr>
          <w:p w14:paraId="154C43BD"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6.0</w:t>
            </w:r>
          </w:p>
        </w:tc>
        <w:tc>
          <w:tcPr>
            <w:tcW w:w="766" w:type="dxa"/>
            <w:tcBorders>
              <w:top w:val="nil"/>
              <w:left w:val="nil"/>
              <w:bottom w:val="single" w:sz="4" w:space="0" w:color="auto"/>
              <w:right w:val="single" w:sz="4" w:space="0" w:color="auto"/>
            </w:tcBorders>
            <w:shd w:val="clear" w:color="auto" w:fill="auto"/>
            <w:noWrap/>
            <w:vAlign w:val="center"/>
            <w:hideMark/>
          </w:tcPr>
          <w:p w14:paraId="29CF6741"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5.8</w:t>
            </w:r>
          </w:p>
        </w:tc>
        <w:tc>
          <w:tcPr>
            <w:tcW w:w="660" w:type="dxa"/>
            <w:tcBorders>
              <w:top w:val="nil"/>
              <w:left w:val="nil"/>
              <w:bottom w:val="single" w:sz="4" w:space="0" w:color="auto"/>
              <w:right w:val="single" w:sz="4" w:space="0" w:color="auto"/>
            </w:tcBorders>
            <w:shd w:val="clear" w:color="auto" w:fill="auto"/>
            <w:noWrap/>
            <w:vAlign w:val="center"/>
            <w:hideMark/>
          </w:tcPr>
          <w:p w14:paraId="14B8E7EE"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5.6</w:t>
            </w:r>
          </w:p>
        </w:tc>
        <w:tc>
          <w:tcPr>
            <w:tcW w:w="875" w:type="dxa"/>
            <w:tcBorders>
              <w:top w:val="nil"/>
              <w:left w:val="nil"/>
              <w:bottom w:val="single" w:sz="4" w:space="0" w:color="auto"/>
              <w:right w:val="single" w:sz="4" w:space="0" w:color="auto"/>
            </w:tcBorders>
            <w:shd w:val="clear" w:color="auto" w:fill="auto"/>
            <w:noWrap/>
            <w:vAlign w:val="center"/>
            <w:hideMark/>
          </w:tcPr>
          <w:p w14:paraId="14A65B9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5.1</w:t>
            </w:r>
          </w:p>
        </w:tc>
        <w:tc>
          <w:tcPr>
            <w:tcW w:w="1106" w:type="dxa"/>
            <w:tcBorders>
              <w:top w:val="nil"/>
              <w:left w:val="nil"/>
              <w:bottom w:val="single" w:sz="4" w:space="0" w:color="auto"/>
              <w:right w:val="single" w:sz="4" w:space="0" w:color="auto"/>
            </w:tcBorders>
            <w:shd w:val="clear" w:color="auto" w:fill="auto"/>
            <w:noWrap/>
            <w:vAlign w:val="center"/>
            <w:hideMark/>
          </w:tcPr>
          <w:p w14:paraId="4D14B0A8"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5.8</w:t>
            </w:r>
          </w:p>
        </w:tc>
      </w:tr>
      <w:tr w:rsidR="0048184E" w:rsidRPr="0048184E" w14:paraId="2904A472"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39722AC7" w14:textId="77777777" w:rsidR="00223F35" w:rsidRPr="0048184E" w:rsidRDefault="00223F35" w:rsidP="0048184E">
            <w:pPr>
              <w:spacing w:after="0" w:line="240" w:lineRule="auto"/>
              <w:rPr>
                <w:rFonts w:eastAsia="Times New Roman" w:cs="Arial"/>
                <w:sz w:val="18"/>
                <w:szCs w:val="18"/>
              </w:rPr>
            </w:pPr>
            <w:r w:rsidRPr="0048184E">
              <w:rPr>
                <w:rFonts w:eastAsia="Times New Roman" w:cs="Arial"/>
                <w:sz w:val="18"/>
                <w:szCs w:val="18"/>
              </w:rPr>
              <w:t>Gini koeficijent</w:t>
            </w:r>
            <w:r w:rsidRPr="0048184E">
              <w:rPr>
                <w:rStyle w:val="FootnoteReference"/>
                <w:rFonts w:eastAsia="Times New Roman" w:cs="Arial"/>
                <w:sz w:val="18"/>
                <w:szCs w:val="18"/>
              </w:rPr>
              <w:footnoteReference w:id="36"/>
            </w:r>
          </w:p>
        </w:tc>
        <w:tc>
          <w:tcPr>
            <w:tcW w:w="1017" w:type="dxa"/>
            <w:tcBorders>
              <w:top w:val="nil"/>
              <w:left w:val="nil"/>
              <w:bottom w:val="single" w:sz="4" w:space="0" w:color="auto"/>
              <w:right w:val="single" w:sz="4" w:space="0" w:color="auto"/>
            </w:tcBorders>
            <w:shd w:val="clear" w:color="auto" w:fill="auto"/>
            <w:noWrap/>
            <w:vAlign w:val="center"/>
            <w:hideMark/>
          </w:tcPr>
          <w:p w14:paraId="6BDFE583"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32.9</w:t>
            </w:r>
          </w:p>
        </w:tc>
        <w:tc>
          <w:tcPr>
            <w:tcW w:w="766" w:type="dxa"/>
            <w:tcBorders>
              <w:top w:val="nil"/>
              <w:left w:val="nil"/>
              <w:bottom w:val="single" w:sz="4" w:space="0" w:color="auto"/>
              <w:right w:val="single" w:sz="4" w:space="0" w:color="auto"/>
            </w:tcBorders>
            <w:shd w:val="clear" w:color="auto" w:fill="auto"/>
            <w:noWrap/>
            <w:vAlign w:val="center"/>
            <w:hideMark/>
          </w:tcPr>
          <w:p w14:paraId="0774CEE6"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32.5</w:t>
            </w:r>
          </w:p>
        </w:tc>
        <w:tc>
          <w:tcPr>
            <w:tcW w:w="660" w:type="dxa"/>
            <w:tcBorders>
              <w:top w:val="nil"/>
              <w:left w:val="nil"/>
              <w:bottom w:val="single" w:sz="4" w:space="0" w:color="auto"/>
              <w:right w:val="single" w:sz="4" w:space="0" w:color="auto"/>
            </w:tcBorders>
            <w:shd w:val="clear" w:color="auto" w:fill="auto"/>
            <w:noWrap/>
            <w:vAlign w:val="center"/>
            <w:hideMark/>
          </w:tcPr>
          <w:p w14:paraId="27320E38"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31.5</w:t>
            </w:r>
          </w:p>
        </w:tc>
        <w:tc>
          <w:tcPr>
            <w:tcW w:w="875" w:type="dxa"/>
            <w:tcBorders>
              <w:top w:val="nil"/>
              <w:left w:val="nil"/>
              <w:bottom w:val="single" w:sz="4" w:space="0" w:color="auto"/>
              <w:right w:val="single" w:sz="4" w:space="0" w:color="auto"/>
            </w:tcBorders>
            <w:shd w:val="clear" w:color="auto" w:fill="auto"/>
            <w:noWrap/>
            <w:vAlign w:val="center"/>
            <w:hideMark/>
          </w:tcPr>
          <w:p w14:paraId="46584AD1"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29.4</w:t>
            </w:r>
          </w:p>
        </w:tc>
        <w:tc>
          <w:tcPr>
            <w:tcW w:w="1106" w:type="dxa"/>
            <w:tcBorders>
              <w:top w:val="nil"/>
              <w:left w:val="nil"/>
              <w:bottom w:val="single" w:sz="4" w:space="0" w:color="auto"/>
              <w:right w:val="single" w:sz="4" w:space="0" w:color="auto"/>
            </w:tcBorders>
            <w:shd w:val="clear" w:color="auto" w:fill="auto"/>
            <w:noWrap/>
            <w:vAlign w:val="center"/>
            <w:hideMark/>
          </w:tcPr>
          <w:p w14:paraId="443B10E9"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31.6</w:t>
            </w:r>
          </w:p>
        </w:tc>
      </w:tr>
    </w:tbl>
    <w:p w14:paraId="32256F2C" w14:textId="77777777" w:rsidR="00223F35" w:rsidRPr="0048184E" w:rsidRDefault="00025468" w:rsidP="0048184E">
      <w:pPr>
        <w:spacing w:after="0" w:line="240" w:lineRule="auto"/>
        <w:rPr>
          <w:sz w:val="18"/>
          <w:szCs w:val="18"/>
          <w:lang w:val="pl-PL"/>
        </w:rPr>
      </w:pPr>
      <w:r w:rsidRPr="0048184E">
        <w:rPr>
          <w:sz w:val="18"/>
          <w:szCs w:val="18"/>
          <w:lang w:val="pl-PL"/>
        </w:rPr>
        <w:t>Izvor: MONSTAT</w:t>
      </w:r>
    </w:p>
    <w:p w14:paraId="6126C8F1" w14:textId="77777777" w:rsidR="00025468" w:rsidRPr="0048184E" w:rsidRDefault="00025468" w:rsidP="0048184E">
      <w:pPr>
        <w:spacing w:after="0" w:line="240" w:lineRule="auto"/>
        <w:rPr>
          <w:sz w:val="18"/>
          <w:szCs w:val="18"/>
          <w:lang w:val="pl-PL"/>
        </w:rPr>
      </w:pPr>
    </w:p>
    <w:p w14:paraId="27F7BD37" w14:textId="77777777" w:rsidR="00223F35" w:rsidRPr="0048184E" w:rsidRDefault="00223F35" w:rsidP="0048184E">
      <w:pPr>
        <w:spacing w:after="0" w:line="240" w:lineRule="auto"/>
        <w:jc w:val="both"/>
        <w:rPr>
          <w:sz w:val="18"/>
          <w:szCs w:val="18"/>
          <w:lang w:val="pl-PL"/>
        </w:rPr>
      </w:pPr>
      <w:r w:rsidRPr="0048184E">
        <w:rPr>
          <w:sz w:val="18"/>
          <w:szCs w:val="18"/>
          <w:lang w:val="pl-PL"/>
        </w:rPr>
        <w:t>Prag rizika od siromaštva, postavljen na 60% od srednje vrijednosti (medijane) nacionalnog ekvivalentnog raspoloživog dohotka, u 2024. godini na godišnjem nivou iznosio je 3 973 eura za jednočlano domaćinstvo, dok je za domaćinstvo sa dvije odrasle osobe i dvoje djece mlađe od 14 godina iznosio 8 344 eura.</w:t>
      </w:r>
    </w:p>
    <w:p w14:paraId="66229D87" w14:textId="77777777" w:rsidR="00223F35" w:rsidRPr="0048184E" w:rsidRDefault="00223F35" w:rsidP="0048184E">
      <w:pPr>
        <w:spacing w:after="0" w:line="240" w:lineRule="auto"/>
        <w:jc w:val="both"/>
        <w:rPr>
          <w:sz w:val="18"/>
          <w:szCs w:val="18"/>
          <w:lang w:val="pl-PL"/>
        </w:rPr>
      </w:pPr>
    </w:p>
    <w:p w14:paraId="590226DF" w14:textId="77777777" w:rsidR="00223F35" w:rsidRPr="0048184E" w:rsidRDefault="00223F35" w:rsidP="0048184E">
      <w:pPr>
        <w:spacing w:after="0" w:line="240" w:lineRule="auto"/>
        <w:jc w:val="both"/>
        <w:rPr>
          <w:sz w:val="18"/>
          <w:szCs w:val="18"/>
          <w:lang w:val="pl-PL"/>
        </w:rPr>
      </w:pPr>
      <w:r w:rsidRPr="0048184E">
        <w:rPr>
          <w:sz w:val="18"/>
          <w:szCs w:val="18"/>
          <w:lang w:val="pl-PL"/>
        </w:rPr>
        <w:t>Relativni jaz rizika od siromaštva predstavlja razliku između praga rizika od siromaštva i medijane ekvivalentnog dohotka lica koja su ispod praga rizika od siromaštva, i u 2024. godini iznosio je 34,0%. Kvintilni odnos (S80/S20), u 2024. godini iznosio je 5,8, što pokazuje da je 20% stanovništva sa najvećim dohotkom (peti kvintil) prihodovalo 5,8 puta više nego 20% stanovništva sa najnižim dohotkom (prvi kvintil). Gini koeficijent kao pokazatelj nejednakosti dohotka (na skali od 0 – potpuna jednakost do 100 – potpuna nejednakost), u 2024. godini je iznosio 31,6.</w:t>
      </w:r>
    </w:p>
    <w:p w14:paraId="429A2941" w14:textId="77777777" w:rsidR="00223F35" w:rsidRPr="0048184E" w:rsidRDefault="00223F35" w:rsidP="0048184E">
      <w:pPr>
        <w:spacing w:after="0" w:line="240" w:lineRule="auto"/>
        <w:rPr>
          <w:sz w:val="18"/>
          <w:szCs w:val="18"/>
          <w:lang w:val="pl-PL"/>
        </w:rPr>
      </w:pPr>
    </w:p>
    <w:p w14:paraId="2F2D8033" w14:textId="77777777" w:rsidR="00223F35" w:rsidRPr="0048184E" w:rsidRDefault="00223F35" w:rsidP="0048184E">
      <w:pPr>
        <w:spacing w:after="0" w:line="240" w:lineRule="auto"/>
        <w:rPr>
          <w:sz w:val="18"/>
          <w:szCs w:val="18"/>
          <w:lang w:val="pl-PL"/>
        </w:rPr>
      </w:pPr>
      <w:r w:rsidRPr="0048184E">
        <w:rPr>
          <w:sz w:val="18"/>
          <w:szCs w:val="18"/>
          <w:lang w:val="pl-PL"/>
        </w:rPr>
        <w:lastRenderedPageBreak/>
        <w:t xml:space="preserve">Posmatrano prema starosti, u 2024. godini, lica mlađa od 18 godina, najviše su bila izložena riziku od siromaštva (25,6%), kao i lica starosti od 18 do 24 godine (22,1%). Najnižu stopu rizika od siromaštva imale su osobe starosti od 55 do 64 godine (16,8%). </w:t>
      </w:r>
    </w:p>
    <w:p w14:paraId="7F9BF958" w14:textId="77777777" w:rsidR="004D3E60" w:rsidRDefault="004D3E60" w:rsidP="00EC14B9">
      <w:pPr>
        <w:spacing w:after="0" w:line="240" w:lineRule="auto"/>
        <w:jc w:val="center"/>
        <w:rPr>
          <w:b/>
          <w:bCs/>
          <w:color w:val="4472C4" w:themeColor="accent5"/>
          <w:sz w:val="18"/>
          <w:szCs w:val="18"/>
          <w:lang w:val="pl-PL"/>
        </w:rPr>
      </w:pPr>
    </w:p>
    <w:p w14:paraId="1DB9967D" w14:textId="77777777" w:rsidR="00223F35" w:rsidRPr="00EC14B9" w:rsidRDefault="00223F35" w:rsidP="00EC14B9">
      <w:pPr>
        <w:spacing w:after="0" w:line="240" w:lineRule="auto"/>
        <w:jc w:val="center"/>
        <w:rPr>
          <w:color w:val="4472C4" w:themeColor="accent5"/>
          <w:sz w:val="18"/>
          <w:szCs w:val="18"/>
          <w:lang w:val="pl-PL"/>
        </w:rPr>
      </w:pPr>
      <w:r w:rsidRPr="00EC14B9">
        <w:rPr>
          <w:b/>
          <w:bCs/>
          <w:color w:val="4472C4" w:themeColor="accent5"/>
          <w:sz w:val="18"/>
          <w:szCs w:val="18"/>
          <w:lang w:val="pl-PL"/>
        </w:rPr>
        <w:t xml:space="preserve">Tabela </w:t>
      </w:r>
      <w:r w:rsidR="00EC14B9" w:rsidRPr="00EC14B9">
        <w:rPr>
          <w:b/>
          <w:bCs/>
          <w:color w:val="4472C4" w:themeColor="accent5"/>
          <w:sz w:val="18"/>
          <w:szCs w:val="18"/>
          <w:lang w:val="pl-PL"/>
        </w:rPr>
        <w:t>8</w:t>
      </w:r>
      <w:r w:rsidRPr="00EC14B9">
        <w:rPr>
          <w:b/>
          <w:bCs/>
          <w:color w:val="4472C4" w:themeColor="accent5"/>
          <w:sz w:val="18"/>
          <w:szCs w:val="18"/>
          <w:lang w:val="pl-PL" w:eastAsia="ru-RU"/>
        </w:rPr>
        <w:t>. Stopa rizika od siromaštva prema starosti, % 2024(p)</w:t>
      </w:r>
    </w:p>
    <w:p w14:paraId="73CEF414"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6DD0EB1B" wp14:editId="02D85C2E">
            <wp:extent cx="5110428" cy="2009775"/>
            <wp:effectExtent l="0" t="0" r="1460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7685B8"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p w14:paraId="0EF4D7C3" w14:textId="77777777" w:rsidR="00223F35" w:rsidRPr="0048184E" w:rsidRDefault="00223F35" w:rsidP="0048184E">
      <w:pPr>
        <w:spacing w:after="0" w:line="240" w:lineRule="auto"/>
        <w:rPr>
          <w:sz w:val="18"/>
          <w:szCs w:val="18"/>
          <w:lang w:val="pl-PL"/>
        </w:rPr>
      </w:pPr>
    </w:p>
    <w:p w14:paraId="6206073D" w14:textId="77777777" w:rsidR="00223F35" w:rsidRPr="0048184E" w:rsidRDefault="00223F35" w:rsidP="0048184E">
      <w:pPr>
        <w:spacing w:after="0" w:line="240" w:lineRule="auto"/>
        <w:rPr>
          <w:sz w:val="18"/>
          <w:szCs w:val="18"/>
          <w:lang w:val="pl-PL"/>
        </w:rPr>
      </w:pPr>
      <w:r w:rsidRPr="0048184E">
        <w:rPr>
          <w:sz w:val="18"/>
          <w:szCs w:val="18"/>
          <w:lang w:val="pl-PL"/>
        </w:rPr>
        <w:t>U 2024. godini stopa rizika od siromaštva kod muškaraca iznosila je 19,8%, a kod žena 20,1%.</w:t>
      </w:r>
    </w:p>
    <w:p w14:paraId="1C50A03B" w14:textId="77777777" w:rsidR="00223F35" w:rsidRPr="0048184E" w:rsidRDefault="00223F35" w:rsidP="0048184E">
      <w:pPr>
        <w:spacing w:after="0" w:line="240" w:lineRule="auto"/>
        <w:rPr>
          <w:sz w:val="18"/>
          <w:szCs w:val="18"/>
          <w:lang w:val="pl-PL"/>
        </w:rPr>
      </w:pPr>
    </w:p>
    <w:p w14:paraId="5C1FAE94"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4154FD72" wp14:editId="748BC2C0">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67957FB"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p w14:paraId="38310775" w14:textId="77777777" w:rsidR="00223F35" w:rsidRPr="0048184E" w:rsidRDefault="00223F35" w:rsidP="0048184E">
      <w:pPr>
        <w:spacing w:after="0" w:line="240" w:lineRule="auto"/>
        <w:rPr>
          <w:sz w:val="18"/>
          <w:szCs w:val="18"/>
          <w:lang w:val="pl-PL"/>
        </w:rPr>
      </w:pPr>
    </w:p>
    <w:p w14:paraId="4BF7F416" w14:textId="77777777" w:rsidR="00223F35" w:rsidRPr="0048184E" w:rsidRDefault="00223F35" w:rsidP="0048184E">
      <w:pPr>
        <w:spacing w:after="0" w:line="240" w:lineRule="auto"/>
        <w:jc w:val="both"/>
        <w:rPr>
          <w:sz w:val="18"/>
          <w:szCs w:val="18"/>
          <w:lang w:val="pl-PL"/>
        </w:rPr>
      </w:pPr>
      <w:r w:rsidRPr="0048184E">
        <w:rPr>
          <w:sz w:val="18"/>
          <w:szCs w:val="18"/>
          <w:lang w:val="pl-PL"/>
        </w:rPr>
        <w:t>U 2024. godini, 29,7% stanovnika Sjevernog regiona je bilo izloženo riziku od siromaštva, dok su stanovnici Južnog regiona imali najmanji rizik siromaštva od 15,0%. Riziku od siromaštva, u 2024. godini, bilo je izloženo 25,0% stanovnika ruralnih područja. Stopa rizika od siromaštva u gradskom području iznosila je 17,1% u 2024. godini.</w:t>
      </w:r>
    </w:p>
    <w:p w14:paraId="025BCF01" w14:textId="77777777" w:rsidR="00223F35" w:rsidRPr="0048184E" w:rsidRDefault="00223F35" w:rsidP="0048184E">
      <w:pPr>
        <w:spacing w:after="0" w:line="240" w:lineRule="auto"/>
        <w:rPr>
          <w:sz w:val="18"/>
          <w:szCs w:val="18"/>
          <w:lang w:val="pl-PL"/>
        </w:rPr>
      </w:pPr>
    </w:p>
    <w:p w14:paraId="17211921" w14:textId="77777777" w:rsidR="00223F35" w:rsidRPr="00EC14B9" w:rsidRDefault="00223F35" w:rsidP="00EC14B9">
      <w:pPr>
        <w:spacing w:after="0" w:line="240" w:lineRule="auto"/>
        <w:jc w:val="center"/>
        <w:rPr>
          <w:b/>
          <w:color w:val="4472C4" w:themeColor="accent5"/>
          <w:sz w:val="18"/>
          <w:szCs w:val="18"/>
          <w:lang w:val="pl-PL"/>
        </w:rPr>
      </w:pPr>
      <w:r w:rsidRPr="00EC14B9">
        <w:rPr>
          <w:b/>
          <w:color w:val="4472C4" w:themeColor="accent5"/>
          <w:sz w:val="18"/>
          <w:szCs w:val="18"/>
          <w:lang w:val="pl-PL"/>
        </w:rPr>
        <w:t>Tabela</w:t>
      </w:r>
      <w:r w:rsidR="00EC14B9" w:rsidRPr="00EC14B9">
        <w:rPr>
          <w:b/>
          <w:color w:val="4472C4" w:themeColor="accent5"/>
          <w:sz w:val="18"/>
          <w:szCs w:val="18"/>
          <w:lang w:val="pl-PL"/>
        </w:rPr>
        <w:t xml:space="preserve"> 9.</w:t>
      </w:r>
      <w:r w:rsidRPr="00EC14B9">
        <w:rPr>
          <w:b/>
          <w:color w:val="4472C4" w:themeColor="accent5"/>
          <w:sz w:val="18"/>
          <w:szCs w:val="18"/>
          <w:lang w:val="pl-PL"/>
        </w:rPr>
        <w:t xml:space="preserve"> Stopa rizika od siromaštva po regionima i tipu </w:t>
      </w:r>
      <w:r w:rsidRPr="00EC14B9">
        <w:rPr>
          <w:b/>
          <w:color w:val="4472C4" w:themeColor="accent5"/>
          <w:sz w:val="18"/>
          <w:szCs w:val="18"/>
          <w:lang w:val="sr-Latn-ME"/>
        </w:rPr>
        <w:t>regiona</w:t>
      </w:r>
      <w:r w:rsidRPr="00EC14B9">
        <w:rPr>
          <w:b/>
          <w:color w:val="4472C4" w:themeColor="accent5"/>
          <w:sz w:val="18"/>
          <w:szCs w:val="18"/>
          <w:lang w:val="pl-PL"/>
        </w:rPr>
        <w:t>, % 2024(p)</w:t>
      </w:r>
    </w:p>
    <w:p w14:paraId="6BCDD091" w14:textId="77777777" w:rsidR="00223F35" w:rsidRPr="00EC14B9" w:rsidRDefault="00223F35" w:rsidP="00EC14B9">
      <w:pPr>
        <w:spacing w:after="0" w:line="240" w:lineRule="auto"/>
        <w:jc w:val="center"/>
        <w:rPr>
          <w:b/>
          <w:color w:val="4472C4" w:themeColor="accent5"/>
          <w:sz w:val="18"/>
          <w:szCs w:val="18"/>
          <w:lang w:val="pl-PL"/>
        </w:rPr>
      </w:pPr>
    </w:p>
    <w:p w14:paraId="51C749C1"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30BB2368" wp14:editId="164A16BD">
            <wp:extent cx="5161486" cy="1234672"/>
            <wp:effectExtent l="0" t="0" r="1270" b="38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45C58EF" w14:textId="0334B647" w:rsidR="004D3E60" w:rsidRPr="00543853" w:rsidRDefault="00223F35" w:rsidP="0048184E">
      <w:pPr>
        <w:spacing w:after="0" w:line="240" w:lineRule="auto"/>
        <w:rPr>
          <w:sz w:val="18"/>
          <w:szCs w:val="18"/>
          <w:lang w:val="pl-PL"/>
        </w:rPr>
      </w:pPr>
      <w:r w:rsidRPr="0048184E">
        <w:rPr>
          <w:sz w:val="18"/>
          <w:szCs w:val="18"/>
          <w:lang w:val="pl-PL"/>
        </w:rPr>
        <w:t>Izvor: Monsta</w:t>
      </w:r>
      <w:r w:rsidR="00543853">
        <w:rPr>
          <w:sz w:val="18"/>
          <w:szCs w:val="18"/>
          <w:lang w:val="pl-PL"/>
        </w:rPr>
        <w:t>t</w:t>
      </w:r>
    </w:p>
    <w:p w14:paraId="35CC7795" w14:textId="77777777" w:rsidR="004D3E60" w:rsidRPr="0048184E" w:rsidRDefault="004D3E60" w:rsidP="0048184E">
      <w:pPr>
        <w:spacing w:after="0" w:line="240" w:lineRule="auto"/>
        <w:rPr>
          <w:rFonts w:cstheme="minorHAnsi"/>
          <w:b/>
          <w:sz w:val="18"/>
          <w:szCs w:val="18"/>
          <w:lang w:val="sr-Latn-ME"/>
        </w:rPr>
      </w:pPr>
    </w:p>
    <w:p w14:paraId="00144FCC" w14:textId="77777777" w:rsidR="00DB7E8E" w:rsidRPr="003C2A72" w:rsidRDefault="00DB7E8E" w:rsidP="0048184E">
      <w:pPr>
        <w:pStyle w:val="Heading2"/>
        <w:numPr>
          <w:ilvl w:val="0"/>
          <w:numId w:val="27"/>
        </w:numPr>
        <w:spacing w:before="0" w:line="240" w:lineRule="auto"/>
        <w:rPr>
          <w:rFonts w:asciiTheme="minorHAnsi" w:hAnsiTheme="minorHAnsi"/>
        </w:rPr>
      </w:pPr>
      <w:bookmarkStart w:id="32" w:name="_Toc205215839"/>
      <w:r w:rsidRPr="003C2A72">
        <w:rPr>
          <w:rFonts w:asciiTheme="minorHAnsi" w:hAnsiTheme="minorHAnsi"/>
        </w:rPr>
        <w:lastRenderedPageBreak/>
        <w:t>Ostvarenje izabranih međunarodnih indikatora</w:t>
      </w:r>
      <w:bookmarkEnd w:id="32"/>
      <w:r w:rsidRPr="003C2A72">
        <w:rPr>
          <w:rFonts w:asciiTheme="minorHAnsi" w:hAnsiTheme="minorHAnsi"/>
        </w:rPr>
        <w:t xml:space="preserve">  </w:t>
      </w:r>
    </w:p>
    <w:p w14:paraId="2645EF39" w14:textId="77777777" w:rsidR="00DB7E8E" w:rsidRPr="0048184E" w:rsidRDefault="00DB7E8E" w:rsidP="0048184E">
      <w:pPr>
        <w:pStyle w:val="NoSpacing"/>
        <w:jc w:val="both"/>
        <w:rPr>
          <w:rFonts w:asciiTheme="minorHAnsi" w:hAnsiTheme="minorHAnsi"/>
          <w:b/>
          <w:sz w:val="18"/>
          <w:szCs w:val="18"/>
          <w:lang w:val="sr-Latn-ME"/>
        </w:rPr>
      </w:pPr>
    </w:p>
    <w:p w14:paraId="63F71454" w14:textId="77777777" w:rsidR="007320A2"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Regionalna konkurentnost je sposobnost regiona da ponudi atraktivno i održivo okruženje za život i rad preduzeća i stanovnika. Naime, pokrenut 2010. godine i ažuriran svake tri godine, Indeks regionalne konkurentnosti Evropske Unije (RCI)</w:t>
      </w:r>
      <w:r w:rsidRPr="0048184E">
        <w:rPr>
          <w:rStyle w:val="FootnoteReference"/>
          <w:rFonts w:asciiTheme="minorHAnsi" w:hAnsiTheme="minorHAnsi"/>
          <w:sz w:val="18"/>
          <w:szCs w:val="18"/>
          <w:lang w:val="sr-Latn-ME"/>
        </w:rPr>
        <w:footnoteReference w:id="37"/>
      </w:r>
      <w:r w:rsidRPr="0048184E">
        <w:rPr>
          <w:rFonts w:asciiTheme="minorHAnsi" w:hAnsiTheme="minorHAnsi"/>
          <w:sz w:val="18"/>
          <w:szCs w:val="18"/>
          <w:lang w:val="sr-Latn-ME"/>
        </w:rPr>
        <w:t xml:space="preserve"> omogućava regionima da prate i procjenjuju svoj razvoj tokom vremena i upoređuju sa drugim regionima koje imaju sličan BDP ili sa svim regijama EU. Takođe, indeks je osmišljen kao pomoć regijama pri određivanju prednosti, nedostataka i ulagačkih prioriteta pri oblikovanju razvojnih strategija. U odnosu na prethodna izdanja, u okviru RCI 2019 ponovo su evidenti rezultati prema kojima su jaka područja glavnih gradova i metropola glavni pokretači konkurentnosti. Konkretno, u većini regija sjeverozapadne Evrope primjećuju se učinci prelivanja, dok su oni znatno manje izraženi u istočnim i južnim regijama EU. U mnogim se slučajevima uočava visok nivo odstupanja unutar zemlje prouzrokovan nedvosmisleno boljim rezultatima regije glavnog grada u poređenju sa ostalim regijama u zemlji. U istočnim regijama EU nivo konkurentnosti uglavnom je ostala stabilna. Kako još uvijek nije članica EU, Crna Gora nije uključena u obračun ovog indeksa, međutim, isti može dati korisne podatke u vezi ekonomija koje imaju sličnu strukturu ekonomije i razvojne prioritete kao Crna Gora.    </w:t>
      </w:r>
    </w:p>
    <w:p w14:paraId="18D3D1F4" w14:textId="77777777" w:rsidR="007320A2" w:rsidRPr="0048184E" w:rsidRDefault="007320A2" w:rsidP="0048184E">
      <w:pPr>
        <w:pStyle w:val="NoSpacing"/>
        <w:jc w:val="both"/>
        <w:rPr>
          <w:rFonts w:asciiTheme="minorHAnsi" w:hAnsiTheme="minorHAnsi"/>
          <w:sz w:val="18"/>
          <w:szCs w:val="18"/>
          <w:lang w:val="sr-Latn-ME"/>
        </w:rPr>
      </w:pPr>
    </w:p>
    <w:p w14:paraId="112A45A6" w14:textId="77777777" w:rsidR="00DB7E8E" w:rsidRPr="0048184E" w:rsidRDefault="007320A2" w:rsidP="0048184E">
      <w:pPr>
        <w:spacing w:after="0" w:line="240" w:lineRule="auto"/>
        <w:jc w:val="both"/>
        <w:rPr>
          <w:rFonts w:eastAsia="Calibri" w:cstheme="minorHAnsi"/>
          <w:sz w:val="18"/>
          <w:szCs w:val="18"/>
          <w:lang w:val="sr-Latn-ME"/>
        </w:rPr>
      </w:pPr>
      <w:r w:rsidRPr="0048184E">
        <w:rPr>
          <w:rFonts w:eastAsia="Calibri" w:cstheme="minorHAnsi"/>
          <w:sz w:val="18"/>
          <w:szCs w:val="18"/>
          <w:lang w:val="sr-Latn-ME"/>
        </w:rPr>
        <w:t>Prema indeksu ekonomskih sloboda za 2025. godinu</w:t>
      </w:r>
      <w:r w:rsidRPr="0048184E">
        <w:rPr>
          <w:rFonts w:eastAsia="Calibri" w:cstheme="minorHAnsi"/>
          <w:sz w:val="18"/>
          <w:szCs w:val="18"/>
          <w:vertAlign w:val="superscript"/>
          <w:lang w:val="sr-Latn-ME"/>
        </w:rPr>
        <w:footnoteReference w:id="38"/>
      </w:r>
      <w:r w:rsidRPr="0048184E">
        <w:rPr>
          <w:rFonts w:eastAsia="Calibri" w:cstheme="minorHAnsi"/>
          <w:sz w:val="18"/>
          <w:szCs w:val="18"/>
          <w:lang w:val="sr-Latn-ME"/>
        </w:rPr>
        <w:t>, koji objavljuje The Heritage Foundation, Crna Gora se nalazi na 67. mjestu u svijetu, što predstavlja  napredak za šesnaest mjesta u odnosu na 2024. godinu.  Sa indeksom od 63,8, koji je u odnosu na prethodni izvještaj veći za 4,1 bod, Crna Gora se nalazi na 33. mjestu od 44 rangiranih evropskih zemalja i iznad je svjetskog prosjeka. U odnosu na prethodni izvještaj, najveći napredak je ostvaren u oblasti “fiskalna stabilnost”, a bolji rezultati su zabilježeni i u sljedećim oblastima: javna potrošnja, efikasnost pravosuđa, sloboda na tržištu rada, lakoća poslovanja, slobodna</w:t>
      </w:r>
    </w:p>
    <w:p w14:paraId="1DBEBA23" w14:textId="77777777" w:rsidR="00DB7E8E" w:rsidRPr="009C4E84" w:rsidRDefault="00DB7E8E" w:rsidP="00EC14B9">
      <w:pPr>
        <w:pStyle w:val="NoSpacing"/>
        <w:jc w:val="center"/>
        <w:rPr>
          <w:rFonts w:asciiTheme="minorHAnsi" w:hAnsiTheme="minorHAnsi"/>
          <w:b/>
          <w:color w:val="4472C4" w:themeColor="accent5"/>
          <w:sz w:val="18"/>
          <w:szCs w:val="18"/>
          <w:lang w:val="sr-Latn-ME"/>
        </w:rPr>
      </w:pPr>
      <w:r w:rsidRPr="009C4E84">
        <w:rPr>
          <w:rFonts w:asciiTheme="minorHAnsi" w:hAnsiTheme="minorHAnsi"/>
          <w:b/>
          <w:color w:val="4472C4" w:themeColor="accent5"/>
          <w:sz w:val="18"/>
          <w:szCs w:val="18"/>
          <w:lang w:val="sr-Latn-ME"/>
        </w:rPr>
        <w:t xml:space="preserve">Tabela </w:t>
      </w:r>
      <w:r w:rsidR="00EC14B9" w:rsidRPr="009C4E84">
        <w:rPr>
          <w:rFonts w:asciiTheme="minorHAnsi" w:hAnsiTheme="minorHAnsi"/>
          <w:b/>
          <w:color w:val="4472C4" w:themeColor="accent5"/>
          <w:sz w:val="18"/>
          <w:szCs w:val="18"/>
          <w:lang w:val="sr-Latn-ME"/>
        </w:rPr>
        <w:t>10</w:t>
      </w:r>
      <w:r w:rsidR="009C4E84" w:rsidRPr="009C4E84">
        <w:rPr>
          <w:rFonts w:asciiTheme="minorHAnsi" w:hAnsiTheme="minorHAnsi"/>
          <w:b/>
          <w:color w:val="4472C4" w:themeColor="accent5"/>
          <w:sz w:val="18"/>
          <w:szCs w:val="18"/>
          <w:lang w:val="sr-Latn-ME"/>
        </w:rPr>
        <w:t>. Indeks ekonomskih sloboda 2025</w:t>
      </w:r>
      <w:r w:rsidRPr="009C4E84">
        <w:rPr>
          <w:rFonts w:asciiTheme="minorHAnsi" w:hAnsiTheme="minorHAnsi"/>
          <w:b/>
          <w:color w:val="4472C4" w:themeColor="accent5"/>
          <w:sz w:val="18"/>
          <w:szCs w:val="18"/>
          <w:lang w:val="sr-Latn-ME"/>
        </w:rPr>
        <w:t xml:space="preserve"> – Crna Gora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230"/>
        <w:gridCol w:w="2280"/>
        <w:gridCol w:w="2230"/>
      </w:tblGrid>
      <w:tr w:rsidR="0048184E" w:rsidRPr="009C4E84" w14:paraId="386FFD4C" w14:textId="77777777" w:rsidTr="00A445B6">
        <w:trPr>
          <w:trHeight w:val="255"/>
        </w:trPr>
        <w:tc>
          <w:tcPr>
            <w:tcW w:w="4788" w:type="dxa"/>
            <w:gridSpan w:val="2"/>
            <w:shd w:val="clear" w:color="auto" w:fill="D9E2F3"/>
          </w:tcPr>
          <w:p w14:paraId="38F79979"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Vladavina prava</w:t>
            </w:r>
          </w:p>
        </w:tc>
        <w:tc>
          <w:tcPr>
            <w:tcW w:w="4788" w:type="dxa"/>
            <w:gridSpan w:val="2"/>
            <w:shd w:val="clear" w:color="auto" w:fill="D9E2F3"/>
          </w:tcPr>
          <w:p w14:paraId="0DC778BF"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Državna uprava</w:t>
            </w:r>
          </w:p>
        </w:tc>
      </w:tr>
      <w:tr w:rsidR="0048184E" w:rsidRPr="009C4E84" w14:paraId="1EECFAAA" w14:textId="77777777" w:rsidTr="00A445B6">
        <w:trPr>
          <w:trHeight w:val="253"/>
        </w:trPr>
        <w:tc>
          <w:tcPr>
            <w:tcW w:w="2394" w:type="dxa"/>
            <w:shd w:val="clear" w:color="auto" w:fill="auto"/>
          </w:tcPr>
          <w:p w14:paraId="3B551225"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Imovinska prava</w:t>
            </w:r>
          </w:p>
        </w:tc>
        <w:tc>
          <w:tcPr>
            <w:tcW w:w="2394" w:type="dxa"/>
            <w:shd w:val="clear" w:color="auto" w:fill="auto"/>
          </w:tcPr>
          <w:p w14:paraId="49A5DE7F"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58.8</w:t>
            </w:r>
            <w:r w:rsidR="00DB7E8E" w:rsidRPr="009C4E84">
              <w:rPr>
                <w:rFonts w:asciiTheme="minorHAnsi" w:hAnsiTheme="minorHAnsi"/>
                <w:sz w:val="18"/>
                <w:szCs w:val="18"/>
              </w:rPr>
              <w:t xml:space="preserve"> </w:t>
            </w:r>
          </w:p>
        </w:tc>
        <w:tc>
          <w:tcPr>
            <w:tcW w:w="2394" w:type="dxa"/>
            <w:shd w:val="clear" w:color="auto" w:fill="auto"/>
          </w:tcPr>
          <w:p w14:paraId="7B558BCB"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Poresko opterećenje</w:t>
            </w:r>
          </w:p>
        </w:tc>
        <w:tc>
          <w:tcPr>
            <w:tcW w:w="2394" w:type="dxa"/>
            <w:shd w:val="clear" w:color="auto" w:fill="auto"/>
          </w:tcPr>
          <w:p w14:paraId="1BE0ECE6"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88.7</w:t>
            </w:r>
            <w:r w:rsidR="00DB7E8E" w:rsidRPr="009C4E84">
              <w:rPr>
                <w:rFonts w:asciiTheme="minorHAnsi" w:hAnsiTheme="minorHAnsi"/>
                <w:sz w:val="18"/>
                <w:szCs w:val="18"/>
              </w:rPr>
              <w:t xml:space="preserve"> </w:t>
            </w:r>
            <w:r w:rsidR="00DB7E8E" w:rsidRPr="009C4E84">
              <w:rPr>
                <w:rFonts w:asciiTheme="minorHAnsi" w:hAnsiTheme="minorHAnsi" w:cs="Calibri"/>
                <w:sz w:val="18"/>
                <w:szCs w:val="18"/>
              </w:rPr>
              <w:t>↑</w:t>
            </w:r>
          </w:p>
        </w:tc>
      </w:tr>
      <w:tr w:rsidR="0048184E" w:rsidRPr="009C4E84" w14:paraId="207030E7" w14:textId="77777777" w:rsidTr="00A445B6">
        <w:trPr>
          <w:trHeight w:val="253"/>
        </w:trPr>
        <w:tc>
          <w:tcPr>
            <w:tcW w:w="2394" w:type="dxa"/>
            <w:shd w:val="clear" w:color="auto" w:fill="auto"/>
          </w:tcPr>
          <w:p w14:paraId="04590DB3"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Sudska efikasnost</w:t>
            </w:r>
          </w:p>
        </w:tc>
        <w:tc>
          <w:tcPr>
            <w:tcW w:w="2394" w:type="dxa"/>
            <w:shd w:val="clear" w:color="auto" w:fill="auto"/>
          </w:tcPr>
          <w:p w14:paraId="676F3982"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50.1</w:t>
            </w:r>
            <w:r w:rsidR="00DB7E8E" w:rsidRPr="009C4E84">
              <w:rPr>
                <w:rFonts w:asciiTheme="minorHAnsi" w:hAnsiTheme="minorHAnsi"/>
                <w:sz w:val="18"/>
                <w:szCs w:val="18"/>
              </w:rPr>
              <w:t xml:space="preserve"> </w:t>
            </w:r>
          </w:p>
        </w:tc>
        <w:tc>
          <w:tcPr>
            <w:tcW w:w="2394" w:type="dxa"/>
            <w:shd w:val="clear" w:color="auto" w:fill="auto"/>
          </w:tcPr>
          <w:p w14:paraId="30FE13E2"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Državna potrošnja</w:t>
            </w:r>
          </w:p>
        </w:tc>
        <w:tc>
          <w:tcPr>
            <w:tcW w:w="2394" w:type="dxa"/>
            <w:shd w:val="clear" w:color="auto" w:fill="auto"/>
          </w:tcPr>
          <w:p w14:paraId="1E4D8EE9"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45.2</w:t>
            </w:r>
            <w:r w:rsidR="00DB7E8E" w:rsidRPr="009C4E84">
              <w:rPr>
                <w:rFonts w:asciiTheme="minorHAnsi" w:hAnsiTheme="minorHAnsi"/>
                <w:sz w:val="18"/>
                <w:szCs w:val="18"/>
              </w:rPr>
              <w:t xml:space="preserve"> </w:t>
            </w:r>
            <w:r w:rsidRPr="009C4E84">
              <w:rPr>
                <w:rFonts w:asciiTheme="minorHAnsi" w:hAnsiTheme="minorHAnsi" w:cs="Calibri"/>
                <w:sz w:val="18"/>
                <w:szCs w:val="18"/>
              </w:rPr>
              <w:t>↓</w:t>
            </w:r>
          </w:p>
        </w:tc>
      </w:tr>
      <w:tr w:rsidR="0048184E" w:rsidRPr="009C4E84" w14:paraId="6E67BCB9" w14:textId="77777777" w:rsidTr="00A445B6">
        <w:trPr>
          <w:trHeight w:val="253"/>
        </w:trPr>
        <w:tc>
          <w:tcPr>
            <w:tcW w:w="2394" w:type="dxa"/>
            <w:shd w:val="clear" w:color="auto" w:fill="auto"/>
          </w:tcPr>
          <w:p w14:paraId="0B10C080"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Integritet Vlade</w:t>
            </w:r>
          </w:p>
        </w:tc>
        <w:tc>
          <w:tcPr>
            <w:tcW w:w="2394" w:type="dxa"/>
            <w:shd w:val="clear" w:color="auto" w:fill="auto"/>
          </w:tcPr>
          <w:p w14:paraId="1CB592EB"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 xml:space="preserve">    48-9</w:t>
            </w:r>
            <w:r w:rsidR="00DB7E8E" w:rsidRPr="009C4E84">
              <w:rPr>
                <w:rFonts w:asciiTheme="minorHAnsi" w:hAnsiTheme="minorHAnsi"/>
                <w:sz w:val="18"/>
                <w:szCs w:val="18"/>
              </w:rPr>
              <w:t xml:space="preserve"> </w:t>
            </w:r>
            <w:r w:rsidRPr="009C4E84">
              <w:rPr>
                <w:rFonts w:asciiTheme="minorHAnsi" w:hAnsiTheme="minorHAnsi" w:cs="Calibri"/>
                <w:sz w:val="18"/>
                <w:szCs w:val="18"/>
              </w:rPr>
              <w:t>↓</w:t>
            </w:r>
          </w:p>
        </w:tc>
        <w:tc>
          <w:tcPr>
            <w:tcW w:w="2394" w:type="dxa"/>
            <w:shd w:val="clear" w:color="auto" w:fill="auto"/>
          </w:tcPr>
          <w:p w14:paraId="7CD1FF7C"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Fiskalna održivost</w:t>
            </w:r>
          </w:p>
        </w:tc>
        <w:tc>
          <w:tcPr>
            <w:tcW w:w="2394" w:type="dxa"/>
            <w:shd w:val="clear" w:color="auto" w:fill="auto"/>
          </w:tcPr>
          <w:p w14:paraId="1F432824"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87.9</w:t>
            </w:r>
            <w:r w:rsidR="00DB7E8E" w:rsidRPr="009C4E84">
              <w:rPr>
                <w:rFonts w:asciiTheme="minorHAnsi" w:hAnsiTheme="minorHAnsi"/>
                <w:sz w:val="18"/>
                <w:szCs w:val="18"/>
              </w:rPr>
              <w:t xml:space="preserve"> </w:t>
            </w:r>
            <w:r w:rsidR="00DB7E8E" w:rsidRPr="009C4E84">
              <w:rPr>
                <w:rFonts w:asciiTheme="minorHAnsi" w:hAnsiTheme="minorHAnsi" w:cs="Calibri"/>
                <w:sz w:val="18"/>
                <w:szCs w:val="18"/>
              </w:rPr>
              <w:t>↑</w:t>
            </w:r>
          </w:p>
        </w:tc>
      </w:tr>
      <w:tr w:rsidR="0048184E" w:rsidRPr="009C4E84" w14:paraId="48C7DA5B" w14:textId="77777777" w:rsidTr="00A445B6">
        <w:trPr>
          <w:trHeight w:val="255"/>
        </w:trPr>
        <w:tc>
          <w:tcPr>
            <w:tcW w:w="4788" w:type="dxa"/>
            <w:gridSpan w:val="2"/>
            <w:shd w:val="clear" w:color="auto" w:fill="D9E2F3"/>
          </w:tcPr>
          <w:p w14:paraId="1CC008A2"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Regulatorna efikasnost</w:t>
            </w:r>
          </w:p>
        </w:tc>
        <w:tc>
          <w:tcPr>
            <w:tcW w:w="4788" w:type="dxa"/>
            <w:gridSpan w:val="2"/>
            <w:shd w:val="clear" w:color="auto" w:fill="D9E2F3"/>
          </w:tcPr>
          <w:p w14:paraId="0E17F969"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Otvorenost tržišta</w:t>
            </w:r>
          </w:p>
        </w:tc>
      </w:tr>
      <w:tr w:rsidR="0048184E" w:rsidRPr="009C4E84" w14:paraId="0EA79206" w14:textId="77777777" w:rsidTr="00A445B6">
        <w:trPr>
          <w:trHeight w:val="253"/>
        </w:trPr>
        <w:tc>
          <w:tcPr>
            <w:tcW w:w="2394" w:type="dxa"/>
            <w:shd w:val="clear" w:color="auto" w:fill="auto"/>
          </w:tcPr>
          <w:p w14:paraId="3610AB27"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u poslovanju</w:t>
            </w:r>
          </w:p>
        </w:tc>
        <w:tc>
          <w:tcPr>
            <w:tcW w:w="2394" w:type="dxa"/>
            <w:shd w:val="clear" w:color="auto" w:fill="auto"/>
          </w:tcPr>
          <w:p w14:paraId="3882C5B2"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70.9</w:t>
            </w:r>
            <w:r w:rsidR="00DB7E8E" w:rsidRPr="009C4E84">
              <w:rPr>
                <w:rFonts w:asciiTheme="minorHAnsi" w:hAnsiTheme="minorHAnsi"/>
                <w:sz w:val="18"/>
                <w:szCs w:val="18"/>
              </w:rPr>
              <w:t xml:space="preserve">  </w:t>
            </w:r>
          </w:p>
        </w:tc>
        <w:tc>
          <w:tcPr>
            <w:tcW w:w="2394" w:type="dxa"/>
            <w:shd w:val="clear" w:color="auto" w:fill="auto"/>
          </w:tcPr>
          <w:p w14:paraId="0BE6FEEE"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trgovine</w:t>
            </w:r>
          </w:p>
        </w:tc>
        <w:tc>
          <w:tcPr>
            <w:tcW w:w="2394" w:type="dxa"/>
            <w:shd w:val="clear" w:color="auto" w:fill="auto"/>
          </w:tcPr>
          <w:p w14:paraId="37CEABF4"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79.6</w:t>
            </w:r>
          </w:p>
        </w:tc>
      </w:tr>
      <w:tr w:rsidR="0048184E" w:rsidRPr="009C4E84" w14:paraId="61905B35" w14:textId="77777777" w:rsidTr="00A445B6">
        <w:trPr>
          <w:trHeight w:val="253"/>
        </w:trPr>
        <w:tc>
          <w:tcPr>
            <w:tcW w:w="2394" w:type="dxa"/>
            <w:shd w:val="clear" w:color="auto" w:fill="auto"/>
          </w:tcPr>
          <w:p w14:paraId="4D99B69D"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rada</w:t>
            </w:r>
          </w:p>
        </w:tc>
        <w:tc>
          <w:tcPr>
            <w:tcW w:w="2394" w:type="dxa"/>
            <w:shd w:val="clear" w:color="auto" w:fill="auto"/>
          </w:tcPr>
          <w:p w14:paraId="1CFF74FC"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64.4</w:t>
            </w:r>
          </w:p>
        </w:tc>
        <w:tc>
          <w:tcPr>
            <w:tcW w:w="2394" w:type="dxa"/>
            <w:shd w:val="clear" w:color="auto" w:fill="auto"/>
          </w:tcPr>
          <w:p w14:paraId="0F37BA1F"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ulaganja</w:t>
            </w:r>
          </w:p>
        </w:tc>
        <w:tc>
          <w:tcPr>
            <w:tcW w:w="2394" w:type="dxa"/>
            <w:shd w:val="clear" w:color="auto" w:fill="auto"/>
          </w:tcPr>
          <w:p w14:paraId="67EBF12E"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50.0</w:t>
            </w:r>
          </w:p>
        </w:tc>
      </w:tr>
      <w:tr w:rsidR="0048184E" w:rsidRPr="0048184E" w14:paraId="464CE5C4" w14:textId="77777777" w:rsidTr="00A445B6">
        <w:trPr>
          <w:trHeight w:val="253"/>
        </w:trPr>
        <w:tc>
          <w:tcPr>
            <w:tcW w:w="2394" w:type="dxa"/>
            <w:shd w:val="clear" w:color="auto" w:fill="auto"/>
          </w:tcPr>
          <w:p w14:paraId="7A07F6DD"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Monetarna sloboda</w:t>
            </w:r>
          </w:p>
        </w:tc>
        <w:tc>
          <w:tcPr>
            <w:tcW w:w="2394" w:type="dxa"/>
            <w:shd w:val="clear" w:color="auto" w:fill="auto"/>
          </w:tcPr>
          <w:p w14:paraId="1E966ABB"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70.9</w:t>
            </w:r>
          </w:p>
        </w:tc>
        <w:tc>
          <w:tcPr>
            <w:tcW w:w="2394" w:type="dxa"/>
            <w:shd w:val="clear" w:color="auto" w:fill="auto"/>
          </w:tcPr>
          <w:p w14:paraId="0B8957E3"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Finansijska sloboda</w:t>
            </w:r>
          </w:p>
        </w:tc>
        <w:tc>
          <w:tcPr>
            <w:tcW w:w="2394" w:type="dxa"/>
            <w:shd w:val="clear" w:color="auto" w:fill="auto"/>
          </w:tcPr>
          <w:p w14:paraId="2EFD4BAD" w14:textId="77777777" w:rsidR="00DB7E8E" w:rsidRPr="0048184E" w:rsidRDefault="009C4E84" w:rsidP="0048184E">
            <w:pPr>
              <w:pStyle w:val="NoSpacing"/>
              <w:jc w:val="center"/>
              <w:rPr>
                <w:rFonts w:asciiTheme="minorHAnsi" w:hAnsiTheme="minorHAnsi"/>
                <w:sz w:val="18"/>
                <w:szCs w:val="18"/>
              </w:rPr>
            </w:pPr>
            <w:r w:rsidRPr="009C4E84">
              <w:rPr>
                <w:rFonts w:asciiTheme="minorHAnsi" w:hAnsiTheme="minorHAnsi"/>
                <w:sz w:val="18"/>
                <w:szCs w:val="18"/>
              </w:rPr>
              <w:t>50.0</w:t>
            </w:r>
          </w:p>
        </w:tc>
      </w:tr>
    </w:tbl>
    <w:p w14:paraId="0F1779B5" w14:textId="77777777" w:rsidR="00DB7E8E" w:rsidRPr="0048184E" w:rsidRDefault="00DB7E8E" w:rsidP="00726A49">
      <w:pPr>
        <w:pStyle w:val="NoSpacing"/>
        <w:rPr>
          <w:rFonts w:asciiTheme="minorHAnsi" w:hAnsiTheme="minorHAnsi"/>
          <w:i/>
          <w:iCs/>
          <w:sz w:val="18"/>
          <w:szCs w:val="18"/>
          <w:lang w:val="sr-Latn-ME"/>
        </w:rPr>
      </w:pPr>
      <w:r w:rsidRPr="0048184E">
        <w:rPr>
          <w:rFonts w:asciiTheme="minorHAnsi" w:hAnsiTheme="minorHAnsi"/>
          <w:i/>
          <w:iCs/>
          <w:sz w:val="18"/>
          <w:szCs w:val="18"/>
          <w:lang w:val="sr-Latn-ME"/>
        </w:rPr>
        <w:t>Izvor: https://www.heritage.org/</w:t>
      </w:r>
    </w:p>
    <w:p w14:paraId="12A4BEA4" w14:textId="77777777" w:rsidR="00F8696A" w:rsidRPr="0048184E" w:rsidRDefault="00F8696A" w:rsidP="0048184E">
      <w:pPr>
        <w:pStyle w:val="NoSpacing"/>
        <w:jc w:val="both"/>
        <w:rPr>
          <w:rFonts w:asciiTheme="minorHAnsi" w:hAnsiTheme="minorHAnsi"/>
          <w:sz w:val="18"/>
          <w:szCs w:val="18"/>
          <w:lang w:val="sr-Latn-ME"/>
        </w:rPr>
      </w:pPr>
    </w:p>
    <w:p w14:paraId="553261A8" w14:textId="77777777" w:rsidR="007320A2" w:rsidRPr="0048184E" w:rsidRDefault="007320A2" w:rsidP="0048184E">
      <w:pPr>
        <w:widowControl w:val="0"/>
        <w:autoSpaceDE w:val="0"/>
        <w:autoSpaceDN w:val="0"/>
        <w:spacing w:after="0" w:line="240" w:lineRule="auto"/>
        <w:ind w:right="6"/>
        <w:jc w:val="both"/>
        <w:rPr>
          <w:rFonts w:eastAsia="Calibri" w:cstheme="minorHAnsi"/>
          <w:sz w:val="18"/>
          <w:szCs w:val="18"/>
          <w:lang w:val="sr-Latn-ME"/>
        </w:rPr>
      </w:pPr>
      <w:r w:rsidRPr="003A09C5">
        <w:rPr>
          <w:rFonts w:eastAsia="Calibri" w:cstheme="minorHAnsi"/>
          <w:sz w:val="18"/>
          <w:szCs w:val="18"/>
          <w:lang w:val="sr-Latn-ME"/>
        </w:rPr>
        <w:t xml:space="preserve">Osim toga, </w:t>
      </w:r>
      <w:r w:rsidRPr="003A09C5">
        <w:rPr>
          <w:rFonts w:eastAsia="Calibri" w:cstheme="minorHAnsi"/>
          <w:b/>
          <w:sz w:val="18"/>
          <w:szCs w:val="18"/>
          <w:lang w:val="sr-Latn-ME"/>
        </w:rPr>
        <w:t>Agencija Standard &amp; Poor’s (S&amp;P) u 2024. godini je povećala kreditni rejting Crne Gore sa B na B+,</w:t>
      </w:r>
      <w:r w:rsidRPr="003A09C5">
        <w:rPr>
          <w:rFonts w:eastAsia="Calibri" w:cstheme="minorHAnsi"/>
          <w:sz w:val="18"/>
          <w:szCs w:val="18"/>
          <w:lang w:val="sr-Latn-ME"/>
        </w:rPr>
        <w:t xml:space="preserve"> uz stabilne izglede, dok je agencija za kreditni rejting Moody's, po prvi put, nakon 2013. godine, povećala kreditni rejting Crne Gore sa „B1“ na „Ba3“, uz stabilne izglede.</w:t>
      </w:r>
      <w:r w:rsidRPr="0048184E">
        <w:rPr>
          <w:rFonts w:eastAsia="Calibri" w:cstheme="minorHAnsi"/>
          <w:sz w:val="18"/>
          <w:szCs w:val="18"/>
          <w:lang w:val="sr-Latn-ME"/>
        </w:rPr>
        <w:t xml:space="preserve"> Obje kreditne agencije su, u prvom kvartalu 2025. godine, potvrdile izglede i ocjene, konstatujući da je Crna Gora najnaprednija zemlja regiona u procesu pristupanja Evropskoj uniji. Potvrda kreditnog rejtinga države je ohrabrujući rezultat i podsticaj za dalji rast i razvoj ekonomije.</w:t>
      </w:r>
    </w:p>
    <w:p w14:paraId="08D96032" w14:textId="77777777" w:rsidR="00F8696A" w:rsidRPr="0048184E" w:rsidRDefault="00F8696A" w:rsidP="0048184E">
      <w:pPr>
        <w:spacing w:after="0" w:line="240" w:lineRule="auto"/>
        <w:jc w:val="both"/>
        <w:rPr>
          <w:rFonts w:cstheme="minorHAnsi"/>
          <w:sz w:val="18"/>
          <w:szCs w:val="18"/>
          <w:lang w:val="sr-Latn-ME"/>
        </w:rPr>
      </w:pPr>
      <w:r w:rsidRPr="0048184E">
        <w:rPr>
          <w:rFonts w:cstheme="minorHAnsi"/>
          <w:sz w:val="18"/>
          <w:szCs w:val="18"/>
          <w:lang w:val="pl-PL"/>
        </w:rPr>
        <w:t>Crna</w:t>
      </w:r>
      <w:r w:rsidRPr="0048184E">
        <w:rPr>
          <w:rFonts w:cstheme="minorHAnsi"/>
          <w:sz w:val="18"/>
          <w:szCs w:val="18"/>
          <w:lang w:val="sr-Latn-ME"/>
        </w:rPr>
        <w:t xml:space="preserve"> </w:t>
      </w:r>
      <w:r w:rsidRPr="0048184E">
        <w:rPr>
          <w:rFonts w:cstheme="minorHAnsi"/>
          <w:sz w:val="18"/>
          <w:szCs w:val="18"/>
          <w:lang w:val="pl-PL"/>
        </w:rPr>
        <w:t>Gora</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prema</w:t>
      </w:r>
      <w:r w:rsidRPr="0048184E">
        <w:rPr>
          <w:rFonts w:cstheme="minorHAnsi"/>
          <w:sz w:val="18"/>
          <w:szCs w:val="18"/>
          <w:lang w:val="sr-Latn-ME"/>
        </w:rPr>
        <w:t xml:space="preserve"> </w:t>
      </w:r>
      <w:r w:rsidRPr="0048184E">
        <w:rPr>
          <w:rFonts w:cstheme="minorHAnsi"/>
          <w:sz w:val="18"/>
          <w:szCs w:val="18"/>
          <w:lang w:val="pl-PL"/>
        </w:rPr>
        <w:t>rangiranju</w:t>
      </w:r>
      <w:r w:rsidRPr="0048184E">
        <w:rPr>
          <w:rFonts w:cstheme="minorHAnsi"/>
          <w:sz w:val="18"/>
          <w:szCs w:val="18"/>
          <w:lang w:val="sr-Latn-ME"/>
        </w:rPr>
        <w:t xml:space="preserve"> </w:t>
      </w:r>
      <w:r w:rsidRPr="0048184E">
        <w:rPr>
          <w:rFonts w:cstheme="minorHAnsi"/>
          <w:b/>
          <w:sz w:val="18"/>
          <w:szCs w:val="18"/>
          <w:lang w:val="pl-PL"/>
        </w:rPr>
        <w:t>VisaGuide</w:t>
      </w:r>
      <w:r w:rsidRPr="0048184E">
        <w:rPr>
          <w:rFonts w:cstheme="minorHAnsi"/>
          <w:b/>
          <w:sz w:val="18"/>
          <w:szCs w:val="18"/>
          <w:lang w:val="sr-Latn-ME"/>
        </w:rPr>
        <w:t xml:space="preserve"> </w:t>
      </w:r>
      <w:r w:rsidRPr="0048184E">
        <w:rPr>
          <w:rFonts w:cstheme="minorHAnsi"/>
          <w:b/>
          <w:sz w:val="18"/>
          <w:szCs w:val="18"/>
          <w:lang w:val="pl-PL"/>
        </w:rPr>
        <w:t>Digital</w:t>
      </w:r>
      <w:r w:rsidRPr="0048184E">
        <w:rPr>
          <w:rFonts w:cstheme="minorHAnsi"/>
          <w:b/>
          <w:sz w:val="18"/>
          <w:szCs w:val="18"/>
          <w:lang w:val="sr-Latn-ME"/>
        </w:rPr>
        <w:t xml:space="preserve"> </w:t>
      </w:r>
      <w:r w:rsidRPr="0048184E">
        <w:rPr>
          <w:rFonts w:cstheme="minorHAnsi"/>
          <w:b/>
          <w:sz w:val="18"/>
          <w:szCs w:val="18"/>
          <w:lang w:val="pl-PL"/>
        </w:rPr>
        <w:t>Nomad</w:t>
      </w:r>
      <w:r w:rsidRPr="0048184E">
        <w:rPr>
          <w:rFonts w:cstheme="minorHAnsi"/>
          <w:b/>
          <w:sz w:val="18"/>
          <w:szCs w:val="18"/>
          <w:lang w:val="sr-Latn-ME"/>
        </w:rPr>
        <w:t xml:space="preserve"> </w:t>
      </w:r>
      <w:r w:rsidRPr="0048184E">
        <w:rPr>
          <w:rFonts w:cstheme="minorHAnsi"/>
          <w:b/>
          <w:sz w:val="18"/>
          <w:szCs w:val="18"/>
          <w:lang w:val="pl-PL"/>
        </w:rPr>
        <w:t>indeksa</w:t>
      </w:r>
      <w:r w:rsidRPr="0048184E">
        <w:rPr>
          <w:rFonts w:cstheme="minorHAnsi"/>
          <w:b/>
          <w:sz w:val="18"/>
          <w:szCs w:val="18"/>
          <w:lang w:val="sr-Latn-ME"/>
        </w:rPr>
        <w:t xml:space="preserve"> </w:t>
      </w:r>
      <w:r w:rsidRPr="0048184E">
        <w:rPr>
          <w:rFonts w:cstheme="minorHAnsi"/>
          <w:b/>
          <w:sz w:val="18"/>
          <w:szCs w:val="18"/>
          <w:lang w:val="pl-PL"/>
        </w:rPr>
        <w:t>za</w:t>
      </w:r>
      <w:r w:rsidRPr="0048184E">
        <w:rPr>
          <w:rFonts w:cstheme="minorHAnsi"/>
          <w:b/>
          <w:sz w:val="18"/>
          <w:szCs w:val="18"/>
          <w:lang w:val="sr-Latn-ME"/>
        </w:rPr>
        <w:t xml:space="preserve"> 2025. </w:t>
      </w:r>
      <w:r w:rsidRPr="0048184E">
        <w:rPr>
          <w:rFonts w:cstheme="minorHAnsi"/>
          <w:b/>
          <w:sz w:val="18"/>
          <w:szCs w:val="18"/>
          <w:lang w:val="pl-PL"/>
        </w:rPr>
        <w:t>godinu</w:t>
      </w:r>
      <w:r w:rsidRPr="0048184E">
        <w:rPr>
          <w:rFonts w:cstheme="minorHAnsi"/>
          <w:sz w:val="18"/>
          <w:szCs w:val="18"/>
          <w:vertAlign w:val="superscript"/>
        </w:rPr>
        <w:footnoteReference w:id="39"/>
      </w:r>
      <w:r w:rsidRPr="0048184E">
        <w:rPr>
          <w:rFonts w:cstheme="minorHAnsi"/>
          <w:sz w:val="18"/>
          <w:szCs w:val="18"/>
          <w:lang w:val="sr-Latn-ME"/>
        </w:rPr>
        <w:t xml:space="preserve">, </w:t>
      </w:r>
      <w:r w:rsidRPr="0048184E">
        <w:rPr>
          <w:rFonts w:cstheme="minorHAnsi"/>
          <w:sz w:val="18"/>
          <w:szCs w:val="18"/>
          <w:lang w:val="pl-PL"/>
        </w:rPr>
        <w:t>trec</w:t>
      </w:r>
      <w:r w:rsidRPr="0048184E">
        <w:rPr>
          <w:rFonts w:cstheme="minorHAnsi"/>
          <w:sz w:val="18"/>
          <w:szCs w:val="18"/>
          <w:lang w:val="sr-Latn-ME"/>
        </w:rPr>
        <w:t>́</w:t>
      </w:r>
      <w:r w:rsidRPr="0048184E">
        <w:rPr>
          <w:rFonts w:cstheme="minorHAnsi"/>
          <w:sz w:val="18"/>
          <w:szCs w:val="18"/>
          <w:lang w:val="pl-PL"/>
        </w:rPr>
        <w:t>a</w:t>
      </w:r>
      <w:r w:rsidRPr="0048184E">
        <w:rPr>
          <w:rFonts w:cstheme="minorHAnsi"/>
          <w:sz w:val="18"/>
          <w:szCs w:val="18"/>
          <w:lang w:val="sr-Latn-ME"/>
        </w:rPr>
        <w:t xml:space="preserve"> </w:t>
      </w:r>
      <w:r w:rsidRPr="0048184E">
        <w:rPr>
          <w:rFonts w:cstheme="minorHAnsi"/>
          <w:sz w:val="18"/>
          <w:szCs w:val="18"/>
          <w:lang w:val="pl-PL"/>
        </w:rPr>
        <w:t>najbolje</w:t>
      </w:r>
      <w:r w:rsidRPr="0048184E">
        <w:rPr>
          <w:rFonts w:cstheme="minorHAnsi"/>
          <w:sz w:val="18"/>
          <w:szCs w:val="18"/>
          <w:lang w:val="sr-Latn-ME"/>
        </w:rPr>
        <w:t xml:space="preserve"> </w:t>
      </w:r>
      <w:r w:rsidRPr="0048184E">
        <w:rPr>
          <w:rFonts w:cstheme="minorHAnsi"/>
          <w:sz w:val="18"/>
          <w:szCs w:val="18"/>
          <w:lang w:val="pl-PL"/>
        </w:rPr>
        <w:t>rangirana</w:t>
      </w:r>
      <w:r w:rsidRPr="0048184E">
        <w:rPr>
          <w:rFonts w:cstheme="minorHAnsi"/>
          <w:sz w:val="18"/>
          <w:szCs w:val="18"/>
          <w:lang w:val="sr-Latn-ME"/>
        </w:rPr>
        <w:t xml:space="preserve"> </w:t>
      </w:r>
      <w:r w:rsidRPr="0048184E">
        <w:rPr>
          <w:rFonts w:cstheme="minorHAnsi"/>
          <w:sz w:val="18"/>
          <w:szCs w:val="18"/>
          <w:lang w:val="pl-PL"/>
        </w:rPr>
        <w:t>destinacija</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w:t>
      </w:r>
      <w:r w:rsidRPr="0048184E">
        <w:rPr>
          <w:rFonts w:cstheme="minorHAnsi"/>
          <w:sz w:val="18"/>
          <w:szCs w:val="18"/>
          <w:lang w:val="pl-PL"/>
        </w:rPr>
        <w:t>digitalne</w:t>
      </w:r>
      <w:r w:rsidRPr="0048184E">
        <w:rPr>
          <w:rFonts w:cstheme="minorHAnsi"/>
          <w:sz w:val="18"/>
          <w:szCs w:val="18"/>
          <w:lang w:val="sr-Latn-ME"/>
        </w:rPr>
        <w:t xml:space="preserve"> </w:t>
      </w:r>
      <w:r w:rsidRPr="0048184E">
        <w:rPr>
          <w:rFonts w:cstheme="minorHAnsi"/>
          <w:sz w:val="18"/>
          <w:szCs w:val="18"/>
          <w:lang w:val="pl-PL"/>
        </w:rPr>
        <w:t>nomade</w:t>
      </w:r>
      <w:r w:rsidRPr="0048184E">
        <w:rPr>
          <w:rFonts w:cstheme="minorHAnsi"/>
          <w:sz w:val="18"/>
          <w:szCs w:val="18"/>
          <w:lang w:val="sr-Latn-ME"/>
        </w:rPr>
        <w:t xml:space="preserve"> š</w:t>
      </w:r>
      <w:r w:rsidRPr="0048184E">
        <w:rPr>
          <w:rFonts w:cstheme="minorHAnsi"/>
          <w:sz w:val="18"/>
          <w:szCs w:val="18"/>
          <w:lang w:val="pl-PL"/>
        </w:rPr>
        <w:t>irom</w:t>
      </w:r>
      <w:r w:rsidRPr="0048184E">
        <w:rPr>
          <w:rFonts w:cstheme="minorHAnsi"/>
          <w:sz w:val="18"/>
          <w:szCs w:val="18"/>
          <w:lang w:val="sr-Latn-ME"/>
        </w:rPr>
        <w:t xml:space="preserve"> </w:t>
      </w:r>
      <w:r w:rsidRPr="0048184E">
        <w:rPr>
          <w:rFonts w:cstheme="minorHAnsi"/>
          <w:sz w:val="18"/>
          <w:szCs w:val="18"/>
          <w:lang w:val="pl-PL"/>
        </w:rPr>
        <w:t>svijeta</w:t>
      </w:r>
      <w:r w:rsidRPr="0048184E">
        <w:rPr>
          <w:rFonts w:cstheme="minorHAnsi"/>
          <w:sz w:val="18"/>
          <w:szCs w:val="18"/>
          <w:lang w:val="sr-Latn-ME"/>
        </w:rPr>
        <w:t xml:space="preserve">, </w:t>
      </w:r>
      <w:r w:rsidRPr="0048184E">
        <w:rPr>
          <w:rFonts w:cstheme="minorHAnsi"/>
          <w:sz w:val="18"/>
          <w:szCs w:val="18"/>
          <w:lang w:val="pl-PL"/>
        </w:rPr>
        <w:t>odmah</w:t>
      </w:r>
      <w:r w:rsidRPr="0048184E">
        <w:rPr>
          <w:rFonts w:cstheme="minorHAnsi"/>
          <w:sz w:val="18"/>
          <w:szCs w:val="18"/>
          <w:lang w:val="sr-Latn-ME"/>
        </w:rPr>
        <w:t xml:space="preserve"> </w:t>
      </w:r>
      <w:r w:rsidRPr="0048184E">
        <w:rPr>
          <w:rFonts w:cstheme="minorHAnsi"/>
          <w:sz w:val="18"/>
          <w:szCs w:val="18"/>
          <w:lang w:val="pl-PL"/>
        </w:rPr>
        <w:t>iza</w:t>
      </w:r>
      <w:r w:rsidRPr="0048184E">
        <w:rPr>
          <w:rFonts w:cstheme="minorHAnsi"/>
          <w:sz w:val="18"/>
          <w:szCs w:val="18"/>
          <w:lang w:val="sr-Latn-ME"/>
        </w:rPr>
        <w:t xml:space="preserve"> Š</w:t>
      </w:r>
      <w:r w:rsidRPr="0048184E">
        <w:rPr>
          <w:rFonts w:cstheme="minorHAnsi"/>
          <w:sz w:val="18"/>
          <w:szCs w:val="18"/>
          <w:lang w:val="pl-PL"/>
        </w:rPr>
        <w:t>panije</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Ujedinjenih</w:t>
      </w:r>
      <w:r w:rsidRPr="0048184E">
        <w:rPr>
          <w:rFonts w:cstheme="minorHAnsi"/>
          <w:sz w:val="18"/>
          <w:szCs w:val="18"/>
          <w:lang w:val="sr-Latn-ME"/>
        </w:rPr>
        <w:t xml:space="preserve"> </w:t>
      </w:r>
      <w:r w:rsidRPr="0048184E">
        <w:rPr>
          <w:rFonts w:cstheme="minorHAnsi"/>
          <w:sz w:val="18"/>
          <w:szCs w:val="18"/>
          <w:lang w:val="pl-PL"/>
        </w:rPr>
        <w:t>Arapskih</w:t>
      </w:r>
      <w:r w:rsidRPr="0048184E">
        <w:rPr>
          <w:rFonts w:cstheme="minorHAnsi"/>
          <w:sz w:val="18"/>
          <w:szCs w:val="18"/>
          <w:lang w:val="sr-Latn-ME"/>
        </w:rPr>
        <w:t xml:space="preserve"> </w:t>
      </w:r>
      <w:r w:rsidRPr="0048184E">
        <w:rPr>
          <w:rFonts w:cstheme="minorHAnsi"/>
          <w:sz w:val="18"/>
          <w:szCs w:val="18"/>
          <w:lang w:val="pl-PL"/>
        </w:rPr>
        <w:t>Emirata</w:t>
      </w:r>
      <w:r w:rsidRPr="0048184E">
        <w:rPr>
          <w:rFonts w:cstheme="minorHAnsi"/>
          <w:sz w:val="18"/>
          <w:szCs w:val="18"/>
          <w:lang w:val="sr-Latn-ME"/>
        </w:rPr>
        <w:t xml:space="preserve"> (</w:t>
      </w:r>
      <w:r w:rsidRPr="0048184E">
        <w:rPr>
          <w:rFonts w:cstheme="minorHAnsi"/>
          <w:sz w:val="18"/>
          <w:szCs w:val="18"/>
          <w:lang w:val="pl-PL"/>
        </w:rPr>
        <w:t>UAE</w:t>
      </w:r>
      <w:r w:rsidRPr="0048184E">
        <w:rPr>
          <w:rFonts w:cstheme="minorHAnsi"/>
          <w:sz w:val="18"/>
          <w:szCs w:val="18"/>
          <w:lang w:val="sr-Latn-ME"/>
        </w:rPr>
        <w:t xml:space="preserve">). </w:t>
      </w:r>
      <w:r w:rsidRPr="0048184E">
        <w:rPr>
          <w:rFonts w:cstheme="minorHAnsi"/>
          <w:sz w:val="18"/>
          <w:szCs w:val="18"/>
          <w:lang w:val="pl-PL"/>
        </w:rPr>
        <w:t>Indeks</w:t>
      </w:r>
      <w:r w:rsidRPr="0048184E">
        <w:rPr>
          <w:rFonts w:cstheme="minorHAnsi"/>
          <w:sz w:val="18"/>
          <w:szCs w:val="18"/>
          <w:lang w:val="sr-Latn-ME"/>
        </w:rPr>
        <w:t xml:space="preserve"> </w:t>
      </w:r>
      <w:r w:rsidRPr="0048184E">
        <w:rPr>
          <w:rFonts w:cstheme="minorHAnsi"/>
          <w:sz w:val="18"/>
          <w:szCs w:val="18"/>
          <w:lang w:val="pl-PL"/>
        </w:rPr>
        <w:t>rangira</w:t>
      </w:r>
      <w:r w:rsidRPr="0048184E">
        <w:rPr>
          <w:rFonts w:cstheme="minorHAnsi"/>
          <w:sz w:val="18"/>
          <w:szCs w:val="18"/>
          <w:lang w:val="sr-Latn-ME"/>
        </w:rPr>
        <w:t xml:space="preserve"> </w:t>
      </w:r>
      <w:r w:rsidRPr="0048184E">
        <w:rPr>
          <w:rFonts w:cstheme="minorHAnsi"/>
          <w:sz w:val="18"/>
          <w:szCs w:val="18"/>
          <w:lang w:val="pl-PL"/>
        </w:rPr>
        <w:t>zemlje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osnovu</w:t>
      </w:r>
      <w:r w:rsidRPr="0048184E">
        <w:rPr>
          <w:rFonts w:cstheme="minorHAnsi"/>
          <w:sz w:val="18"/>
          <w:szCs w:val="18"/>
          <w:lang w:val="sr-Latn-ME"/>
        </w:rPr>
        <w:t xml:space="preserve"> </w:t>
      </w:r>
      <w:r w:rsidRPr="0048184E">
        <w:rPr>
          <w:rFonts w:cstheme="minorHAnsi"/>
          <w:sz w:val="18"/>
          <w:szCs w:val="18"/>
          <w:lang w:val="pl-PL"/>
        </w:rPr>
        <w:t>klju</w:t>
      </w:r>
      <w:r w:rsidRPr="0048184E">
        <w:rPr>
          <w:rFonts w:cstheme="minorHAnsi"/>
          <w:sz w:val="18"/>
          <w:szCs w:val="18"/>
          <w:lang w:val="sr-Latn-ME"/>
        </w:rPr>
        <w:t>č</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faktora</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uti</w:t>
      </w:r>
      <w:r w:rsidRPr="0048184E">
        <w:rPr>
          <w:rFonts w:cstheme="minorHAnsi"/>
          <w:sz w:val="18"/>
          <w:szCs w:val="18"/>
          <w:lang w:val="sr-Latn-ME"/>
        </w:rPr>
        <w:t>č</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ž</w:t>
      </w:r>
      <w:r w:rsidRPr="0048184E">
        <w:rPr>
          <w:rFonts w:cstheme="minorHAnsi"/>
          <w:sz w:val="18"/>
          <w:szCs w:val="18"/>
          <w:lang w:val="pl-PL"/>
        </w:rPr>
        <w:t>ivotni</w:t>
      </w:r>
      <w:r w:rsidRPr="0048184E">
        <w:rPr>
          <w:rFonts w:cstheme="minorHAnsi"/>
          <w:sz w:val="18"/>
          <w:szCs w:val="18"/>
          <w:lang w:val="sr-Latn-ME"/>
        </w:rPr>
        <w:t xml:space="preserve"> </w:t>
      </w:r>
      <w:r w:rsidRPr="0048184E">
        <w:rPr>
          <w:rFonts w:cstheme="minorHAnsi"/>
          <w:sz w:val="18"/>
          <w:szCs w:val="18"/>
          <w:lang w:val="pl-PL"/>
        </w:rPr>
        <w:t>stil</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radno</w:t>
      </w:r>
      <w:r w:rsidRPr="0048184E">
        <w:rPr>
          <w:rFonts w:cstheme="minorHAnsi"/>
          <w:sz w:val="18"/>
          <w:szCs w:val="18"/>
          <w:lang w:val="sr-Latn-ME"/>
        </w:rPr>
        <w:t xml:space="preserve"> </w:t>
      </w:r>
      <w:r w:rsidRPr="0048184E">
        <w:rPr>
          <w:rFonts w:cstheme="minorHAnsi"/>
          <w:sz w:val="18"/>
          <w:szCs w:val="18"/>
          <w:lang w:val="pl-PL"/>
        </w:rPr>
        <w:t>okru</w:t>
      </w:r>
      <w:r w:rsidRPr="0048184E">
        <w:rPr>
          <w:rFonts w:cstheme="minorHAnsi"/>
          <w:sz w:val="18"/>
          <w:szCs w:val="18"/>
          <w:lang w:val="sr-Latn-ME"/>
        </w:rPr>
        <w:t>ž</w:t>
      </w:r>
      <w:r w:rsidRPr="0048184E">
        <w:rPr>
          <w:rFonts w:cstheme="minorHAnsi"/>
          <w:sz w:val="18"/>
          <w:szCs w:val="18"/>
          <w:lang w:val="pl-PL"/>
        </w:rPr>
        <w:t>enje</w:t>
      </w:r>
      <w:r w:rsidRPr="0048184E">
        <w:rPr>
          <w:rFonts w:cstheme="minorHAnsi"/>
          <w:sz w:val="18"/>
          <w:szCs w:val="18"/>
          <w:lang w:val="sr-Latn-ME"/>
        </w:rPr>
        <w:t xml:space="preserve"> </w:t>
      </w:r>
      <w:r w:rsidRPr="0048184E">
        <w:rPr>
          <w:rFonts w:cstheme="minorHAnsi"/>
          <w:sz w:val="18"/>
          <w:szCs w:val="18"/>
          <w:lang w:val="pl-PL"/>
        </w:rPr>
        <w:t>digitalnih</w:t>
      </w:r>
      <w:r w:rsidRPr="0048184E">
        <w:rPr>
          <w:rFonts w:cstheme="minorHAnsi"/>
          <w:sz w:val="18"/>
          <w:szCs w:val="18"/>
          <w:lang w:val="sr-Latn-ME"/>
        </w:rPr>
        <w:t xml:space="preserve"> </w:t>
      </w:r>
      <w:r w:rsidRPr="0048184E">
        <w:rPr>
          <w:rFonts w:cstheme="minorHAnsi"/>
          <w:sz w:val="18"/>
          <w:szCs w:val="18"/>
          <w:lang w:val="pl-PL"/>
        </w:rPr>
        <w:t>nomada</w:t>
      </w:r>
      <w:r w:rsidRPr="0048184E">
        <w:rPr>
          <w:rFonts w:cstheme="minorHAnsi"/>
          <w:sz w:val="18"/>
          <w:szCs w:val="18"/>
          <w:lang w:val="sr-Latn-ME"/>
        </w:rPr>
        <w:t xml:space="preserve">, </w:t>
      </w:r>
      <w:r w:rsidRPr="0048184E">
        <w:rPr>
          <w:rFonts w:cstheme="minorHAnsi"/>
          <w:sz w:val="18"/>
          <w:szCs w:val="18"/>
          <w:lang w:val="pl-PL"/>
        </w:rPr>
        <w:t>kao</w:t>
      </w:r>
      <w:r w:rsidRPr="0048184E">
        <w:rPr>
          <w:rFonts w:cstheme="minorHAnsi"/>
          <w:sz w:val="18"/>
          <w:szCs w:val="18"/>
          <w:lang w:val="sr-Latn-ME"/>
        </w:rPr>
        <w:t xml:space="preserve"> š</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su</w:t>
      </w:r>
      <w:r w:rsidRPr="0048184E">
        <w:rPr>
          <w:rFonts w:cstheme="minorHAnsi"/>
          <w:sz w:val="18"/>
          <w:szCs w:val="18"/>
          <w:lang w:val="sr-Latn-ME"/>
        </w:rPr>
        <w:t xml:space="preserve"> </w:t>
      </w:r>
      <w:r w:rsidRPr="0048184E">
        <w:rPr>
          <w:rFonts w:cstheme="minorHAnsi"/>
          <w:sz w:val="18"/>
          <w:szCs w:val="18"/>
          <w:lang w:val="pl-PL"/>
        </w:rPr>
        <w:t>brzina</w:t>
      </w:r>
      <w:r w:rsidRPr="0048184E">
        <w:rPr>
          <w:rFonts w:cstheme="minorHAnsi"/>
          <w:sz w:val="18"/>
          <w:szCs w:val="18"/>
          <w:lang w:val="sr-Latn-ME"/>
        </w:rPr>
        <w:t xml:space="preserve"> </w:t>
      </w:r>
      <w:r w:rsidRPr="0048184E">
        <w:rPr>
          <w:rFonts w:cstheme="minorHAnsi"/>
          <w:sz w:val="18"/>
          <w:szCs w:val="18"/>
          <w:lang w:val="pl-PL"/>
        </w:rPr>
        <w:t>interneta</w:t>
      </w:r>
      <w:r w:rsidRPr="0048184E">
        <w:rPr>
          <w:rFonts w:cstheme="minorHAnsi"/>
          <w:sz w:val="18"/>
          <w:szCs w:val="18"/>
          <w:lang w:val="sr-Latn-ME"/>
        </w:rPr>
        <w:t xml:space="preserve">, </w:t>
      </w:r>
      <w:r w:rsidRPr="0048184E">
        <w:rPr>
          <w:rFonts w:cstheme="minorHAnsi"/>
          <w:sz w:val="18"/>
          <w:szCs w:val="18"/>
          <w:lang w:val="pl-PL"/>
        </w:rPr>
        <w:t>oporezivanje</w:t>
      </w:r>
      <w:r w:rsidRPr="0048184E">
        <w:rPr>
          <w:rFonts w:cstheme="minorHAnsi"/>
          <w:sz w:val="18"/>
          <w:szCs w:val="18"/>
          <w:lang w:val="sr-Latn-ME"/>
        </w:rPr>
        <w:t xml:space="preserve">, </w:t>
      </w:r>
      <w:r w:rsidRPr="0048184E">
        <w:rPr>
          <w:rFonts w:cstheme="minorHAnsi"/>
          <w:sz w:val="18"/>
          <w:szCs w:val="18"/>
          <w:lang w:val="pl-PL"/>
        </w:rPr>
        <w:t>politika</w:t>
      </w:r>
      <w:r w:rsidRPr="0048184E">
        <w:rPr>
          <w:rFonts w:cstheme="minorHAnsi"/>
          <w:sz w:val="18"/>
          <w:szCs w:val="18"/>
          <w:lang w:val="sr-Latn-ME"/>
        </w:rPr>
        <w:t xml:space="preserve"> </w:t>
      </w:r>
      <w:r w:rsidRPr="0048184E">
        <w:rPr>
          <w:rFonts w:cstheme="minorHAnsi"/>
          <w:sz w:val="18"/>
          <w:szCs w:val="18"/>
          <w:lang w:val="pl-PL"/>
        </w:rPr>
        <w:t>osloba</w:t>
      </w:r>
      <w:r w:rsidRPr="0048184E">
        <w:rPr>
          <w:rFonts w:cstheme="minorHAnsi"/>
          <w:sz w:val="18"/>
          <w:szCs w:val="18"/>
          <w:lang w:val="sr-Latn-ME"/>
        </w:rPr>
        <w:t>đ</w:t>
      </w:r>
      <w:r w:rsidRPr="0048184E">
        <w:rPr>
          <w:rFonts w:cstheme="minorHAnsi"/>
          <w:sz w:val="18"/>
          <w:szCs w:val="18"/>
          <w:lang w:val="pl-PL"/>
        </w:rPr>
        <w:t>anja</w:t>
      </w:r>
      <w:r w:rsidRPr="0048184E">
        <w:rPr>
          <w:rFonts w:cstheme="minorHAnsi"/>
          <w:sz w:val="18"/>
          <w:szCs w:val="18"/>
          <w:lang w:val="sr-Latn-ME"/>
        </w:rPr>
        <w:t xml:space="preserve"> </w:t>
      </w:r>
      <w:r w:rsidRPr="0048184E">
        <w:rPr>
          <w:rFonts w:cstheme="minorHAnsi"/>
          <w:sz w:val="18"/>
          <w:szCs w:val="18"/>
          <w:lang w:val="pl-PL"/>
        </w:rPr>
        <w:t>od</w:t>
      </w:r>
      <w:r w:rsidRPr="0048184E">
        <w:rPr>
          <w:rFonts w:cstheme="minorHAnsi"/>
          <w:sz w:val="18"/>
          <w:szCs w:val="18"/>
          <w:lang w:val="sr-Latn-ME"/>
        </w:rPr>
        <w:t xml:space="preserve"> </w:t>
      </w:r>
      <w:r w:rsidRPr="0048184E">
        <w:rPr>
          <w:rFonts w:cstheme="minorHAnsi"/>
          <w:sz w:val="18"/>
          <w:szCs w:val="18"/>
          <w:lang w:val="pl-PL"/>
        </w:rPr>
        <w:t>poreza</w:t>
      </w:r>
      <w:r w:rsidRPr="0048184E">
        <w:rPr>
          <w:rFonts w:cstheme="minorHAnsi"/>
          <w:sz w:val="18"/>
          <w:szCs w:val="18"/>
          <w:lang w:val="sr-Latn-ME"/>
        </w:rPr>
        <w:t xml:space="preserve">, </w:t>
      </w:r>
      <w:r w:rsidRPr="0048184E">
        <w:rPr>
          <w:rFonts w:cstheme="minorHAnsi"/>
          <w:sz w:val="18"/>
          <w:szCs w:val="18"/>
          <w:lang w:val="pl-PL"/>
        </w:rPr>
        <w:t>potreban</w:t>
      </w:r>
      <w:r w:rsidRPr="0048184E">
        <w:rPr>
          <w:rFonts w:cstheme="minorHAnsi"/>
          <w:sz w:val="18"/>
          <w:szCs w:val="18"/>
          <w:lang w:val="sr-Latn-ME"/>
        </w:rPr>
        <w:t xml:space="preserve"> </w:t>
      </w:r>
      <w:r w:rsidRPr="0048184E">
        <w:rPr>
          <w:rFonts w:cstheme="minorHAnsi"/>
          <w:sz w:val="18"/>
          <w:szCs w:val="18"/>
          <w:lang w:val="pl-PL"/>
        </w:rPr>
        <w:t>iznos</w:t>
      </w:r>
      <w:r w:rsidRPr="0048184E">
        <w:rPr>
          <w:rFonts w:cstheme="minorHAnsi"/>
          <w:sz w:val="18"/>
          <w:szCs w:val="18"/>
          <w:lang w:val="sr-Latn-ME"/>
        </w:rPr>
        <w:t xml:space="preserve"> </w:t>
      </w:r>
      <w:r w:rsidRPr="0048184E">
        <w:rPr>
          <w:rFonts w:cstheme="minorHAnsi"/>
          <w:sz w:val="18"/>
          <w:szCs w:val="18"/>
          <w:lang w:val="pl-PL"/>
        </w:rPr>
        <w:t>prihoda</w:t>
      </w:r>
      <w:r w:rsidRPr="0048184E">
        <w:rPr>
          <w:rFonts w:cstheme="minorHAnsi"/>
          <w:sz w:val="18"/>
          <w:szCs w:val="18"/>
          <w:lang w:val="sr-Latn-ME"/>
        </w:rPr>
        <w:t xml:space="preserve">, </w:t>
      </w:r>
      <w:r w:rsidRPr="0048184E">
        <w:rPr>
          <w:rFonts w:cstheme="minorHAnsi"/>
          <w:sz w:val="18"/>
          <w:szCs w:val="18"/>
          <w:lang w:val="pl-PL"/>
        </w:rPr>
        <w:t>tro</w:t>
      </w:r>
      <w:r w:rsidRPr="0048184E">
        <w:rPr>
          <w:rFonts w:cstheme="minorHAnsi"/>
          <w:sz w:val="18"/>
          <w:szCs w:val="18"/>
          <w:lang w:val="sr-Latn-ME"/>
        </w:rPr>
        <w:t>š</w:t>
      </w:r>
      <w:r w:rsidRPr="0048184E">
        <w:rPr>
          <w:rFonts w:cstheme="minorHAnsi"/>
          <w:sz w:val="18"/>
          <w:szCs w:val="18"/>
          <w:lang w:val="pl-PL"/>
        </w:rPr>
        <w:t>kovi</w:t>
      </w:r>
      <w:r w:rsidRPr="0048184E">
        <w:rPr>
          <w:rFonts w:cstheme="minorHAnsi"/>
          <w:sz w:val="18"/>
          <w:szCs w:val="18"/>
          <w:lang w:val="sr-Latn-ME"/>
        </w:rPr>
        <w:t xml:space="preserve"> ž</w:t>
      </w:r>
      <w:r w:rsidRPr="0048184E">
        <w:rPr>
          <w:rFonts w:cstheme="minorHAnsi"/>
          <w:sz w:val="18"/>
          <w:szCs w:val="18"/>
          <w:lang w:val="pl-PL"/>
        </w:rPr>
        <w:t>ivota</w:t>
      </w:r>
      <w:r w:rsidRPr="0048184E">
        <w:rPr>
          <w:rFonts w:cstheme="minorHAnsi"/>
          <w:sz w:val="18"/>
          <w:szCs w:val="18"/>
          <w:lang w:val="sr-Latn-ME"/>
        </w:rPr>
        <w:t xml:space="preserve">, </w:t>
      </w:r>
      <w:r w:rsidRPr="0048184E">
        <w:rPr>
          <w:rFonts w:cstheme="minorHAnsi"/>
          <w:sz w:val="18"/>
          <w:szCs w:val="18"/>
          <w:lang w:val="pl-PL"/>
        </w:rPr>
        <w:t>zdravstvena</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š</w:t>
      </w:r>
      <w:r w:rsidRPr="0048184E">
        <w:rPr>
          <w:rFonts w:cstheme="minorHAnsi"/>
          <w:sz w:val="18"/>
          <w:szCs w:val="18"/>
          <w:lang w:val="pl-PL"/>
        </w:rPr>
        <w:t>tita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popularnost</w:t>
      </w:r>
      <w:r w:rsidRPr="0048184E">
        <w:rPr>
          <w:rFonts w:cstheme="minorHAnsi"/>
          <w:sz w:val="18"/>
          <w:szCs w:val="18"/>
          <w:lang w:val="sr-Latn-ME"/>
        </w:rPr>
        <w:t xml:space="preserve"> </w:t>
      </w:r>
      <w:r w:rsidRPr="0048184E">
        <w:rPr>
          <w:rFonts w:cstheme="minorHAnsi"/>
          <w:sz w:val="18"/>
          <w:szCs w:val="18"/>
          <w:lang w:val="pl-PL"/>
        </w:rPr>
        <w:t>destinacije</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turisti</w:t>
      </w:r>
      <w:r w:rsidRPr="0048184E">
        <w:rPr>
          <w:rFonts w:cstheme="minorHAnsi"/>
          <w:sz w:val="18"/>
          <w:szCs w:val="18"/>
          <w:lang w:val="sr-Latn-ME"/>
        </w:rPr>
        <w:t>č</w:t>
      </w:r>
      <w:r w:rsidRPr="0048184E">
        <w:rPr>
          <w:rFonts w:cstheme="minorHAnsi"/>
          <w:sz w:val="18"/>
          <w:szCs w:val="18"/>
          <w:lang w:val="pl-PL"/>
        </w:rPr>
        <w:t>kom</w:t>
      </w:r>
      <w:r w:rsidRPr="0048184E">
        <w:rPr>
          <w:rFonts w:cstheme="minorHAnsi"/>
          <w:sz w:val="18"/>
          <w:szCs w:val="18"/>
          <w:lang w:val="sr-Latn-ME"/>
        </w:rPr>
        <w:t xml:space="preserve"> </w:t>
      </w:r>
      <w:r w:rsidRPr="0048184E">
        <w:rPr>
          <w:rFonts w:cstheme="minorHAnsi"/>
          <w:sz w:val="18"/>
          <w:szCs w:val="18"/>
          <w:lang w:val="pl-PL"/>
        </w:rPr>
        <w:t>smislu</w:t>
      </w:r>
      <w:r w:rsidRPr="0048184E">
        <w:rPr>
          <w:rFonts w:cstheme="minorHAnsi"/>
          <w:sz w:val="18"/>
          <w:szCs w:val="18"/>
          <w:lang w:val="sr-Latn-ME"/>
        </w:rPr>
        <w:t xml:space="preserve">, </w:t>
      </w:r>
      <w:r w:rsidRPr="0048184E">
        <w:rPr>
          <w:rFonts w:cstheme="minorHAnsi"/>
          <w:sz w:val="18"/>
          <w:szCs w:val="18"/>
          <w:lang w:val="pl-PL"/>
        </w:rPr>
        <w:t>a</w:t>
      </w:r>
      <w:r w:rsidRPr="0048184E">
        <w:rPr>
          <w:rFonts w:cstheme="minorHAnsi"/>
          <w:sz w:val="18"/>
          <w:szCs w:val="18"/>
          <w:lang w:val="sr-Latn-ME"/>
        </w:rPr>
        <w:t xml:space="preserve"> </w:t>
      </w:r>
      <w:r w:rsidRPr="0048184E">
        <w:rPr>
          <w:rFonts w:cstheme="minorHAnsi"/>
          <w:sz w:val="18"/>
          <w:szCs w:val="18"/>
          <w:lang w:val="pl-PL"/>
        </w:rPr>
        <w:t>Crna</w:t>
      </w:r>
      <w:r w:rsidRPr="0048184E">
        <w:rPr>
          <w:rFonts w:cstheme="minorHAnsi"/>
          <w:sz w:val="18"/>
          <w:szCs w:val="18"/>
          <w:lang w:val="sr-Latn-ME"/>
        </w:rPr>
        <w:t xml:space="preserve"> </w:t>
      </w:r>
      <w:r w:rsidRPr="0048184E">
        <w:rPr>
          <w:rFonts w:cstheme="minorHAnsi"/>
          <w:sz w:val="18"/>
          <w:szCs w:val="18"/>
          <w:lang w:val="pl-PL"/>
        </w:rPr>
        <w:t>Gora</w:t>
      </w:r>
      <w:r w:rsidRPr="0048184E">
        <w:rPr>
          <w:rFonts w:cstheme="minorHAnsi"/>
          <w:sz w:val="18"/>
          <w:szCs w:val="18"/>
          <w:lang w:val="sr-Latn-ME"/>
        </w:rPr>
        <w:t xml:space="preserve"> </w:t>
      </w:r>
      <w:r w:rsidRPr="0048184E">
        <w:rPr>
          <w:rFonts w:cstheme="minorHAnsi"/>
          <w:sz w:val="18"/>
          <w:szCs w:val="18"/>
          <w:lang w:val="pl-PL"/>
        </w:rPr>
        <w:t>se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rang</w:t>
      </w:r>
      <w:r w:rsidRPr="0048184E">
        <w:rPr>
          <w:rFonts w:cstheme="minorHAnsi"/>
          <w:sz w:val="18"/>
          <w:szCs w:val="18"/>
          <w:lang w:val="sr-Latn-ME"/>
        </w:rPr>
        <w:t xml:space="preserve"> </w:t>
      </w:r>
      <w:r w:rsidRPr="0048184E">
        <w:rPr>
          <w:rFonts w:cstheme="minorHAnsi"/>
          <w:sz w:val="18"/>
          <w:szCs w:val="18"/>
          <w:lang w:val="pl-PL"/>
        </w:rPr>
        <w:t>listi</w:t>
      </w:r>
      <w:r w:rsidRPr="0048184E">
        <w:rPr>
          <w:rFonts w:cstheme="minorHAnsi"/>
          <w:sz w:val="18"/>
          <w:szCs w:val="18"/>
          <w:lang w:val="sr-Latn-ME"/>
        </w:rPr>
        <w:t xml:space="preserve"> </w:t>
      </w:r>
      <w:r w:rsidRPr="0048184E">
        <w:rPr>
          <w:rFonts w:cstheme="minorHAnsi"/>
          <w:sz w:val="18"/>
          <w:szCs w:val="18"/>
          <w:lang w:val="pl-PL"/>
        </w:rPr>
        <w:t>istakla</w:t>
      </w:r>
      <w:r w:rsidRPr="0048184E">
        <w:rPr>
          <w:rFonts w:cstheme="minorHAnsi"/>
          <w:sz w:val="18"/>
          <w:szCs w:val="18"/>
          <w:lang w:val="sr-Latn-ME"/>
        </w:rPr>
        <w:t xml:space="preserve"> </w:t>
      </w:r>
      <w:r w:rsidRPr="0048184E">
        <w:rPr>
          <w:rFonts w:cstheme="minorHAnsi"/>
          <w:sz w:val="18"/>
          <w:szCs w:val="18"/>
          <w:lang w:val="pl-PL"/>
        </w:rPr>
        <w:t>zbog</w:t>
      </w:r>
      <w:r w:rsidRPr="0048184E">
        <w:rPr>
          <w:rFonts w:cstheme="minorHAnsi"/>
          <w:sz w:val="18"/>
          <w:szCs w:val="18"/>
          <w:lang w:val="sr-Latn-ME"/>
        </w:rPr>
        <w:t xml:space="preserve"> </w:t>
      </w:r>
      <w:r w:rsidRPr="0048184E">
        <w:rPr>
          <w:rFonts w:cstheme="minorHAnsi"/>
          <w:sz w:val="18"/>
          <w:szCs w:val="18"/>
          <w:lang w:val="pl-PL"/>
        </w:rPr>
        <w:t>niskih</w:t>
      </w:r>
      <w:r w:rsidRPr="0048184E">
        <w:rPr>
          <w:rFonts w:cstheme="minorHAnsi"/>
          <w:sz w:val="18"/>
          <w:szCs w:val="18"/>
          <w:lang w:val="sr-Latn-ME"/>
        </w:rPr>
        <w:t xml:space="preserve"> </w:t>
      </w:r>
      <w:r w:rsidRPr="0048184E">
        <w:rPr>
          <w:rFonts w:cstheme="minorHAnsi"/>
          <w:sz w:val="18"/>
          <w:szCs w:val="18"/>
          <w:lang w:val="pl-PL"/>
        </w:rPr>
        <w:t>poreza</w:t>
      </w:r>
      <w:r w:rsidRPr="0048184E">
        <w:rPr>
          <w:rFonts w:cstheme="minorHAnsi"/>
          <w:sz w:val="18"/>
          <w:szCs w:val="18"/>
          <w:lang w:val="sr-Latn-ME"/>
        </w:rPr>
        <w:t xml:space="preserve">, </w:t>
      </w:r>
      <w:r w:rsidRPr="0048184E">
        <w:rPr>
          <w:rFonts w:cstheme="minorHAnsi"/>
          <w:sz w:val="18"/>
          <w:szCs w:val="18"/>
          <w:lang w:val="pl-PL"/>
        </w:rPr>
        <w:t>pristupa</w:t>
      </w:r>
      <w:r w:rsidRPr="0048184E">
        <w:rPr>
          <w:rFonts w:cstheme="minorHAnsi"/>
          <w:sz w:val="18"/>
          <w:szCs w:val="18"/>
          <w:lang w:val="sr-Latn-ME"/>
        </w:rPr>
        <w:t>č</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tro</w:t>
      </w:r>
      <w:r w:rsidRPr="0048184E">
        <w:rPr>
          <w:rFonts w:cstheme="minorHAnsi"/>
          <w:sz w:val="18"/>
          <w:szCs w:val="18"/>
          <w:lang w:val="sr-Latn-ME"/>
        </w:rPr>
        <w:t>š</w:t>
      </w:r>
      <w:r w:rsidRPr="0048184E">
        <w:rPr>
          <w:rFonts w:cstheme="minorHAnsi"/>
          <w:sz w:val="18"/>
          <w:szCs w:val="18"/>
          <w:lang w:val="pl-PL"/>
        </w:rPr>
        <w:t>kova</w:t>
      </w:r>
      <w:r w:rsidRPr="0048184E">
        <w:rPr>
          <w:rFonts w:cstheme="minorHAnsi"/>
          <w:sz w:val="18"/>
          <w:szCs w:val="18"/>
          <w:lang w:val="sr-Latn-ME"/>
        </w:rPr>
        <w:t xml:space="preserve"> ž</w:t>
      </w:r>
      <w:r w:rsidRPr="0048184E">
        <w:rPr>
          <w:rFonts w:cstheme="minorHAnsi"/>
          <w:sz w:val="18"/>
          <w:szCs w:val="18"/>
          <w:lang w:val="pl-PL"/>
        </w:rPr>
        <w:t>ivota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minimalnih</w:t>
      </w:r>
      <w:r w:rsidRPr="0048184E">
        <w:rPr>
          <w:rFonts w:cstheme="minorHAnsi"/>
          <w:sz w:val="18"/>
          <w:szCs w:val="18"/>
          <w:lang w:val="sr-Latn-ME"/>
        </w:rPr>
        <w:t xml:space="preserve"> </w:t>
      </w:r>
      <w:r w:rsidRPr="0048184E">
        <w:rPr>
          <w:rFonts w:cstheme="minorHAnsi"/>
          <w:sz w:val="18"/>
          <w:szCs w:val="18"/>
          <w:lang w:val="pl-PL"/>
        </w:rPr>
        <w:t>mjese</w:t>
      </w:r>
      <w:r w:rsidRPr="0048184E">
        <w:rPr>
          <w:rFonts w:cstheme="minorHAnsi"/>
          <w:sz w:val="18"/>
          <w:szCs w:val="18"/>
          <w:lang w:val="sr-Latn-ME"/>
        </w:rPr>
        <w:t>č</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prihoda</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su</w:t>
      </w:r>
      <w:r w:rsidRPr="0048184E">
        <w:rPr>
          <w:rFonts w:cstheme="minorHAnsi"/>
          <w:sz w:val="18"/>
          <w:szCs w:val="18"/>
          <w:lang w:val="sr-Latn-ME"/>
        </w:rPr>
        <w:t xml:space="preserve"> </w:t>
      </w:r>
      <w:r w:rsidRPr="0048184E">
        <w:rPr>
          <w:rFonts w:cstheme="minorHAnsi"/>
          <w:sz w:val="18"/>
          <w:szCs w:val="18"/>
          <w:lang w:val="pl-PL"/>
        </w:rPr>
        <w:t>va</w:t>
      </w:r>
      <w:r w:rsidRPr="0048184E">
        <w:rPr>
          <w:rFonts w:cstheme="minorHAnsi"/>
          <w:sz w:val="18"/>
          <w:szCs w:val="18"/>
          <w:lang w:val="sr-Latn-ME"/>
        </w:rPr>
        <w:t>ž</w:t>
      </w:r>
      <w:r w:rsidRPr="0048184E">
        <w:rPr>
          <w:rFonts w:cstheme="minorHAnsi"/>
          <w:sz w:val="18"/>
          <w:szCs w:val="18"/>
          <w:lang w:val="pl-PL"/>
        </w:rPr>
        <w:t>ni</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w:t>
      </w:r>
      <w:r w:rsidRPr="0048184E">
        <w:rPr>
          <w:rFonts w:cstheme="minorHAnsi"/>
          <w:sz w:val="18"/>
          <w:szCs w:val="18"/>
          <w:lang w:val="pl-PL"/>
        </w:rPr>
        <w:t>ljude</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tra</w:t>
      </w:r>
      <w:r w:rsidRPr="0048184E">
        <w:rPr>
          <w:rFonts w:cstheme="minorHAnsi"/>
          <w:sz w:val="18"/>
          <w:szCs w:val="18"/>
          <w:lang w:val="sr-Latn-ME"/>
        </w:rPr>
        <w:t>ž</w:t>
      </w:r>
      <w:r w:rsidRPr="0048184E">
        <w:rPr>
          <w:rFonts w:cstheme="minorHAnsi"/>
          <w:sz w:val="18"/>
          <w:szCs w:val="18"/>
          <w:lang w:val="pl-PL"/>
        </w:rPr>
        <w:t>e</w:t>
      </w:r>
      <w:r w:rsidRPr="0048184E">
        <w:rPr>
          <w:rFonts w:cstheme="minorHAnsi"/>
          <w:sz w:val="18"/>
          <w:szCs w:val="18"/>
          <w:lang w:val="sr-Latn-ME"/>
        </w:rPr>
        <w:t xml:space="preserve"> </w:t>
      </w:r>
      <w:r w:rsidRPr="0048184E">
        <w:rPr>
          <w:rFonts w:cstheme="minorHAnsi"/>
          <w:sz w:val="18"/>
          <w:szCs w:val="18"/>
          <w:lang w:val="pl-PL"/>
        </w:rPr>
        <w:t>digitalnu</w:t>
      </w:r>
      <w:r w:rsidRPr="0048184E">
        <w:rPr>
          <w:rFonts w:cstheme="minorHAnsi"/>
          <w:sz w:val="18"/>
          <w:szCs w:val="18"/>
          <w:lang w:val="sr-Latn-ME"/>
        </w:rPr>
        <w:t xml:space="preserve"> </w:t>
      </w:r>
      <w:r w:rsidRPr="0048184E">
        <w:rPr>
          <w:rFonts w:cstheme="minorHAnsi"/>
          <w:sz w:val="18"/>
          <w:szCs w:val="18"/>
          <w:lang w:val="pl-PL"/>
        </w:rPr>
        <w:t>nomadsku</w:t>
      </w:r>
      <w:r w:rsidRPr="0048184E">
        <w:rPr>
          <w:rFonts w:cstheme="minorHAnsi"/>
          <w:sz w:val="18"/>
          <w:szCs w:val="18"/>
          <w:lang w:val="sr-Latn-ME"/>
        </w:rPr>
        <w:t xml:space="preserve"> </w:t>
      </w:r>
      <w:r w:rsidRPr="0048184E">
        <w:rPr>
          <w:rFonts w:cstheme="minorHAnsi"/>
          <w:sz w:val="18"/>
          <w:szCs w:val="18"/>
          <w:lang w:val="pl-PL"/>
        </w:rPr>
        <w:t>vizu</w:t>
      </w:r>
      <w:r w:rsidRPr="0048184E">
        <w:rPr>
          <w:rFonts w:cstheme="minorHAnsi"/>
          <w:sz w:val="18"/>
          <w:szCs w:val="18"/>
          <w:lang w:val="sr-Latn-ME"/>
        </w:rPr>
        <w:t>, š</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č</w:t>
      </w:r>
      <w:r w:rsidRPr="0048184E">
        <w:rPr>
          <w:rFonts w:cstheme="minorHAnsi"/>
          <w:sz w:val="18"/>
          <w:szCs w:val="18"/>
          <w:lang w:val="pl-PL"/>
        </w:rPr>
        <w:t>ini</w:t>
      </w:r>
      <w:r w:rsidRPr="0048184E">
        <w:rPr>
          <w:rFonts w:cstheme="minorHAnsi"/>
          <w:sz w:val="18"/>
          <w:szCs w:val="18"/>
          <w:lang w:val="sr-Latn-ME"/>
        </w:rPr>
        <w:t xml:space="preserve"> </w:t>
      </w:r>
      <w:r w:rsidRPr="0048184E">
        <w:rPr>
          <w:rFonts w:cstheme="minorHAnsi"/>
          <w:sz w:val="18"/>
          <w:szCs w:val="18"/>
          <w:lang w:val="pl-PL"/>
        </w:rPr>
        <w:t>atraktivnom</w:t>
      </w:r>
      <w:r w:rsidRPr="0048184E">
        <w:rPr>
          <w:rFonts w:cstheme="minorHAnsi"/>
          <w:sz w:val="18"/>
          <w:szCs w:val="18"/>
          <w:lang w:val="sr-Latn-ME"/>
        </w:rPr>
        <w:t xml:space="preserve"> </w:t>
      </w:r>
      <w:r w:rsidRPr="0048184E">
        <w:rPr>
          <w:rFonts w:cstheme="minorHAnsi"/>
          <w:sz w:val="18"/>
          <w:szCs w:val="18"/>
          <w:lang w:val="pl-PL"/>
        </w:rPr>
        <w:t>opcijom</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w:t>
      </w:r>
      <w:r w:rsidRPr="0048184E">
        <w:rPr>
          <w:rFonts w:cstheme="minorHAnsi"/>
          <w:sz w:val="18"/>
          <w:szCs w:val="18"/>
          <w:lang w:val="pl-PL"/>
        </w:rPr>
        <w:t>radnike</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rade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daljinu</w:t>
      </w:r>
      <w:r w:rsidRPr="0048184E">
        <w:rPr>
          <w:rStyle w:val="FootnoteReference"/>
          <w:rFonts w:cstheme="minorHAnsi"/>
          <w:sz w:val="18"/>
          <w:szCs w:val="18"/>
          <w:lang w:val="pl-PL"/>
        </w:rPr>
        <w:footnoteReference w:id="40"/>
      </w:r>
      <w:r w:rsidRPr="0048184E">
        <w:rPr>
          <w:rFonts w:cstheme="minorHAnsi"/>
          <w:sz w:val="18"/>
          <w:szCs w:val="18"/>
          <w:lang w:val="sr-Latn-ME"/>
        </w:rPr>
        <w:t>.</w:t>
      </w:r>
    </w:p>
    <w:p w14:paraId="164C22CD" w14:textId="77777777" w:rsidR="00221657" w:rsidRPr="0048184E" w:rsidRDefault="00221657" w:rsidP="0048184E">
      <w:pPr>
        <w:spacing w:after="0" w:line="240" w:lineRule="auto"/>
        <w:jc w:val="both"/>
        <w:rPr>
          <w:rFonts w:eastAsia="Calibri" w:cstheme="minorHAnsi"/>
          <w:sz w:val="18"/>
          <w:szCs w:val="18"/>
          <w:lang w:val="sr-Latn-ME"/>
        </w:rPr>
      </w:pPr>
      <w:r w:rsidRPr="0048184E">
        <w:rPr>
          <w:rFonts w:eastAsia="Calibri" w:cstheme="minorHAnsi"/>
          <w:sz w:val="18"/>
          <w:szCs w:val="18"/>
          <w:lang w:val="sr-Latn-ME"/>
        </w:rPr>
        <w:t>Prema Globalnom indeksu inovacija (</w:t>
      </w:r>
      <w:r w:rsidRPr="00502E5A">
        <w:rPr>
          <w:rFonts w:eastAsia="Calibri" w:cstheme="minorHAnsi"/>
          <w:b/>
          <w:sz w:val="18"/>
          <w:szCs w:val="18"/>
          <w:lang w:val="sr-Latn-ME"/>
        </w:rPr>
        <w:t>WIPO Global Innovation Index 2024</w:t>
      </w:r>
      <w:r w:rsidRPr="0048184E">
        <w:rPr>
          <w:rFonts w:eastAsia="Calibri" w:cstheme="minorHAnsi"/>
          <w:sz w:val="18"/>
          <w:szCs w:val="18"/>
          <w:lang w:val="sr-Latn-ME"/>
        </w:rPr>
        <w:t>), Crna Gora je zauzela 65. mjesto od 133 države svijeta, odnosno 16. mjesto u grupi zemalja sa višim srednjim dohotkom. Ovim indeksom mjeri se napredak za oko 80 indikatora u oblasti inovacija, koje su ključni instrument za održivi ekonomski i društveni razvoj. Izvještaj navodi da je Crna Gora u odnosu na prethodnu godinu popravila svoj rang, ali upozorava da je u izvještajnom periodu pokazala rezultate ispod očekivanja u vezi sa inovacijama. Poređenja radi, 2021. godine Crna Gora je zauzimala 50. mjesto globalno, odnosno 7. mjesto u svojoj grupi prema dohotku. Najlošije rangirani parametri prepoznati su u dimenzijama institucionalne podrške, znanja i tehnologije, te kreativnosti, dok su se kao jači parametri izdvojili infrastruktura, ljudski resursi, tržišna i poslovna sofistikacija, gdje takođe postoji prostor za dalji napredak.</w:t>
      </w:r>
    </w:p>
    <w:p w14:paraId="01DFD4A3" w14:textId="77777777" w:rsidR="00F8696A" w:rsidRPr="0048184E" w:rsidRDefault="007320A2" w:rsidP="0048184E">
      <w:pPr>
        <w:spacing w:after="0" w:line="240" w:lineRule="auto"/>
        <w:jc w:val="both"/>
        <w:rPr>
          <w:rFonts w:cstheme="minorHAnsi"/>
          <w:sz w:val="18"/>
          <w:szCs w:val="18"/>
          <w:lang w:val="sr-Latn-ME"/>
        </w:rPr>
      </w:pPr>
      <w:r w:rsidRPr="0048184E">
        <w:rPr>
          <w:rFonts w:eastAsia="Calibri" w:cstheme="minorHAnsi"/>
          <w:sz w:val="18"/>
          <w:szCs w:val="18"/>
          <w:lang w:val="sr-Latn-ME"/>
        </w:rPr>
        <w:t xml:space="preserve">Pored navedenog, važno je istaći da je Crna Gora u protekloj godini značajno unaprijedila i uskladila sa standardima EU, regulatorni okvir u oblasti platnog sistema i finansijskog sektora i na taj način postala prva zemlja Zapadnog Balkana koja se </w:t>
      </w:r>
      <w:r w:rsidRPr="0048184E">
        <w:rPr>
          <w:rFonts w:eastAsia="Calibri" w:cstheme="minorHAnsi"/>
          <w:sz w:val="18"/>
          <w:szCs w:val="18"/>
          <w:lang w:val="sr-Latn-ME"/>
        </w:rPr>
        <w:lastRenderedPageBreak/>
        <w:t>pridružila SEPA</w:t>
      </w:r>
      <w:r w:rsidRPr="0048184E">
        <w:rPr>
          <w:rStyle w:val="FootnoteReference"/>
          <w:rFonts w:eastAsia="Calibri" w:cstheme="minorHAnsi"/>
          <w:sz w:val="18"/>
          <w:szCs w:val="18"/>
          <w:lang w:val="sr-Latn-ME"/>
        </w:rPr>
        <w:footnoteReference w:id="41"/>
      </w:r>
      <w:r w:rsidRPr="0048184E">
        <w:rPr>
          <w:rFonts w:eastAsia="Calibri" w:cstheme="minorHAnsi"/>
          <w:sz w:val="18"/>
          <w:szCs w:val="18"/>
          <w:lang w:val="sr-Latn-ME"/>
        </w:rPr>
        <w:t xml:space="preserve"> geografskom području. Direktne benefite SEPA integracije imaju građani, poslovna zajednica, ali i država kroz porast stranih direktnih investicija, povećanje konkurentnosti izvoza i digitalizaciju sektora usluga, prevashodno turizma</w:t>
      </w:r>
    </w:p>
    <w:p w14:paraId="02ED339B" w14:textId="77777777" w:rsidR="00DB7E8E" w:rsidRPr="0048184E" w:rsidRDefault="00DB7E8E" w:rsidP="0048184E">
      <w:pPr>
        <w:pStyle w:val="NoSpacing"/>
        <w:jc w:val="both"/>
        <w:rPr>
          <w:rFonts w:asciiTheme="minorHAnsi" w:hAnsiTheme="minorHAnsi"/>
          <w:sz w:val="18"/>
          <w:szCs w:val="18"/>
          <w:lang w:val="sr-Latn-ME"/>
        </w:rPr>
      </w:pPr>
    </w:p>
    <w:p w14:paraId="60E1723D"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U nastavku je dato poređenje ostvarenosti međunarodnih indikatora Crne Gore i zemalja u regionu, i to u sljedećim oblastima: preduzetništvo, vještine, rodni jaz, pristup tržištu, finansije, informatičko društvo, ICT komunikacione mreže i korupcija. </w:t>
      </w:r>
    </w:p>
    <w:p w14:paraId="43E87016" w14:textId="77777777" w:rsidR="00DB7E8E" w:rsidRPr="0048184E" w:rsidRDefault="00DB7E8E" w:rsidP="0048184E">
      <w:pPr>
        <w:pStyle w:val="NoSpacing"/>
        <w:jc w:val="both"/>
        <w:rPr>
          <w:rFonts w:asciiTheme="minorHAnsi" w:hAnsiTheme="minorHAnsi"/>
          <w:sz w:val="18"/>
          <w:szCs w:val="18"/>
          <w:lang w:val="sr-Latn-ME"/>
        </w:rPr>
      </w:pPr>
    </w:p>
    <w:p w14:paraId="4720DDB3" w14:textId="32CB001A" w:rsidR="006829C6" w:rsidRPr="00EC14B9" w:rsidRDefault="006829C6" w:rsidP="0048184E">
      <w:pPr>
        <w:pStyle w:val="Caption"/>
        <w:spacing w:after="0"/>
        <w:jc w:val="center"/>
        <w:rPr>
          <w:rFonts w:asciiTheme="minorHAnsi" w:hAnsiTheme="minorHAnsi"/>
          <w:noProof/>
          <w:color w:val="4472C4" w:themeColor="accent5"/>
          <w:lang w:val="sr-Latn-ME" w:eastAsia="en-GB"/>
        </w:rPr>
      </w:pPr>
      <w:bookmarkStart w:id="33" w:name="_Toc166220534"/>
      <w:r w:rsidRPr="00EC14B9">
        <w:rPr>
          <w:rFonts w:asciiTheme="minorHAnsi" w:hAnsiTheme="minorHAnsi"/>
          <w:noProof/>
          <w:color w:val="4472C4" w:themeColor="accent5"/>
          <w:lang w:val="sr-Latn-ME" w:eastAsia="en-GB"/>
        </w:rPr>
        <w:t xml:space="preserve">Tabela </w:t>
      </w:r>
      <w:r w:rsidRPr="00EC14B9">
        <w:rPr>
          <w:rFonts w:asciiTheme="minorHAnsi" w:hAnsiTheme="minorHAnsi"/>
          <w:noProof/>
          <w:color w:val="4472C4" w:themeColor="accent5"/>
          <w:lang w:val="sr-Latn-ME" w:eastAsia="en-GB"/>
        </w:rPr>
        <w:fldChar w:fldCharType="begin"/>
      </w:r>
      <w:r w:rsidRPr="00EC14B9">
        <w:rPr>
          <w:rFonts w:asciiTheme="minorHAnsi" w:hAnsiTheme="minorHAnsi"/>
          <w:noProof/>
          <w:color w:val="4472C4" w:themeColor="accent5"/>
          <w:lang w:val="sr-Latn-ME" w:eastAsia="en-GB"/>
        </w:rPr>
        <w:instrText xml:space="preserve"> SEQ Tabela \* ARABIC </w:instrText>
      </w:r>
      <w:r w:rsidRPr="00EC14B9">
        <w:rPr>
          <w:rFonts w:asciiTheme="minorHAnsi" w:hAnsiTheme="minorHAnsi"/>
          <w:noProof/>
          <w:color w:val="4472C4" w:themeColor="accent5"/>
          <w:lang w:val="sr-Latn-ME" w:eastAsia="en-GB"/>
        </w:rPr>
        <w:fldChar w:fldCharType="separate"/>
      </w:r>
      <w:r w:rsidR="009179C8">
        <w:rPr>
          <w:rFonts w:asciiTheme="minorHAnsi" w:hAnsiTheme="minorHAnsi"/>
          <w:noProof/>
          <w:color w:val="4472C4" w:themeColor="accent5"/>
          <w:lang w:val="sr-Latn-ME" w:eastAsia="en-GB"/>
        </w:rPr>
        <w:t>1</w:t>
      </w:r>
      <w:r w:rsidRPr="00EC14B9">
        <w:rPr>
          <w:rFonts w:asciiTheme="minorHAnsi" w:hAnsiTheme="minorHAnsi"/>
          <w:noProof/>
          <w:color w:val="4472C4" w:themeColor="accent5"/>
          <w:lang w:val="sr-Latn-ME" w:eastAsia="en-GB"/>
        </w:rPr>
        <w:fldChar w:fldCharType="end"/>
      </w:r>
      <w:r w:rsidRPr="00EC14B9">
        <w:rPr>
          <w:rFonts w:asciiTheme="minorHAnsi" w:hAnsiTheme="minorHAnsi"/>
          <w:noProof/>
          <w:color w:val="4472C4" w:themeColor="accent5"/>
          <w:lang w:val="sr-Latn-ME" w:eastAsia="en-GB"/>
        </w:rPr>
        <w:t xml:space="preserve">.  Analiza </w:t>
      </w:r>
      <w:r w:rsidRPr="00EC14B9">
        <w:rPr>
          <w:rFonts w:asciiTheme="minorHAnsi" w:hAnsiTheme="minorHAnsi"/>
          <w:color w:val="4472C4" w:themeColor="accent5"/>
          <w:lang w:val="pl-PL"/>
        </w:rPr>
        <w:t>me</w:t>
      </w:r>
      <w:r w:rsidRPr="00EC14B9">
        <w:rPr>
          <w:rFonts w:asciiTheme="minorHAnsi" w:hAnsiTheme="minorHAnsi"/>
          <w:color w:val="4472C4" w:themeColor="accent5"/>
          <w:lang w:val="sr-Latn-ME"/>
        </w:rPr>
        <w:t>đ</w:t>
      </w:r>
      <w:r w:rsidRPr="00EC14B9">
        <w:rPr>
          <w:rFonts w:asciiTheme="minorHAnsi" w:hAnsiTheme="minorHAnsi"/>
          <w:color w:val="4472C4" w:themeColor="accent5"/>
          <w:lang w:val="pl-PL"/>
        </w:rPr>
        <w:t>unarodnih</w:t>
      </w:r>
      <w:r w:rsidRPr="00EC14B9">
        <w:rPr>
          <w:rFonts w:asciiTheme="minorHAnsi" w:hAnsiTheme="minorHAnsi"/>
          <w:noProof/>
          <w:color w:val="4472C4" w:themeColor="accent5"/>
          <w:lang w:val="sr-Latn-ME" w:eastAsia="en-GB"/>
        </w:rPr>
        <w:t xml:space="preserve"> indikatora konkurentnosti 2019-2023. godine</w:t>
      </w:r>
      <w:bookmarkEnd w:id="33"/>
      <w:r w:rsidRPr="00EC14B9">
        <w:rPr>
          <w:rStyle w:val="FootnoteReference"/>
          <w:rFonts w:asciiTheme="minorHAnsi" w:hAnsiTheme="minorHAnsi"/>
          <w:noProof/>
          <w:color w:val="4472C4" w:themeColor="accent5"/>
          <w:lang w:val="sr-Latn-ME" w:eastAsia="en-GB"/>
        </w:rPr>
        <w:footnoteReference w:id="42"/>
      </w:r>
    </w:p>
    <w:tbl>
      <w:tblPr>
        <w:tblStyle w:val="TableGrid"/>
        <w:tblW w:w="5028" w:type="pct"/>
        <w:tblLayout w:type="fixed"/>
        <w:tblLook w:val="04A0" w:firstRow="1" w:lastRow="0" w:firstColumn="1" w:lastColumn="0" w:noHBand="0" w:noVBand="1"/>
      </w:tblPr>
      <w:tblGrid>
        <w:gridCol w:w="4957"/>
        <w:gridCol w:w="1559"/>
        <w:gridCol w:w="1206"/>
        <w:gridCol w:w="1344"/>
      </w:tblGrid>
      <w:tr w:rsidR="006829C6" w:rsidRPr="0048184E" w14:paraId="76B7E760" w14:textId="77777777" w:rsidTr="00B157BD">
        <w:trPr>
          <w:trHeight w:val="20"/>
        </w:trPr>
        <w:tc>
          <w:tcPr>
            <w:tcW w:w="2734" w:type="pct"/>
            <w:shd w:val="clear" w:color="auto" w:fill="BDD6EE" w:themeFill="accent1" w:themeFillTint="66"/>
            <w:noWrap/>
            <w:vAlign w:val="center"/>
          </w:tcPr>
          <w:p w14:paraId="52E5F078"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Indikatori konkurentnosti</w:t>
            </w:r>
          </w:p>
        </w:tc>
        <w:tc>
          <w:tcPr>
            <w:tcW w:w="860" w:type="pct"/>
            <w:shd w:val="clear" w:color="auto" w:fill="BDD6EE" w:themeFill="accent1" w:themeFillTint="66"/>
            <w:noWrap/>
            <w:vAlign w:val="center"/>
          </w:tcPr>
          <w:p w14:paraId="5A4720A1" w14:textId="77777777" w:rsidR="006829C6" w:rsidRPr="0048184E" w:rsidRDefault="006829C6" w:rsidP="0048184E">
            <w:pPr>
              <w:jc w:val="center"/>
              <w:rPr>
                <w:rFonts w:asciiTheme="minorHAnsi" w:hAnsiTheme="minorHAnsi" w:cstheme="minorHAnsi"/>
                <w:b/>
                <w:sz w:val="18"/>
                <w:szCs w:val="18"/>
                <w:lang w:val="sr-Latn-ME" w:eastAsia="en-GB"/>
              </w:rPr>
            </w:pPr>
            <w:r w:rsidRPr="0048184E">
              <w:rPr>
                <w:rFonts w:asciiTheme="minorHAnsi" w:hAnsiTheme="minorHAnsi" w:cstheme="minorHAnsi"/>
                <w:b/>
                <w:sz w:val="18"/>
                <w:szCs w:val="18"/>
                <w:lang w:val="sr-Latn-ME" w:eastAsia="en-GB"/>
              </w:rPr>
              <w:t xml:space="preserve">Početna </w:t>
            </w:r>
          </w:p>
          <w:p w14:paraId="75BBB60C"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vrijednost</w:t>
            </w:r>
          </w:p>
          <w:p w14:paraId="3D43EA56"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2019</w:t>
            </w:r>
          </w:p>
        </w:tc>
        <w:tc>
          <w:tcPr>
            <w:tcW w:w="665" w:type="pct"/>
            <w:shd w:val="clear" w:color="auto" w:fill="BDD6EE" w:themeFill="accent1" w:themeFillTint="66"/>
            <w:noWrap/>
            <w:vAlign w:val="center"/>
          </w:tcPr>
          <w:p w14:paraId="7181C85F"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Prelazna vrijednost</w:t>
            </w:r>
          </w:p>
          <w:p w14:paraId="1AF0CA44"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2020</w:t>
            </w:r>
          </w:p>
        </w:tc>
        <w:tc>
          <w:tcPr>
            <w:tcW w:w="741" w:type="pct"/>
            <w:shd w:val="clear" w:color="auto" w:fill="BDD6EE" w:themeFill="accent1" w:themeFillTint="66"/>
            <w:noWrap/>
            <w:vAlign w:val="center"/>
          </w:tcPr>
          <w:p w14:paraId="228C5FF5"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Ostvarena vrijednost</w:t>
            </w:r>
          </w:p>
          <w:p w14:paraId="7E49F7E4"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2023</w:t>
            </w:r>
          </w:p>
        </w:tc>
      </w:tr>
      <w:tr w:rsidR="006829C6" w:rsidRPr="0048184E" w14:paraId="79A4816E" w14:textId="77777777" w:rsidTr="00B157BD">
        <w:trPr>
          <w:trHeight w:val="20"/>
        </w:trPr>
        <w:tc>
          <w:tcPr>
            <w:tcW w:w="2734" w:type="pct"/>
            <w:noWrap/>
          </w:tcPr>
          <w:p w14:paraId="08345054"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1. Inovacije:</w:t>
            </w:r>
          </w:p>
          <w:p w14:paraId="59FA6322" w14:textId="77777777" w:rsidR="006829C6" w:rsidRPr="0048184E" w:rsidRDefault="006829C6" w:rsidP="0048184E">
            <w:pPr>
              <w:rPr>
                <w:rFonts w:asciiTheme="minorHAnsi" w:hAnsiTheme="minorHAnsi"/>
                <w:sz w:val="18"/>
                <w:szCs w:val="18"/>
                <w:lang w:val="sr-Latn-ME" w:eastAsia="en-GB"/>
              </w:rPr>
            </w:pPr>
            <w:r w:rsidRPr="0048184E">
              <w:rPr>
                <w:rFonts w:asciiTheme="minorHAnsi" w:hAnsiTheme="minorHAnsi"/>
                <w:sz w:val="18"/>
                <w:szCs w:val="18"/>
                <w:lang w:val="sr-Latn-ME" w:eastAsia="en-GB"/>
              </w:rPr>
              <w:t>Global Innovation Index, GII, rangiranje</w:t>
            </w:r>
          </w:p>
        </w:tc>
        <w:tc>
          <w:tcPr>
            <w:tcW w:w="860" w:type="pct"/>
            <w:noWrap/>
            <w:vAlign w:val="center"/>
          </w:tcPr>
          <w:p w14:paraId="75B9E72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45./126</w:t>
            </w:r>
          </w:p>
          <w:p w14:paraId="77E631F6"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5517A65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49./131</w:t>
            </w:r>
          </w:p>
          <w:p w14:paraId="07567C0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(2020)</w:t>
            </w:r>
          </w:p>
        </w:tc>
        <w:tc>
          <w:tcPr>
            <w:tcW w:w="741" w:type="pct"/>
            <w:noWrap/>
            <w:vAlign w:val="center"/>
          </w:tcPr>
          <w:p w14:paraId="1BE0F981" w14:textId="77777777" w:rsidR="006829C6" w:rsidRPr="0048184E" w:rsidRDefault="006829C6" w:rsidP="0048184E">
            <w:pPr>
              <w:jc w:val="center"/>
              <w:rPr>
                <w:rFonts w:asciiTheme="minorHAnsi" w:hAnsiTheme="minorHAnsi" w:cstheme="minorHAnsi"/>
                <w:sz w:val="18"/>
                <w:szCs w:val="18"/>
                <w:lang w:val="sr-Latn-ME" w:eastAsia="en-GB"/>
              </w:rPr>
            </w:pPr>
          </w:p>
          <w:p w14:paraId="20D07EFD"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36./132</w:t>
            </w:r>
          </w:p>
        </w:tc>
      </w:tr>
      <w:tr w:rsidR="006829C6" w:rsidRPr="0048184E" w14:paraId="76320238" w14:textId="77777777" w:rsidTr="00B157BD">
        <w:trPr>
          <w:trHeight w:val="20"/>
        </w:trPr>
        <w:tc>
          <w:tcPr>
            <w:tcW w:w="2734" w:type="pct"/>
            <w:noWrap/>
          </w:tcPr>
          <w:p w14:paraId="37064AC7"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2. Kvalitet usluga trgovinske logistike:.</w:t>
            </w:r>
          </w:p>
          <w:p w14:paraId="076F8AD7" w14:textId="77777777" w:rsidR="006829C6" w:rsidRPr="0048184E" w:rsidRDefault="006829C6" w:rsidP="0048184E">
            <w:pPr>
              <w:rPr>
                <w:rFonts w:asciiTheme="minorHAnsi" w:hAnsiTheme="minorHAnsi"/>
                <w:sz w:val="18"/>
                <w:szCs w:val="18"/>
                <w:lang w:val="sr-Latn-ME" w:eastAsia="en-GB"/>
              </w:rPr>
            </w:pPr>
            <w:bookmarkStart w:id="34" w:name="_Hlk157894670"/>
            <w:r w:rsidRPr="0048184E">
              <w:rPr>
                <w:rFonts w:asciiTheme="minorHAnsi" w:hAnsiTheme="minorHAnsi"/>
                <w:sz w:val="18"/>
                <w:szCs w:val="18"/>
                <w:lang w:val="sr-Latn-ME" w:eastAsia="en-GB"/>
              </w:rPr>
              <w:t xml:space="preserve">World Bank Trade Logistics Index, </w:t>
            </w:r>
            <w:bookmarkEnd w:id="34"/>
            <w:r w:rsidRPr="0048184E">
              <w:rPr>
                <w:rFonts w:asciiTheme="minorHAnsi" w:hAnsiTheme="minorHAnsi"/>
                <w:sz w:val="18"/>
                <w:szCs w:val="18"/>
                <w:lang w:val="sr-Latn-ME" w:eastAsia="en-GB"/>
              </w:rPr>
              <w:t>rangiranje</w:t>
            </w:r>
          </w:p>
        </w:tc>
        <w:tc>
          <w:tcPr>
            <w:tcW w:w="860" w:type="pct"/>
            <w:noWrap/>
            <w:vAlign w:val="center"/>
          </w:tcPr>
          <w:p w14:paraId="5D2E05B6" w14:textId="77777777" w:rsidR="006829C6" w:rsidRPr="0048184E" w:rsidRDefault="006829C6" w:rsidP="0048184E">
            <w:pPr>
              <w:jc w:val="center"/>
              <w:rPr>
                <w:rFonts w:asciiTheme="minorHAnsi" w:hAnsiTheme="minorHAnsi"/>
                <w:sz w:val="18"/>
                <w:szCs w:val="18"/>
                <w:lang w:val="sr-Latn-ME"/>
              </w:rPr>
            </w:pPr>
            <w:r w:rsidRPr="0048184E">
              <w:rPr>
                <w:rFonts w:asciiTheme="minorHAnsi" w:hAnsiTheme="minorHAnsi"/>
                <w:sz w:val="18"/>
                <w:szCs w:val="18"/>
                <w:lang w:val="sr-Latn-ME"/>
              </w:rPr>
              <w:t xml:space="preserve">77./160  </w:t>
            </w:r>
            <w:r w:rsidRPr="0048184E">
              <w:rPr>
                <w:rFonts w:asciiTheme="minorHAnsi" w:hAnsiTheme="minorHAnsi"/>
                <w:sz w:val="18"/>
                <w:szCs w:val="18"/>
                <w:lang w:val="sr-Latn-ME"/>
              </w:rPr>
              <w:br/>
              <w:t>(2018)</w:t>
            </w:r>
          </w:p>
        </w:tc>
        <w:tc>
          <w:tcPr>
            <w:tcW w:w="665" w:type="pct"/>
            <w:noWrap/>
            <w:vAlign w:val="center"/>
          </w:tcPr>
          <w:p w14:paraId="499E0C61" w14:textId="77777777" w:rsidR="006829C6" w:rsidRPr="0048184E" w:rsidRDefault="006829C6" w:rsidP="0048184E">
            <w:pPr>
              <w:jc w:val="center"/>
              <w:rPr>
                <w:rFonts w:asciiTheme="minorHAnsi" w:hAnsiTheme="minorHAnsi"/>
                <w:sz w:val="18"/>
                <w:szCs w:val="18"/>
                <w:lang w:val="sr-Latn-ME"/>
              </w:rPr>
            </w:pPr>
            <w:r w:rsidRPr="0048184E">
              <w:rPr>
                <w:rFonts w:asciiTheme="minorHAnsi" w:hAnsiTheme="minorHAnsi"/>
                <w:sz w:val="18"/>
                <w:szCs w:val="18"/>
                <w:lang w:val="sr-Latn-ME"/>
              </w:rPr>
              <w:t>n/a</w:t>
            </w:r>
          </w:p>
        </w:tc>
        <w:tc>
          <w:tcPr>
            <w:tcW w:w="741" w:type="pct"/>
            <w:noWrap/>
            <w:vAlign w:val="center"/>
          </w:tcPr>
          <w:p w14:paraId="4F4DC95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rPr>
              <w:t>73./140</w:t>
            </w:r>
          </w:p>
        </w:tc>
      </w:tr>
      <w:tr w:rsidR="006829C6" w:rsidRPr="0048184E" w14:paraId="3ED0DB24" w14:textId="77777777" w:rsidTr="00B157BD">
        <w:trPr>
          <w:trHeight w:val="20"/>
        </w:trPr>
        <w:tc>
          <w:tcPr>
            <w:tcW w:w="2734" w:type="pct"/>
            <w:noWrap/>
          </w:tcPr>
          <w:p w14:paraId="778C0298"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3. Finansije:</w:t>
            </w:r>
          </w:p>
          <w:p w14:paraId="514C82EB" w14:textId="77777777" w:rsidR="006829C6" w:rsidRPr="0048184E" w:rsidRDefault="006829C6" w:rsidP="0048184E">
            <w:pPr>
              <w:rPr>
                <w:rFonts w:asciiTheme="minorHAnsi" w:hAnsiTheme="minorHAnsi"/>
                <w:sz w:val="18"/>
                <w:szCs w:val="18"/>
                <w:lang w:val="sr-Latn-ME" w:eastAsia="en-GB"/>
              </w:rPr>
            </w:pPr>
            <w:r w:rsidRPr="0048184E">
              <w:rPr>
                <w:rFonts w:asciiTheme="minorHAnsi" w:hAnsiTheme="minorHAnsi"/>
                <w:sz w:val="18"/>
                <w:szCs w:val="18"/>
                <w:lang w:val="sr-Latn-ME" w:eastAsia="en-GB"/>
              </w:rPr>
              <w:t>IESE Venture Capital &amp; Private Equity Country Attractiveness Index, VCPE indeks, rangiranje</w:t>
            </w:r>
          </w:p>
        </w:tc>
        <w:tc>
          <w:tcPr>
            <w:tcW w:w="860" w:type="pct"/>
            <w:noWrap/>
            <w:vAlign w:val="center"/>
          </w:tcPr>
          <w:p w14:paraId="7F475B64"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85./125</w:t>
            </w:r>
          </w:p>
          <w:p w14:paraId="6F8A0C5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(2018)</w:t>
            </w:r>
          </w:p>
        </w:tc>
        <w:tc>
          <w:tcPr>
            <w:tcW w:w="665" w:type="pct"/>
            <w:noWrap/>
            <w:vAlign w:val="center"/>
          </w:tcPr>
          <w:p w14:paraId="1E08D0C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77./125</w:t>
            </w:r>
          </w:p>
        </w:tc>
        <w:tc>
          <w:tcPr>
            <w:tcW w:w="741" w:type="pct"/>
            <w:noWrap/>
            <w:vAlign w:val="center"/>
          </w:tcPr>
          <w:p w14:paraId="533F4F45"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92./125</w:t>
            </w:r>
          </w:p>
        </w:tc>
      </w:tr>
      <w:tr w:rsidR="006829C6" w:rsidRPr="0048184E" w14:paraId="67817363" w14:textId="77777777" w:rsidTr="00B157BD">
        <w:trPr>
          <w:trHeight w:val="20"/>
        </w:trPr>
        <w:tc>
          <w:tcPr>
            <w:tcW w:w="2734" w:type="pct"/>
            <w:noWrap/>
          </w:tcPr>
          <w:p w14:paraId="6D73BC15" w14:textId="77777777" w:rsidR="006829C6" w:rsidRPr="0048184E" w:rsidRDefault="006829C6" w:rsidP="0048184E">
            <w:pPr>
              <w:rPr>
                <w:rFonts w:asciiTheme="minorHAnsi" w:hAnsiTheme="minorHAnsi"/>
                <w:b/>
                <w:bCs/>
                <w:sz w:val="18"/>
                <w:szCs w:val="18"/>
                <w:lang w:val="sr-Latn-ME" w:eastAsia="en-GB"/>
              </w:rPr>
            </w:pPr>
            <w:r w:rsidRPr="0048184E">
              <w:rPr>
                <w:rFonts w:asciiTheme="minorHAnsi" w:hAnsiTheme="minorHAnsi"/>
                <w:sz w:val="18"/>
                <w:szCs w:val="18"/>
                <w:lang w:val="sr-Latn-ME" w:eastAsia="en-GB"/>
              </w:rPr>
              <w:t>4. Digitalizacija:</w:t>
            </w:r>
          </w:p>
          <w:p w14:paraId="0C0360D3"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de-DE"/>
              </w:rPr>
              <w:t>Index  online usluga (OSI)</w:t>
            </w:r>
          </w:p>
        </w:tc>
        <w:tc>
          <w:tcPr>
            <w:tcW w:w="860" w:type="pct"/>
            <w:noWrap/>
            <w:vAlign w:val="center"/>
          </w:tcPr>
          <w:p w14:paraId="78A6476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0,6667</w:t>
            </w:r>
          </w:p>
          <w:p w14:paraId="1E0E48E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(2018)</w:t>
            </w:r>
          </w:p>
        </w:tc>
        <w:tc>
          <w:tcPr>
            <w:tcW w:w="665" w:type="pct"/>
            <w:noWrap/>
            <w:vAlign w:val="center"/>
          </w:tcPr>
          <w:p w14:paraId="2510BEE2"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0E77B79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0,55</w:t>
            </w:r>
          </w:p>
          <w:p w14:paraId="21CA433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16824E20" w14:textId="77777777" w:rsidTr="00B157BD">
        <w:trPr>
          <w:trHeight w:val="20"/>
        </w:trPr>
        <w:tc>
          <w:tcPr>
            <w:tcW w:w="2734" w:type="pct"/>
            <w:noWrap/>
          </w:tcPr>
          <w:p w14:paraId="6C349812"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5. Akt o malim preduzećima:</w:t>
            </w:r>
          </w:p>
          <w:p w14:paraId="38BAD516"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rPr>
              <w:t>SME Policy index–Preduzetničko učenje –poddimenzija 1.1.</w:t>
            </w:r>
          </w:p>
        </w:tc>
        <w:tc>
          <w:tcPr>
            <w:tcW w:w="860" w:type="pct"/>
            <w:noWrap/>
            <w:vAlign w:val="center"/>
          </w:tcPr>
          <w:p w14:paraId="728D923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4,08</w:t>
            </w:r>
          </w:p>
          <w:p w14:paraId="3C2F5765"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7F388AA4"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372BA45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4,61</w:t>
            </w:r>
          </w:p>
          <w:p w14:paraId="204BC99D"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6A229226" w14:textId="77777777" w:rsidTr="00B157BD">
        <w:trPr>
          <w:trHeight w:val="20"/>
        </w:trPr>
        <w:tc>
          <w:tcPr>
            <w:tcW w:w="2734" w:type="pct"/>
            <w:noWrap/>
          </w:tcPr>
          <w:p w14:paraId="1FFBDD0C"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6. Akt o malim preduzećima</w:t>
            </w:r>
          </w:p>
          <w:p w14:paraId="1C5BCA69"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de-DE"/>
              </w:rPr>
              <w:t>SME Policy index–Preduzetničke vještine, poddimenzija (8a)</w:t>
            </w:r>
          </w:p>
        </w:tc>
        <w:tc>
          <w:tcPr>
            <w:tcW w:w="860" w:type="pct"/>
            <w:noWrap/>
            <w:vAlign w:val="center"/>
          </w:tcPr>
          <w:p w14:paraId="0870E8B4"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2,35</w:t>
            </w:r>
          </w:p>
          <w:p w14:paraId="6E9BEA99"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6E83EC09"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56030A3B"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3,28</w:t>
            </w:r>
          </w:p>
          <w:p w14:paraId="4DAC681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028A5143" w14:textId="77777777" w:rsidTr="00B157BD">
        <w:trPr>
          <w:trHeight w:val="20"/>
        </w:trPr>
        <w:tc>
          <w:tcPr>
            <w:tcW w:w="2734" w:type="pct"/>
            <w:noWrap/>
          </w:tcPr>
          <w:p w14:paraId="4B4D9A70"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7. Akt o malim preduzećima:</w:t>
            </w:r>
          </w:p>
          <w:p w14:paraId="7B2AA455" w14:textId="77777777" w:rsidR="006829C6" w:rsidRPr="0048184E" w:rsidRDefault="006829C6" w:rsidP="0048184E">
            <w:pPr>
              <w:rPr>
                <w:rFonts w:asciiTheme="minorHAnsi" w:hAnsiTheme="minorHAnsi"/>
                <w:sz w:val="18"/>
                <w:szCs w:val="18"/>
                <w:lang w:val="sr-Latn-ME" w:eastAsia="de-DE"/>
              </w:rPr>
            </w:pPr>
            <w:r w:rsidRPr="0048184E">
              <w:rPr>
                <w:rFonts w:asciiTheme="minorHAnsi" w:hAnsiTheme="minorHAnsi"/>
                <w:sz w:val="18"/>
                <w:szCs w:val="18"/>
                <w:lang w:val="sr-Latn-ME" w:eastAsia="de-DE"/>
              </w:rPr>
              <w:t>SME Policy index–Usluge podrške za MSP, poddimenzija (5a2)</w:t>
            </w:r>
          </w:p>
        </w:tc>
        <w:tc>
          <w:tcPr>
            <w:tcW w:w="860" w:type="pct"/>
            <w:noWrap/>
            <w:vAlign w:val="center"/>
          </w:tcPr>
          <w:p w14:paraId="2DEF556E"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3,83</w:t>
            </w:r>
          </w:p>
          <w:p w14:paraId="51AD1CE0"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793994E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3111CEA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4,69</w:t>
            </w:r>
          </w:p>
          <w:p w14:paraId="13320F86"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777AC337" w14:textId="77777777" w:rsidTr="00B157BD">
        <w:trPr>
          <w:trHeight w:val="20"/>
        </w:trPr>
        <w:tc>
          <w:tcPr>
            <w:tcW w:w="2734" w:type="pct"/>
            <w:noWrap/>
          </w:tcPr>
          <w:p w14:paraId="0F5C390E"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8. Akt o malim preduzećima:</w:t>
            </w:r>
          </w:p>
          <w:p w14:paraId="60058D07" w14:textId="77777777" w:rsidR="006829C6" w:rsidRPr="0048184E" w:rsidRDefault="006829C6" w:rsidP="0048184E">
            <w:pPr>
              <w:rPr>
                <w:rFonts w:asciiTheme="minorHAnsi" w:hAnsiTheme="minorHAnsi"/>
                <w:b/>
                <w:sz w:val="18"/>
                <w:szCs w:val="18"/>
                <w:lang w:val="sr-Latn-ME"/>
              </w:rPr>
            </w:pPr>
            <w:r w:rsidRPr="0048184E">
              <w:rPr>
                <w:rFonts w:asciiTheme="minorHAnsi" w:hAnsiTheme="minorHAnsi"/>
                <w:sz w:val="18"/>
                <w:szCs w:val="18"/>
                <w:lang w:val="sr-Latn-ME"/>
              </w:rPr>
              <w:t>SME Policy index–Integracija preduzeća u globalne lance vrijednosti, poddimenzija (10.2)</w:t>
            </w:r>
          </w:p>
        </w:tc>
        <w:tc>
          <w:tcPr>
            <w:tcW w:w="860" w:type="pct"/>
            <w:noWrap/>
            <w:vAlign w:val="center"/>
          </w:tcPr>
          <w:p w14:paraId="5000263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3,09</w:t>
            </w:r>
          </w:p>
          <w:p w14:paraId="30C65882"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443E2ED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2098EAF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3,58</w:t>
            </w:r>
          </w:p>
          <w:p w14:paraId="257AEA49"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bl>
    <w:p w14:paraId="3BA006DF" w14:textId="77777777" w:rsidR="00DB7E8E" w:rsidRPr="0048184E" w:rsidRDefault="00DB7E8E" w:rsidP="0048184E">
      <w:pPr>
        <w:pStyle w:val="NoSpacing"/>
        <w:jc w:val="both"/>
        <w:rPr>
          <w:rFonts w:asciiTheme="minorHAnsi" w:hAnsiTheme="minorHAnsi"/>
          <w:sz w:val="18"/>
          <w:szCs w:val="18"/>
          <w:lang w:val="sr-Latn-ME"/>
        </w:rPr>
      </w:pPr>
    </w:p>
    <w:p w14:paraId="05347674" w14:textId="77777777" w:rsidR="00DB7E8E" w:rsidRPr="00726BE7" w:rsidRDefault="00DB7E8E" w:rsidP="0048184E">
      <w:pPr>
        <w:pStyle w:val="Heading21"/>
        <w:numPr>
          <w:ilvl w:val="1"/>
          <w:numId w:val="27"/>
        </w:numPr>
        <w:spacing w:before="0"/>
        <w:rPr>
          <w:color w:val="4472C4" w:themeColor="accent5"/>
          <w:szCs w:val="22"/>
          <w:lang w:val="pl-PL"/>
        </w:rPr>
      </w:pPr>
      <w:bookmarkStart w:id="35" w:name="_Toc205215840"/>
      <w:r w:rsidRPr="00726BE7">
        <w:rPr>
          <w:color w:val="4472C4" w:themeColor="accent5"/>
          <w:szCs w:val="22"/>
          <w:lang w:val="pl-PL"/>
        </w:rPr>
        <w:t>Indeks razvijenosti jedinica lokalne samouprave u Crnoj Gori</w:t>
      </w:r>
      <w:bookmarkEnd w:id="35"/>
    </w:p>
    <w:p w14:paraId="48B0E0A9" w14:textId="77777777" w:rsidR="00DB7E8E" w:rsidRPr="0048184E" w:rsidRDefault="00DB7E8E" w:rsidP="0048184E">
      <w:pPr>
        <w:pStyle w:val="NoSpacing"/>
        <w:jc w:val="both"/>
        <w:rPr>
          <w:rFonts w:asciiTheme="minorHAnsi" w:hAnsiTheme="minorHAnsi"/>
          <w:b/>
          <w:sz w:val="18"/>
          <w:szCs w:val="18"/>
          <w:lang w:val="sr-Latn-ME"/>
        </w:rPr>
      </w:pPr>
    </w:p>
    <w:p w14:paraId="44A786CA"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Sprovođenjem SRR 2014-2020 realizovan je veliki broj značajnih i korisnih mjera, programa i projekata koji su doprinijeli da se uslovi života i rada u mnogim JLS značajno unaprijede, po svim prioritetnim oblastima. Sintetičku ocjenu stanja i ostvarenog progresa moguće je predstaviti </w:t>
      </w:r>
      <w:r w:rsidRPr="0048184E">
        <w:rPr>
          <w:rFonts w:asciiTheme="minorHAnsi" w:hAnsiTheme="minorHAnsi"/>
          <w:b/>
          <w:sz w:val="18"/>
          <w:szCs w:val="18"/>
          <w:lang w:val="sr-Latn-ME"/>
        </w:rPr>
        <w:t>Indeksom razvijenosti jedinice lokalne samouprave Crne Gore</w:t>
      </w:r>
      <w:r w:rsidRPr="0048184E">
        <w:rPr>
          <w:rFonts w:asciiTheme="minorHAnsi" w:hAnsiTheme="minorHAnsi"/>
          <w:sz w:val="18"/>
          <w:szCs w:val="18"/>
          <w:lang w:val="sr-Latn-ME"/>
        </w:rPr>
        <w:t xml:space="preserve">, prikazom pokazatelja iz dva razvojna podperioda. Indeks razvijenosti za period 2019-2021. godina, </w:t>
      </w:r>
      <w:r w:rsidRPr="0048184E">
        <w:rPr>
          <w:rFonts w:asciiTheme="minorHAnsi" w:hAnsiTheme="minorHAnsi"/>
          <w:b/>
          <w:sz w:val="18"/>
          <w:szCs w:val="18"/>
          <w:lang w:val="sr-Latn-ME"/>
        </w:rPr>
        <w:t xml:space="preserve">pokazuje smanjenje regionalnih razlika između JLS </w:t>
      </w:r>
      <w:r w:rsidRPr="0048184E">
        <w:rPr>
          <w:rFonts w:asciiTheme="minorHAnsi" w:hAnsiTheme="minorHAnsi"/>
          <w:sz w:val="18"/>
          <w:szCs w:val="18"/>
          <w:lang w:val="sr-Latn-ME"/>
        </w:rPr>
        <w:t xml:space="preserve">u odnosu na period 2016-2018. godina, kada je sprovedeno prethodno mjerenje, a takođe ukazuje na </w:t>
      </w:r>
      <w:r w:rsidRPr="0048184E">
        <w:rPr>
          <w:rFonts w:asciiTheme="minorHAnsi" w:hAnsiTheme="minorHAnsi"/>
          <w:b/>
          <w:sz w:val="18"/>
          <w:szCs w:val="18"/>
          <w:lang w:val="sr-Latn-ME"/>
        </w:rPr>
        <w:t>povećanje stepena razvijenosti nekoliko JLS</w:t>
      </w:r>
      <w:r w:rsidRPr="0048184E">
        <w:rPr>
          <w:rFonts w:asciiTheme="minorHAnsi" w:hAnsiTheme="minorHAnsi"/>
          <w:sz w:val="18"/>
          <w:szCs w:val="18"/>
          <w:lang w:val="sr-Latn-ME"/>
        </w:rPr>
        <w:t xml:space="preserve"> sa Sjevera u odnosu na prethodni period.</w:t>
      </w:r>
    </w:p>
    <w:p w14:paraId="69EAD397" w14:textId="77777777" w:rsidR="00DB7E8E" w:rsidRPr="0048184E" w:rsidRDefault="00DB7E8E" w:rsidP="0048184E">
      <w:pPr>
        <w:pStyle w:val="NoSpacing"/>
        <w:jc w:val="both"/>
        <w:rPr>
          <w:rFonts w:asciiTheme="minorHAnsi" w:hAnsiTheme="minorHAnsi"/>
          <w:sz w:val="18"/>
          <w:szCs w:val="18"/>
          <w:lang w:val="sr-Latn-ME"/>
        </w:rPr>
      </w:pPr>
    </w:p>
    <w:p w14:paraId="70C42A62"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Prema indeksu razvijenosti 2019-2021 (koji naknadno uključuje i podatak za opštinu Tuzi), crnogorske JLS strukturirane su u pet grupa. Iznad prosjeka je 5 JLS (četiri primorske opštine i Podgorica), pri čemu Budva ima najveći indikator razvijenosti od 142.68.</w:t>
      </w:r>
    </w:p>
    <w:p w14:paraId="309AEC56" w14:textId="77777777" w:rsidR="00DB7E8E" w:rsidRPr="0048184E" w:rsidRDefault="00DB7E8E" w:rsidP="0048184E">
      <w:pPr>
        <w:pStyle w:val="NoSpacing"/>
        <w:jc w:val="both"/>
        <w:rPr>
          <w:rFonts w:asciiTheme="minorHAnsi" w:hAnsiTheme="minorHAnsi"/>
          <w:sz w:val="18"/>
          <w:szCs w:val="18"/>
          <w:lang w:val="sr-Latn-ME"/>
        </w:rPr>
      </w:pPr>
    </w:p>
    <w:p w14:paraId="42696719" w14:textId="77777777" w:rsidR="00DB7E8E" w:rsidRDefault="00DB7E8E"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Ispod crnogorskog prosjeka razvijenosti je 19 od 24 opštine za koje je mjeren indeks razvijenosti, što govori o značajnom razvojnom jazu između JLS u Crnoj Gori</w:t>
      </w:r>
      <w:r w:rsidRPr="0048184E">
        <w:rPr>
          <w:rFonts w:asciiTheme="minorHAnsi" w:hAnsiTheme="minorHAnsi"/>
          <w:sz w:val="18"/>
          <w:szCs w:val="18"/>
          <w:lang w:val="sr-Latn-ME"/>
        </w:rPr>
        <w:t>. Sve opštine Sjevernog regiona su u ovoj kategoriji, od kojih su ispod 50% razvijenosti opštine Petnjica, Rožaje, Gusinje i Plav. U kategoriji 50-75% razvijenosti, po ovom indeksu, nalaze se opštine Andrijevica, Tuzi, Berane, Šavnik, Bijelo Polje. U odnosu na prethodno mjerenje, povećan je broj opština bližih crnogorskom prosjeku razvijenosti, tj. intervalu od 75% do 100%, sa 7 na 10 opština (Bar, Ulcinj, Cetinje, Nikšić, Danilovgrad, Žabljak, Plužine, Pljevlja, Kolašin, Mojkovac), pri čemu je povećan stepen razvijenosti za Kolašin i Mojkovac, a smanjen za Bar. U narednoj tabeli dat je pregled indeksa razvijenosti za dva pod-perioda.</w:t>
      </w:r>
    </w:p>
    <w:p w14:paraId="60A50B56" w14:textId="77777777" w:rsidR="00EC14B9" w:rsidRPr="0048184E" w:rsidRDefault="00EC14B9" w:rsidP="0048184E">
      <w:pPr>
        <w:pStyle w:val="NoSpacing"/>
        <w:jc w:val="both"/>
        <w:rPr>
          <w:rFonts w:asciiTheme="minorHAnsi" w:hAnsiTheme="minorHAnsi"/>
          <w:sz w:val="18"/>
          <w:szCs w:val="18"/>
          <w:lang w:val="sr-Latn-ME"/>
        </w:rPr>
      </w:pPr>
    </w:p>
    <w:p w14:paraId="36B0D99B" w14:textId="77777777" w:rsidR="00DB7E8E" w:rsidRPr="00EC14B9" w:rsidRDefault="00DB7E8E" w:rsidP="00EC14B9">
      <w:pPr>
        <w:pStyle w:val="NoSpacing"/>
        <w:jc w:val="center"/>
        <w:rPr>
          <w:rFonts w:asciiTheme="minorHAnsi" w:hAnsiTheme="minorHAnsi"/>
          <w:b/>
          <w:color w:val="4472C4" w:themeColor="accent5"/>
          <w:sz w:val="18"/>
          <w:szCs w:val="18"/>
          <w:lang w:val="sr-Latn-ME"/>
        </w:rPr>
      </w:pPr>
      <w:r w:rsidRPr="00EC14B9">
        <w:rPr>
          <w:rFonts w:asciiTheme="minorHAnsi" w:hAnsiTheme="minorHAnsi"/>
          <w:b/>
          <w:color w:val="4472C4" w:themeColor="accent5"/>
          <w:sz w:val="18"/>
          <w:szCs w:val="18"/>
          <w:lang w:val="sr-Latn-ME"/>
        </w:rPr>
        <w:t>Tabela</w:t>
      </w:r>
      <w:r w:rsidR="00EC14B9" w:rsidRPr="00EC14B9">
        <w:rPr>
          <w:rFonts w:asciiTheme="minorHAnsi" w:hAnsiTheme="minorHAnsi"/>
          <w:b/>
          <w:color w:val="4472C4" w:themeColor="accent5"/>
          <w:sz w:val="18"/>
          <w:szCs w:val="18"/>
          <w:lang w:val="sr-Latn-ME"/>
        </w:rPr>
        <w:t xml:space="preserve"> 12</w:t>
      </w:r>
      <w:r w:rsidRPr="00EC14B9">
        <w:rPr>
          <w:rFonts w:asciiTheme="minorHAnsi" w:hAnsiTheme="minorHAnsi"/>
          <w:b/>
          <w:color w:val="4472C4" w:themeColor="accent5"/>
          <w:sz w:val="18"/>
          <w:szCs w:val="18"/>
          <w:lang w:val="sr-Latn-ME"/>
        </w:rPr>
        <w:t>. Indeks razvijenosti JLS Crne Gore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173"/>
        <w:gridCol w:w="1173"/>
        <w:gridCol w:w="1111"/>
        <w:gridCol w:w="1051"/>
        <w:gridCol w:w="1173"/>
        <w:gridCol w:w="1173"/>
        <w:gridCol w:w="1111"/>
      </w:tblGrid>
      <w:tr w:rsidR="00DB7E8E" w:rsidRPr="0048184E" w14:paraId="0F53BFE7" w14:textId="77777777" w:rsidTr="00A445B6">
        <w:tc>
          <w:tcPr>
            <w:tcW w:w="4788" w:type="dxa"/>
            <w:gridSpan w:val="4"/>
            <w:shd w:val="clear" w:color="auto" w:fill="D9E2F3"/>
          </w:tcPr>
          <w:p w14:paraId="3998D059"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2019-2021</w:t>
            </w:r>
          </w:p>
        </w:tc>
        <w:tc>
          <w:tcPr>
            <w:tcW w:w="4788" w:type="dxa"/>
            <w:gridSpan w:val="4"/>
            <w:shd w:val="clear" w:color="auto" w:fill="E7E6E6"/>
          </w:tcPr>
          <w:p w14:paraId="367DB349"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2016-2018</w:t>
            </w:r>
          </w:p>
        </w:tc>
      </w:tr>
      <w:tr w:rsidR="0048184E" w:rsidRPr="00FB3BDC" w14:paraId="5882C290" w14:textId="77777777" w:rsidTr="00A445B6">
        <w:tc>
          <w:tcPr>
            <w:tcW w:w="1197" w:type="dxa"/>
            <w:shd w:val="clear" w:color="auto" w:fill="auto"/>
          </w:tcPr>
          <w:p w14:paraId="1AF5C63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197" w:type="dxa"/>
            <w:shd w:val="clear" w:color="auto" w:fill="auto"/>
          </w:tcPr>
          <w:p w14:paraId="61C2799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(CG=100)</w:t>
            </w:r>
          </w:p>
        </w:tc>
        <w:tc>
          <w:tcPr>
            <w:tcW w:w="1197" w:type="dxa"/>
            <w:shd w:val="clear" w:color="auto" w:fill="auto"/>
          </w:tcPr>
          <w:p w14:paraId="7CBF332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razvijenosti JLS</w:t>
            </w:r>
          </w:p>
        </w:tc>
        <w:tc>
          <w:tcPr>
            <w:tcW w:w="1197" w:type="dxa"/>
            <w:shd w:val="clear" w:color="auto" w:fill="auto"/>
          </w:tcPr>
          <w:p w14:paraId="4E1A39D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 odnosu na prosjek CG</w:t>
            </w:r>
          </w:p>
        </w:tc>
        <w:tc>
          <w:tcPr>
            <w:tcW w:w="1197" w:type="dxa"/>
            <w:shd w:val="clear" w:color="auto" w:fill="auto"/>
          </w:tcPr>
          <w:p w14:paraId="5F29722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197" w:type="dxa"/>
            <w:shd w:val="clear" w:color="auto" w:fill="auto"/>
          </w:tcPr>
          <w:p w14:paraId="540C15F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(CG=100)</w:t>
            </w:r>
          </w:p>
        </w:tc>
        <w:tc>
          <w:tcPr>
            <w:tcW w:w="1197" w:type="dxa"/>
            <w:shd w:val="clear" w:color="auto" w:fill="auto"/>
          </w:tcPr>
          <w:p w14:paraId="6EB42EA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razvijenosti JLS</w:t>
            </w:r>
          </w:p>
        </w:tc>
        <w:tc>
          <w:tcPr>
            <w:tcW w:w="1197" w:type="dxa"/>
            <w:shd w:val="clear" w:color="auto" w:fill="auto"/>
          </w:tcPr>
          <w:p w14:paraId="116E88C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 odnosu na prosjek CG</w:t>
            </w:r>
          </w:p>
        </w:tc>
      </w:tr>
      <w:tr w:rsidR="0048184E" w:rsidRPr="0048184E" w14:paraId="4157CC08" w14:textId="77777777" w:rsidTr="00A445B6">
        <w:tc>
          <w:tcPr>
            <w:tcW w:w="1197" w:type="dxa"/>
            <w:shd w:val="clear" w:color="auto" w:fill="D9E2F3"/>
          </w:tcPr>
          <w:p w14:paraId="2B6F00F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BD</w:t>
            </w:r>
          </w:p>
        </w:tc>
        <w:tc>
          <w:tcPr>
            <w:tcW w:w="1197" w:type="dxa"/>
            <w:shd w:val="clear" w:color="auto" w:fill="D9E2F3"/>
          </w:tcPr>
          <w:p w14:paraId="5C84670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142.68</w:t>
            </w:r>
          </w:p>
        </w:tc>
        <w:tc>
          <w:tcPr>
            <w:tcW w:w="1197" w:type="dxa"/>
            <w:shd w:val="clear" w:color="auto" w:fill="D9E2F3"/>
          </w:tcPr>
          <w:p w14:paraId="5E71884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c>
          <w:tcPr>
            <w:tcW w:w="1197" w:type="dxa"/>
            <w:vMerge w:val="restart"/>
            <w:shd w:val="clear" w:color="auto" w:fill="D9E2F3"/>
          </w:tcPr>
          <w:p w14:paraId="4486EF7A"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Iznad 125%</w:t>
            </w:r>
          </w:p>
        </w:tc>
        <w:tc>
          <w:tcPr>
            <w:tcW w:w="1197" w:type="dxa"/>
            <w:shd w:val="clear" w:color="auto" w:fill="E7E6E6"/>
          </w:tcPr>
          <w:p w14:paraId="079DFEA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BD</w:t>
            </w:r>
          </w:p>
        </w:tc>
        <w:tc>
          <w:tcPr>
            <w:tcW w:w="1197" w:type="dxa"/>
            <w:shd w:val="clear" w:color="auto" w:fill="E7E6E6"/>
          </w:tcPr>
          <w:p w14:paraId="5340072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157.01</w:t>
            </w:r>
          </w:p>
        </w:tc>
        <w:tc>
          <w:tcPr>
            <w:tcW w:w="1197" w:type="dxa"/>
            <w:shd w:val="clear" w:color="auto" w:fill="E7E6E6"/>
          </w:tcPr>
          <w:p w14:paraId="5A5ED7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c>
          <w:tcPr>
            <w:tcW w:w="1197" w:type="dxa"/>
            <w:vMerge w:val="restart"/>
            <w:shd w:val="clear" w:color="auto" w:fill="E7E6E6"/>
          </w:tcPr>
          <w:p w14:paraId="0371D728"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Iznad 125%</w:t>
            </w:r>
          </w:p>
        </w:tc>
      </w:tr>
      <w:tr w:rsidR="0048184E" w:rsidRPr="0048184E" w14:paraId="6B95B4C4" w14:textId="77777777" w:rsidTr="00A445B6">
        <w:tc>
          <w:tcPr>
            <w:tcW w:w="1197" w:type="dxa"/>
            <w:shd w:val="clear" w:color="auto" w:fill="D9E2F3"/>
          </w:tcPr>
          <w:p w14:paraId="603B391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TV</w:t>
            </w:r>
          </w:p>
        </w:tc>
        <w:tc>
          <w:tcPr>
            <w:tcW w:w="1197" w:type="dxa"/>
            <w:shd w:val="clear" w:color="auto" w:fill="D9E2F3"/>
          </w:tcPr>
          <w:p w14:paraId="5B099CD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128.76</w:t>
            </w:r>
          </w:p>
        </w:tc>
        <w:tc>
          <w:tcPr>
            <w:tcW w:w="1197" w:type="dxa"/>
            <w:shd w:val="clear" w:color="auto" w:fill="D9E2F3"/>
          </w:tcPr>
          <w:p w14:paraId="1AD3BA0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c>
          <w:tcPr>
            <w:tcW w:w="1197" w:type="dxa"/>
            <w:vMerge/>
            <w:shd w:val="clear" w:color="auto" w:fill="D9E2F3"/>
          </w:tcPr>
          <w:p w14:paraId="47938B89"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E7E6E6"/>
          </w:tcPr>
          <w:p w14:paraId="025CD21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TV</w:t>
            </w:r>
          </w:p>
        </w:tc>
        <w:tc>
          <w:tcPr>
            <w:tcW w:w="1197" w:type="dxa"/>
            <w:shd w:val="clear" w:color="auto" w:fill="E7E6E6"/>
          </w:tcPr>
          <w:p w14:paraId="3DF3EB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133.83</w:t>
            </w:r>
          </w:p>
        </w:tc>
        <w:tc>
          <w:tcPr>
            <w:tcW w:w="1197" w:type="dxa"/>
            <w:shd w:val="clear" w:color="auto" w:fill="E7E6E6"/>
          </w:tcPr>
          <w:p w14:paraId="519BD49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c>
          <w:tcPr>
            <w:tcW w:w="1197" w:type="dxa"/>
            <w:vMerge/>
            <w:shd w:val="clear" w:color="auto" w:fill="E7E6E6"/>
          </w:tcPr>
          <w:p w14:paraId="6236CE50"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1F407450" w14:textId="77777777" w:rsidTr="00A445B6">
        <w:tc>
          <w:tcPr>
            <w:tcW w:w="1197" w:type="dxa"/>
            <w:shd w:val="clear" w:color="auto" w:fill="auto"/>
          </w:tcPr>
          <w:p w14:paraId="6944BE0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lastRenderedPageBreak/>
              <w:t>PG</w:t>
            </w:r>
          </w:p>
        </w:tc>
        <w:tc>
          <w:tcPr>
            <w:tcW w:w="1197" w:type="dxa"/>
            <w:shd w:val="clear" w:color="auto" w:fill="auto"/>
          </w:tcPr>
          <w:p w14:paraId="0D3A47D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122.85</w:t>
            </w:r>
          </w:p>
        </w:tc>
        <w:tc>
          <w:tcPr>
            <w:tcW w:w="1197" w:type="dxa"/>
            <w:shd w:val="clear" w:color="auto" w:fill="auto"/>
          </w:tcPr>
          <w:p w14:paraId="0FE2D94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c>
          <w:tcPr>
            <w:tcW w:w="1197" w:type="dxa"/>
            <w:vMerge w:val="restart"/>
            <w:shd w:val="clear" w:color="auto" w:fill="auto"/>
          </w:tcPr>
          <w:p w14:paraId="0CB627ED"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100-125%</w:t>
            </w:r>
          </w:p>
        </w:tc>
        <w:tc>
          <w:tcPr>
            <w:tcW w:w="1197" w:type="dxa"/>
            <w:shd w:val="clear" w:color="auto" w:fill="auto"/>
          </w:tcPr>
          <w:p w14:paraId="43266C3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PG</w:t>
            </w:r>
          </w:p>
        </w:tc>
        <w:tc>
          <w:tcPr>
            <w:tcW w:w="1197" w:type="dxa"/>
            <w:shd w:val="clear" w:color="auto" w:fill="auto"/>
          </w:tcPr>
          <w:p w14:paraId="3413426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121.12</w:t>
            </w:r>
          </w:p>
        </w:tc>
        <w:tc>
          <w:tcPr>
            <w:tcW w:w="1197" w:type="dxa"/>
            <w:shd w:val="clear" w:color="auto" w:fill="auto"/>
          </w:tcPr>
          <w:p w14:paraId="61E6D53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c>
          <w:tcPr>
            <w:tcW w:w="1197" w:type="dxa"/>
            <w:vMerge w:val="restart"/>
            <w:shd w:val="clear" w:color="auto" w:fill="auto"/>
          </w:tcPr>
          <w:p w14:paraId="6F8D6AA0"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100-125%</w:t>
            </w:r>
          </w:p>
        </w:tc>
      </w:tr>
      <w:tr w:rsidR="0048184E" w:rsidRPr="0048184E" w14:paraId="082A72D4" w14:textId="77777777" w:rsidTr="00A445B6">
        <w:tc>
          <w:tcPr>
            <w:tcW w:w="1197" w:type="dxa"/>
            <w:shd w:val="clear" w:color="auto" w:fill="auto"/>
          </w:tcPr>
          <w:p w14:paraId="06BAE20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HN</w:t>
            </w:r>
          </w:p>
        </w:tc>
        <w:tc>
          <w:tcPr>
            <w:tcW w:w="1197" w:type="dxa"/>
            <w:shd w:val="clear" w:color="auto" w:fill="auto"/>
          </w:tcPr>
          <w:p w14:paraId="4A7DEC8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117.27</w:t>
            </w:r>
          </w:p>
        </w:tc>
        <w:tc>
          <w:tcPr>
            <w:tcW w:w="1197" w:type="dxa"/>
            <w:shd w:val="clear" w:color="auto" w:fill="auto"/>
          </w:tcPr>
          <w:p w14:paraId="5BE7C38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c>
          <w:tcPr>
            <w:tcW w:w="1197" w:type="dxa"/>
            <w:vMerge/>
            <w:shd w:val="clear" w:color="auto" w:fill="auto"/>
          </w:tcPr>
          <w:p w14:paraId="654596CB"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39B6C7C8"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w:t>
            </w:r>
          </w:p>
        </w:tc>
        <w:tc>
          <w:tcPr>
            <w:tcW w:w="1197" w:type="dxa"/>
            <w:shd w:val="clear" w:color="auto" w:fill="auto"/>
          </w:tcPr>
          <w:p w14:paraId="341B1BE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118.91</w:t>
            </w:r>
          </w:p>
        </w:tc>
        <w:tc>
          <w:tcPr>
            <w:tcW w:w="1197" w:type="dxa"/>
            <w:shd w:val="clear" w:color="auto" w:fill="auto"/>
          </w:tcPr>
          <w:p w14:paraId="0F0B058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c>
          <w:tcPr>
            <w:tcW w:w="1197" w:type="dxa"/>
            <w:vMerge/>
            <w:shd w:val="clear" w:color="auto" w:fill="auto"/>
          </w:tcPr>
          <w:p w14:paraId="34DFC8E3"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63DCED4D" w14:textId="77777777" w:rsidTr="00A445B6">
        <w:tc>
          <w:tcPr>
            <w:tcW w:w="1197" w:type="dxa"/>
            <w:shd w:val="clear" w:color="auto" w:fill="auto"/>
          </w:tcPr>
          <w:p w14:paraId="5F83D1A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w:t>
            </w:r>
          </w:p>
        </w:tc>
        <w:tc>
          <w:tcPr>
            <w:tcW w:w="1197" w:type="dxa"/>
            <w:shd w:val="clear" w:color="auto" w:fill="auto"/>
          </w:tcPr>
          <w:p w14:paraId="5F0E0A8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116.33</w:t>
            </w:r>
          </w:p>
        </w:tc>
        <w:tc>
          <w:tcPr>
            <w:tcW w:w="1197" w:type="dxa"/>
            <w:shd w:val="clear" w:color="auto" w:fill="auto"/>
          </w:tcPr>
          <w:p w14:paraId="38B7566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c>
          <w:tcPr>
            <w:tcW w:w="1197" w:type="dxa"/>
            <w:vMerge/>
            <w:shd w:val="clear" w:color="auto" w:fill="auto"/>
          </w:tcPr>
          <w:p w14:paraId="6C7A9A70"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36839F8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HN</w:t>
            </w:r>
          </w:p>
        </w:tc>
        <w:tc>
          <w:tcPr>
            <w:tcW w:w="1197" w:type="dxa"/>
            <w:shd w:val="clear" w:color="auto" w:fill="auto"/>
          </w:tcPr>
          <w:p w14:paraId="728C5DD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115.53</w:t>
            </w:r>
          </w:p>
        </w:tc>
        <w:tc>
          <w:tcPr>
            <w:tcW w:w="1197" w:type="dxa"/>
            <w:shd w:val="clear" w:color="auto" w:fill="auto"/>
          </w:tcPr>
          <w:p w14:paraId="0DF9638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c>
          <w:tcPr>
            <w:tcW w:w="1197" w:type="dxa"/>
            <w:vMerge/>
            <w:shd w:val="clear" w:color="auto" w:fill="auto"/>
          </w:tcPr>
          <w:p w14:paraId="336C7BFA"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4276BC9B" w14:textId="77777777" w:rsidTr="00A445B6">
        <w:tc>
          <w:tcPr>
            <w:tcW w:w="1197" w:type="dxa"/>
            <w:shd w:val="clear" w:color="auto" w:fill="D9E2F3"/>
          </w:tcPr>
          <w:p w14:paraId="2D8887C1"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CT</w:t>
            </w:r>
          </w:p>
        </w:tc>
        <w:tc>
          <w:tcPr>
            <w:tcW w:w="1197" w:type="dxa"/>
            <w:shd w:val="clear" w:color="auto" w:fill="D9E2F3"/>
          </w:tcPr>
          <w:p w14:paraId="69CCB65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99.29</w:t>
            </w:r>
          </w:p>
        </w:tc>
        <w:tc>
          <w:tcPr>
            <w:tcW w:w="1197" w:type="dxa"/>
            <w:shd w:val="clear" w:color="auto" w:fill="D9E2F3"/>
          </w:tcPr>
          <w:p w14:paraId="6D7C803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c>
          <w:tcPr>
            <w:tcW w:w="1197" w:type="dxa"/>
            <w:vMerge w:val="restart"/>
            <w:shd w:val="clear" w:color="auto" w:fill="D9E2F3"/>
          </w:tcPr>
          <w:p w14:paraId="5C4FE944"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75-100%</w:t>
            </w:r>
          </w:p>
        </w:tc>
        <w:tc>
          <w:tcPr>
            <w:tcW w:w="1197" w:type="dxa"/>
            <w:shd w:val="clear" w:color="auto" w:fill="auto"/>
          </w:tcPr>
          <w:p w14:paraId="00B4B88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BR</w:t>
            </w:r>
          </w:p>
        </w:tc>
        <w:tc>
          <w:tcPr>
            <w:tcW w:w="1197" w:type="dxa"/>
            <w:shd w:val="clear" w:color="auto" w:fill="auto"/>
          </w:tcPr>
          <w:p w14:paraId="301829A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100.53</w:t>
            </w:r>
          </w:p>
        </w:tc>
        <w:tc>
          <w:tcPr>
            <w:tcW w:w="1197" w:type="dxa"/>
            <w:shd w:val="clear" w:color="auto" w:fill="auto"/>
          </w:tcPr>
          <w:p w14:paraId="2A02A2E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c>
          <w:tcPr>
            <w:tcW w:w="1197" w:type="dxa"/>
            <w:vMerge/>
            <w:shd w:val="clear" w:color="auto" w:fill="auto"/>
          </w:tcPr>
          <w:p w14:paraId="422FE526"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40FE7BB7" w14:textId="77777777" w:rsidTr="00A445B6">
        <w:tc>
          <w:tcPr>
            <w:tcW w:w="1197" w:type="dxa"/>
            <w:shd w:val="clear" w:color="auto" w:fill="D9E2F3"/>
          </w:tcPr>
          <w:p w14:paraId="602E67B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BR</w:t>
            </w:r>
          </w:p>
        </w:tc>
        <w:tc>
          <w:tcPr>
            <w:tcW w:w="1197" w:type="dxa"/>
            <w:shd w:val="clear" w:color="auto" w:fill="D9E2F3"/>
          </w:tcPr>
          <w:p w14:paraId="6F4DB66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98.79</w:t>
            </w:r>
          </w:p>
        </w:tc>
        <w:tc>
          <w:tcPr>
            <w:tcW w:w="1197" w:type="dxa"/>
            <w:shd w:val="clear" w:color="auto" w:fill="D9E2F3"/>
          </w:tcPr>
          <w:p w14:paraId="135BDFA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c>
          <w:tcPr>
            <w:tcW w:w="1197" w:type="dxa"/>
            <w:vMerge/>
            <w:shd w:val="clear" w:color="auto" w:fill="D9E2F3"/>
          </w:tcPr>
          <w:p w14:paraId="46A070F9"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141ACFB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DG</w:t>
            </w:r>
          </w:p>
        </w:tc>
        <w:tc>
          <w:tcPr>
            <w:tcW w:w="1197" w:type="dxa"/>
            <w:shd w:val="clear" w:color="auto" w:fill="E7E6E6"/>
          </w:tcPr>
          <w:p w14:paraId="63A0198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94.97</w:t>
            </w:r>
          </w:p>
        </w:tc>
        <w:tc>
          <w:tcPr>
            <w:tcW w:w="1197" w:type="dxa"/>
            <w:shd w:val="clear" w:color="auto" w:fill="E7E6E6"/>
          </w:tcPr>
          <w:p w14:paraId="0FFFBBF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c>
          <w:tcPr>
            <w:tcW w:w="1197" w:type="dxa"/>
            <w:vMerge w:val="restart"/>
            <w:shd w:val="clear" w:color="auto" w:fill="E7E6E6"/>
          </w:tcPr>
          <w:p w14:paraId="60DAB27E"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75-100%</w:t>
            </w:r>
          </w:p>
        </w:tc>
      </w:tr>
      <w:tr w:rsidR="0048184E" w:rsidRPr="0048184E" w14:paraId="5175AA74" w14:textId="77777777" w:rsidTr="00A445B6">
        <w:tc>
          <w:tcPr>
            <w:tcW w:w="1197" w:type="dxa"/>
            <w:shd w:val="clear" w:color="auto" w:fill="D9E2F3"/>
          </w:tcPr>
          <w:p w14:paraId="7DDD038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DG</w:t>
            </w:r>
          </w:p>
        </w:tc>
        <w:tc>
          <w:tcPr>
            <w:tcW w:w="1197" w:type="dxa"/>
            <w:shd w:val="clear" w:color="auto" w:fill="D9E2F3"/>
          </w:tcPr>
          <w:p w14:paraId="22DE43E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98.69</w:t>
            </w:r>
          </w:p>
        </w:tc>
        <w:tc>
          <w:tcPr>
            <w:tcW w:w="1197" w:type="dxa"/>
            <w:shd w:val="clear" w:color="auto" w:fill="D9E2F3"/>
          </w:tcPr>
          <w:p w14:paraId="43DF4B7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c>
          <w:tcPr>
            <w:tcW w:w="1197" w:type="dxa"/>
            <w:vMerge/>
            <w:shd w:val="clear" w:color="auto" w:fill="D9E2F3"/>
          </w:tcPr>
          <w:p w14:paraId="685F9CBA"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370C6CC1"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NK</w:t>
            </w:r>
          </w:p>
        </w:tc>
        <w:tc>
          <w:tcPr>
            <w:tcW w:w="1197" w:type="dxa"/>
            <w:shd w:val="clear" w:color="auto" w:fill="E7E6E6"/>
          </w:tcPr>
          <w:p w14:paraId="72B4F22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93.54</w:t>
            </w:r>
          </w:p>
        </w:tc>
        <w:tc>
          <w:tcPr>
            <w:tcW w:w="1197" w:type="dxa"/>
            <w:shd w:val="clear" w:color="auto" w:fill="E7E6E6"/>
          </w:tcPr>
          <w:p w14:paraId="22BA3A9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c>
          <w:tcPr>
            <w:tcW w:w="1197" w:type="dxa"/>
            <w:vMerge/>
            <w:shd w:val="clear" w:color="auto" w:fill="E7E6E6"/>
          </w:tcPr>
          <w:p w14:paraId="5D66F298"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758750DD" w14:textId="77777777" w:rsidTr="00A445B6">
        <w:tc>
          <w:tcPr>
            <w:tcW w:w="1197" w:type="dxa"/>
            <w:shd w:val="clear" w:color="auto" w:fill="D9E2F3"/>
          </w:tcPr>
          <w:p w14:paraId="2A18F9EF"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NK</w:t>
            </w:r>
          </w:p>
        </w:tc>
        <w:tc>
          <w:tcPr>
            <w:tcW w:w="1197" w:type="dxa"/>
            <w:shd w:val="clear" w:color="auto" w:fill="D9E2F3"/>
          </w:tcPr>
          <w:p w14:paraId="1B391ED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96.14</w:t>
            </w:r>
          </w:p>
        </w:tc>
        <w:tc>
          <w:tcPr>
            <w:tcW w:w="1197" w:type="dxa"/>
            <w:shd w:val="clear" w:color="auto" w:fill="D9E2F3"/>
          </w:tcPr>
          <w:p w14:paraId="7960EFD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c>
          <w:tcPr>
            <w:tcW w:w="1197" w:type="dxa"/>
            <w:vMerge/>
            <w:shd w:val="clear" w:color="auto" w:fill="D9E2F3"/>
          </w:tcPr>
          <w:p w14:paraId="16DE5E8E"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6BDE37D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CT</w:t>
            </w:r>
          </w:p>
        </w:tc>
        <w:tc>
          <w:tcPr>
            <w:tcW w:w="1197" w:type="dxa"/>
            <w:shd w:val="clear" w:color="auto" w:fill="E7E6E6"/>
          </w:tcPr>
          <w:p w14:paraId="47110D2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91.19</w:t>
            </w:r>
          </w:p>
        </w:tc>
        <w:tc>
          <w:tcPr>
            <w:tcW w:w="1197" w:type="dxa"/>
            <w:shd w:val="clear" w:color="auto" w:fill="E7E6E6"/>
          </w:tcPr>
          <w:p w14:paraId="7433115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c>
          <w:tcPr>
            <w:tcW w:w="1197" w:type="dxa"/>
            <w:vMerge/>
            <w:shd w:val="clear" w:color="auto" w:fill="E7E6E6"/>
          </w:tcPr>
          <w:p w14:paraId="662D5E4B"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4A86FC6" w14:textId="77777777" w:rsidTr="00A445B6">
        <w:tc>
          <w:tcPr>
            <w:tcW w:w="1197" w:type="dxa"/>
            <w:shd w:val="clear" w:color="auto" w:fill="D9E2F3"/>
          </w:tcPr>
          <w:p w14:paraId="6336248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ŽB</w:t>
            </w:r>
          </w:p>
        </w:tc>
        <w:tc>
          <w:tcPr>
            <w:tcW w:w="1197" w:type="dxa"/>
            <w:shd w:val="clear" w:color="auto" w:fill="D9E2F3"/>
          </w:tcPr>
          <w:p w14:paraId="2F23F4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95.45</w:t>
            </w:r>
          </w:p>
        </w:tc>
        <w:tc>
          <w:tcPr>
            <w:tcW w:w="1197" w:type="dxa"/>
            <w:shd w:val="clear" w:color="auto" w:fill="D9E2F3"/>
          </w:tcPr>
          <w:p w14:paraId="1165124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c>
          <w:tcPr>
            <w:tcW w:w="1197" w:type="dxa"/>
            <w:vMerge/>
            <w:shd w:val="clear" w:color="auto" w:fill="D9E2F3"/>
          </w:tcPr>
          <w:p w14:paraId="6D7BF4DA"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476D4A1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ŽB</w:t>
            </w:r>
          </w:p>
        </w:tc>
        <w:tc>
          <w:tcPr>
            <w:tcW w:w="1197" w:type="dxa"/>
            <w:shd w:val="clear" w:color="auto" w:fill="E7E6E6"/>
          </w:tcPr>
          <w:p w14:paraId="46BFB6E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89.98</w:t>
            </w:r>
          </w:p>
        </w:tc>
        <w:tc>
          <w:tcPr>
            <w:tcW w:w="1197" w:type="dxa"/>
            <w:shd w:val="clear" w:color="auto" w:fill="E7E6E6"/>
          </w:tcPr>
          <w:p w14:paraId="43D8D3B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c>
          <w:tcPr>
            <w:tcW w:w="1197" w:type="dxa"/>
            <w:vMerge/>
            <w:shd w:val="clear" w:color="auto" w:fill="E7E6E6"/>
          </w:tcPr>
          <w:p w14:paraId="703F3A31"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4322FC5" w14:textId="77777777" w:rsidTr="00A445B6">
        <w:tc>
          <w:tcPr>
            <w:tcW w:w="1197" w:type="dxa"/>
            <w:shd w:val="clear" w:color="auto" w:fill="D9E2F3"/>
          </w:tcPr>
          <w:p w14:paraId="0CD4D01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PŽ</w:t>
            </w:r>
          </w:p>
        </w:tc>
        <w:tc>
          <w:tcPr>
            <w:tcW w:w="1197" w:type="dxa"/>
            <w:shd w:val="clear" w:color="auto" w:fill="D9E2F3"/>
          </w:tcPr>
          <w:p w14:paraId="5B3F5E3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83.27</w:t>
            </w:r>
          </w:p>
        </w:tc>
        <w:tc>
          <w:tcPr>
            <w:tcW w:w="1197" w:type="dxa"/>
            <w:shd w:val="clear" w:color="auto" w:fill="D9E2F3"/>
          </w:tcPr>
          <w:p w14:paraId="290F353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c>
          <w:tcPr>
            <w:tcW w:w="1197" w:type="dxa"/>
            <w:vMerge/>
            <w:shd w:val="clear" w:color="auto" w:fill="D9E2F3"/>
          </w:tcPr>
          <w:p w14:paraId="477A07ED"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2F8EF3B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UL</w:t>
            </w:r>
          </w:p>
        </w:tc>
        <w:tc>
          <w:tcPr>
            <w:tcW w:w="1197" w:type="dxa"/>
            <w:shd w:val="clear" w:color="auto" w:fill="E7E6E6"/>
          </w:tcPr>
          <w:p w14:paraId="1A28FE3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83.47</w:t>
            </w:r>
          </w:p>
        </w:tc>
        <w:tc>
          <w:tcPr>
            <w:tcW w:w="1197" w:type="dxa"/>
            <w:shd w:val="clear" w:color="auto" w:fill="E7E6E6"/>
          </w:tcPr>
          <w:p w14:paraId="31AE319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c>
          <w:tcPr>
            <w:tcW w:w="1197" w:type="dxa"/>
            <w:vMerge/>
            <w:shd w:val="clear" w:color="auto" w:fill="E7E6E6"/>
          </w:tcPr>
          <w:p w14:paraId="02B0657D"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16607CF9" w14:textId="77777777" w:rsidTr="00A445B6">
        <w:tc>
          <w:tcPr>
            <w:tcW w:w="1197" w:type="dxa"/>
            <w:shd w:val="clear" w:color="auto" w:fill="D9E2F3"/>
          </w:tcPr>
          <w:p w14:paraId="545F7DB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PV</w:t>
            </w:r>
          </w:p>
        </w:tc>
        <w:tc>
          <w:tcPr>
            <w:tcW w:w="1197" w:type="dxa"/>
            <w:shd w:val="clear" w:color="auto" w:fill="D9E2F3"/>
          </w:tcPr>
          <w:p w14:paraId="6E66F4E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81.47</w:t>
            </w:r>
          </w:p>
        </w:tc>
        <w:tc>
          <w:tcPr>
            <w:tcW w:w="1197" w:type="dxa"/>
            <w:shd w:val="clear" w:color="auto" w:fill="D9E2F3"/>
          </w:tcPr>
          <w:p w14:paraId="7ECF165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c>
          <w:tcPr>
            <w:tcW w:w="1197" w:type="dxa"/>
            <w:vMerge/>
            <w:shd w:val="clear" w:color="auto" w:fill="D9E2F3"/>
          </w:tcPr>
          <w:p w14:paraId="699802C1"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7AEA48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PŽ</w:t>
            </w:r>
          </w:p>
        </w:tc>
        <w:tc>
          <w:tcPr>
            <w:tcW w:w="1197" w:type="dxa"/>
            <w:shd w:val="clear" w:color="auto" w:fill="E7E6E6"/>
          </w:tcPr>
          <w:p w14:paraId="51EA463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82.35</w:t>
            </w:r>
          </w:p>
        </w:tc>
        <w:tc>
          <w:tcPr>
            <w:tcW w:w="1197" w:type="dxa"/>
            <w:shd w:val="clear" w:color="auto" w:fill="E7E6E6"/>
          </w:tcPr>
          <w:p w14:paraId="2394021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c>
          <w:tcPr>
            <w:tcW w:w="1197" w:type="dxa"/>
            <w:vMerge/>
            <w:shd w:val="clear" w:color="auto" w:fill="E7E6E6"/>
          </w:tcPr>
          <w:p w14:paraId="00213E52"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11B3E30C" w14:textId="77777777" w:rsidTr="00A445B6">
        <w:tc>
          <w:tcPr>
            <w:tcW w:w="1197" w:type="dxa"/>
            <w:shd w:val="clear" w:color="auto" w:fill="D9E2F3"/>
          </w:tcPr>
          <w:p w14:paraId="0EA7243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KL</w:t>
            </w:r>
          </w:p>
        </w:tc>
        <w:tc>
          <w:tcPr>
            <w:tcW w:w="1197" w:type="dxa"/>
            <w:shd w:val="clear" w:color="auto" w:fill="D9E2F3"/>
          </w:tcPr>
          <w:p w14:paraId="3D2620D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80.47</w:t>
            </w:r>
          </w:p>
        </w:tc>
        <w:tc>
          <w:tcPr>
            <w:tcW w:w="1197" w:type="dxa"/>
            <w:shd w:val="clear" w:color="auto" w:fill="D9E2F3"/>
          </w:tcPr>
          <w:p w14:paraId="7AC5CA1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c>
          <w:tcPr>
            <w:tcW w:w="1197" w:type="dxa"/>
            <w:vMerge/>
            <w:shd w:val="clear" w:color="auto" w:fill="D9E2F3"/>
          </w:tcPr>
          <w:p w14:paraId="10E6FAC6"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82F41B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PV</w:t>
            </w:r>
          </w:p>
        </w:tc>
        <w:tc>
          <w:tcPr>
            <w:tcW w:w="1197" w:type="dxa"/>
            <w:shd w:val="clear" w:color="auto" w:fill="E7E6E6"/>
          </w:tcPr>
          <w:p w14:paraId="17F9D84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78.55</w:t>
            </w:r>
          </w:p>
        </w:tc>
        <w:tc>
          <w:tcPr>
            <w:tcW w:w="1197" w:type="dxa"/>
            <w:shd w:val="clear" w:color="auto" w:fill="E7E6E6"/>
          </w:tcPr>
          <w:p w14:paraId="66EA4BB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c>
          <w:tcPr>
            <w:tcW w:w="1197" w:type="dxa"/>
            <w:vMerge/>
            <w:shd w:val="clear" w:color="auto" w:fill="E7E6E6"/>
          </w:tcPr>
          <w:p w14:paraId="4566BED6"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3C01CE33" w14:textId="77777777" w:rsidTr="00A445B6">
        <w:tc>
          <w:tcPr>
            <w:tcW w:w="1197" w:type="dxa"/>
            <w:shd w:val="clear" w:color="auto" w:fill="D9E2F3"/>
          </w:tcPr>
          <w:p w14:paraId="3D1A0BE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UL</w:t>
            </w:r>
          </w:p>
        </w:tc>
        <w:tc>
          <w:tcPr>
            <w:tcW w:w="1197" w:type="dxa"/>
            <w:shd w:val="clear" w:color="auto" w:fill="D9E2F3"/>
          </w:tcPr>
          <w:p w14:paraId="2B46FD1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79.11</w:t>
            </w:r>
          </w:p>
        </w:tc>
        <w:tc>
          <w:tcPr>
            <w:tcW w:w="1197" w:type="dxa"/>
            <w:shd w:val="clear" w:color="auto" w:fill="D9E2F3"/>
          </w:tcPr>
          <w:p w14:paraId="5D67942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c>
          <w:tcPr>
            <w:tcW w:w="1197" w:type="dxa"/>
            <w:vMerge/>
            <w:shd w:val="clear" w:color="auto" w:fill="D9E2F3"/>
          </w:tcPr>
          <w:p w14:paraId="69AC46C1"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auto"/>
          </w:tcPr>
          <w:p w14:paraId="1123541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KL</w:t>
            </w:r>
          </w:p>
        </w:tc>
        <w:tc>
          <w:tcPr>
            <w:tcW w:w="1197" w:type="dxa"/>
            <w:shd w:val="clear" w:color="auto" w:fill="auto"/>
          </w:tcPr>
          <w:p w14:paraId="135E11D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74.11</w:t>
            </w:r>
          </w:p>
        </w:tc>
        <w:tc>
          <w:tcPr>
            <w:tcW w:w="1197" w:type="dxa"/>
            <w:shd w:val="clear" w:color="auto" w:fill="auto"/>
          </w:tcPr>
          <w:p w14:paraId="1ADEEE8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c>
          <w:tcPr>
            <w:tcW w:w="1197" w:type="dxa"/>
            <w:vMerge w:val="restart"/>
            <w:shd w:val="clear" w:color="auto" w:fill="auto"/>
          </w:tcPr>
          <w:p w14:paraId="7572465A"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50-75%</w:t>
            </w:r>
          </w:p>
        </w:tc>
      </w:tr>
      <w:tr w:rsidR="0048184E" w:rsidRPr="0048184E" w14:paraId="7311ACE5" w14:textId="77777777" w:rsidTr="00A445B6">
        <w:tc>
          <w:tcPr>
            <w:tcW w:w="1197" w:type="dxa"/>
            <w:shd w:val="clear" w:color="auto" w:fill="D9E2F3"/>
          </w:tcPr>
          <w:p w14:paraId="2C505CC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MK</w:t>
            </w:r>
          </w:p>
        </w:tc>
        <w:tc>
          <w:tcPr>
            <w:tcW w:w="1197" w:type="dxa"/>
            <w:shd w:val="clear" w:color="auto" w:fill="D9E2F3"/>
          </w:tcPr>
          <w:p w14:paraId="22035D5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77.48</w:t>
            </w:r>
          </w:p>
        </w:tc>
        <w:tc>
          <w:tcPr>
            <w:tcW w:w="1197" w:type="dxa"/>
            <w:shd w:val="clear" w:color="auto" w:fill="D9E2F3"/>
          </w:tcPr>
          <w:p w14:paraId="7620846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c>
          <w:tcPr>
            <w:tcW w:w="1197" w:type="dxa"/>
            <w:vMerge/>
            <w:shd w:val="clear" w:color="auto" w:fill="D9E2F3"/>
          </w:tcPr>
          <w:p w14:paraId="58856825"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auto"/>
          </w:tcPr>
          <w:p w14:paraId="10F93AC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MK</w:t>
            </w:r>
          </w:p>
        </w:tc>
        <w:tc>
          <w:tcPr>
            <w:tcW w:w="1197" w:type="dxa"/>
            <w:shd w:val="clear" w:color="auto" w:fill="auto"/>
          </w:tcPr>
          <w:p w14:paraId="44505D8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73.48</w:t>
            </w:r>
          </w:p>
        </w:tc>
        <w:tc>
          <w:tcPr>
            <w:tcW w:w="1197" w:type="dxa"/>
            <w:shd w:val="clear" w:color="auto" w:fill="auto"/>
          </w:tcPr>
          <w:p w14:paraId="5A21B6B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c>
          <w:tcPr>
            <w:tcW w:w="1197" w:type="dxa"/>
            <w:vMerge/>
            <w:shd w:val="clear" w:color="auto" w:fill="auto"/>
          </w:tcPr>
          <w:p w14:paraId="5A6BC281"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22D8A90A" w14:textId="77777777" w:rsidTr="00A445B6">
        <w:tc>
          <w:tcPr>
            <w:tcW w:w="1197" w:type="dxa"/>
            <w:shd w:val="clear" w:color="auto" w:fill="auto"/>
          </w:tcPr>
          <w:p w14:paraId="0822CBD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BP</w:t>
            </w:r>
          </w:p>
        </w:tc>
        <w:tc>
          <w:tcPr>
            <w:tcW w:w="1197" w:type="dxa"/>
            <w:shd w:val="clear" w:color="auto" w:fill="auto"/>
          </w:tcPr>
          <w:p w14:paraId="39F2103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71.15</w:t>
            </w:r>
          </w:p>
        </w:tc>
        <w:tc>
          <w:tcPr>
            <w:tcW w:w="1197" w:type="dxa"/>
            <w:shd w:val="clear" w:color="auto" w:fill="auto"/>
          </w:tcPr>
          <w:p w14:paraId="1665723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c>
          <w:tcPr>
            <w:tcW w:w="1197" w:type="dxa"/>
            <w:vMerge w:val="restart"/>
            <w:shd w:val="clear" w:color="auto" w:fill="auto"/>
          </w:tcPr>
          <w:p w14:paraId="4CDB6618"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50-75%</w:t>
            </w:r>
          </w:p>
        </w:tc>
        <w:tc>
          <w:tcPr>
            <w:tcW w:w="1197" w:type="dxa"/>
            <w:shd w:val="clear" w:color="auto" w:fill="auto"/>
          </w:tcPr>
          <w:p w14:paraId="17E896D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ŠN</w:t>
            </w:r>
          </w:p>
        </w:tc>
        <w:tc>
          <w:tcPr>
            <w:tcW w:w="1197" w:type="dxa"/>
            <w:shd w:val="clear" w:color="auto" w:fill="auto"/>
          </w:tcPr>
          <w:p w14:paraId="50EE793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66.47</w:t>
            </w:r>
          </w:p>
        </w:tc>
        <w:tc>
          <w:tcPr>
            <w:tcW w:w="1197" w:type="dxa"/>
            <w:shd w:val="clear" w:color="auto" w:fill="auto"/>
          </w:tcPr>
          <w:p w14:paraId="67ACE9A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c>
          <w:tcPr>
            <w:tcW w:w="1197" w:type="dxa"/>
            <w:vMerge/>
            <w:shd w:val="clear" w:color="auto" w:fill="auto"/>
          </w:tcPr>
          <w:p w14:paraId="6F8D829D"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354CAD1F" w14:textId="77777777" w:rsidTr="00A445B6">
        <w:tc>
          <w:tcPr>
            <w:tcW w:w="1197" w:type="dxa"/>
            <w:shd w:val="clear" w:color="auto" w:fill="auto"/>
          </w:tcPr>
          <w:p w14:paraId="6CD99C9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ŠN</w:t>
            </w:r>
          </w:p>
        </w:tc>
        <w:tc>
          <w:tcPr>
            <w:tcW w:w="1197" w:type="dxa"/>
            <w:shd w:val="clear" w:color="auto" w:fill="auto"/>
          </w:tcPr>
          <w:p w14:paraId="7359B41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70.81</w:t>
            </w:r>
          </w:p>
        </w:tc>
        <w:tc>
          <w:tcPr>
            <w:tcW w:w="1197" w:type="dxa"/>
            <w:shd w:val="clear" w:color="auto" w:fill="auto"/>
          </w:tcPr>
          <w:p w14:paraId="535E787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c>
          <w:tcPr>
            <w:tcW w:w="1197" w:type="dxa"/>
            <w:vMerge/>
            <w:shd w:val="clear" w:color="auto" w:fill="auto"/>
          </w:tcPr>
          <w:p w14:paraId="6A3FA021"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25EEEF5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BP</w:t>
            </w:r>
          </w:p>
        </w:tc>
        <w:tc>
          <w:tcPr>
            <w:tcW w:w="1197" w:type="dxa"/>
            <w:shd w:val="clear" w:color="auto" w:fill="auto"/>
          </w:tcPr>
          <w:p w14:paraId="5A610F9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64.78</w:t>
            </w:r>
          </w:p>
        </w:tc>
        <w:tc>
          <w:tcPr>
            <w:tcW w:w="1197" w:type="dxa"/>
            <w:shd w:val="clear" w:color="auto" w:fill="auto"/>
          </w:tcPr>
          <w:p w14:paraId="58A0AB3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c>
          <w:tcPr>
            <w:tcW w:w="1197" w:type="dxa"/>
            <w:vMerge/>
            <w:shd w:val="clear" w:color="auto" w:fill="auto"/>
          </w:tcPr>
          <w:p w14:paraId="26D43046"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077493A1" w14:textId="77777777" w:rsidTr="00A445B6">
        <w:tc>
          <w:tcPr>
            <w:tcW w:w="1197" w:type="dxa"/>
            <w:shd w:val="clear" w:color="auto" w:fill="auto"/>
          </w:tcPr>
          <w:p w14:paraId="599A40DF"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TZ</w:t>
            </w:r>
          </w:p>
        </w:tc>
        <w:tc>
          <w:tcPr>
            <w:tcW w:w="1197" w:type="dxa"/>
            <w:shd w:val="clear" w:color="auto" w:fill="auto"/>
          </w:tcPr>
          <w:p w14:paraId="0DB7973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63.45</w:t>
            </w:r>
          </w:p>
        </w:tc>
        <w:tc>
          <w:tcPr>
            <w:tcW w:w="1197" w:type="dxa"/>
            <w:shd w:val="clear" w:color="auto" w:fill="auto"/>
          </w:tcPr>
          <w:p w14:paraId="5730B1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c>
          <w:tcPr>
            <w:tcW w:w="1197" w:type="dxa"/>
            <w:vMerge/>
            <w:shd w:val="clear" w:color="auto" w:fill="auto"/>
          </w:tcPr>
          <w:p w14:paraId="020A2541"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5A43E58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w:t>
            </w:r>
          </w:p>
        </w:tc>
        <w:tc>
          <w:tcPr>
            <w:tcW w:w="1197" w:type="dxa"/>
            <w:shd w:val="clear" w:color="auto" w:fill="auto"/>
          </w:tcPr>
          <w:p w14:paraId="79C9981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58.43</w:t>
            </w:r>
          </w:p>
        </w:tc>
        <w:tc>
          <w:tcPr>
            <w:tcW w:w="1197" w:type="dxa"/>
            <w:shd w:val="clear" w:color="auto" w:fill="auto"/>
          </w:tcPr>
          <w:p w14:paraId="45DC29E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c>
          <w:tcPr>
            <w:tcW w:w="1197" w:type="dxa"/>
            <w:vMerge/>
            <w:shd w:val="clear" w:color="auto" w:fill="auto"/>
          </w:tcPr>
          <w:p w14:paraId="2A407FD3"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34243348" w14:textId="77777777" w:rsidTr="00A445B6">
        <w:tc>
          <w:tcPr>
            <w:tcW w:w="1197" w:type="dxa"/>
            <w:shd w:val="clear" w:color="auto" w:fill="auto"/>
          </w:tcPr>
          <w:p w14:paraId="1E50300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w:t>
            </w:r>
          </w:p>
        </w:tc>
        <w:tc>
          <w:tcPr>
            <w:tcW w:w="1197" w:type="dxa"/>
            <w:shd w:val="clear" w:color="auto" w:fill="auto"/>
          </w:tcPr>
          <w:p w14:paraId="054F3A4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62.86</w:t>
            </w:r>
          </w:p>
        </w:tc>
        <w:tc>
          <w:tcPr>
            <w:tcW w:w="1197" w:type="dxa"/>
            <w:shd w:val="clear" w:color="auto" w:fill="auto"/>
          </w:tcPr>
          <w:p w14:paraId="4B7BCFC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c>
          <w:tcPr>
            <w:tcW w:w="1197" w:type="dxa"/>
            <w:vMerge/>
            <w:shd w:val="clear" w:color="auto" w:fill="auto"/>
          </w:tcPr>
          <w:p w14:paraId="67DE9CD1"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6232FF7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TZ</w:t>
            </w:r>
          </w:p>
        </w:tc>
        <w:tc>
          <w:tcPr>
            <w:tcW w:w="1197" w:type="dxa"/>
            <w:shd w:val="clear" w:color="auto" w:fill="auto"/>
          </w:tcPr>
          <w:p w14:paraId="597FC7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56.35</w:t>
            </w:r>
          </w:p>
        </w:tc>
        <w:tc>
          <w:tcPr>
            <w:tcW w:w="1197" w:type="dxa"/>
            <w:shd w:val="clear" w:color="auto" w:fill="auto"/>
          </w:tcPr>
          <w:p w14:paraId="160EE3D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c>
          <w:tcPr>
            <w:tcW w:w="1197" w:type="dxa"/>
            <w:vMerge/>
            <w:shd w:val="clear" w:color="auto" w:fill="auto"/>
          </w:tcPr>
          <w:p w14:paraId="54469DE5"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1873FFC" w14:textId="77777777" w:rsidTr="00A445B6">
        <w:tc>
          <w:tcPr>
            <w:tcW w:w="1197" w:type="dxa"/>
            <w:shd w:val="clear" w:color="auto" w:fill="auto"/>
          </w:tcPr>
          <w:p w14:paraId="6BD029D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w:t>
            </w:r>
          </w:p>
        </w:tc>
        <w:tc>
          <w:tcPr>
            <w:tcW w:w="1197" w:type="dxa"/>
            <w:shd w:val="clear" w:color="auto" w:fill="auto"/>
          </w:tcPr>
          <w:p w14:paraId="2BE32C4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54.37</w:t>
            </w:r>
          </w:p>
        </w:tc>
        <w:tc>
          <w:tcPr>
            <w:tcW w:w="1197" w:type="dxa"/>
            <w:shd w:val="clear" w:color="auto" w:fill="auto"/>
          </w:tcPr>
          <w:p w14:paraId="45255DC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c>
          <w:tcPr>
            <w:tcW w:w="1197" w:type="dxa"/>
            <w:vMerge/>
            <w:shd w:val="clear" w:color="auto" w:fill="auto"/>
          </w:tcPr>
          <w:p w14:paraId="458C7769"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38CDCD3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w:t>
            </w:r>
          </w:p>
        </w:tc>
        <w:tc>
          <w:tcPr>
            <w:tcW w:w="1197" w:type="dxa"/>
            <w:shd w:val="clear" w:color="auto" w:fill="auto"/>
          </w:tcPr>
          <w:p w14:paraId="4A476BA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52.73</w:t>
            </w:r>
          </w:p>
        </w:tc>
        <w:tc>
          <w:tcPr>
            <w:tcW w:w="1197" w:type="dxa"/>
            <w:shd w:val="clear" w:color="auto" w:fill="auto"/>
          </w:tcPr>
          <w:p w14:paraId="30FB003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c>
          <w:tcPr>
            <w:tcW w:w="1197" w:type="dxa"/>
            <w:vMerge/>
            <w:shd w:val="clear" w:color="auto" w:fill="auto"/>
          </w:tcPr>
          <w:p w14:paraId="28438663"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08A04D35" w14:textId="77777777" w:rsidTr="00A445B6">
        <w:tc>
          <w:tcPr>
            <w:tcW w:w="1197" w:type="dxa"/>
            <w:shd w:val="clear" w:color="auto" w:fill="D9E2F3"/>
          </w:tcPr>
          <w:p w14:paraId="7CAE6CF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w:t>
            </w:r>
          </w:p>
        </w:tc>
        <w:tc>
          <w:tcPr>
            <w:tcW w:w="1197" w:type="dxa"/>
            <w:shd w:val="clear" w:color="auto" w:fill="D9E2F3"/>
          </w:tcPr>
          <w:p w14:paraId="4A97A92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48.70</w:t>
            </w:r>
          </w:p>
        </w:tc>
        <w:tc>
          <w:tcPr>
            <w:tcW w:w="1197" w:type="dxa"/>
            <w:shd w:val="clear" w:color="auto" w:fill="D9E2F3"/>
          </w:tcPr>
          <w:p w14:paraId="3740500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c>
          <w:tcPr>
            <w:tcW w:w="1197" w:type="dxa"/>
            <w:vMerge w:val="restart"/>
            <w:shd w:val="clear" w:color="auto" w:fill="D9E2F3"/>
          </w:tcPr>
          <w:p w14:paraId="3949D0E3"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Ispod 50%</w:t>
            </w:r>
          </w:p>
        </w:tc>
        <w:tc>
          <w:tcPr>
            <w:tcW w:w="1197" w:type="dxa"/>
            <w:shd w:val="clear" w:color="auto" w:fill="E7E6E6"/>
          </w:tcPr>
          <w:p w14:paraId="5FDF79D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w:t>
            </w:r>
          </w:p>
        </w:tc>
        <w:tc>
          <w:tcPr>
            <w:tcW w:w="1197" w:type="dxa"/>
            <w:shd w:val="clear" w:color="auto" w:fill="E7E6E6"/>
          </w:tcPr>
          <w:p w14:paraId="1B52241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47.24</w:t>
            </w:r>
          </w:p>
        </w:tc>
        <w:tc>
          <w:tcPr>
            <w:tcW w:w="1197" w:type="dxa"/>
            <w:shd w:val="clear" w:color="auto" w:fill="E7E6E6"/>
          </w:tcPr>
          <w:p w14:paraId="393F714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c>
          <w:tcPr>
            <w:tcW w:w="1197" w:type="dxa"/>
            <w:vMerge w:val="restart"/>
            <w:shd w:val="clear" w:color="auto" w:fill="E7E6E6"/>
          </w:tcPr>
          <w:p w14:paraId="51E99259"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Ispod 50%</w:t>
            </w:r>
          </w:p>
        </w:tc>
      </w:tr>
      <w:tr w:rsidR="0048184E" w:rsidRPr="0048184E" w14:paraId="0E7E9449" w14:textId="77777777" w:rsidTr="00A445B6">
        <w:tc>
          <w:tcPr>
            <w:tcW w:w="1197" w:type="dxa"/>
            <w:shd w:val="clear" w:color="auto" w:fill="D9E2F3"/>
          </w:tcPr>
          <w:p w14:paraId="08BE9AD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GS</w:t>
            </w:r>
          </w:p>
        </w:tc>
        <w:tc>
          <w:tcPr>
            <w:tcW w:w="1197" w:type="dxa"/>
            <w:shd w:val="clear" w:color="auto" w:fill="D9E2F3"/>
          </w:tcPr>
          <w:p w14:paraId="1345C5A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48.10</w:t>
            </w:r>
          </w:p>
        </w:tc>
        <w:tc>
          <w:tcPr>
            <w:tcW w:w="1197" w:type="dxa"/>
            <w:shd w:val="clear" w:color="auto" w:fill="D9E2F3"/>
          </w:tcPr>
          <w:p w14:paraId="76BC51F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c>
          <w:tcPr>
            <w:tcW w:w="1197" w:type="dxa"/>
            <w:vMerge/>
            <w:shd w:val="clear" w:color="auto" w:fill="D9E2F3"/>
          </w:tcPr>
          <w:p w14:paraId="31A13059"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FC8820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GS</w:t>
            </w:r>
          </w:p>
        </w:tc>
        <w:tc>
          <w:tcPr>
            <w:tcW w:w="1197" w:type="dxa"/>
            <w:shd w:val="clear" w:color="auto" w:fill="E7E6E6"/>
          </w:tcPr>
          <w:p w14:paraId="1A31FDA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43.96</w:t>
            </w:r>
          </w:p>
        </w:tc>
        <w:tc>
          <w:tcPr>
            <w:tcW w:w="1197" w:type="dxa"/>
            <w:shd w:val="clear" w:color="auto" w:fill="E7E6E6"/>
          </w:tcPr>
          <w:p w14:paraId="0ADC836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c>
          <w:tcPr>
            <w:tcW w:w="1197" w:type="dxa"/>
            <w:vMerge/>
            <w:shd w:val="clear" w:color="auto" w:fill="E7E6E6"/>
          </w:tcPr>
          <w:p w14:paraId="48A8CAF2"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097BA07A" w14:textId="77777777" w:rsidTr="00A445B6">
        <w:tc>
          <w:tcPr>
            <w:tcW w:w="1197" w:type="dxa"/>
            <w:shd w:val="clear" w:color="auto" w:fill="D9E2F3"/>
          </w:tcPr>
          <w:p w14:paraId="290B7D5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w:t>
            </w:r>
          </w:p>
        </w:tc>
        <w:tc>
          <w:tcPr>
            <w:tcW w:w="1197" w:type="dxa"/>
            <w:shd w:val="clear" w:color="auto" w:fill="D9E2F3"/>
          </w:tcPr>
          <w:p w14:paraId="38D4AE7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44.27</w:t>
            </w:r>
          </w:p>
        </w:tc>
        <w:tc>
          <w:tcPr>
            <w:tcW w:w="1197" w:type="dxa"/>
            <w:shd w:val="clear" w:color="auto" w:fill="D9E2F3"/>
          </w:tcPr>
          <w:p w14:paraId="523559E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c>
          <w:tcPr>
            <w:tcW w:w="1197" w:type="dxa"/>
            <w:vMerge/>
            <w:shd w:val="clear" w:color="auto" w:fill="D9E2F3"/>
          </w:tcPr>
          <w:p w14:paraId="63C7C55E"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1EB930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w:t>
            </w:r>
          </w:p>
        </w:tc>
        <w:tc>
          <w:tcPr>
            <w:tcW w:w="1197" w:type="dxa"/>
            <w:shd w:val="clear" w:color="auto" w:fill="E7E6E6"/>
          </w:tcPr>
          <w:p w14:paraId="4574FC6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41.60</w:t>
            </w:r>
          </w:p>
        </w:tc>
        <w:tc>
          <w:tcPr>
            <w:tcW w:w="1197" w:type="dxa"/>
            <w:shd w:val="clear" w:color="auto" w:fill="E7E6E6"/>
          </w:tcPr>
          <w:p w14:paraId="34044C2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c>
          <w:tcPr>
            <w:tcW w:w="1197" w:type="dxa"/>
            <w:vMerge/>
            <w:shd w:val="clear" w:color="auto" w:fill="E7E6E6"/>
          </w:tcPr>
          <w:p w14:paraId="23EB006A"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5D26D2C" w14:textId="77777777" w:rsidTr="00A445B6">
        <w:tc>
          <w:tcPr>
            <w:tcW w:w="1197" w:type="dxa"/>
            <w:shd w:val="clear" w:color="auto" w:fill="D9E2F3"/>
          </w:tcPr>
          <w:p w14:paraId="66C8241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PT</w:t>
            </w:r>
          </w:p>
        </w:tc>
        <w:tc>
          <w:tcPr>
            <w:tcW w:w="1197" w:type="dxa"/>
            <w:shd w:val="clear" w:color="auto" w:fill="D9E2F3"/>
          </w:tcPr>
          <w:p w14:paraId="271E446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28.32</w:t>
            </w:r>
          </w:p>
        </w:tc>
        <w:tc>
          <w:tcPr>
            <w:tcW w:w="1197" w:type="dxa"/>
            <w:shd w:val="clear" w:color="auto" w:fill="D9E2F3"/>
          </w:tcPr>
          <w:p w14:paraId="4F33E5E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24</w:t>
            </w:r>
          </w:p>
        </w:tc>
        <w:tc>
          <w:tcPr>
            <w:tcW w:w="1197" w:type="dxa"/>
            <w:vMerge/>
            <w:shd w:val="clear" w:color="auto" w:fill="D9E2F3"/>
          </w:tcPr>
          <w:p w14:paraId="1507ED18"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6C1F763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PT</w:t>
            </w:r>
          </w:p>
        </w:tc>
        <w:tc>
          <w:tcPr>
            <w:tcW w:w="1197" w:type="dxa"/>
            <w:shd w:val="clear" w:color="auto" w:fill="E7E6E6"/>
          </w:tcPr>
          <w:p w14:paraId="0E06837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28.13</w:t>
            </w:r>
          </w:p>
        </w:tc>
        <w:tc>
          <w:tcPr>
            <w:tcW w:w="1197" w:type="dxa"/>
            <w:shd w:val="clear" w:color="auto" w:fill="E7E6E6"/>
          </w:tcPr>
          <w:p w14:paraId="2AEED06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24</w:t>
            </w:r>
          </w:p>
        </w:tc>
        <w:tc>
          <w:tcPr>
            <w:tcW w:w="1197" w:type="dxa"/>
            <w:vMerge/>
            <w:shd w:val="clear" w:color="auto" w:fill="E7E6E6"/>
          </w:tcPr>
          <w:p w14:paraId="26BD437A" w14:textId="77777777" w:rsidR="00DB7E8E" w:rsidRPr="0048184E" w:rsidRDefault="00DB7E8E" w:rsidP="0048184E">
            <w:pPr>
              <w:pStyle w:val="NoSpacing"/>
              <w:rPr>
                <w:rFonts w:asciiTheme="minorHAnsi" w:hAnsiTheme="minorHAnsi" w:cs="Calibri"/>
                <w:sz w:val="18"/>
                <w:szCs w:val="18"/>
                <w:lang w:val="sr-Latn-ME"/>
              </w:rPr>
            </w:pPr>
          </w:p>
        </w:tc>
      </w:tr>
    </w:tbl>
    <w:p w14:paraId="34B30042" w14:textId="77777777" w:rsidR="00DB7E8E" w:rsidRPr="0048184E" w:rsidRDefault="0054581F" w:rsidP="0048184E">
      <w:pPr>
        <w:pStyle w:val="NoSpacing"/>
        <w:rPr>
          <w:rFonts w:asciiTheme="minorHAnsi" w:hAnsiTheme="minorHAnsi"/>
          <w:i/>
          <w:iCs/>
          <w:sz w:val="18"/>
          <w:szCs w:val="18"/>
          <w:lang w:val="sr-Latn-ME"/>
        </w:rPr>
      </w:pPr>
      <w:r>
        <w:rPr>
          <w:rFonts w:asciiTheme="minorHAnsi" w:hAnsiTheme="minorHAnsi"/>
          <w:i/>
          <w:iCs/>
          <w:sz w:val="18"/>
          <w:szCs w:val="18"/>
          <w:lang w:val="sr-Latn-ME"/>
        </w:rPr>
        <w:t>Izvor: MIRN</w:t>
      </w:r>
    </w:p>
    <w:p w14:paraId="521DC48F" w14:textId="77777777" w:rsidR="00DB7E8E" w:rsidRPr="0048184E" w:rsidRDefault="00DB7E8E" w:rsidP="0048184E">
      <w:pPr>
        <w:pStyle w:val="NoSpacing"/>
        <w:jc w:val="center"/>
        <w:rPr>
          <w:rFonts w:asciiTheme="minorHAnsi" w:hAnsiTheme="minorHAnsi"/>
          <w:sz w:val="18"/>
          <w:szCs w:val="18"/>
          <w:lang w:val="sr-Latn-ME"/>
        </w:rPr>
      </w:pPr>
    </w:p>
    <w:p w14:paraId="5B0A80F5" w14:textId="77777777" w:rsidR="00DB7E8E" w:rsidRPr="0048184E" w:rsidRDefault="00DB7E8E" w:rsidP="0048184E">
      <w:pPr>
        <w:pStyle w:val="NoSpacing"/>
        <w:jc w:val="both"/>
        <w:rPr>
          <w:rFonts w:asciiTheme="minorHAnsi" w:hAnsiTheme="minorHAnsi"/>
          <w:bCs/>
          <w:sz w:val="18"/>
          <w:szCs w:val="18"/>
          <w:lang w:val="sr-Latn-ME"/>
        </w:rPr>
      </w:pPr>
      <w:r w:rsidRPr="0048184E">
        <w:rPr>
          <w:rFonts w:asciiTheme="minorHAnsi" w:hAnsiTheme="minorHAnsi"/>
          <w:bCs/>
          <w:sz w:val="18"/>
          <w:szCs w:val="18"/>
          <w:lang w:val="sr-Latn-ME"/>
        </w:rPr>
        <w:t xml:space="preserve">Promjenom metodologije i smanjenjem broja indikatora, </w:t>
      </w:r>
      <w:r w:rsidRPr="0048184E">
        <w:rPr>
          <w:rFonts w:asciiTheme="minorHAnsi" w:hAnsiTheme="minorHAnsi"/>
          <w:b/>
          <w:bCs/>
          <w:sz w:val="18"/>
          <w:szCs w:val="18"/>
          <w:lang w:val="sr-Latn-ME"/>
        </w:rPr>
        <w:t>raspon u nivou razvijenosti</w:t>
      </w:r>
      <w:r w:rsidRPr="0048184E">
        <w:rPr>
          <w:rFonts w:asciiTheme="minorHAnsi" w:hAnsiTheme="minorHAnsi"/>
          <w:bCs/>
          <w:sz w:val="18"/>
          <w:szCs w:val="18"/>
          <w:lang w:val="sr-Latn-ME"/>
        </w:rPr>
        <w:t xml:space="preserve"> smanjen je sa </w:t>
      </w:r>
      <w:r w:rsidRPr="0048184E">
        <w:rPr>
          <w:rFonts w:asciiTheme="minorHAnsi" w:hAnsiTheme="minorHAnsi"/>
          <w:b/>
          <w:bCs/>
          <w:sz w:val="18"/>
          <w:szCs w:val="18"/>
          <w:lang w:val="sr-Latn-ME"/>
        </w:rPr>
        <w:t>157:28</w:t>
      </w:r>
      <w:r w:rsidRPr="0048184E">
        <w:rPr>
          <w:rFonts w:asciiTheme="minorHAnsi" w:hAnsiTheme="minorHAnsi"/>
          <w:bCs/>
          <w:sz w:val="18"/>
          <w:szCs w:val="18"/>
          <w:lang w:val="sr-Latn-ME"/>
        </w:rPr>
        <w:t xml:space="preserve"> na </w:t>
      </w:r>
      <w:r w:rsidRPr="0048184E">
        <w:rPr>
          <w:rFonts w:asciiTheme="minorHAnsi" w:hAnsiTheme="minorHAnsi"/>
          <w:b/>
          <w:bCs/>
          <w:sz w:val="18"/>
          <w:szCs w:val="18"/>
          <w:lang w:val="sr-Latn-ME"/>
        </w:rPr>
        <w:t>142:28</w:t>
      </w:r>
      <w:r w:rsidRPr="0048184E">
        <w:rPr>
          <w:rFonts w:asciiTheme="minorHAnsi" w:hAnsiTheme="minorHAnsi"/>
          <w:bCs/>
          <w:sz w:val="18"/>
          <w:szCs w:val="18"/>
          <w:lang w:val="sr-Latn-ME"/>
        </w:rPr>
        <w:t>.</w:t>
      </w:r>
      <w:r w:rsidRPr="0048184E">
        <w:rPr>
          <w:rStyle w:val="FootnoteReference"/>
          <w:rFonts w:asciiTheme="minorHAnsi" w:hAnsiTheme="minorHAnsi"/>
          <w:bCs/>
          <w:sz w:val="18"/>
          <w:szCs w:val="18"/>
          <w:lang w:val="sr-Latn-ME"/>
        </w:rPr>
        <w:footnoteReference w:id="43"/>
      </w:r>
    </w:p>
    <w:p w14:paraId="0CA394F1" w14:textId="62860AC1" w:rsidR="000176ED" w:rsidRDefault="00DB7E8E" w:rsidP="0048184E">
      <w:pPr>
        <w:pStyle w:val="NoSpacing"/>
        <w:jc w:val="both"/>
        <w:rPr>
          <w:rFonts w:asciiTheme="minorHAnsi" w:hAnsiTheme="minorHAnsi"/>
          <w:bCs/>
          <w:sz w:val="18"/>
          <w:szCs w:val="18"/>
          <w:lang w:val="sr-Latn-ME"/>
        </w:rPr>
      </w:pPr>
      <w:r w:rsidRPr="0048184E">
        <w:rPr>
          <w:rFonts w:asciiTheme="minorHAnsi" w:hAnsiTheme="minorHAnsi"/>
          <w:bCs/>
          <w:sz w:val="18"/>
          <w:szCs w:val="18"/>
          <w:lang w:val="sr-Latn-ME"/>
        </w:rPr>
        <w:t xml:space="preserve">Broj JLS se u odnosu na početak primjene prethodne SRR 2014-2020, povećao za 4 (Petnjica, Gusinje, Tuzi, Zeta), ali se </w:t>
      </w:r>
      <w:r w:rsidRPr="0048184E">
        <w:rPr>
          <w:rFonts w:asciiTheme="minorHAnsi" w:hAnsiTheme="minorHAnsi"/>
          <w:b/>
          <w:bCs/>
          <w:sz w:val="18"/>
          <w:szCs w:val="18"/>
          <w:lang w:val="sr-Latn-ME"/>
        </w:rPr>
        <w:t xml:space="preserve">povećao i broj JLS ispod prosjeka razvijenosti Crne Gore </w:t>
      </w:r>
      <w:r w:rsidRPr="0048184E">
        <w:rPr>
          <w:rFonts w:asciiTheme="minorHAnsi" w:hAnsiTheme="minorHAnsi"/>
          <w:bCs/>
          <w:sz w:val="18"/>
          <w:szCs w:val="18"/>
          <w:lang w:val="sr-Latn-ME"/>
        </w:rPr>
        <w:t>- sa 13 JLS na 19 JLS. Ovaj trend ukazuje da proces povećanja broja opština, motivisan kreiranjem boljih uslova za lokalni razvoj određenog područja, nije mogao biti u kratkom roku praćen poboljšanjem indikatora razvijenosti. Nakon analize dužeg vremenskog perioda kretanja sintetičkog indikatora razvijenosti, biće moguće cijeniti da li su afirmisani ekonomsko-socijalni argumenti povećanja broja opština.</w:t>
      </w:r>
    </w:p>
    <w:p w14:paraId="4B577F8E" w14:textId="76C54492" w:rsidR="000176ED" w:rsidRDefault="000176ED" w:rsidP="0048184E">
      <w:pPr>
        <w:pStyle w:val="NoSpacing"/>
        <w:jc w:val="both"/>
        <w:rPr>
          <w:rFonts w:asciiTheme="minorHAnsi" w:hAnsiTheme="minorHAnsi"/>
          <w:bCs/>
          <w:sz w:val="18"/>
          <w:szCs w:val="18"/>
          <w:lang w:val="sr-Latn-ME"/>
        </w:rPr>
      </w:pPr>
    </w:p>
    <w:p w14:paraId="08E49B04" w14:textId="7D390448" w:rsidR="000176ED" w:rsidRPr="000176ED" w:rsidRDefault="000176ED" w:rsidP="0048184E">
      <w:pPr>
        <w:pStyle w:val="NoSpacing"/>
        <w:jc w:val="both"/>
        <w:rPr>
          <w:rFonts w:asciiTheme="minorHAnsi" w:hAnsiTheme="minorHAnsi"/>
          <w:bCs/>
          <w:sz w:val="18"/>
          <w:szCs w:val="18"/>
          <w:lang w:val="sr-Latn-ME"/>
        </w:rPr>
      </w:pPr>
      <w:r>
        <w:rPr>
          <w:rFonts w:asciiTheme="minorHAnsi" w:hAnsiTheme="minorHAnsi"/>
          <w:bCs/>
          <w:sz w:val="18"/>
          <w:szCs w:val="18"/>
          <w:lang w:val="sr-Latn-ME"/>
        </w:rPr>
        <w:t xml:space="preserve">Pripremljene su manje izmjene Uredbe o načinu izračunavanja indeksa razvijenosti JLS, shodno čemu će se novi obračun izvršiti na bazi podataka 2022-2024. godina. </w:t>
      </w:r>
    </w:p>
    <w:p w14:paraId="15246AEF" w14:textId="77777777" w:rsidR="00DB7E8E" w:rsidRPr="0048184E" w:rsidRDefault="00DB7E8E" w:rsidP="0048184E">
      <w:pPr>
        <w:pStyle w:val="NoSpacing"/>
        <w:jc w:val="both"/>
        <w:rPr>
          <w:rFonts w:asciiTheme="minorHAnsi" w:hAnsiTheme="minorHAnsi"/>
          <w:bCs/>
          <w:sz w:val="18"/>
          <w:szCs w:val="18"/>
          <w:lang w:val="sr-Latn-ME"/>
        </w:rPr>
      </w:pPr>
    </w:p>
    <w:p w14:paraId="3127148A" w14:textId="77777777" w:rsidR="00DB7E8E" w:rsidRDefault="00DB7E8E" w:rsidP="0048184E">
      <w:pPr>
        <w:pStyle w:val="NoSpacing"/>
        <w:jc w:val="both"/>
        <w:rPr>
          <w:rFonts w:asciiTheme="minorHAnsi" w:hAnsiTheme="minorHAnsi"/>
          <w:bCs/>
          <w:sz w:val="18"/>
          <w:szCs w:val="18"/>
          <w:lang w:val="sr-Latn-ME"/>
        </w:rPr>
      </w:pPr>
      <w:r w:rsidRPr="0048184E">
        <w:rPr>
          <w:rFonts w:asciiTheme="minorHAnsi" w:hAnsiTheme="minorHAnsi"/>
          <w:bCs/>
          <w:sz w:val="18"/>
          <w:szCs w:val="18"/>
          <w:lang w:val="sr-Latn-ME"/>
        </w:rPr>
        <w:t>Važno je napomenuti da je pored SRR, lokalni razvoj crnogorskih regiona praćen i pripremom strateških planova razvoja JLS.</w:t>
      </w:r>
    </w:p>
    <w:p w14:paraId="434BB113" w14:textId="77777777" w:rsidR="00DB7E8E" w:rsidRPr="0048184E" w:rsidRDefault="00DB7E8E" w:rsidP="0048184E">
      <w:pPr>
        <w:pStyle w:val="NoSpacing"/>
        <w:jc w:val="both"/>
        <w:rPr>
          <w:rFonts w:asciiTheme="minorHAnsi" w:hAnsiTheme="minorHAnsi"/>
          <w:sz w:val="18"/>
          <w:szCs w:val="18"/>
          <w:lang w:val="sr-Latn-ME"/>
        </w:rPr>
      </w:pPr>
    </w:p>
    <w:p w14:paraId="49D4EF8E" w14:textId="77777777" w:rsidR="00DB7E8E" w:rsidRPr="00726BE7" w:rsidRDefault="00DB7E8E" w:rsidP="0048184E">
      <w:pPr>
        <w:pStyle w:val="Heading21"/>
        <w:numPr>
          <w:ilvl w:val="1"/>
          <w:numId w:val="27"/>
        </w:numPr>
        <w:spacing w:before="0"/>
        <w:rPr>
          <w:color w:val="auto"/>
          <w:szCs w:val="22"/>
          <w:lang w:val="pl-PL"/>
        </w:rPr>
      </w:pPr>
      <w:bookmarkStart w:id="36" w:name="_Toc205215841"/>
      <w:r w:rsidRPr="00726BE7">
        <w:rPr>
          <w:color w:val="4472C4" w:themeColor="accent5"/>
          <w:szCs w:val="22"/>
          <w:lang w:val="pl-PL"/>
        </w:rPr>
        <w:t>Indeks konkurentnosti jedinica lokalne samouprave u Crnoj Gori</w:t>
      </w:r>
      <w:bookmarkEnd w:id="36"/>
    </w:p>
    <w:p w14:paraId="08F709A2" w14:textId="77777777" w:rsidR="004630DF" w:rsidRPr="0048184E" w:rsidRDefault="004630DF" w:rsidP="0048184E">
      <w:pPr>
        <w:spacing w:after="0" w:line="240" w:lineRule="auto"/>
        <w:rPr>
          <w:sz w:val="18"/>
          <w:szCs w:val="18"/>
          <w:lang w:val="pl-PL"/>
        </w:rPr>
      </w:pPr>
    </w:p>
    <w:p w14:paraId="083946AD" w14:textId="77777777" w:rsidR="00DB7E8E" w:rsidRPr="0048184E" w:rsidRDefault="00DB7E8E" w:rsidP="0048184E">
      <w:pPr>
        <w:pStyle w:val="NoSpacing"/>
        <w:jc w:val="both"/>
        <w:rPr>
          <w:rFonts w:asciiTheme="minorHAnsi" w:hAnsiTheme="minorHAnsi"/>
          <w:bCs/>
          <w:sz w:val="18"/>
          <w:szCs w:val="18"/>
          <w:lang w:val="sr-Latn-ME"/>
        </w:rPr>
      </w:pPr>
      <w:r w:rsidRPr="0048184E">
        <w:rPr>
          <w:rFonts w:asciiTheme="minorHAnsi" w:hAnsiTheme="minorHAnsi"/>
          <w:sz w:val="18"/>
          <w:szCs w:val="18"/>
          <w:lang w:val="sr-Latn-ME"/>
        </w:rPr>
        <w:t xml:space="preserve">Drugi važan indikator uticaja u oblasti regionalnog razvoja je Indeks konkurentnosti. </w:t>
      </w:r>
      <w:r w:rsidRPr="0048184E">
        <w:rPr>
          <w:rFonts w:asciiTheme="minorHAnsi" w:hAnsiTheme="minorHAnsi"/>
          <w:bCs/>
          <w:sz w:val="18"/>
          <w:szCs w:val="18"/>
          <w:lang w:val="sr-Latn-ME"/>
        </w:rPr>
        <w:t>Prema prosječnom indeksu konkurentnosti za period 2019-2021. godina, najkonkurentnija JLS (Budva) je bila skoro 4 puta konkurentnija od najmanje konkurentne JLS (Petnjica).</w:t>
      </w:r>
    </w:p>
    <w:p w14:paraId="1858FE84" w14:textId="77777777" w:rsidR="00DB7E8E" w:rsidRPr="00EC14B9" w:rsidRDefault="00DB7E8E" w:rsidP="0048184E">
      <w:pPr>
        <w:pStyle w:val="NoSpacing"/>
        <w:jc w:val="center"/>
        <w:rPr>
          <w:rFonts w:asciiTheme="minorHAnsi" w:hAnsiTheme="minorHAnsi"/>
          <w:b/>
          <w:color w:val="4472C4" w:themeColor="accent5"/>
          <w:sz w:val="18"/>
          <w:szCs w:val="18"/>
          <w:lang w:val="sr-Latn-ME"/>
        </w:rPr>
      </w:pPr>
      <w:bookmarkStart w:id="37" w:name="_Hlk127341863"/>
      <w:r w:rsidRPr="00EC14B9">
        <w:rPr>
          <w:rFonts w:asciiTheme="minorHAnsi" w:hAnsiTheme="minorHAnsi"/>
          <w:b/>
          <w:color w:val="4472C4" w:themeColor="accent5"/>
          <w:sz w:val="18"/>
          <w:szCs w:val="18"/>
          <w:lang w:val="sr-Latn-ME"/>
        </w:rPr>
        <w:t xml:space="preserve">Tabela </w:t>
      </w:r>
      <w:r w:rsidR="00EC14B9" w:rsidRPr="00EC14B9">
        <w:rPr>
          <w:rFonts w:asciiTheme="minorHAnsi" w:hAnsiTheme="minorHAnsi"/>
          <w:b/>
          <w:color w:val="4472C4" w:themeColor="accent5"/>
          <w:sz w:val="18"/>
          <w:szCs w:val="18"/>
          <w:lang w:val="sr-Latn-ME"/>
        </w:rPr>
        <w:t>13</w:t>
      </w:r>
      <w:r w:rsidRPr="00EC14B9">
        <w:rPr>
          <w:rFonts w:asciiTheme="minorHAnsi" w:hAnsiTheme="minorHAnsi"/>
          <w:b/>
          <w:color w:val="4472C4" w:themeColor="accent5"/>
          <w:sz w:val="18"/>
          <w:szCs w:val="18"/>
          <w:lang w:val="sr-Latn-ME"/>
        </w:rPr>
        <w:t>. Indeks konkurentnosti JLS Crne Gore</w:t>
      </w:r>
    </w:p>
    <w:p w14:paraId="2928D31D" w14:textId="77777777" w:rsidR="00DB7E8E" w:rsidRPr="0048184E" w:rsidRDefault="00DB7E8E" w:rsidP="0048184E">
      <w:pPr>
        <w:pStyle w:val="NoSpacing"/>
        <w:jc w:val="center"/>
        <w:rPr>
          <w:rFonts w:asciiTheme="minorHAnsi" w:hAnsi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27"/>
        <w:gridCol w:w="1527"/>
        <w:gridCol w:w="1454"/>
        <w:gridCol w:w="1527"/>
        <w:gridCol w:w="1527"/>
      </w:tblGrid>
      <w:tr w:rsidR="00DB7E8E" w:rsidRPr="0048184E" w14:paraId="1B1AE29B" w14:textId="77777777" w:rsidTr="00A445B6">
        <w:tc>
          <w:tcPr>
            <w:tcW w:w="4788" w:type="dxa"/>
            <w:gridSpan w:val="3"/>
            <w:shd w:val="clear" w:color="auto" w:fill="D9E2F3"/>
          </w:tcPr>
          <w:bookmarkEnd w:id="37"/>
          <w:p w14:paraId="1E37CC1D"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2019-2021</w:t>
            </w:r>
          </w:p>
        </w:tc>
        <w:tc>
          <w:tcPr>
            <w:tcW w:w="4788" w:type="dxa"/>
            <w:gridSpan w:val="3"/>
            <w:shd w:val="clear" w:color="auto" w:fill="E7E6E6"/>
          </w:tcPr>
          <w:p w14:paraId="5D9E4070"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2015-2017</w:t>
            </w:r>
          </w:p>
        </w:tc>
      </w:tr>
      <w:tr w:rsidR="0048184E" w:rsidRPr="0048184E" w14:paraId="766A9AEB" w14:textId="77777777" w:rsidTr="00A445B6">
        <w:tc>
          <w:tcPr>
            <w:tcW w:w="1596" w:type="dxa"/>
            <w:shd w:val="clear" w:color="auto" w:fill="auto"/>
          </w:tcPr>
          <w:p w14:paraId="7174069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596" w:type="dxa"/>
            <w:shd w:val="clear" w:color="auto" w:fill="auto"/>
          </w:tcPr>
          <w:p w14:paraId="0B2D7DC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(CG=100)</w:t>
            </w:r>
          </w:p>
        </w:tc>
        <w:tc>
          <w:tcPr>
            <w:tcW w:w="1596" w:type="dxa"/>
            <w:shd w:val="clear" w:color="auto" w:fill="auto"/>
          </w:tcPr>
          <w:p w14:paraId="6B3E709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konkurentnosti JLS</w:t>
            </w:r>
          </w:p>
        </w:tc>
        <w:tc>
          <w:tcPr>
            <w:tcW w:w="1596" w:type="dxa"/>
            <w:shd w:val="clear" w:color="auto" w:fill="auto"/>
          </w:tcPr>
          <w:p w14:paraId="5572270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596" w:type="dxa"/>
            <w:shd w:val="clear" w:color="auto" w:fill="auto"/>
          </w:tcPr>
          <w:p w14:paraId="174FE6D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(CG=100)</w:t>
            </w:r>
          </w:p>
        </w:tc>
        <w:tc>
          <w:tcPr>
            <w:tcW w:w="1596" w:type="dxa"/>
            <w:shd w:val="clear" w:color="auto" w:fill="auto"/>
          </w:tcPr>
          <w:p w14:paraId="6F56F7B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konkurentnosti JLS</w:t>
            </w:r>
          </w:p>
        </w:tc>
      </w:tr>
      <w:tr w:rsidR="0048184E" w:rsidRPr="0048184E" w14:paraId="6FB00DCB" w14:textId="77777777" w:rsidTr="00A445B6">
        <w:tc>
          <w:tcPr>
            <w:tcW w:w="1596" w:type="dxa"/>
            <w:shd w:val="clear" w:color="auto" w:fill="auto"/>
          </w:tcPr>
          <w:p w14:paraId="72C62F6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Budva</w:t>
            </w:r>
          </w:p>
        </w:tc>
        <w:tc>
          <w:tcPr>
            <w:tcW w:w="1596" w:type="dxa"/>
            <w:shd w:val="clear" w:color="auto" w:fill="auto"/>
          </w:tcPr>
          <w:p w14:paraId="3815F41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154.8</w:t>
            </w:r>
          </w:p>
        </w:tc>
        <w:tc>
          <w:tcPr>
            <w:tcW w:w="1596" w:type="dxa"/>
            <w:shd w:val="clear" w:color="auto" w:fill="auto"/>
          </w:tcPr>
          <w:p w14:paraId="3D40DBB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c>
          <w:tcPr>
            <w:tcW w:w="1596" w:type="dxa"/>
            <w:shd w:val="clear" w:color="auto" w:fill="auto"/>
          </w:tcPr>
          <w:p w14:paraId="7C399D0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Budva</w:t>
            </w:r>
          </w:p>
        </w:tc>
        <w:tc>
          <w:tcPr>
            <w:tcW w:w="1596" w:type="dxa"/>
            <w:shd w:val="clear" w:color="auto" w:fill="auto"/>
          </w:tcPr>
          <w:p w14:paraId="494ABD9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187.9</w:t>
            </w:r>
          </w:p>
        </w:tc>
        <w:tc>
          <w:tcPr>
            <w:tcW w:w="1596" w:type="dxa"/>
            <w:shd w:val="clear" w:color="auto" w:fill="auto"/>
          </w:tcPr>
          <w:p w14:paraId="5357F07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r>
      <w:tr w:rsidR="0048184E" w:rsidRPr="0048184E" w14:paraId="4BF0169A" w14:textId="77777777" w:rsidTr="00A445B6">
        <w:tc>
          <w:tcPr>
            <w:tcW w:w="1596" w:type="dxa"/>
            <w:shd w:val="clear" w:color="auto" w:fill="auto"/>
          </w:tcPr>
          <w:p w14:paraId="500E106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Tivat</w:t>
            </w:r>
          </w:p>
        </w:tc>
        <w:tc>
          <w:tcPr>
            <w:tcW w:w="1596" w:type="dxa"/>
            <w:shd w:val="clear" w:color="auto" w:fill="auto"/>
          </w:tcPr>
          <w:p w14:paraId="4698B37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152.1</w:t>
            </w:r>
          </w:p>
        </w:tc>
        <w:tc>
          <w:tcPr>
            <w:tcW w:w="1596" w:type="dxa"/>
            <w:shd w:val="clear" w:color="auto" w:fill="auto"/>
          </w:tcPr>
          <w:p w14:paraId="6B29807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c>
          <w:tcPr>
            <w:tcW w:w="1596" w:type="dxa"/>
            <w:shd w:val="clear" w:color="auto" w:fill="auto"/>
          </w:tcPr>
          <w:p w14:paraId="32335EA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Tivat</w:t>
            </w:r>
          </w:p>
        </w:tc>
        <w:tc>
          <w:tcPr>
            <w:tcW w:w="1596" w:type="dxa"/>
            <w:shd w:val="clear" w:color="auto" w:fill="auto"/>
          </w:tcPr>
          <w:p w14:paraId="77C40B4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157.3</w:t>
            </w:r>
          </w:p>
        </w:tc>
        <w:tc>
          <w:tcPr>
            <w:tcW w:w="1596" w:type="dxa"/>
            <w:shd w:val="clear" w:color="auto" w:fill="auto"/>
          </w:tcPr>
          <w:p w14:paraId="36F0B8D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r>
      <w:tr w:rsidR="0048184E" w:rsidRPr="0048184E" w14:paraId="1954622C" w14:textId="77777777" w:rsidTr="00A445B6">
        <w:tc>
          <w:tcPr>
            <w:tcW w:w="1596" w:type="dxa"/>
            <w:shd w:val="clear" w:color="auto" w:fill="auto"/>
          </w:tcPr>
          <w:p w14:paraId="549FED8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Kotor</w:t>
            </w:r>
          </w:p>
        </w:tc>
        <w:tc>
          <w:tcPr>
            <w:tcW w:w="1596" w:type="dxa"/>
            <w:shd w:val="clear" w:color="auto" w:fill="auto"/>
          </w:tcPr>
          <w:p w14:paraId="16676CB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140.5</w:t>
            </w:r>
          </w:p>
        </w:tc>
        <w:tc>
          <w:tcPr>
            <w:tcW w:w="1596" w:type="dxa"/>
            <w:shd w:val="clear" w:color="auto" w:fill="auto"/>
          </w:tcPr>
          <w:p w14:paraId="18C296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c>
          <w:tcPr>
            <w:tcW w:w="1596" w:type="dxa"/>
            <w:shd w:val="clear" w:color="auto" w:fill="auto"/>
          </w:tcPr>
          <w:p w14:paraId="7C08133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Podgorica</w:t>
            </w:r>
          </w:p>
        </w:tc>
        <w:tc>
          <w:tcPr>
            <w:tcW w:w="1596" w:type="dxa"/>
            <w:shd w:val="clear" w:color="auto" w:fill="auto"/>
          </w:tcPr>
          <w:p w14:paraId="5CD5064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144.9</w:t>
            </w:r>
          </w:p>
        </w:tc>
        <w:tc>
          <w:tcPr>
            <w:tcW w:w="1596" w:type="dxa"/>
            <w:shd w:val="clear" w:color="auto" w:fill="auto"/>
          </w:tcPr>
          <w:p w14:paraId="735EDD1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r>
      <w:tr w:rsidR="0048184E" w:rsidRPr="0048184E" w14:paraId="6C615855" w14:textId="77777777" w:rsidTr="00A445B6">
        <w:tc>
          <w:tcPr>
            <w:tcW w:w="1596" w:type="dxa"/>
            <w:shd w:val="clear" w:color="auto" w:fill="auto"/>
          </w:tcPr>
          <w:p w14:paraId="5546E90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Podgorica</w:t>
            </w:r>
          </w:p>
        </w:tc>
        <w:tc>
          <w:tcPr>
            <w:tcW w:w="1596" w:type="dxa"/>
            <w:shd w:val="clear" w:color="auto" w:fill="auto"/>
          </w:tcPr>
          <w:p w14:paraId="1C67AB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137.5</w:t>
            </w:r>
          </w:p>
        </w:tc>
        <w:tc>
          <w:tcPr>
            <w:tcW w:w="1596" w:type="dxa"/>
            <w:shd w:val="clear" w:color="auto" w:fill="auto"/>
          </w:tcPr>
          <w:p w14:paraId="5024AF4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c>
          <w:tcPr>
            <w:tcW w:w="1596" w:type="dxa"/>
            <w:shd w:val="clear" w:color="auto" w:fill="auto"/>
          </w:tcPr>
          <w:p w14:paraId="2A64F0A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Kotor</w:t>
            </w:r>
          </w:p>
        </w:tc>
        <w:tc>
          <w:tcPr>
            <w:tcW w:w="1596" w:type="dxa"/>
            <w:shd w:val="clear" w:color="auto" w:fill="auto"/>
          </w:tcPr>
          <w:p w14:paraId="7D707FB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140.2</w:t>
            </w:r>
          </w:p>
        </w:tc>
        <w:tc>
          <w:tcPr>
            <w:tcW w:w="1596" w:type="dxa"/>
            <w:shd w:val="clear" w:color="auto" w:fill="auto"/>
          </w:tcPr>
          <w:p w14:paraId="5FE196C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r>
      <w:tr w:rsidR="0048184E" w:rsidRPr="0048184E" w14:paraId="27FB048F" w14:textId="77777777" w:rsidTr="00A445B6">
        <w:tc>
          <w:tcPr>
            <w:tcW w:w="1596" w:type="dxa"/>
            <w:shd w:val="clear" w:color="auto" w:fill="auto"/>
          </w:tcPr>
          <w:p w14:paraId="6D86962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Tuzi</w:t>
            </w:r>
          </w:p>
        </w:tc>
        <w:tc>
          <w:tcPr>
            <w:tcW w:w="1596" w:type="dxa"/>
            <w:shd w:val="clear" w:color="auto" w:fill="auto"/>
          </w:tcPr>
          <w:p w14:paraId="5F3A8DD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134.9</w:t>
            </w:r>
          </w:p>
        </w:tc>
        <w:tc>
          <w:tcPr>
            <w:tcW w:w="1596" w:type="dxa"/>
            <w:shd w:val="clear" w:color="auto" w:fill="auto"/>
          </w:tcPr>
          <w:p w14:paraId="646126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c>
          <w:tcPr>
            <w:tcW w:w="1596" w:type="dxa"/>
            <w:shd w:val="clear" w:color="auto" w:fill="auto"/>
          </w:tcPr>
          <w:p w14:paraId="7E087CE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Herceg Novi</w:t>
            </w:r>
          </w:p>
        </w:tc>
        <w:tc>
          <w:tcPr>
            <w:tcW w:w="1596" w:type="dxa"/>
            <w:shd w:val="clear" w:color="auto" w:fill="auto"/>
          </w:tcPr>
          <w:p w14:paraId="26AD2EB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126.0</w:t>
            </w:r>
          </w:p>
        </w:tc>
        <w:tc>
          <w:tcPr>
            <w:tcW w:w="1596" w:type="dxa"/>
            <w:shd w:val="clear" w:color="auto" w:fill="auto"/>
          </w:tcPr>
          <w:p w14:paraId="5CE7141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r>
      <w:tr w:rsidR="0048184E" w:rsidRPr="0048184E" w14:paraId="69157516" w14:textId="77777777" w:rsidTr="00A445B6">
        <w:tc>
          <w:tcPr>
            <w:tcW w:w="1596" w:type="dxa"/>
            <w:shd w:val="clear" w:color="auto" w:fill="auto"/>
          </w:tcPr>
          <w:p w14:paraId="63EAB6F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Žabljak</w:t>
            </w:r>
          </w:p>
        </w:tc>
        <w:tc>
          <w:tcPr>
            <w:tcW w:w="1596" w:type="dxa"/>
            <w:shd w:val="clear" w:color="auto" w:fill="auto"/>
          </w:tcPr>
          <w:p w14:paraId="3E7B0E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121.9</w:t>
            </w:r>
          </w:p>
        </w:tc>
        <w:tc>
          <w:tcPr>
            <w:tcW w:w="1596" w:type="dxa"/>
            <w:shd w:val="clear" w:color="auto" w:fill="auto"/>
          </w:tcPr>
          <w:p w14:paraId="11E1A77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c>
          <w:tcPr>
            <w:tcW w:w="1596" w:type="dxa"/>
            <w:shd w:val="clear" w:color="auto" w:fill="auto"/>
          </w:tcPr>
          <w:p w14:paraId="18E2A99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Žabljak</w:t>
            </w:r>
          </w:p>
        </w:tc>
        <w:tc>
          <w:tcPr>
            <w:tcW w:w="1596" w:type="dxa"/>
            <w:shd w:val="clear" w:color="auto" w:fill="auto"/>
          </w:tcPr>
          <w:p w14:paraId="4A900CF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120.9</w:t>
            </w:r>
          </w:p>
        </w:tc>
        <w:tc>
          <w:tcPr>
            <w:tcW w:w="1596" w:type="dxa"/>
            <w:shd w:val="clear" w:color="auto" w:fill="auto"/>
          </w:tcPr>
          <w:p w14:paraId="134F6D0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r>
      <w:tr w:rsidR="0048184E" w:rsidRPr="0048184E" w14:paraId="47665D62" w14:textId="77777777" w:rsidTr="00A445B6">
        <w:tc>
          <w:tcPr>
            <w:tcW w:w="1596" w:type="dxa"/>
            <w:shd w:val="clear" w:color="auto" w:fill="auto"/>
          </w:tcPr>
          <w:p w14:paraId="7739AFE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Herceg Novi</w:t>
            </w:r>
          </w:p>
        </w:tc>
        <w:tc>
          <w:tcPr>
            <w:tcW w:w="1596" w:type="dxa"/>
            <w:shd w:val="clear" w:color="auto" w:fill="auto"/>
          </w:tcPr>
          <w:p w14:paraId="7B1DDB6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115.8</w:t>
            </w:r>
          </w:p>
        </w:tc>
        <w:tc>
          <w:tcPr>
            <w:tcW w:w="1596" w:type="dxa"/>
            <w:shd w:val="clear" w:color="auto" w:fill="auto"/>
          </w:tcPr>
          <w:p w14:paraId="4376D7F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c>
          <w:tcPr>
            <w:tcW w:w="1596" w:type="dxa"/>
            <w:shd w:val="clear" w:color="auto" w:fill="auto"/>
          </w:tcPr>
          <w:p w14:paraId="4147AE3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Bar</w:t>
            </w:r>
          </w:p>
        </w:tc>
        <w:tc>
          <w:tcPr>
            <w:tcW w:w="1596" w:type="dxa"/>
            <w:shd w:val="clear" w:color="auto" w:fill="auto"/>
          </w:tcPr>
          <w:p w14:paraId="75F44B0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120.3</w:t>
            </w:r>
          </w:p>
        </w:tc>
        <w:tc>
          <w:tcPr>
            <w:tcW w:w="1596" w:type="dxa"/>
            <w:shd w:val="clear" w:color="auto" w:fill="auto"/>
          </w:tcPr>
          <w:p w14:paraId="37EE2DF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r>
      <w:tr w:rsidR="0048184E" w:rsidRPr="0048184E" w14:paraId="4CE19B8D" w14:textId="77777777" w:rsidTr="00A445B6">
        <w:tc>
          <w:tcPr>
            <w:tcW w:w="1596" w:type="dxa"/>
            <w:shd w:val="clear" w:color="auto" w:fill="auto"/>
          </w:tcPr>
          <w:p w14:paraId="3D194DB8"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Plav</w:t>
            </w:r>
          </w:p>
        </w:tc>
        <w:tc>
          <w:tcPr>
            <w:tcW w:w="1596" w:type="dxa"/>
            <w:shd w:val="clear" w:color="auto" w:fill="auto"/>
          </w:tcPr>
          <w:p w14:paraId="0EC772E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114.2</w:t>
            </w:r>
          </w:p>
        </w:tc>
        <w:tc>
          <w:tcPr>
            <w:tcW w:w="1596" w:type="dxa"/>
            <w:shd w:val="clear" w:color="auto" w:fill="auto"/>
          </w:tcPr>
          <w:p w14:paraId="148EA57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c>
          <w:tcPr>
            <w:tcW w:w="1596" w:type="dxa"/>
            <w:shd w:val="clear" w:color="auto" w:fill="auto"/>
          </w:tcPr>
          <w:p w14:paraId="3F6F630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Nikšić</w:t>
            </w:r>
          </w:p>
        </w:tc>
        <w:tc>
          <w:tcPr>
            <w:tcW w:w="1596" w:type="dxa"/>
            <w:shd w:val="clear" w:color="auto" w:fill="auto"/>
          </w:tcPr>
          <w:p w14:paraId="2F3713B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112.4</w:t>
            </w:r>
          </w:p>
        </w:tc>
        <w:tc>
          <w:tcPr>
            <w:tcW w:w="1596" w:type="dxa"/>
            <w:shd w:val="clear" w:color="auto" w:fill="auto"/>
          </w:tcPr>
          <w:p w14:paraId="6EFBCC8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r>
      <w:tr w:rsidR="0048184E" w:rsidRPr="0048184E" w14:paraId="31B43283" w14:textId="77777777" w:rsidTr="00A445B6">
        <w:tc>
          <w:tcPr>
            <w:tcW w:w="1596" w:type="dxa"/>
            <w:shd w:val="clear" w:color="auto" w:fill="auto"/>
          </w:tcPr>
          <w:p w14:paraId="061941A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Bar</w:t>
            </w:r>
          </w:p>
        </w:tc>
        <w:tc>
          <w:tcPr>
            <w:tcW w:w="1596" w:type="dxa"/>
            <w:shd w:val="clear" w:color="auto" w:fill="auto"/>
          </w:tcPr>
          <w:p w14:paraId="11F927F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112.8</w:t>
            </w:r>
          </w:p>
        </w:tc>
        <w:tc>
          <w:tcPr>
            <w:tcW w:w="1596" w:type="dxa"/>
            <w:shd w:val="clear" w:color="auto" w:fill="auto"/>
          </w:tcPr>
          <w:p w14:paraId="1E7F2FA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c>
          <w:tcPr>
            <w:tcW w:w="1596" w:type="dxa"/>
            <w:shd w:val="clear" w:color="auto" w:fill="auto"/>
          </w:tcPr>
          <w:p w14:paraId="1055173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Ulcinj</w:t>
            </w:r>
          </w:p>
        </w:tc>
        <w:tc>
          <w:tcPr>
            <w:tcW w:w="1596" w:type="dxa"/>
            <w:shd w:val="clear" w:color="auto" w:fill="auto"/>
          </w:tcPr>
          <w:p w14:paraId="2B67FC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108.6</w:t>
            </w:r>
          </w:p>
        </w:tc>
        <w:tc>
          <w:tcPr>
            <w:tcW w:w="1596" w:type="dxa"/>
            <w:shd w:val="clear" w:color="auto" w:fill="auto"/>
          </w:tcPr>
          <w:p w14:paraId="4F4C004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r>
      <w:tr w:rsidR="0048184E" w:rsidRPr="0048184E" w14:paraId="623F1624" w14:textId="77777777" w:rsidTr="00A445B6">
        <w:tc>
          <w:tcPr>
            <w:tcW w:w="1596" w:type="dxa"/>
            <w:shd w:val="clear" w:color="auto" w:fill="auto"/>
          </w:tcPr>
          <w:p w14:paraId="6902895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lastRenderedPageBreak/>
              <w:t>Ulcinj</w:t>
            </w:r>
          </w:p>
        </w:tc>
        <w:tc>
          <w:tcPr>
            <w:tcW w:w="1596" w:type="dxa"/>
            <w:shd w:val="clear" w:color="auto" w:fill="auto"/>
          </w:tcPr>
          <w:p w14:paraId="215B4F2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104.8</w:t>
            </w:r>
          </w:p>
        </w:tc>
        <w:tc>
          <w:tcPr>
            <w:tcW w:w="1596" w:type="dxa"/>
            <w:shd w:val="clear" w:color="auto" w:fill="auto"/>
          </w:tcPr>
          <w:p w14:paraId="46F7893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c>
          <w:tcPr>
            <w:tcW w:w="1596" w:type="dxa"/>
            <w:shd w:val="clear" w:color="auto" w:fill="auto"/>
          </w:tcPr>
          <w:p w14:paraId="2158EAB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Danilovgrad</w:t>
            </w:r>
          </w:p>
        </w:tc>
        <w:tc>
          <w:tcPr>
            <w:tcW w:w="1596" w:type="dxa"/>
            <w:shd w:val="clear" w:color="auto" w:fill="auto"/>
          </w:tcPr>
          <w:p w14:paraId="6B31242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104.3</w:t>
            </w:r>
          </w:p>
        </w:tc>
        <w:tc>
          <w:tcPr>
            <w:tcW w:w="1596" w:type="dxa"/>
            <w:shd w:val="clear" w:color="auto" w:fill="auto"/>
          </w:tcPr>
          <w:p w14:paraId="5743E1E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r>
      <w:tr w:rsidR="0048184E" w:rsidRPr="0048184E" w14:paraId="06823805" w14:textId="77777777" w:rsidTr="00A445B6">
        <w:tc>
          <w:tcPr>
            <w:tcW w:w="1596" w:type="dxa"/>
            <w:shd w:val="clear" w:color="auto" w:fill="auto"/>
          </w:tcPr>
          <w:p w14:paraId="2941432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Andrijevica</w:t>
            </w:r>
          </w:p>
        </w:tc>
        <w:tc>
          <w:tcPr>
            <w:tcW w:w="1596" w:type="dxa"/>
            <w:shd w:val="clear" w:color="auto" w:fill="auto"/>
          </w:tcPr>
          <w:p w14:paraId="47B96A4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100.7</w:t>
            </w:r>
          </w:p>
        </w:tc>
        <w:tc>
          <w:tcPr>
            <w:tcW w:w="1596" w:type="dxa"/>
            <w:shd w:val="clear" w:color="auto" w:fill="auto"/>
          </w:tcPr>
          <w:p w14:paraId="2F30355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c>
          <w:tcPr>
            <w:tcW w:w="1596" w:type="dxa"/>
            <w:shd w:val="clear" w:color="auto" w:fill="auto"/>
          </w:tcPr>
          <w:p w14:paraId="677A050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Cetinje</w:t>
            </w:r>
          </w:p>
        </w:tc>
        <w:tc>
          <w:tcPr>
            <w:tcW w:w="1596" w:type="dxa"/>
            <w:shd w:val="clear" w:color="auto" w:fill="auto"/>
          </w:tcPr>
          <w:p w14:paraId="4F1F6B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98</w:t>
            </w:r>
          </w:p>
        </w:tc>
        <w:tc>
          <w:tcPr>
            <w:tcW w:w="1596" w:type="dxa"/>
            <w:shd w:val="clear" w:color="auto" w:fill="auto"/>
          </w:tcPr>
          <w:p w14:paraId="035F9FC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r>
      <w:tr w:rsidR="0048184E" w:rsidRPr="0048184E" w14:paraId="7150103C" w14:textId="77777777" w:rsidTr="00A445B6">
        <w:tc>
          <w:tcPr>
            <w:tcW w:w="1596" w:type="dxa"/>
            <w:shd w:val="clear" w:color="auto" w:fill="auto"/>
          </w:tcPr>
          <w:p w14:paraId="4CABC24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Cetinje</w:t>
            </w:r>
          </w:p>
        </w:tc>
        <w:tc>
          <w:tcPr>
            <w:tcW w:w="1596" w:type="dxa"/>
            <w:shd w:val="clear" w:color="auto" w:fill="auto"/>
          </w:tcPr>
          <w:p w14:paraId="7449DD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96.5</w:t>
            </w:r>
          </w:p>
        </w:tc>
        <w:tc>
          <w:tcPr>
            <w:tcW w:w="1596" w:type="dxa"/>
            <w:shd w:val="clear" w:color="auto" w:fill="auto"/>
          </w:tcPr>
          <w:p w14:paraId="50C0E6E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c>
          <w:tcPr>
            <w:tcW w:w="1596" w:type="dxa"/>
            <w:shd w:val="clear" w:color="auto" w:fill="auto"/>
          </w:tcPr>
          <w:p w14:paraId="136633D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Pljevlja</w:t>
            </w:r>
          </w:p>
        </w:tc>
        <w:tc>
          <w:tcPr>
            <w:tcW w:w="1596" w:type="dxa"/>
            <w:shd w:val="clear" w:color="auto" w:fill="auto"/>
          </w:tcPr>
          <w:p w14:paraId="52DE5F8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93.2</w:t>
            </w:r>
          </w:p>
        </w:tc>
        <w:tc>
          <w:tcPr>
            <w:tcW w:w="1596" w:type="dxa"/>
            <w:shd w:val="clear" w:color="auto" w:fill="auto"/>
          </w:tcPr>
          <w:p w14:paraId="38034A8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r>
      <w:tr w:rsidR="0048184E" w:rsidRPr="0048184E" w14:paraId="6DEDDD1A" w14:textId="77777777" w:rsidTr="00A445B6">
        <w:tc>
          <w:tcPr>
            <w:tcW w:w="1596" w:type="dxa"/>
            <w:shd w:val="clear" w:color="auto" w:fill="auto"/>
          </w:tcPr>
          <w:p w14:paraId="278BC828"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Bijelo Polje</w:t>
            </w:r>
          </w:p>
        </w:tc>
        <w:tc>
          <w:tcPr>
            <w:tcW w:w="1596" w:type="dxa"/>
            <w:shd w:val="clear" w:color="auto" w:fill="auto"/>
          </w:tcPr>
          <w:p w14:paraId="388A71D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95.3</w:t>
            </w:r>
          </w:p>
        </w:tc>
        <w:tc>
          <w:tcPr>
            <w:tcW w:w="1596" w:type="dxa"/>
            <w:shd w:val="clear" w:color="auto" w:fill="auto"/>
          </w:tcPr>
          <w:p w14:paraId="323DE74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c>
          <w:tcPr>
            <w:tcW w:w="1596" w:type="dxa"/>
            <w:shd w:val="clear" w:color="auto" w:fill="auto"/>
          </w:tcPr>
          <w:p w14:paraId="0BDE3BA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Plav</w:t>
            </w:r>
          </w:p>
        </w:tc>
        <w:tc>
          <w:tcPr>
            <w:tcW w:w="1596" w:type="dxa"/>
            <w:shd w:val="clear" w:color="auto" w:fill="auto"/>
          </w:tcPr>
          <w:p w14:paraId="67A42E1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93.0</w:t>
            </w:r>
          </w:p>
        </w:tc>
        <w:tc>
          <w:tcPr>
            <w:tcW w:w="1596" w:type="dxa"/>
            <w:shd w:val="clear" w:color="auto" w:fill="auto"/>
          </w:tcPr>
          <w:p w14:paraId="208A1FA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r>
      <w:tr w:rsidR="0048184E" w:rsidRPr="0048184E" w14:paraId="2E6BA294" w14:textId="77777777" w:rsidTr="00A445B6">
        <w:tc>
          <w:tcPr>
            <w:tcW w:w="1596" w:type="dxa"/>
            <w:shd w:val="clear" w:color="auto" w:fill="auto"/>
          </w:tcPr>
          <w:p w14:paraId="5948238F"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Šavnik</w:t>
            </w:r>
          </w:p>
        </w:tc>
        <w:tc>
          <w:tcPr>
            <w:tcW w:w="1596" w:type="dxa"/>
            <w:shd w:val="clear" w:color="auto" w:fill="auto"/>
          </w:tcPr>
          <w:p w14:paraId="3F88FB3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91.9</w:t>
            </w:r>
          </w:p>
        </w:tc>
        <w:tc>
          <w:tcPr>
            <w:tcW w:w="1596" w:type="dxa"/>
            <w:shd w:val="clear" w:color="auto" w:fill="auto"/>
          </w:tcPr>
          <w:p w14:paraId="0519634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c>
          <w:tcPr>
            <w:tcW w:w="1596" w:type="dxa"/>
            <w:shd w:val="clear" w:color="auto" w:fill="auto"/>
          </w:tcPr>
          <w:p w14:paraId="3A01E0B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Mojkovac</w:t>
            </w:r>
          </w:p>
        </w:tc>
        <w:tc>
          <w:tcPr>
            <w:tcW w:w="1596" w:type="dxa"/>
            <w:shd w:val="clear" w:color="auto" w:fill="auto"/>
          </w:tcPr>
          <w:p w14:paraId="7516FBC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90.3</w:t>
            </w:r>
          </w:p>
        </w:tc>
        <w:tc>
          <w:tcPr>
            <w:tcW w:w="1596" w:type="dxa"/>
            <w:shd w:val="clear" w:color="auto" w:fill="auto"/>
          </w:tcPr>
          <w:p w14:paraId="0DC735E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r>
      <w:tr w:rsidR="0048184E" w:rsidRPr="0048184E" w14:paraId="07DDD38C" w14:textId="77777777" w:rsidTr="00A445B6">
        <w:tc>
          <w:tcPr>
            <w:tcW w:w="1596" w:type="dxa"/>
            <w:shd w:val="clear" w:color="auto" w:fill="auto"/>
          </w:tcPr>
          <w:p w14:paraId="7248E26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Nikšić</w:t>
            </w:r>
          </w:p>
        </w:tc>
        <w:tc>
          <w:tcPr>
            <w:tcW w:w="1596" w:type="dxa"/>
            <w:shd w:val="clear" w:color="auto" w:fill="auto"/>
          </w:tcPr>
          <w:p w14:paraId="7123678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89.4</w:t>
            </w:r>
          </w:p>
        </w:tc>
        <w:tc>
          <w:tcPr>
            <w:tcW w:w="1596" w:type="dxa"/>
            <w:shd w:val="clear" w:color="auto" w:fill="auto"/>
          </w:tcPr>
          <w:p w14:paraId="7648AB7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c>
          <w:tcPr>
            <w:tcW w:w="1596" w:type="dxa"/>
            <w:shd w:val="clear" w:color="auto" w:fill="auto"/>
          </w:tcPr>
          <w:p w14:paraId="5CE60DC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Bijelo Polje</w:t>
            </w:r>
          </w:p>
        </w:tc>
        <w:tc>
          <w:tcPr>
            <w:tcW w:w="1596" w:type="dxa"/>
            <w:shd w:val="clear" w:color="auto" w:fill="auto"/>
          </w:tcPr>
          <w:p w14:paraId="00AC662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89.4</w:t>
            </w:r>
          </w:p>
        </w:tc>
        <w:tc>
          <w:tcPr>
            <w:tcW w:w="1596" w:type="dxa"/>
            <w:shd w:val="clear" w:color="auto" w:fill="auto"/>
          </w:tcPr>
          <w:p w14:paraId="70D71F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r>
      <w:tr w:rsidR="0048184E" w:rsidRPr="0048184E" w14:paraId="0256E4E1" w14:textId="77777777" w:rsidTr="00A445B6">
        <w:tc>
          <w:tcPr>
            <w:tcW w:w="1596" w:type="dxa"/>
            <w:shd w:val="clear" w:color="auto" w:fill="auto"/>
          </w:tcPr>
          <w:p w14:paraId="6409685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Rožaje</w:t>
            </w:r>
          </w:p>
        </w:tc>
        <w:tc>
          <w:tcPr>
            <w:tcW w:w="1596" w:type="dxa"/>
            <w:shd w:val="clear" w:color="auto" w:fill="auto"/>
          </w:tcPr>
          <w:p w14:paraId="57F5B51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82.8</w:t>
            </w:r>
          </w:p>
        </w:tc>
        <w:tc>
          <w:tcPr>
            <w:tcW w:w="1596" w:type="dxa"/>
            <w:shd w:val="clear" w:color="auto" w:fill="auto"/>
          </w:tcPr>
          <w:p w14:paraId="08301BA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c>
          <w:tcPr>
            <w:tcW w:w="1596" w:type="dxa"/>
            <w:shd w:val="clear" w:color="auto" w:fill="auto"/>
          </w:tcPr>
          <w:p w14:paraId="38A0A9C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Kolašin</w:t>
            </w:r>
          </w:p>
        </w:tc>
        <w:tc>
          <w:tcPr>
            <w:tcW w:w="1596" w:type="dxa"/>
            <w:shd w:val="clear" w:color="auto" w:fill="auto"/>
          </w:tcPr>
          <w:p w14:paraId="069E43A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84</w:t>
            </w:r>
          </w:p>
        </w:tc>
        <w:tc>
          <w:tcPr>
            <w:tcW w:w="1596" w:type="dxa"/>
            <w:shd w:val="clear" w:color="auto" w:fill="auto"/>
          </w:tcPr>
          <w:p w14:paraId="00957FD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r>
      <w:tr w:rsidR="0048184E" w:rsidRPr="0048184E" w14:paraId="3F713857" w14:textId="77777777" w:rsidTr="00A445B6">
        <w:tc>
          <w:tcPr>
            <w:tcW w:w="1596" w:type="dxa"/>
            <w:shd w:val="clear" w:color="auto" w:fill="auto"/>
          </w:tcPr>
          <w:p w14:paraId="5A9749E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Danilovgrad</w:t>
            </w:r>
          </w:p>
        </w:tc>
        <w:tc>
          <w:tcPr>
            <w:tcW w:w="1596" w:type="dxa"/>
            <w:shd w:val="clear" w:color="auto" w:fill="auto"/>
          </w:tcPr>
          <w:p w14:paraId="78FC0BA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80.3</w:t>
            </w:r>
          </w:p>
        </w:tc>
        <w:tc>
          <w:tcPr>
            <w:tcW w:w="1596" w:type="dxa"/>
            <w:shd w:val="clear" w:color="auto" w:fill="auto"/>
          </w:tcPr>
          <w:p w14:paraId="7858159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c>
          <w:tcPr>
            <w:tcW w:w="1596" w:type="dxa"/>
            <w:shd w:val="clear" w:color="auto" w:fill="auto"/>
          </w:tcPr>
          <w:p w14:paraId="6641B29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Rožaje</w:t>
            </w:r>
          </w:p>
        </w:tc>
        <w:tc>
          <w:tcPr>
            <w:tcW w:w="1596" w:type="dxa"/>
            <w:shd w:val="clear" w:color="auto" w:fill="auto"/>
          </w:tcPr>
          <w:p w14:paraId="016D88F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76.7</w:t>
            </w:r>
          </w:p>
        </w:tc>
        <w:tc>
          <w:tcPr>
            <w:tcW w:w="1596" w:type="dxa"/>
            <w:shd w:val="clear" w:color="auto" w:fill="auto"/>
          </w:tcPr>
          <w:p w14:paraId="622BA54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r>
      <w:tr w:rsidR="0048184E" w:rsidRPr="0048184E" w14:paraId="74187A42" w14:textId="77777777" w:rsidTr="00A445B6">
        <w:tc>
          <w:tcPr>
            <w:tcW w:w="1596" w:type="dxa"/>
            <w:shd w:val="clear" w:color="auto" w:fill="auto"/>
          </w:tcPr>
          <w:p w14:paraId="758B3DD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Gusinje</w:t>
            </w:r>
          </w:p>
        </w:tc>
        <w:tc>
          <w:tcPr>
            <w:tcW w:w="1596" w:type="dxa"/>
            <w:shd w:val="clear" w:color="auto" w:fill="auto"/>
          </w:tcPr>
          <w:p w14:paraId="79D051F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78.0</w:t>
            </w:r>
          </w:p>
        </w:tc>
        <w:tc>
          <w:tcPr>
            <w:tcW w:w="1596" w:type="dxa"/>
            <w:shd w:val="clear" w:color="auto" w:fill="auto"/>
          </w:tcPr>
          <w:p w14:paraId="47E4A00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c>
          <w:tcPr>
            <w:tcW w:w="1596" w:type="dxa"/>
            <w:shd w:val="clear" w:color="auto" w:fill="auto"/>
          </w:tcPr>
          <w:p w14:paraId="28DC3B2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Plužine</w:t>
            </w:r>
          </w:p>
        </w:tc>
        <w:tc>
          <w:tcPr>
            <w:tcW w:w="1596" w:type="dxa"/>
            <w:shd w:val="clear" w:color="auto" w:fill="auto"/>
          </w:tcPr>
          <w:p w14:paraId="23D5543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76.2</w:t>
            </w:r>
          </w:p>
        </w:tc>
        <w:tc>
          <w:tcPr>
            <w:tcW w:w="1596" w:type="dxa"/>
            <w:shd w:val="clear" w:color="auto" w:fill="auto"/>
          </w:tcPr>
          <w:p w14:paraId="4A0D1CD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r>
      <w:tr w:rsidR="0048184E" w:rsidRPr="0048184E" w14:paraId="66BBF643" w14:textId="77777777" w:rsidTr="00A445B6">
        <w:tc>
          <w:tcPr>
            <w:tcW w:w="1596" w:type="dxa"/>
            <w:shd w:val="clear" w:color="auto" w:fill="auto"/>
          </w:tcPr>
          <w:p w14:paraId="6A17367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Pljevlja</w:t>
            </w:r>
          </w:p>
        </w:tc>
        <w:tc>
          <w:tcPr>
            <w:tcW w:w="1596" w:type="dxa"/>
            <w:shd w:val="clear" w:color="auto" w:fill="auto"/>
          </w:tcPr>
          <w:p w14:paraId="1791D3F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75.8</w:t>
            </w:r>
          </w:p>
        </w:tc>
        <w:tc>
          <w:tcPr>
            <w:tcW w:w="1596" w:type="dxa"/>
            <w:shd w:val="clear" w:color="auto" w:fill="auto"/>
          </w:tcPr>
          <w:p w14:paraId="507C946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c>
          <w:tcPr>
            <w:tcW w:w="1596" w:type="dxa"/>
            <w:shd w:val="clear" w:color="auto" w:fill="auto"/>
          </w:tcPr>
          <w:p w14:paraId="5656E53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Gusinje</w:t>
            </w:r>
          </w:p>
        </w:tc>
        <w:tc>
          <w:tcPr>
            <w:tcW w:w="1596" w:type="dxa"/>
            <w:shd w:val="clear" w:color="auto" w:fill="auto"/>
          </w:tcPr>
          <w:p w14:paraId="5EA3B9E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73.5</w:t>
            </w:r>
          </w:p>
        </w:tc>
        <w:tc>
          <w:tcPr>
            <w:tcW w:w="1596" w:type="dxa"/>
            <w:shd w:val="clear" w:color="auto" w:fill="auto"/>
          </w:tcPr>
          <w:p w14:paraId="4A20C89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r>
      <w:tr w:rsidR="0048184E" w:rsidRPr="0048184E" w14:paraId="51C4649B" w14:textId="77777777" w:rsidTr="00A445B6">
        <w:tc>
          <w:tcPr>
            <w:tcW w:w="1596" w:type="dxa"/>
            <w:shd w:val="clear" w:color="auto" w:fill="auto"/>
          </w:tcPr>
          <w:p w14:paraId="53E3450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Plužine</w:t>
            </w:r>
          </w:p>
        </w:tc>
        <w:tc>
          <w:tcPr>
            <w:tcW w:w="1596" w:type="dxa"/>
            <w:shd w:val="clear" w:color="auto" w:fill="auto"/>
          </w:tcPr>
          <w:p w14:paraId="50DBEB7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73.7</w:t>
            </w:r>
          </w:p>
        </w:tc>
        <w:tc>
          <w:tcPr>
            <w:tcW w:w="1596" w:type="dxa"/>
            <w:shd w:val="clear" w:color="auto" w:fill="auto"/>
          </w:tcPr>
          <w:p w14:paraId="1FE530D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c>
          <w:tcPr>
            <w:tcW w:w="1596" w:type="dxa"/>
            <w:shd w:val="clear" w:color="auto" w:fill="auto"/>
          </w:tcPr>
          <w:p w14:paraId="368F5E3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Šavnik</w:t>
            </w:r>
          </w:p>
        </w:tc>
        <w:tc>
          <w:tcPr>
            <w:tcW w:w="1596" w:type="dxa"/>
            <w:shd w:val="clear" w:color="auto" w:fill="auto"/>
          </w:tcPr>
          <w:p w14:paraId="351DD04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65.4</w:t>
            </w:r>
          </w:p>
        </w:tc>
        <w:tc>
          <w:tcPr>
            <w:tcW w:w="1596" w:type="dxa"/>
            <w:shd w:val="clear" w:color="auto" w:fill="auto"/>
          </w:tcPr>
          <w:p w14:paraId="53CBF00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r>
      <w:tr w:rsidR="0048184E" w:rsidRPr="0048184E" w14:paraId="177F2C68" w14:textId="77777777" w:rsidTr="00A445B6">
        <w:tc>
          <w:tcPr>
            <w:tcW w:w="1596" w:type="dxa"/>
            <w:shd w:val="clear" w:color="auto" w:fill="auto"/>
          </w:tcPr>
          <w:p w14:paraId="76547841"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Mojkovac</w:t>
            </w:r>
          </w:p>
        </w:tc>
        <w:tc>
          <w:tcPr>
            <w:tcW w:w="1596" w:type="dxa"/>
            <w:shd w:val="clear" w:color="auto" w:fill="auto"/>
          </w:tcPr>
          <w:p w14:paraId="21964FA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72.2</w:t>
            </w:r>
          </w:p>
        </w:tc>
        <w:tc>
          <w:tcPr>
            <w:tcW w:w="1596" w:type="dxa"/>
            <w:shd w:val="clear" w:color="auto" w:fill="auto"/>
          </w:tcPr>
          <w:p w14:paraId="1E7B4F4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c>
          <w:tcPr>
            <w:tcW w:w="1596" w:type="dxa"/>
            <w:shd w:val="clear" w:color="auto" w:fill="auto"/>
          </w:tcPr>
          <w:p w14:paraId="7B9D2FC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Berane</w:t>
            </w:r>
          </w:p>
        </w:tc>
        <w:tc>
          <w:tcPr>
            <w:tcW w:w="1596" w:type="dxa"/>
            <w:shd w:val="clear" w:color="auto" w:fill="auto"/>
          </w:tcPr>
          <w:p w14:paraId="583FE9F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60.1</w:t>
            </w:r>
          </w:p>
        </w:tc>
        <w:tc>
          <w:tcPr>
            <w:tcW w:w="1596" w:type="dxa"/>
            <w:shd w:val="clear" w:color="auto" w:fill="auto"/>
          </w:tcPr>
          <w:p w14:paraId="26FEC95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r>
      <w:tr w:rsidR="0048184E" w:rsidRPr="0048184E" w14:paraId="5C9E1603" w14:textId="77777777" w:rsidTr="00A445B6">
        <w:tc>
          <w:tcPr>
            <w:tcW w:w="1596" w:type="dxa"/>
            <w:shd w:val="clear" w:color="auto" w:fill="auto"/>
          </w:tcPr>
          <w:p w14:paraId="04D759C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Kolašin</w:t>
            </w:r>
          </w:p>
        </w:tc>
        <w:tc>
          <w:tcPr>
            <w:tcW w:w="1596" w:type="dxa"/>
            <w:shd w:val="clear" w:color="auto" w:fill="auto"/>
          </w:tcPr>
          <w:p w14:paraId="549C633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71.0</w:t>
            </w:r>
          </w:p>
        </w:tc>
        <w:tc>
          <w:tcPr>
            <w:tcW w:w="1596" w:type="dxa"/>
            <w:shd w:val="clear" w:color="auto" w:fill="auto"/>
          </w:tcPr>
          <w:p w14:paraId="0E96FDB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c>
          <w:tcPr>
            <w:tcW w:w="1596" w:type="dxa"/>
            <w:shd w:val="clear" w:color="auto" w:fill="auto"/>
          </w:tcPr>
          <w:p w14:paraId="5190FD7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Andrijevica</w:t>
            </w:r>
          </w:p>
        </w:tc>
        <w:tc>
          <w:tcPr>
            <w:tcW w:w="1596" w:type="dxa"/>
            <w:shd w:val="clear" w:color="auto" w:fill="auto"/>
          </w:tcPr>
          <w:p w14:paraId="4257EAB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42.0</w:t>
            </w:r>
          </w:p>
        </w:tc>
        <w:tc>
          <w:tcPr>
            <w:tcW w:w="1596" w:type="dxa"/>
            <w:shd w:val="clear" w:color="auto" w:fill="auto"/>
          </w:tcPr>
          <w:p w14:paraId="41D3277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r>
      <w:tr w:rsidR="0048184E" w:rsidRPr="0048184E" w14:paraId="2530C11C" w14:textId="77777777" w:rsidTr="00A445B6">
        <w:tc>
          <w:tcPr>
            <w:tcW w:w="1596" w:type="dxa"/>
            <w:shd w:val="clear" w:color="auto" w:fill="auto"/>
          </w:tcPr>
          <w:p w14:paraId="37BF4EC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Berane</w:t>
            </w:r>
          </w:p>
        </w:tc>
        <w:tc>
          <w:tcPr>
            <w:tcW w:w="1596" w:type="dxa"/>
            <w:shd w:val="clear" w:color="auto" w:fill="auto"/>
          </w:tcPr>
          <w:p w14:paraId="413CF78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66.6</w:t>
            </w:r>
          </w:p>
        </w:tc>
        <w:tc>
          <w:tcPr>
            <w:tcW w:w="1596" w:type="dxa"/>
            <w:shd w:val="clear" w:color="auto" w:fill="auto"/>
          </w:tcPr>
          <w:p w14:paraId="5AF1302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c>
          <w:tcPr>
            <w:tcW w:w="1596" w:type="dxa"/>
            <w:vMerge w:val="restart"/>
            <w:shd w:val="clear" w:color="auto" w:fill="auto"/>
          </w:tcPr>
          <w:p w14:paraId="71D19C9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Petnjica</w:t>
            </w:r>
          </w:p>
        </w:tc>
        <w:tc>
          <w:tcPr>
            <w:tcW w:w="1596" w:type="dxa"/>
            <w:vMerge w:val="restart"/>
            <w:shd w:val="clear" w:color="auto" w:fill="auto"/>
          </w:tcPr>
          <w:p w14:paraId="117124D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31.5</w:t>
            </w:r>
          </w:p>
        </w:tc>
        <w:tc>
          <w:tcPr>
            <w:tcW w:w="1596" w:type="dxa"/>
            <w:vMerge w:val="restart"/>
            <w:shd w:val="clear" w:color="auto" w:fill="auto"/>
          </w:tcPr>
          <w:p w14:paraId="3C9E6FB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r>
      <w:tr w:rsidR="0048184E" w:rsidRPr="0048184E" w14:paraId="62C0BD4C" w14:textId="77777777" w:rsidTr="00A445B6">
        <w:tc>
          <w:tcPr>
            <w:tcW w:w="1596" w:type="dxa"/>
            <w:shd w:val="clear" w:color="auto" w:fill="auto"/>
          </w:tcPr>
          <w:p w14:paraId="5A6D0BC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Petnjica</w:t>
            </w:r>
          </w:p>
        </w:tc>
        <w:tc>
          <w:tcPr>
            <w:tcW w:w="1596" w:type="dxa"/>
            <w:shd w:val="clear" w:color="auto" w:fill="auto"/>
          </w:tcPr>
          <w:p w14:paraId="246A1C3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38.8</w:t>
            </w:r>
          </w:p>
        </w:tc>
        <w:tc>
          <w:tcPr>
            <w:tcW w:w="1596" w:type="dxa"/>
            <w:shd w:val="clear" w:color="auto" w:fill="auto"/>
          </w:tcPr>
          <w:p w14:paraId="15C8A5E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24</w:t>
            </w:r>
          </w:p>
        </w:tc>
        <w:tc>
          <w:tcPr>
            <w:tcW w:w="1596" w:type="dxa"/>
            <w:vMerge/>
            <w:shd w:val="clear" w:color="auto" w:fill="auto"/>
          </w:tcPr>
          <w:p w14:paraId="4D903194" w14:textId="77777777" w:rsidR="00DB7E8E" w:rsidRPr="0048184E" w:rsidRDefault="00DB7E8E" w:rsidP="0048184E">
            <w:pPr>
              <w:pStyle w:val="NoSpacing"/>
              <w:rPr>
                <w:rFonts w:asciiTheme="minorHAnsi" w:hAnsiTheme="minorHAnsi" w:cs="Calibri"/>
                <w:b/>
                <w:sz w:val="18"/>
                <w:szCs w:val="18"/>
                <w:lang w:val="sr-Latn-ME"/>
              </w:rPr>
            </w:pPr>
          </w:p>
        </w:tc>
        <w:tc>
          <w:tcPr>
            <w:tcW w:w="1596" w:type="dxa"/>
            <w:vMerge/>
            <w:shd w:val="clear" w:color="auto" w:fill="auto"/>
          </w:tcPr>
          <w:p w14:paraId="2FCAE53D" w14:textId="77777777" w:rsidR="00DB7E8E" w:rsidRPr="0048184E" w:rsidRDefault="00DB7E8E" w:rsidP="0048184E">
            <w:pPr>
              <w:pStyle w:val="NoSpacing"/>
              <w:rPr>
                <w:rFonts w:asciiTheme="minorHAnsi" w:hAnsiTheme="minorHAnsi" w:cs="Calibri"/>
                <w:sz w:val="18"/>
                <w:szCs w:val="18"/>
                <w:lang w:val="sr-Latn-ME"/>
              </w:rPr>
            </w:pPr>
          </w:p>
        </w:tc>
        <w:tc>
          <w:tcPr>
            <w:tcW w:w="1596" w:type="dxa"/>
            <w:vMerge/>
            <w:shd w:val="clear" w:color="auto" w:fill="auto"/>
          </w:tcPr>
          <w:p w14:paraId="15C93346" w14:textId="77777777" w:rsidR="00DB7E8E" w:rsidRPr="0048184E" w:rsidRDefault="00DB7E8E" w:rsidP="0048184E">
            <w:pPr>
              <w:pStyle w:val="NoSpacing"/>
              <w:rPr>
                <w:rFonts w:asciiTheme="minorHAnsi" w:hAnsiTheme="minorHAnsi" w:cs="Calibri"/>
                <w:sz w:val="18"/>
                <w:szCs w:val="18"/>
                <w:lang w:val="sr-Latn-ME"/>
              </w:rPr>
            </w:pPr>
          </w:p>
        </w:tc>
      </w:tr>
    </w:tbl>
    <w:p w14:paraId="172B07A5" w14:textId="77777777" w:rsidR="00DB7E8E" w:rsidRPr="0048184E" w:rsidRDefault="00DB7E8E" w:rsidP="0048184E">
      <w:pPr>
        <w:pStyle w:val="NoSpacing"/>
        <w:rPr>
          <w:rFonts w:asciiTheme="minorHAnsi" w:hAnsiTheme="minorHAnsi"/>
          <w:i/>
          <w:iCs/>
          <w:sz w:val="18"/>
          <w:szCs w:val="18"/>
          <w:lang w:val="sr-Latn-ME"/>
        </w:rPr>
      </w:pPr>
    </w:p>
    <w:p w14:paraId="68D10228" w14:textId="77777777" w:rsidR="00DB7E8E" w:rsidRPr="0048184E" w:rsidRDefault="00DB7E8E" w:rsidP="0048184E">
      <w:pPr>
        <w:pStyle w:val="NoSpacing"/>
        <w:jc w:val="center"/>
        <w:rPr>
          <w:rFonts w:asciiTheme="minorHAnsi" w:hAnsiTheme="minorHAnsi"/>
          <w:sz w:val="18"/>
          <w:szCs w:val="18"/>
          <w:lang w:val="sr-Latn-ME"/>
        </w:rPr>
      </w:pPr>
    </w:p>
    <w:p w14:paraId="354CA1BB"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Iako sve JLS posluju u istom makroekonomskom i regulatornom okruženju, rezultati istraživanja pokazuju da postoje značajne razlike u kvalitetu poslovnog okruženja i poslovnog sektora, i to: </w:t>
      </w:r>
    </w:p>
    <w:p w14:paraId="57E55DAC"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 xml:space="preserve">Poslovno okruženje u najkonkurentnijim JLS (Budva, Tivat, Kotor, Podgorica) obilježeno je uglavnom pozitivnim migracijskim saldom i vitalnim indeksom (odnos rođenih i umrlih), kao i većim učešćem visokoobrazovanih ljudi; </w:t>
      </w:r>
    </w:p>
    <w:p w14:paraId="1547680D"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 xml:space="preserve">Poslovno okruženje u najmanje konkurentnim JLS (Mojkovac, Kolašin, Berane, Petnjica) obilježavaju negativna kretanja vitalnog indeksa i manje učešće visokoobrazovanih ljudi (osim u Beranama); </w:t>
      </w:r>
    </w:p>
    <w:p w14:paraId="6F6F8905"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Poslovni sektor u najkonkurentnijim JLS obilježava veća gustina poslovnih aktera (broj zaposlenih u MSP, broj zaposlenih, prihodi preduzeća, prosječne zarade i sl.) u odnosu na poslovni sektor u najmanje konkurentnim JLS;</w:t>
      </w:r>
    </w:p>
    <w:p w14:paraId="24E87DE7"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Od opština na Sjeveru, stepen konkurentnosti je poboljšan u Plavu, Andrijevici, Bijelom Polju i Šavniku.</w:t>
      </w:r>
    </w:p>
    <w:p w14:paraId="0632CEC7" w14:textId="61D79121" w:rsidR="00DB7E8E" w:rsidRDefault="00DB7E8E" w:rsidP="0048184E">
      <w:pPr>
        <w:pStyle w:val="ListParagraph"/>
        <w:spacing w:after="0" w:line="240" w:lineRule="auto"/>
        <w:ind w:left="360"/>
        <w:rPr>
          <w:rFonts w:cstheme="minorHAnsi"/>
          <w:b/>
          <w:sz w:val="18"/>
          <w:szCs w:val="18"/>
          <w:lang w:val="sr-Latn-ME"/>
        </w:rPr>
      </w:pPr>
    </w:p>
    <w:p w14:paraId="127AA700" w14:textId="42E22355" w:rsidR="000176ED" w:rsidRPr="000176ED" w:rsidRDefault="000176ED" w:rsidP="000176ED">
      <w:pPr>
        <w:pStyle w:val="NoSpacing"/>
        <w:jc w:val="both"/>
        <w:rPr>
          <w:rFonts w:asciiTheme="minorHAnsi" w:hAnsiTheme="minorHAnsi"/>
          <w:bCs/>
          <w:sz w:val="18"/>
          <w:szCs w:val="18"/>
          <w:lang w:val="sr-Latn-ME"/>
        </w:rPr>
      </w:pPr>
      <w:r>
        <w:rPr>
          <w:rFonts w:asciiTheme="minorHAnsi" w:hAnsiTheme="minorHAnsi"/>
          <w:bCs/>
          <w:sz w:val="18"/>
          <w:szCs w:val="18"/>
          <w:lang w:val="sr-Latn-ME"/>
        </w:rPr>
        <w:t xml:space="preserve">Pripremljene su manje izmjene Uredbe o metodologiji izračunavanja stepena konkurentnosti JLS, shodno čemu će se novi obračun izvršiti na bazi podataka 2022-2024. godina. </w:t>
      </w:r>
    </w:p>
    <w:p w14:paraId="25E7996C" w14:textId="40F5966E" w:rsidR="000176ED" w:rsidRDefault="000176ED" w:rsidP="0048184E">
      <w:pPr>
        <w:pStyle w:val="ListParagraph"/>
        <w:spacing w:after="0" w:line="240" w:lineRule="auto"/>
        <w:ind w:left="360"/>
        <w:rPr>
          <w:rFonts w:cstheme="minorHAnsi"/>
          <w:b/>
          <w:sz w:val="18"/>
          <w:szCs w:val="18"/>
          <w:lang w:val="sr-Latn-ME"/>
        </w:rPr>
      </w:pPr>
    </w:p>
    <w:p w14:paraId="2898DDC4" w14:textId="6B3E3192" w:rsidR="000176ED" w:rsidRDefault="000176ED" w:rsidP="0048184E">
      <w:pPr>
        <w:pStyle w:val="ListParagraph"/>
        <w:spacing w:after="0" w:line="240" w:lineRule="auto"/>
        <w:ind w:left="360"/>
        <w:rPr>
          <w:rFonts w:cstheme="minorHAnsi"/>
          <w:b/>
          <w:sz w:val="18"/>
          <w:szCs w:val="18"/>
          <w:lang w:val="sr-Latn-ME"/>
        </w:rPr>
      </w:pPr>
    </w:p>
    <w:p w14:paraId="4C009823" w14:textId="77777777" w:rsidR="000176ED" w:rsidRPr="0048184E" w:rsidRDefault="000176ED" w:rsidP="0048184E">
      <w:pPr>
        <w:pStyle w:val="ListParagraph"/>
        <w:spacing w:after="0" w:line="240" w:lineRule="auto"/>
        <w:ind w:left="360"/>
        <w:rPr>
          <w:rFonts w:cstheme="minorHAnsi"/>
          <w:b/>
          <w:sz w:val="18"/>
          <w:szCs w:val="18"/>
          <w:lang w:val="sr-Latn-ME"/>
        </w:rPr>
      </w:pPr>
    </w:p>
    <w:p w14:paraId="6633632F" w14:textId="77777777" w:rsidR="00A13DA5" w:rsidRPr="00726BE7" w:rsidRDefault="00A13DA5" w:rsidP="0048184E">
      <w:pPr>
        <w:pStyle w:val="Heading2"/>
        <w:numPr>
          <w:ilvl w:val="0"/>
          <w:numId w:val="27"/>
        </w:numPr>
        <w:spacing w:before="0" w:line="240" w:lineRule="auto"/>
        <w:rPr>
          <w:rFonts w:asciiTheme="minorHAnsi" w:hAnsiTheme="minorHAnsi"/>
        </w:rPr>
      </w:pPr>
      <w:bookmarkStart w:id="38" w:name="_Toc205215842"/>
      <w:r w:rsidRPr="00726BE7">
        <w:rPr>
          <w:rFonts w:asciiTheme="minorHAnsi" w:hAnsiTheme="minorHAnsi"/>
        </w:rPr>
        <w:t>Analiza zainteresovanih strana</w:t>
      </w:r>
      <w:bookmarkEnd w:id="38"/>
      <w:r w:rsidRPr="00726BE7">
        <w:rPr>
          <w:rFonts w:asciiTheme="minorHAnsi" w:hAnsiTheme="minorHAnsi"/>
        </w:rPr>
        <w:t xml:space="preserve"> </w:t>
      </w:r>
    </w:p>
    <w:p w14:paraId="5C70F96F" w14:textId="77777777" w:rsidR="00A13DA5" w:rsidRPr="0048184E" w:rsidRDefault="00A13DA5" w:rsidP="0048184E">
      <w:pPr>
        <w:spacing w:after="0" w:line="240" w:lineRule="auto"/>
        <w:rPr>
          <w:rFonts w:cstheme="minorHAnsi"/>
          <w:b/>
          <w:sz w:val="18"/>
          <w:szCs w:val="18"/>
          <w:lang w:val="sr-Latn-ME"/>
        </w:rPr>
      </w:pPr>
    </w:p>
    <w:p w14:paraId="751DFEB9" w14:textId="77777777" w:rsidR="00A13DA5" w:rsidRPr="0048184E" w:rsidRDefault="00A13DA5" w:rsidP="0048184E">
      <w:pPr>
        <w:pStyle w:val="NoSpacing"/>
        <w:jc w:val="both"/>
        <w:rPr>
          <w:rFonts w:asciiTheme="minorHAnsi" w:hAnsiTheme="minorHAnsi" w:cstheme="minorHAnsi"/>
          <w:b/>
          <w:bCs/>
          <w:sz w:val="18"/>
          <w:szCs w:val="18"/>
          <w:lang w:val="sr-Latn-ME"/>
        </w:rPr>
      </w:pPr>
      <w:r w:rsidRPr="0048184E">
        <w:rPr>
          <w:rFonts w:asciiTheme="minorHAnsi" w:hAnsiTheme="minorHAnsi" w:cstheme="minorHAnsi"/>
          <w:sz w:val="18"/>
          <w:szCs w:val="18"/>
          <w:lang w:val="sr-Latn-ME"/>
        </w:rPr>
        <w:t xml:space="preserve">Ključna institucija koja je resorno odgovorna za politiku regionalnog razvoja je </w:t>
      </w:r>
      <w:r w:rsidRPr="0048184E">
        <w:rPr>
          <w:rFonts w:asciiTheme="minorHAnsi" w:hAnsiTheme="minorHAnsi" w:cstheme="minorHAnsi"/>
          <w:b/>
          <w:bCs/>
          <w:sz w:val="18"/>
          <w:szCs w:val="18"/>
          <w:lang w:val="sr-Latn-ME"/>
        </w:rPr>
        <w:t>resorno ministarstvo</w:t>
      </w:r>
      <w:r w:rsidRPr="0048184E">
        <w:rPr>
          <w:rFonts w:asciiTheme="minorHAnsi" w:hAnsiTheme="minorHAnsi" w:cstheme="minorHAnsi"/>
          <w:sz w:val="18"/>
          <w:szCs w:val="18"/>
          <w:lang w:val="sr-Latn-ME"/>
        </w:rPr>
        <w:t xml:space="preserve"> gdje je integrisana regionalna politika, koje ujedno ima vrlo važnu ulogu u koordinaciji aktivnosti sprovođenja politike regionalnog razvoja. Nadalje, u cilju praćenja i unaprjeđenja stanja u oblasti regionalnog razvoja, </w:t>
      </w:r>
      <w:r w:rsidR="00AB76B0" w:rsidRPr="0048184E">
        <w:rPr>
          <w:rFonts w:asciiTheme="minorHAnsi" w:hAnsiTheme="minorHAnsi" w:cstheme="minorHAnsi"/>
          <w:sz w:val="18"/>
          <w:szCs w:val="18"/>
          <w:lang w:val="sr-Latn-ME"/>
        </w:rPr>
        <w:t xml:space="preserve">Zakonom je definisano </w:t>
      </w:r>
      <w:r w:rsidRPr="0048184E">
        <w:rPr>
          <w:rFonts w:asciiTheme="minorHAnsi" w:hAnsiTheme="minorHAnsi" w:cstheme="minorHAnsi"/>
          <w:sz w:val="18"/>
          <w:szCs w:val="18"/>
          <w:lang w:val="sr-Latn-ME"/>
        </w:rPr>
        <w:t>formiran</w:t>
      </w:r>
      <w:r w:rsidR="00AB76B0" w:rsidRPr="0048184E">
        <w:rPr>
          <w:rFonts w:asciiTheme="minorHAnsi" w:hAnsiTheme="minorHAnsi" w:cstheme="minorHAnsi"/>
          <w:sz w:val="18"/>
          <w:szCs w:val="18"/>
          <w:lang w:val="sr-Latn-ME"/>
        </w:rPr>
        <w:t>je</w:t>
      </w:r>
      <w:r w:rsidRPr="0048184E">
        <w:rPr>
          <w:rFonts w:asciiTheme="minorHAnsi" w:hAnsiTheme="minorHAnsi" w:cstheme="minorHAnsi"/>
          <w:sz w:val="18"/>
          <w:szCs w:val="18"/>
          <w:lang w:val="sr-Latn-ME"/>
        </w:rPr>
        <w:t xml:space="preserve"> </w:t>
      </w:r>
      <w:r w:rsidR="00AB76B0" w:rsidRPr="0048184E">
        <w:rPr>
          <w:rFonts w:asciiTheme="minorHAnsi" w:hAnsiTheme="minorHAnsi" w:cstheme="minorHAnsi"/>
          <w:b/>
          <w:bCs/>
          <w:sz w:val="18"/>
          <w:szCs w:val="18"/>
          <w:lang w:val="sr-Latn-ME"/>
        </w:rPr>
        <w:t>Partnerskog</w:t>
      </w:r>
      <w:r w:rsidRPr="0048184E">
        <w:rPr>
          <w:rFonts w:asciiTheme="minorHAnsi" w:hAnsiTheme="minorHAnsi" w:cstheme="minorHAnsi"/>
          <w:b/>
          <w:bCs/>
          <w:sz w:val="18"/>
          <w:szCs w:val="18"/>
          <w:lang w:val="sr-Latn-ME"/>
        </w:rPr>
        <w:t xml:space="preserve"> savjet za regionalni razvoj.</w:t>
      </w:r>
      <w:r w:rsidRPr="0048184E">
        <w:rPr>
          <w:rFonts w:asciiTheme="minorHAnsi" w:hAnsiTheme="minorHAnsi" w:cstheme="minorHAnsi"/>
          <w:sz w:val="18"/>
          <w:szCs w:val="18"/>
          <w:lang w:val="sr-Latn-ME"/>
        </w:rPr>
        <w:t xml:space="preserve"> Dakle, s obzirom da politika regionalnog razvoja ima multidimenzioni i multisektorski karakter, u procesu implementacije politike regionalnog razvoja učestvuju, shodno svojim nadležnostima, pored značajnog broja ministarstava i institucija na nacionalnom nivou, i predstavnici Zajednice opšti</w:t>
      </w:r>
      <w:r w:rsidR="00AB76B0" w:rsidRPr="0048184E">
        <w:rPr>
          <w:rFonts w:asciiTheme="minorHAnsi" w:hAnsiTheme="minorHAnsi" w:cstheme="minorHAnsi"/>
          <w:sz w:val="18"/>
          <w:szCs w:val="18"/>
          <w:lang w:val="sr-Latn-ME"/>
        </w:rPr>
        <w:t>na Crne Gore, kao i predsjednici svi</w:t>
      </w:r>
      <w:r w:rsidRPr="0048184E">
        <w:rPr>
          <w:rFonts w:asciiTheme="minorHAnsi" w:hAnsiTheme="minorHAnsi" w:cstheme="minorHAnsi"/>
          <w:sz w:val="18"/>
          <w:szCs w:val="18"/>
          <w:lang w:val="sr-Latn-ME"/>
        </w:rPr>
        <w:t xml:space="preserve"> adminstrativnih jedinica na lokalnom nivou.</w:t>
      </w:r>
    </w:p>
    <w:p w14:paraId="1AC1F286" w14:textId="77777777" w:rsidR="00D96CF7" w:rsidRPr="0048184E" w:rsidRDefault="00D96CF7" w:rsidP="0048184E">
      <w:pPr>
        <w:pStyle w:val="NoSpacing"/>
        <w:jc w:val="both"/>
        <w:rPr>
          <w:rFonts w:asciiTheme="minorHAnsi" w:hAnsiTheme="minorHAnsi" w:cstheme="minorHAnsi"/>
          <w:sz w:val="18"/>
          <w:szCs w:val="18"/>
          <w:lang w:val="sr-Latn-ME"/>
        </w:rPr>
      </w:pPr>
    </w:p>
    <w:p w14:paraId="1D81C723"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Kao što je prethodno navedeno, s obzirom da se SRR „sprovodi“ najvećim dijelom na lokalnom nivou, ključni partner resornom ministarstvu u njenom sprovođenju su </w:t>
      </w:r>
      <w:r w:rsidRPr="0048184E">
        <w:rPr>
          <w:rFonts w:asciiTheme="minorHAnsi" w:hAnsiTheme="minorHAnsi" w:cstheme="minorHAnsi"/>
          <w:b/>
          <w:bCs/>
          <w:sz w:val="18"/>
          <w:szCs w:val="18"/>
          <w:lang w:val="sr-Latn-ME"/>
        </w:rPr>
        <w:t>jedinice lokalne samouprave</w:t>
      </w:r>
      <w:r w:rsidRPr="0048184E">
        <w:rPr>
          <w:rFonts w:asciiTheme="minorHAnsi" w:hAnsiTheme="minorHAnsi" w:cstheme="minorHAnsi"/>
          <w:sz w:val="18"/>
          <w:szCs w:val="18"/>
          <w:lang w:val="sr-Latn-ME"/>
        </w:rPr>
        <w:t xml:space="preserve">. Konkretno, JLS pripremaju Strateške planove razvoja, koji su kompatibilni strateškom okviru za regionalnu politiku Crne Gore. </w:t>
      </w:r>
    </w:p>
    <w:p w14:paraId="16C155FF" w14:textId="77777777" w:rsidR="00A13DA5" w:rsidRPr="0048184E" w:rsidRDefault="00A13DA5" w:rsidP="0048184E">
      <w:pPr>
        <w:pStyle w:val="NoSpacing"/>
        <w:jc w:val="both"/>
        <w:rPr>
          <w:rFonts w:asciiTheme="minorHAnsi" w:hAnsiTheme="minorHAnsi" w:cstheme="minorHAnsi"/>
          <w:sz w:val="18"/>
          <w:szCs w:val="18"/>
          <w:lang w:val="sr-Latn-ME"/>
        </w:rPr>
      </w:pPr>
    </w:p>
    <w:p w14:paraId="120CC7AB"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Imajući u vidu da analiza zainteresovanih strana pruža odgovore na pitanje koje bi sve aktere trebalo uključiti u pripremu i sprovođenje strateškog dokumenta, u Aneksu 1 mapirane su sve zainteresovane strane, sa fokusom na domaće aktere i posebno lokalni nivo. </w:t>
      </w:r>
    </w:p>
    <w:p w14:paraId="0F54AF29" w14:textId="77777777" w:rsidR="00A13DA5" w:rsidRPr="0048184E" w:rsidRDefault="00A13DA5" w:rsidP="0048184E">
      <w:pPr>
        <w:pStyle w:val="NoSpacing"/>
        <w:jc w:val="both"/>
        <w:rPr>
          <w:rFonts w:asciiTheme="minorHAnsi" w:hAnsiTheme="minorHAnsi" w:cstheme="minorHAnsi"/>
          <w:sz w:val="18"/>
          <w:szCs w:val="18"/>
          <w:lang w:val="sr-Latn-ME"/>
        </w:rPr>
      </w:pPr>
    </w:p>
    <w:p w14:paraId="3ED068AC"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Na osnovu ključnih nalaza iz sprovedene analize zainteresovanih strana, moguće je zaključiti da kada je u pitanju regionalna politika Crne Gore, gotovo sve zainteresovane strane mogu biti ocijenjene sa najvišom ocjenom, dok je za znač</w:t>
      </w:r>
      <w:r w:rsidR="00AB76B0" w:rsidRPr="0048184E">
        <w:rPr>
          <w:rFonts w:asciiTheme="minorHAnsi" w:hAnsiTheme="minorHAnsi" w:cstheme="minorHAnsi"/>
          <w:sz w:val="18"/>
          <w:szCs w:val="18"/>
          <w:lang w:val="sr-Latn-ME"/>
        </w:rPr>
        <w:t>ajan broj aktera uticaj u vezi sa</w:t>
      </w:r>
      <w:r w:rsidRPr="0048184E">
        <w:rPr>
          <w:rFonts w:asciiTheme="minorHAnsi" w:hAnsiTheme="minorHAnsi" w:cstheme="minorHAnsi"/>
          <w:sz w:val="18"/>
          <w:szCs w:val="18"/>
          <w:lang w:val="sr-Latn-ME"/>
        </w:rPr>
        <w:t xml:space="preserve"> njihovim raspoloživim budžetima (npr. resorna ministarstva ili agencije). Izuzetak od navedenog su NVO aktivne u Crnoj Gori, koje, iako finansijski nijesu značajan partner realizacije mjera, programa i projekata regionalnog i lokalnog razvoja, one su važan partner i zainteresovana strana, jer značajno podstiču dijalog u lokalnim zajednicama, građanski aktivizam i uključenost, kao i komuniciranje sa međunarodnom zajednicom, pa je njihov uticaj takođe 5. Dodatno, JLS i ZOCG, po inicijalnoj analizi, snaga je 4, ali je ona takođe vezana više za njihove finansijske kapacitete, nego za važnu ulogu koju imaju u kreiranju i sprovođenju politike regionalnog razvoja na lokalnom nivou.</w:t>
      </w:r>
    </w:p>
    <w:p w14:paraId="5C4C71D6" w14:textId="77777777" w:rsidR="00A13DA5" w:rsidRPr="0048184E" w:rsidRDefault="00A13DA5" w:rsidP="0048184E">
      <w:pPr>
        <w:pStyle w:val="NoSpacing"/>
        <w:jc w:val="both"/>
        <w:rPr>
          <w:rFonts w:asciiTheme="minorHAnsi" w:hAnsiTheme="minorHAnsi" w:cstheme="minorHAnsi"/>
          <w:sz w:val="18"/>
          <w:szCs w:val="18"/>
          <w:lang w:val="sr-Latn-ME"/>
        </w:rPr>
      </w:pPr>
    </w:p>
    <w:p w14:paraId="7BB81965" w14:textId="77777777" w:rsidR="00A13DA5" w:rsidRPr="00726BE7" w:rsidRDefault="00A13DA5" w:rsidP="0048184E">
      <w:pPr>
        <w:pStyle w:val="Heading2"/>
        <w:numPr>
          <w:ilvl w:val="0"/>
          <w:numId w:val="27"/>
        </w:numPr>
        <w:spacing w:before="0" w:line="240" w:lineRule="auto"/>
        <w:rPr>
          <w:rFonts w:asciiTheme="minorHAnsi" w:hAnsiTheme="minorHAnsi"/>
        </w:rPr>
      </w:pPr>
      <w:bookmarkStart w:id="39" w:name="_Toc205215843"/>
      <w:r w:rsidRPr="00726BE7">
        <w:rPr>
          <w:rFonts w:asciiTheme="minorHAnsi" w:hAnsiTheme="minorHAnsi"/>
        </w:rPr>
        <w:lastRenderedPageBreak/>
        <w:t>SWOT analiza po regionima</w:t>
      </w:r>
      <w:bookmarkEnd w:id="39"/>
    </w:p>
    <w:p w14:paraId="60B34528" w14:textId="77777777" w:rsidR="00A13DA5" w:rsidRPr="0048184E" w:rsidRDefault="00A13DA5" w:rsidP="0048184E">
      <w:pPr>
        <w:pStyle w:val="NoSpacing"/>
        <w:jc w:val="both"/>
        <w:rPr>
          <w:rFonts w:asciiTheme="minorHAnsi" w:hAnsiTheme="minorHAnsi" w:cstheme="minorHAnsi"/>
          <w:b/>
          <w:sz w:val="18"/>
          <w:szCs w:val="18"/>
          <w:lang w:val="sr-Latn-ME"/>
        </w:rPr>
      </w:pPr>
    </w:p>
    <w:p w14:paraId="5870E6F9" w14:textId="77777777" w:rsidR="00A13DA5" w:rsidRPr="0048184E" w:rsidRDefault="00A13DA5" w:rsidP="0048184E">
      <w:pPr>
        <w:pStyle w:val="NoSpacing"/>
        <w:jc w:val="both"/>
        <w:rPr>
          <w:rFonts w:asciiTheme="minorHAnsi" w:hAnsiTheme="minorHAnsi" w:cstheme="minorHAnsi"/>
          <w:sz w:val="18"/>
          <w:szCs w:val="18"/>
          <w:lang w:val="sl-SI"/>
        </w:rPr>
      </w:pPr>
      <w:r w:rsidRPr="0048184E">
        <w:rPr>
          <w:rFonts w:asciiTheme="minorHAnsi" w:hAnsiTheme="minorHAnsi" w:cstheme="minorHAnsi"/>
          <w:sz w:val="18"/>
          <w:szCs w:val="18"/>
          <w:lang w:val="sl-SI"/>
        </w:rPr>
        <w:t xml:space="preserve">SWOT analiza je predstavljena na nivou regiona, i daje osnovne poruke o snagama, slabostima, šansama i prijetnjama za svaki od tri regiona. </w:t>
      </w:r>
    </w:p>
    <w:p w14:paraId="7E59B752" w14:textId="77777777" w:rsidR="00A13DA5" w:rsidRPr="0048184E" w:rsidRDefault="00A13DA5" w:rsidP="0048184E">
      <w:pPr>
        <w:pStyle w:val="NoSpacing"/>
        <w:jc w:val="both"/>
        <w:rPr>
          <w:rFonts w:asciiTheme="minorHAnsi" w:hAnsiTheme="minorHAnsi" w:cstheme="minorHAnsi"/>
          <w:sz w:val="18"/>
          <w:szCs w:val="18"/>
          <w:lang w:val="sl-SI"/>
        </w:rPr>
      </w:pPr>
    </w:p>
    <w:p w14:paraId="52DAAEF6" w14:textId="77777777" w:rsidR="00D96CF7" w:rsidRPr="0048184E" w:rsidRDefault="00A13DA5" w:rsidP="0048184E">
      <w:pPr>
        <w:pStyle w:val="NoSpacing"/>
        <w:jc w:val="both"/>
        <w:rPr>
          <w:rFonts w:asciiTheme="minorHAnsi" w:hAnsiTheme="minorHAnsi" w:cstheme="minorHAnsi"/>
          <w:sz w:val="18"/>
          <w:szCs w:val="18"/>
          <w:lang w:val="sl-SI"/>
        </w:rPr>
      </w:pPr>
      <w:r w:rsidRPr="0048184E">
        <w:rPr>
          <w:rFonts w:asciiTheme="minorHAnsi" w:hAnsiTheme="minorHAnsi" w:cstheme="minorHAnsi"/>
          <w:b/>
          <w:kern w:val="32"/>
          <w:sz w:val="18"/>
          <w:szCs w:val="18"/>
          <w:lang w:val="sl-SI"/>
        </w:rPr>
        <w:t>Sjeverni region</w:t>
      </w:r>
      <w:r w:rsidRPr="0048184E">
        <w:rPr>
          <w:rFonts w:asciiTheme="minorHAnsi" w:hAnsiTheme="minorHAnsi" w:cstheme="minorHAnsi"/>
          <w:kern w:val="32"/>
          <w:sz w:val="18"/>
          <w:szCs w:val="18"/>
          <w:lang w:val="sl-SI"/>
        </w:rPr>
        <w:t xml:space="preserve"> obuhvata ne</w:t>
      </w:r>
      <w:r w:rsidRPr="0048184E">
        <w:rPr>
          <w:rFonts w:asciiTheme="minorHAnsi" w:hAnsiTheme="minorHAnsi" w:cstheme="minorHAnsi"/>
          <w:kern w:val="32"/>
          <w:sz w:val="18"/>
          <w:szCs w:val="18"/>
          <w:lang w:val="sr-Latn-ME"/>
        </w:rPr>
        <w:t>što više od polovine ukupne</w:t>
      </w:r>
      <w:r w:rsidRPr="0048184E">
        <w:rPr>
          <w:rFonts w:asciiTheme="minorHAnsi" w:hAnsiTheme="minorHAnsi" w:cstheme="minorHAnsi"/>
          <w:kern w:val="32"/>
          <w:sz w:val="18"/>
          <w:szCs w:val="18"/>
          <w:lang w:val="sl-SI"/>
        </w:rPr>
        <w:t xml:space="preserve"> teritorije Crne Gore, na kojoj prema procjeni za 2020. godinu živi oko četvrtina stanovništva Crne Gore. Region raspolaže sa najvećim dijelom ukupnog hidropotencijala u Crnoj Gori, cjelokupnim rezervama uglja, oko 67% obradivih površina, 71% drvne mase, blizu 70% stočnog fonda, skoro cjelokupnim rezervama olova i cinka, kao i resursima za razvoj zimskog i eko-turizma i proizvodnji eko hrane i hrane sa zaštićenim geografskim porijeklom.</w:t>
      </w:r>
      <w:r w:rsidRPr="0048184E">
        <w:rPr>
          <w:rFonts w:asciiTheme="minorHAnsi" w:hAnsiTheme="minorHAnsi" w:cstheme="minorHAnsi"/>
          <w:sz w:val="18"/>
          <w:szCs w:val="18"/>
          <w:lang w:val="sl-SI"/>
        </w:rPr>
        <w:t xml:space="preserve"> Iako bogat prirodnim resursima i velikim potencijalom za razvoj svih oblika turizma, sjeverni region karakteriše slaba razvijenost JLS, veliki odliv stanovništa posebno mlađeg i obrazovanog kao i najveći rizik od siromaštva. </w:t>
      </w:r>
    </w:p>
    <w:p w14:paraId="2A76FC0B" w14:textId="77777777" w:rsidR="00D96CF7" w:rsidRPr="0048184E" w:rsidRDefault="00D96CF7" w:rsidP="0048184E">
      <w:pPr>
        <w:pStyle w:val="NoSpacing"/>
        <w:jc w:val="both"/>
        <w:rPr>
          <w:rFonts w:asciiTheme="minorHAnsi" w:hAnsiTheme="minorHAnsi" w:cstheme="minorHAnsi"/>
          <w:sz w:val="18"/>
          <w:szCs w:val="18"/>
          <w:lang w:val="sl-SI"/>
        </w:rPr>
      </w:pPr>
    </w:p>
    <w:p w14:paraId="31B00252" w14:textId="77777777" w:rsidR="00A13DA5" w:rsidRPr="0048184E" w:rsidRDefault="00EC14B9" w:rsidP="0048184E">
      <w:pPr>
        <w:pStyle w:val="NoSpacing"/>
        <w:jc w:val="center"/>
        <w:rPr>
          <w:rFonts w:asciiTheme="minorHAnsi" w:hAnsiTheme="minorHAnsi" w:cstheme="minorHAnsi"/>
          <w:sz w:val="18"/>
          <w:szCs w:val="18"/>
          <w:lang w:val="sl-SI"/>
        </w:rPr>
      </w:pPr>
      <w:r w:rsidRPr="00EC14B9">
        <w:rPr>
          <w:rFonts w:asciiTheme="minorHAnsi" w:hAnsiTheme="minorHAnsi" w:cstheme="minorHAnsi"/>
          <w:b/>
          <w:color w:val="4472C4" w:themeColor="accent5"/>
          <w:sz w:val="18"/>
          <w:szCs w:val="18"/>
          <w:lang w:val="sr-Latn-ME"/>
        </w:rPr>
        <w:t>Tabela 14</w:t>
      </w:r>
      <w:r w:rsidR="00A13DA5" w:rsidRPr="00EC14B9">
        <w:rPr>
          <w:rFonts w:asciiTheme="minorHAnsi" w:hAnsiTheme="minorHAnsi" w:cstheme="minorHAnsi"/>
          <w:b/>
          <w:color w:val="4472C4" w:themeColor="accent5"/>
          <w:sz w:val="18"/>
          <w:szCs w:val="18"/>
          <w:lang w:val="sr-Latn-ME"/>
        </w:rPr>
        <w:t>. SWOT analiza regionalnog razvoja Crne Gore - SJEVERNI REGION</w:t>
      </w:r>
    </w:p>
    <w:tbl>
      <w:tblPr>
        <w:tblpPr w:leftFromText="180" w:rightFromText="180" w:vertAnchor="text" w:horzAnchor="margin" w:tblpXSpec="center" w:tblpY="340"/>
        <w:tblW w:w="88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304"/>
        <w:gridCol w:w="36"/>
        <w:gridCol w:w="2304"/>
        <w:gridCol w:w="36"/>
        <w:gridCol w:w="2384"/>
        <w:gridCol w:w="36"/>
        <w:gridCol w:w="1710"/>
      </w:tblGrid>
      <w:tr w:rsidR="00A13DA5" w:rsidRPr="0048184E" w14:paraId="1CC0E102" w14:textId="77777777" w:rsidTr="00D96CF7">
        <w:trPr>
          <w:trHeight w:val="376"/>
        </w:trPr>
        <w:tc>
          <w:tcPr>
            <w:tcW w:w="2340" w:type="dxa"/>
            <w:gridSpan w:val="2"/>
            <w:shd w:val="clear" w:color="auto" w:fill="BDD6EE"/>
            <w:vAlign w:val="center"/>
          </w:tcPr>
          <w:p w14:paraId="4855D2D7"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SNAGE</w:t>
            </w:r>
          </w:p>
        </w:tc>
        <w:tc>
          <w:tcPr>
            <w:tcW w:w="2340" w:type="dxa"/>
            <w:gridSpan w:val="2"/>
            <w:shd w:val="clear" w:color="auto" w:fill="BDD6EE"/>
            <w:vAlign w:val="center"/>
          </w:tcPr>
          <w:p w14:paraId="1F864DC9"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SLABOSTI</w:t>
            </w:r>
          </w:p>
        </w:tc>
        <w:tc>
          <w:tcPr>
            <w:tcW w:w="2420" w:type="dxa"/>
            <w:gridSpan w:val="2"/>
            <w:shd w:val="clear" w:color="auto" w:fill="BDD6EE"/>
            <w:vAlign w:val="center"/>
          </w:tcPr>
          <w:p w14:paraId="7E62DD06"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ŠANSE</w:t>
            </w:r>
          </w:p>
        </w:tc>
        <w:tc>
          <w:tcPr>
            <w:tcW w:w="1710" w:type="dxa"/>
            <w:shd w:val="clear" w:color="auto" w:fill="BDD6EE"/>
            <w:vAlign w:val="center"/>
          </w:tcPr>
          <w:p w14:paraId="31C63A8C"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PRIJETNJE</w:t>
            </w:r>
          </w:p>
        </w:tc>
      </w:tr>
      <w:tr w:rsidR="00A13DA5" w:rsidRPr="00FB3BDC" w14:paraId="354166BA" w14:textId="77777777" w:rsidTr="00D96CF7">
        <w:trPr>
          <w:trHeight w:val="163"/>
        </w:trPr>
        <w:tc>
          <w:tcPr>
            <w:tcW w:w="8810" w:type="dxa"/>
            <w:gridSpan w:val="7"/>
            <w:shd w:val="clear" w:color="auto" w:fill="BFBFBF"/>
            <w:vAlign w:val="center"/>
          </w:tcPr>
          <w:p w14:paraId="2E84BC88"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LJUDSKI RESURSI, ZAPOŠLJAVANJE, OBRAZOVANJE, MOBILNOST, LOKALNE INICIJATIVE I PLANOVI</w:t>
            </w:r>
          </w:p>
        </w:tc>
      </w:tr>
      <w:tr w:rsidR="00A13DA5" w:rsidRPr="00FB3BDC" w14:paraId="02B5AE46" w14:textId="77777777" w:rsidTr="00D96CF7">
        <w:trPr>
          <w:trHeight w:val="20"/>
        </w:trPr>
        <w:tc>
          <w:tcPr>
            <w:tcW w:w="2304" w:type="dxa"/>
          </w:tcPr>
          <w:p w14:paraId="290EC5B0"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-Zadovoljavajući broj obrazovnih institucija;</w:t>
            </w:r>
          </w:p>
          <w:p w14:paraId="36C2BBCB"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-Relativno dobre mogućnosti  pristupa svih nivoa obrazovanja;</w:t>
            </w:r>
          </w:p>
          <w:p w14:paraId="67AB1FD4"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-Postojanje primarnog i sekundarnog nivoa zdravstvene zaštite</w:t>
            </w:r>
          </w:p>
          <w:p w14:paraId="2AF0F3FD"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 xml:space="preserve"> </w:t>
            </w:r>
          </w:p>
        </w:tc>
        <w:tc>
          <w:tcPr>
            <w:tcW w:w="2340" w:type="dxa"/>
            <w:gridSpan w:val="2"/>
          </w:tcPr>
          <w:p w14:paraId="78CD00E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-Odliv mlađeg i obrazovanog stanovništva;</w:t>
            </w:r>
          </w:p>
          <w:p w14:paraId="6BA9AA5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-Nezaposlenost; </w:t>
            </w:r>
          </w:p>
          <w:p w14:paraId="66F98E0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stručna znanja i kompetencije;</w:t>
            </w:r>
          </w:p>
          <w:p w14:paraId="0ECA46B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-Nedovoljna  informisanost stanovništva o mogućnostima koje pružaju EU programi </w:t>
            </w:r>
          </w:p>
        </w:tc>
        <w:tc>
          <w:tcPr>
            <w:tcW w:w="2420" w:type="dxa"/>
            <w:gridSpan w:val="2"/>
          </w:tcPr>
          <w:p w14:paraId="010869E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-Ulaganje u doživotno obrazovanje;</w:t>
            </w:r>
          </w:p>
          <w:p w14:paraId="3AD2661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-Programi prekvalifikacija i aktivne politike zapošljavanja; </w:t>
            </w:r>
          </w:p>
          <w:p w14:paraId="34A3E85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-Usagla</w:t>
            </w:r>
            <w:r w:rsidRPr="00B26027">
              <w:rPr>
                <w:rFonts w:cstheme="minorHAnsi"/>
                <w:bCs/>
                <w:sz w:val="16"/>
                <w:szCs w:val="16"/>
                <w:lang w:val="sr-Latn-ME"/>
              </w:rPr>
              <w:t>š</w:t>
            </w:r>
            <w:r w:rsidRPr="00B26027">
              <w:rPr>
                <w:rFonts w:cstheme="minorHAnsi"/>
                <w:bCs/>
                <w:sz w:val="16"/>
                <w:szCs w:val="16"/>
                <w:lang w:val="pl-PL"/>
              </w:rPr>
              <w:t>avanje obrazovnih programa sa potrebama tržišta rada;</w:t>
            </w:r>
          </w:p>
          <w:p w14:paraId="0F14F7F9"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pl-PL"/>
              </w:rPr>
              <w:t xml:space="preserve">-Obuke o EU programima   </w:t>
            </w:r>
          </w:p>
        </w:tc>
        <w:tc>
          <w:tcPr>
            <w:tcW w:w="1746" w:type="dxa"/>
            <w:gridSpan w:val="2"/>
          </w:tcPr>
          <w:p w14:paraId="3279BEE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-Dalji odliv stanovništva; </w:t>
            </w:r>
          </w:p>
          <w:p w14:paraId="039EA88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-Nerazvijeni  kapaciteti za pripremu i realizaciju EU projekata;</w:t>
            </w:r>
          </w:p>
          <w:p w14:paraId="78B2E98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-Nezainteresovanost populacije za ostanak u ovom regionu</w:t>
            </w:r>
          </w:p>
        </w:tc>
      </w:tr>
      <w:tr w:rsidR="00A13DA5" w:rsidRPr="00FB3BDC" w14:paraId="75BB3C44" w14:textId="77777777" w:rsidTr="00D96CF7">
        <w:trPr>
          <w:trHeight w:val="185"/>
        </w:trPr>
        <w:tc>
          <w:tcPr>
            <w:tcW w:w="8810" w:type="dxa"/>
            <w:gridSpan w:val="7"/>
            <w:shd w:val="clear" w:color="auto" w:fill="BFBFBF"/>
          </w:tcPr>
          <w:p w14:paraId="0EEB58D2"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SAOBRAĆAJ, POLJOPRIVREDA, ENERGETIKA, ŽIVOTNA SREDINA  I KLIMATSKE AKCIJE</w:t>
            </w:r>
          </w:p>
        </w:tc>
      </w:tr>
      <w:tr w:rsidR="00A13DA5" w:rsidRPr="0048184E" w14:paraId="368E17DD" w14:textId="77777777" w:rsidTr="00D96CF7">
        <w:trPr>
          <w:trHeight w:val="406"/>
        </w:trPr>
        <w:tc>
          <w:tcPr>
            <w:tcW w:w="2340" w:type="dxa"/>
            <w:gridSpan w:val="2"/>
          </w:tcPr>
          <w:p w14:paraId="2B03F49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-Bogatstvo prirodnim resursima;</w:t>
            </w:r>
          </w:p>
          <w:p w14:paraId="51CB104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-Mreža regionalnih i magistralnih puteva; </w:t>
            </w:r>
          </w:p>
          <w:p w14:paraId="763D7D2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-Relativno dobra el.energetska i komunalna infrastruktura u gradskim područjima;</w:t>
            </w:r>
          </w:p>
          <w:p w14:paraId="2FF7A5A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-Potencijali za razvoj prehrambene industrije, raznih vidova turizma, drvoprerade </w:t>
            </w:r>
          </w:p>
          <w:p w14:paraId="4A99BE38" w14:textId="77777777" w:rsidR="00A13DA5" w:rsidRPr="00B26027" w:rsidRDefault="00A13DA5" w:rsidP="0048184E">
            <w:pPr>
              <w:spacing w:after="0" w:line="240" w:lineRule="auto"/>
              <w:rPr>
                <w:rFonts w:cstheme="minorHAnsi"/>
                <w:bCs/>
                <w:sz w:val="16"/>
                <w:szCs w:val="16"/>
                <w:lang w:val="pl-PL"/>
              </w:rPr>
            </w:pPr>
          </w:p>
        </w:tc>
        <w:tc>
          <w:tcPr>
            <w:tcW w:w="2340" w:type="dxa"/>
            <w:gridSpan w:val="2"/>
          </w:tcPr>
          <w:p w14:paraId="0723550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-Neadekvatno upravljanje prirodnim resursima; </w:t>
            </w:r>
          </w:p>
          <w:p w14:paraId="718253A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-Neobrađenost poljoprivrednih površina;</w:t>
            </w:r>
          </w:p>
          <w:p w14:paraId="2FCFDA2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-Nizak nivo iskorišćenosti prirodnih resursa i područja pogodnih za razvoj specifčnih vidova turizma;</w:t>
            </w:r>
          </w:p>
          <w:p w14:paraId="53F1C64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-Loš kvalitet puteva u seoskim područjima i slaba povezanost sa centrima ; </w:t>
            </w:r>
          </w:p>
          <w:p w14:paraId="7D50EBD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-Nepostojanje sistema za prečišćavanje otpadnih voda i sanitarnih deponija </w:t>
            </w:r>
          </w:p>
        </w:tc>
        <w:tc>
          <w:tcPr>
            <w:tcW w:w="2420" w:type="dxa"/>
            <w:gridSpan w:val="2"/>
          </w:tcPr>
          <w:p w14:paraId="24743A4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-Veća valorizacija prirodnih resursa, bolje upravljanje i povećanje stepena iskorištenosti istih; </w:t>
            </w:r>
          </w:p>
          <w:p w14:paraId="19EB641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-Veća obradivost poljoprivrednih površina</w:t>
            </w:r>
            <w:r w:rsidRPr="00B26027">
              <w:rPr>
                <w:rFonts w:cstheme="minorHAnsi"/>
                <w:bCs/>
                <w:sz w:val="16"/>
                <w:szCs w:val="16"/>
                <w:lang w:val="sr-Latn-ME"/>
              </w:rPr>
              <w:t>;</w:t>
            </w:r>
            <w:r w:rsidRPr="00B26027">
              <w:rPr>
                <w:rFonts w:cstheme="minorHAnsi"/>
                <w:bCs/>
                <w:sz w:val="16"/>
                <w:szCs w:val="16"/>
                <w:lang w:val="pl-PL"/>
              </w:rPr>
              <w:t xml:space="preserve"> </w:t>
            </w:r>
          </w:p>
          <w:p w14:paraId="766AD091"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 xml:space="preserve">-Potencijal za razvoj etno i ski turizma kao i </w:t>
            </w:r>
            <w:r w:rsidRPr="00B26027">
              <w:rPr>
                <w:rFonts w:cstheme="minorHAnsi"/>
                <w:bCs/>
                <w:sz w:val="16"/>
                <w:szCs w:val="16"/>
                <w:lang w:val="sr-Latn-ME"/>
              </w:rPr>
              <w:t>zdravstvenog turizma;</w:t>
            </w:r>
          </w:p>
          <w:p w14:paraId="7AD03632"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-Izgradnja druge dionice autoputa Bar-Boljare; </w:t>
            </w:r>
          </w:p>
          <w:p w14:paraId="20BC0F2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-Razvoj projekata kroz privatno-javno partnerstvo</w:t>
            </w:r>
          </w:p>
        </w:tc>
        <w:tc>
          <w:tcPr>
            <w:tcW w:w="1710" w:type="dxa"/>
          </w:tcPr>
          <w:p w14:paraId="699F2AA8"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-Nelegalna eksploatacija prirodnih resursa; </w:t>
            </w:r>
          </w:p>
          <w:p w14:paraId="1A344BC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-Nedostatak finansijskih sredstava i kapaciteta za realizaciju većih infrastrukturnih projekata;</w:t>
            </w:r>
          </w:p>
          <w:p w14:paraId="634C7FA3"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 xml:space="preserve">-Nedovoljno razvijena svijest o potrebi očuvanja </w:t>
            </w:r>
            <w:r w:rsidRPr="00B26027">
              <w:rPr>
                <w:rFonts w:cstheme="minorHAnsi"/>
                <w:bCs/>
                <w:sz w:val="16"/>
                <w:szCs w:val="16"/>
                <w:lang w:val="sr-Latn-ME"/>
              </w:rPr>
              <w:t>životne sredine i kulturnog nasljeđa;</w:t>
            </w:r>
          </w:p>
          <w:p w14:paraId="08C988B4"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w:t>
            </w:r>
            <w:r w:rsidRPr="00B26027">
              <w:rPr>
                <w:rFonts w:cstheme="minorHAnsi"/>
                <w:bCs/>
                <w:sz w:val="16"/>
                <w:szCs w:val="16"/>
                <w:lang w:val="en-GB"/>
              </w:rPr>
              <w:t>Elementarne nepogode</w:t>
            </w:r>
          </w:p>
        </w:tc>
      </w:tr>
      <w:tr w:rsidR="00A13DA5" w:rsidRPr="00FB3BDC" w14:paraId="336D60CE" w14:textId="77777777" w:rsidTr="00D96CF7">
        <w:trPr>
          <w:trHeight w:val="265"/>
        </w:trPr>
        <w:tc>
          <w:tcPr>
            <w:tcW w:w="8810" w:type="dxa"/>
            <w:gridSpan w:val="7"/>
            <w:shd w:val="clear" w:color="auto" w:fill="BFBFBF"/>
          </w:tcPr>
          <w:p w14:paraId="04365527"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KONKURENTNOSTI I INOVACIJE, DIGITALIZACIJA, EKONOMSKA TRANSFORMACIJA</w:t>
            </w:r>
          </w:p>
        </w:tc>
      </w:tr>
      <w:tr w:rsidR="00A13DA5" w:rsidRPr="00FB3BDC" w14:paraId="5C309E1E" w14:textId="77777777" w:rsidTr="004D3E60">
        <w:trPr>
          <w:trHeight w:val="880"/>
        </w:trPr>
        <w:tc>
          <w:tcPr>
            <w:tcW w:w="2340" w:type="dxa"/>
            <w:gridSpan w:val="2"/>
          </w:tcPr>
          <w:p w14:paraId="06279C0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-Bogato kulturno nasljeđe; </w:t>
            </w:r>
          </w:p>
          <w:p w14:paraId="389A50B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-Razvijen institucionalni okvir u kulturi;</w:t>
            </w:r>
          </w:p>
          <w:p w14:paraId="1316C2C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-Donošenje PUP-ova JLS; </w:t>
            </w:r>
          </w:p>
          <w:p w14:paraId="6B3B781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-Usvajanje i realizacija Strateških planova razvoja JLS </w:t>
            </w:r>
          </w:p>
        </w:tc>
        <w:tc>
          <w:tcPr>
            <w:tcW w:w="2340" w:type="dxa"/>
            <w:gridSpan w:val="2"/>
          </w:tcPr>
          <w:p w14:paraId="637B6A8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-Nizak nivo investicija; </w:t>
            </w:r>
          </w:p>
          <w:p w14:paraId="10B31BF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-Nedovoljan nivo konkurentnosti, inovativnosti privrede i promocije raspoloživih resursa; </w:t>
            </w:r>
          </w:p>
          <w:p w14:paraId="4244481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-Nedovoljno razvijena privredna infrastruktura; </w:t>
            </w:r>
          </w:p>
          <w:p w14:paraId="508E7C2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-Nizak stepen obrade proizvoda; </w:t>
            </w:r>
          </w:p>
          <w:p w14:paraId="053D262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-Neorganizovan otkup poljoprivrednih proizvoda; </w:t>
            </w:r>
          </w:p>
          <w:p w14:paraId="15EC8A8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promocija kulturnog nasljeđa; </w:t>
            </w:r>
          </w:p>
          <w:p w14:paraId="2E8BC61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-Loše stanje kulturnih dobara; </w:t>
            </w:r>
          </w:p>
          <w:p w14:paraId="433A76A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opremljenost objekata kulture; </w:t>
            </w:r>
          </w:p>
          <w:p w14:paraId="34E5F36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-Nerazvijena baza podataka JLS; </w:t>
            </w:r>
          </w:p>
          <w:p w14:paraId="74B6917F" w14:textId="77777777" w:rsidR="004D3E60"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-Nizak nivo međusobne saradnje JLS i nedostatak integrativnih aktivnosti na regionalnom nivou</w:t>
            </w:r>
          </w:p>
        </w:tc>
        <w:tc>
          <w:tcPr>
            <w:tcW w:w="2420" w:type="dxa"/>
            <w:gridSpan w:val="2"/>
          </w:tcPr>
          <w:p w14:paraId="1AF8BD5C"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 xml:space="preserve">-Jačanje proizvodnog sektora; </w:t>
            </w:r>
          </w:p>
          <w:p w14:paraId="53852E97"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 xml:space="preserve">-Razvoj novih trendova u turizmu; </w:t>
            </w:r>
          </w:p>
          <w:p w14:paraId="37592B3A"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 xml:space="preserve">-Transfer znanja i tehnologija; -Jačanje i razvoj sektora MSP i njegovo povezivanje kroz razvoj klastera i koperativa;  </w:t>
            </w:r>
          </w:p>
          <w:p w14:paraId="72DC17C6"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-Valorizacija i promocija kulturnih različitosti;</w:t>
            </w:r>
          </w:p>
          <w:p w14:paraId="0089009E"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 xml:space="preserve">-Revitalizacija starih zanata i domaće radinosti; </w:t>
            </w:r>
          </w:p>
          <w:p w14:paraId="22E96047"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pt-BR"/>
              </w:rPr>
              <w:t>-Razvoj preduzetništva;</w:t>
            </w:r>
          </w:p>
          <w:p w14:paraId="6E1F4415"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-Mogućnost prekogranične saradnje i finansiranja iz EU fondova;</w:t>
            </w:r>
          </w:p>
          <w:p w14:paraId="4083B92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-Decentralizacija upravljanja razvojem; </w:t>
            </w:r>
          </w:p>
          <w:p w14:paraId="1861DA9E"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-Potencijal za razvoj kreativnih industrija</w:t>
            </w:r>
          </w:p>
        </w:tc>
        <w:tc>
          <w:tcPr>
            <w:tcW w:w="1710" w:type="dxa"/>
          </w:tcPr>
          <w:p w14:paraId="7D0C98A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-Globalna i EU konkurencija; </w:t>
            </w:r>
          </w:p>
          <w:p w14:paraId="6748C31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-Nedostatak finansijskih sredstava za podsticanje ekonomskih aktivnosti; </w:t>
            </w:r>
          </w:p>
          <w:p w14:paraId="6D71186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-Nedostatak potrebnih kadrova za realizaciju investicionih aktivnosti;</w:t>
            </w:r>
          </w:p>
          <w:p w14:paraId="26C2197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-Neizgrađenost potrebne institucionalne infrastrukture na regionalnom nivou</w:t>
            </w:r>
          </w:p>
          <w:p w14:paraId="7F578906" w14:textId="77777777" w:rsidR="00A13DA5" w:rsidRPr="00B26027" w:rsidRDefault="00A13DA5" w:rsidP="0048184E">
            <w:pPr>
              <w:spacing w:after="0" w:line="240" w:lineRule="auto"/>
              <w:rPr>
                <w:rFonts w:cstheme="minorHAnsi"/>
                <w:bCs/>
                <w:sz w:val="16"/>
                <w:szCs w:val="16"/>
                <w:lang w:val="pl-PL"/>
              </w:rPr>
            </w:pPr>
          </w:p>
        </w:tc>
      </w:tr>
    </w:tbl>
    <w:p w14:paraId="502ED750" w14:textId="77777777" w:rsidR="00A13DA5" w:rsidRPr="0048184E" w:rsidRDefault="00A13DA5" w:rsidP="0048184E">
      <w:pPr>
        <w:pStyle w:val="NoSpacing"/>
        <w:jc w:val="both"/>
        <w:rPr>
          <w:rFonts w:asciiTheme="minorHAnsi" w:eastAsia="Times New Roman" w:hAnsiTheme="minorHAnsi" w:cstheme="minorHAnsi"/>
          <w:kern w:val="32"/>
          <w:sz w:val="18"/>
          <w:szCs w:val="18"/>
          <w:lang w:val="sr-Latn-ME"/>
        </w:rPr>
      </w:pPr>
    </w:p>
    <w:p w14:paraId="3006FFEA" w14:textId="77777777" w:rsidR="00A13DA5" w:rsidRPr="0048184E" w:rsidRDefault="00A13DA5" w:rsidP="0048184E">
      <w:pPr>
        <w:pStyle w:val="NoSpacing"/>
        <w:jc w:val="both"/>
        <w:rPr>
          <w:rFonts w:asciiTheme="minorHAnsi" w:hAnsiTheme="minorHAnsi" w:cstheme="minorHAnsi"/>
          <w:sz w:val="18"/>
          <w:szCs w:val="18"/>
          <w:lang w:val="pl-PL"/>
        </w:rPr>
      </w:pPr>
      <w:r w:rsidRPr="0048184E">
        <w:rPr>
          <w:rFonts w:asciiTheme="minorHAnsi" w:hAnsiTheme="minorHAnsi" w:cstheme="minorHAnsi"/>
          <w:sz w:val="18"/>
          <w:szCs w:val="18"/>
          <w:lang w:val="pl-PL"/>
        </w:rPr>
        <w:t>Gotovo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polovina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ukupnog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stanovni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Gore</w:t>
      </w:r>
      <w:r w:rsidRPr="0048184E">
        <w:rPr>
          <w:rFonts w:asciiTheme="minorHAnsi" w:hAnsiTheme="minorHAnsi" w:cstheme="minorHAnsi"/>
          <w:sz w:val="18"/>
          <w:szCs w:val="18"/>
          <w:lang w:val="sr-Latn-ME"/>
        </w:rPr>
        <w:t xml:space="preserve"> ž</w:t>
      </w:r>
      <w:r w:rsidRPr="0048184E">
        <w:rPr>
          <w:rFonts w:asciiTheme="minorHAnsi" w:hAnsiTheme="minorHAnsi" w:cstheme="minorHAnsi"/>
          <w:sz w:val="18"/>
          <w:szCs w:val="18"/>
          <w:lang w:val="pl-PL"/>
        </w:rPr>
        <w:t>ivi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b/>
          <w:sz w:val="18"/>
          <w:szCs w:val="18"/>
          <w:lang w:val="pl-PL"/>
        </w:rPr>
        <w:t>sredi</w:t>
      </w:r>
      <w:r w:rsidRPr="0048184E">
        <w:rPr>
          <w:rFonts w:asciiTheme="minorHAnsi" w:hAnsiTheme="minorHAnsi" w:cstheme="minorHAnsi"/>
          <w:b/>
          <w:sz w:val="18"/>
          <w:szCs w:val="18"/>
          <w:lang w:val="sr-Latn-ME"/>
        </w:rPr>
        <w:t>š</w:t>
      </w:r>
      <w:r w:rsidRPr="0048184E">
        <w:rPr>
          <w:rFonts w:asciiTheme="minorHAnsi" w:hAnsiTheme="minorHAnsi" w:cstheme="minorHAnsi"/>
          <w:b/>
          <w:sz w:val="18"/>
          <w:szCs w:val="18"/>
          <w:lang w:val="pl-PL"/>
        </w:rPr>
        <w:t>njem</w:t>
      </w:r>
      <w:r w:rsidRPr="0048184E">
        <w:rPr>
          <w:rFonts w:asciiTheme="minorHAnsi" w:hAnsiTheme="minorHAnsi" w:cstheme="minorHAnsi"/>
          <w:b/>
          <w:sz w:val="18"/>
          <w:szCs w:val="18"/>
          <w:lang w:val="sr-Latn-ME"/>
        </w:rPr>
        <w:t xml:space="preserve"> </w:t>
      </w:r>
      <w:r w:rsidRPr="0048184E">
        <w:rPr>
          <w:rFonts w:asciiTheme="minorHAnsi" w:hAnsiTheme="minorHAnsi" w:cstheme="minorHAnsi"/>
          <w:b/>
          <w:sz w:val="18"/>
          <w:szCs w:val="18"/>
          <w:lang w:val="pl-PL"/>
        </w:rPr>
        <w:t>regionu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koji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prostorno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obuhvata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ne</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vi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od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tre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pl-PL"/>
        </w:rPr>
        <w:t>ine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ukupne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teritorije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Gore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Sredi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nji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region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suo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pl-PL"/>
        </w:rPr>
        <w:t>ava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sna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pl-PL"/>
        </w:rPr>
        <w:t>nim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prilivom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stanovni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Sjevernog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regiona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stopu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rasta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stanovni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iznad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prosjeka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Gore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sna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pl-PL"/>
        </w:rPr>
        <w:t>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priliv</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stranih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direktnih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investicija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 xml:space="preserve">U regionu se nalazi oko 22,4% obradive </w:t>
      </w:r>
      <w:r w:rsidRPr="0048184E">
        <w:rPr>
          <w:rFonts w:asciiTheme="minorHAnsi" w:hAnsiTheme="minorHAnsi" w:cstheme="minorHAnsi"/>
          <w:sz w:val="18"/>
          <w:szCs w:val="18"/>
          <w:lang w:val="pl-PL"/>
        </w:rPr>
        <w:lastRenderedPageBreak/>
        <w:t xml:space="preserve">površine, 25,5% drvne mase, 30,5% stočnog fonda i bogata nalazišta boksita i značajni hidropotencijali. Takođe treba napomenuti da se na području Središnjeg regiona nalaze najznačajnije obradive površine. Središnji region je istovremeno i univerzitetski centar Crne Gore. Dosadašnji razvoj je bio zasnovan na sektoru industrije, građevinarstva, saobraćaja i skladištenja, trgovine i ugostiteljstva, a u posljednjem periodu i na razvoju poljoprivredne proizvodnje i prerade. </w:t>
      </w:r>
    </w:p>
    <w:p w14:paraId="17948469" w14:textId="77777777" w:rsidR="00A13DA5" w:rsidRPr="0048184E" w:rsidRDefault="00A13DA5" w:rsidP="0048184E">
      <w:pPr>
        <w:pStyle w:val="NoSpacing"/>
        <w:jc w:val="both"/>
        <w:rPr>
          <w:rFonts w:asciiTheme="minorHAnsi" w:hAnsiTheme="minorHAnsi" w:cstheme="minorHAnsi"/>
          <w:sz w:val="18"/>
          <w:szCs w:val="18"/>
          <w:lang w:val="sr-Latn-ME"/>
        </w:rPr>
      </w:pPr>
    </w:p>
    <w:p w14:paraId="37A85FCD"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15</w:t>
      </w:r>
      <w:r w:rsidR="00A13DA5" w:rsidRPr="00EC14B9">
        <w:rPr>
          <w:rFonts w:asciiTheme="minorHAnsi" w:hAnsiTheme="minorHAnsi" w:cstheme="minorHAnsi"/>
          <w:b/>
          <w:color w:val="4472C4" w:themeColor="accent5"/>
          <w:sz w:val="18"/>
          <w:szCs w:val="18"/>
          <w:lang w:val="sr-Latn-ME"/>
        </w:rPr>
        <w:t>. SWOT analiza regionalnog razvoja Crne Gore - SREDIŠNJI REGION</w:t>
      </w:r>
    </w:p>
    <w:tbl>
      <w:tblPr>
        <w:tblW w:w="48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308"/>
        <w:gridCol w:w="2391"/>
        <w:gridCol w:w="2257"/>
        <w:gridCol w:w="1854"/>
      </w:tblGrid>
      <w:tr w:rsidR="00A13DA5" w:rsidRPr="0048184E" w14:paraId="361B9EFA" w14:textId="77777777" w:rsidTr="00D96CF7">
        <w:trPr>
          <w:trHeight w:val="287"/>
          <w:jc w:val="center"/>
        </w:trPr>
        <w:tc>
          <w:tcPr>
            <w:tcW w:w="1310" w:type="pct"/>
            <w:shd w:val="clear" w:color="auto" w:fill="9CC2E5"/>
            <w:vAlign w:val="center"/>
          </w:tcPr>
          <w:p w14:paraId="51700307"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SNAGE</w:t>
            </w:r>
          </w:p>
        </w:tc>
        <w:tc>
          <w:tcPr>
            <w:tcW w:w="1357" w:type="pct"/>
            <w:shd w:val="clear" w:color="auto" w:fill="9CC2E5"/>
            <w:vAlign w:val="center"/>
          </w:tcPr>
          <w:p w14:paraId="51310F4A"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SLABOSTI</w:t>
            </w:r>
          </w:p>
        </w:tc>
        <w:tc>
          <w:tcPr>
            <w:tcW w:w="1281" w:type="pct"/>
            <w:shd w:val="clear" w:color="auto" w:fill="9CC2E5"/>
            <w:vAlign w:val="center"/>
          </w:tcPr>
          <w:p w14:paraId="62246B5D"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ŠANSE</w:t>
            </w:r>
          </w:p>
        </w:tc>
        <w:tc>
          <w:tcPr>
            <w:tcW w:w="1052" w:type="pct"/>
            <w:shd w:val="clear" w:color="auto" w:fill="9CC2E5"/>
            <w:vAlign w:val="center"/>
          </w:tcPr>
          <w:p w14:paraId="2A37B4B0"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PRIJETNJE</w:t>
            </w:r>
          </w:p>
        </w:tc>
      </w:tr>
      <w:tr w:rsidR="00A13DA5" w:rsidRPr="00FB3BDC" w14:paraId="33DEF75F" w14:textId="77777777" w:rsidTr="00D96CF7">
        <w:trPr>
          <w:trHeight w:val="165"/>
          <w:jc w:val="center"/>
        </w:trPr>
        <w:tc>
          <w:tcPr>
            <w:tcW w:w="5000" w:type="pct"/>
            <w:gridSpan w:val="4"/>
            <w:shd w:val="clear" w:color="auto" w:fill="BFBFBF"/>
            <w:vAlign w:val="center"/>
          </w:tcPr>
          <w:p w14:paraId="5CAEAAE5"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LJUDSKI RESURSI, ZAPOŠLJAVANJE, OBRAZOVANJE, MOBILNOST, LOKALNE INICIJATIVE I PLANOVI</w:t>
            </w:r>
          </w:p>
        </w:tc>
      </w:tr>
      <w:tr w:rsidR="00A13DA5" w:rsidRPr="0048184E" w14:paraId="0AB83983" w14:textId="77777777" w:rsidTr="00D96CF7">
        <w:trPr>
          <w:trHeight w:val="634"/>
          <w:jc w:val="center"/>
        </w:trPr>
        <w:tc>
          <w:tcPr>
            <w:tcW w:w="1310" w:type="pct"/>
          </w:tcPr>
          <w:p w14:paraId="0BC4CBB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-Mogućnost pristupa svih nivoa obazovanja; </w:t>
            </w:r>
          </w:p>
          <w:p w14:paraId="17C8A51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obrazovna struktura stanovništva i mogućnost zaposlenja; </w:t>
            </w:r>
          </w:p>
          <w:p w14:paraId="077158B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-Obrazovni centri (Podgorica, Nikšić, Cetinje);</w:t>
            </w:r>
          </w:p>
          <w:p w14:paraId="2266232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-Prisutna sva tri nivoa zdravstvene zaštite;</w:t>
            </w:r>
          </w:p>
          <w:p w14:paraId="435F568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-Dobro razvijeni lokalni administrativni kapaciteti</w:t>
            </w:r>
          </w:p>
        </w:tc>
        <w:tc>
          <w:tcPr>
            <w:tcW w:w="1357" w:type="pct"/>
          </w:tcPr>
          <w:p w14:paraId="3B864358"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-Rast nezaposlenosti; </w:t>
            </w:r>
          </w:p>
          <w:p w14:paraId="28D24E7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socijalna inkluzija;</w:t>
            </w:r>
          </w:p>
          <w:p w14:paraId="2718768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-Neusklađenost obrazovnog sistema sa potrebama privrede</w:t>
            </w:r>
          </w:p>
        </w:tc>
        <w:tc>
          <w:tcPr>
            <w:tcW w:w="1281" w:type="pct"/>
          </w:tcPr>
          <w:p w14:paraId="70890B3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-Angažovanje kreativnih i stručnih kadrova;</w:t>
            </w:r>
          </w:p>
          <w:p w14:paraId="547F15F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-Obuke za korišćenje EU programa;</w:t>
            </w:r>
          </w:p>
          <w:p w14:paraId="2A7A835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-Mogućnost uspostavljanja potrebne institucionalne infrastrukture na regionalnom nivou</w:t>
            </w:r>
          </w:p>
          <w:p w14:paraId="390E706F" w14:textId="77777777" w:rsidR="00A13DA5" w:rsidRPr="00B26027" w:rsidRDefault="00A13DA5" w:rsidP="0048184E">
            <w:pPr>
              <w:spacing w:after="0" w:line="240" w:lineRule="auto"/>
              <w:rPr>
                <w:rFonts w:cstheme="minorHAnsi"/>
                <w:bCs/>
                <w:sz w:val="16"/>
                <w:szCs w:val="16"/>
                <w:lang w:val="pl-PL"/>
              </w:rPr>
            </w:pPr>
          </w:p>
        </w:tc>
        <w:tc>
          <w:tcPr>
            <w:tcW w:w="1052" w:type="pct"/>
          </w:tcPr>
          <w:p w14:paraId="79FC308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-Dalji rast nezaposlenosti;</w:t>
            </w:r>
          </w:p>
          <w:p w14:paraId="5ADDD16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-Hiperprodukcija </w:t>
            </w:r>
          </w:p>
        </w:tc>
      </w:tr>
      <w:tr w:rsidR="00A13DA5" w:rsidRPr="0048184E" w14:paraId="37AA0E64" w14:textId="77777777" w:rsidTr="00D96CF7">
        <w:trPr>
          <w:trHeight w:val="173"/>
          <w:jc w:val="center"/>
        </w:trPr>
        <w:tc>
          <w:tcPr>
            <w:tcW w:w="5000" w:type="pct"/>
            <w:gridSpan w:val="4"/>
            <w:shd w:val="clear" w:color="auto" w:fill="BFBFBF"/>
          </w:tcPr>
          <w:p w14:paraId="5883142E" w14:textId="77777777" w:rsidR="00A13DA5" w:rsidRPr="00B26027" w:rsidRDefault="00A13DA5" w:rsidP="0048184E">
            <w:pPr>
              <w:spacing w:after="0" w:line="240" w:lineRule="auto"/>
              <w:jc w:val="both"/>
              <w:rPr>
                <w:rFonts w:cstheme="minorHAnsi"/>
                <w:bCs/>
                <w:sz w:val="16"/>
                <w:szCs w:val="16"/>
              </w:rPr>
            </w:pPr>
            <w:r w:rsidRPr="00B26027">
              <w:rPr>
                <w:rFonts w:cstheme="minorHAnsi"/>
                <w:bCs/>
                <w:sz w:val="16"/>
                <w:szCs w:val="16"/>
              </w:rPr>
              <w:t>SAOBRAĆAJ, POLJOPRIVREDA, ENERGETIKA, ŽIVOTNA SREDINA  I KLIMATSKE AKCIJE</w:t>
            </w:r>
          </w:p>
        </w:tc>
      </w:tr>
      <w:tr w:rsidR="00A13DA5" w:rsidRPr="0048184E" w14:paraId="1BE16217" w14:textId="77777777" w:rsidTr="00D96CF7">
        <w:trPr>
          <w:trHeight w:val="4210"/>
          <w:jc w:val="center"/>
        </w:trPr>
        <w:tc>
          <w:tcPr>
            <w:tcW w:w="1310" w:type="pct"/>
          </w:tcPr>
          <w:p w14:paraId="11F6D87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w:t>
            </w:r>
            <w:r w:rsidRPr="00B26027">
              <w:rPr>
                <w:rFonts w:cstheme="minorHAnsi"/>
                <w:bCs/>
                <w:sz w:val="16"/>
                <w:szCs w:val="16"/>
                <w:lang w:val="pl-PL"/>
              </w:rPr>
              <w:t xml:space="preserve">Aerodrom u Podgorici; </w:t>
            </w:r>
          </w:p>
          <w:p w14:paraId="45DB014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saobraćajna povezanost; </w:t>
            </w:r>
          </w:p>
          <w:p w14:paraId="7DCDF06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infrastruktura za snabdijevanje vodom u gradskom području; </w:t>
            </w:r>
          </w:p>
          <w:p w14:paraId="608C0B1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-Razvijena telekomunikaciona mreža;   </w:t>
            </w:r>
          </w:p>
          <w:p w14:paraId="779328D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-Postojanje sanitarne deponije i reciklažnog dvorišta u PG; </w:t>
            </w:r>
          </w:p>
          <w:p w14:paraId="6392504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-Potencijal za proizvodnju tradicionalnih i prepoznatljivih poljoprivrednih proizvoda</w:t>
            </w:r>
            <w:r w:rsidRPr="00B26027">
              <w:rPr>
                <w:rFonts w:cstheme="minorHAnsi"/>
                <w:bCs/>
                <w:sz w:val="16"/>
                <w:szCs w:val="16"/>
                <w:lang w:val="pt-BR"/>
              </w:rPr>
              <w:t>;</w:t>
            </w:r>
          </w:p>
          <w:p w14:paraId="7F1F09B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 xml:space="preserve">-Međunarodno zaštićena područja prirode i bogato kulturno-istorijsko nasljeđe; </w:t>
            </w:r>
          </w:p>
          <w:p w14:paraId="64C47B5C"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-Višegodišnji investicioni plan</w:t>
            </w:r>
          </w:p>
        </w:tc>
        <w:tc>
          <w:tcPr>
            <w:tcW w:w="1357" w:type="pct"/>
          </w:tcPr>
          <w:p w14:paraId="60BD562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-Zastarjela željeznička infrastruktura; </w:t>
            </w:r>
          </w:p>
          <w:p w14:paraId="5A9F1F4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saobraćajna infrastruktura u nekim ruralnim područjima; </w:t>
            </w:r>
          </w:p>
          <w:p w14:paraId="25801CC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 -Nerazvijenost sistema za prečišćavanje otpadnih voda;</w:t>
            </w:r>
          </w:p>
          <w:p w14:paraId="3EDD797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-Neiskorištenost poljoprivrednog zemljišta;</w:t>
            </w:r>
          </w:p>
          <w:p w14:paraId="51892B9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valorizacija kulturnog nasljeđa</w:t>
            </w:r>
          </w:p>
        </w:tc>
        <w:tc>
          <w:tcPr>
            <w:tcW w:w="1281" w:type="pct"/>
          </w:tcPr>
          <w:p w14:paraId="1659E82B"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-Valorizacija nacionalnih parkova Skadarsko jezero i Lovćen kao turističkih destinacija; </w:t>
            </w:r>
          </w:p>
          <w:p w14:paraId="122C88D3"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-Razvoj novih trendova u turizmu; </w:t>
            </w:r>
          </w:p>
          <w:p w14:paraId="5189B9E7"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-Valorizacija postojeće kulturno-istorijske baštine;</w:t>
            </w:r>
          </w:p>
          <w:p w14:paraId="2BADB60D"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-Promocija i prezentacija ukupnih crnogorskih resursa;</w:t>
            </w:r>
            <w:r w:rsidRPr="00B26027">
              <w:rPr>
                <w:rFonts w:cstheme="minorHAnsi"/>
                <w:bCs/>
                <w:sz w:val="16"/>
                <w:szCs w:val="16"/>
                <w:lang w:val="sr-Latn-CS"/>
              </w:rPr>
              <w:t xml:space="preserve"> </w:t>
            </w:r>
          </w:p>
          <w:p w14:paraId="422DD01D"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 xml:space="preserve">- Prekogranična saradnja; </w:t>
            </w:r>
          </w:p>
          <w:p w14:paraId="7295B5A2"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 xml:space="preserve">- EU fondovi; </w:t>
            </w:r>
          </w:p>
          <w:p w14:paraId="7466048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w:t>
            </w:r>
            <w:r w:rsidRPr="00B26027">
              <w:rPr>
                <w:rFonts w:cstheme="minorHAnsi"/>
                <w:bCs/>
                <w:sz w:val="16"/>
                <w:szCs w:val="16"/>
                <w:lang w:val="pl-PL"/>
              </w:rPr>
              <w:t>Me</w:t>
            </w:r>
            <w:r w:rsidRPr="00B26027">
              <w:rPr>
                <w:rFonts w:cstheme="minorHAnsi"/>
                <w:bCs/>
                <w:sz w:val="16"/>
                <w:szCs w:val="16"/>
                <w:lang w:val="sr-Latn-CS"/>
              </w:rPr>
              <w:t>đ</w:t>
            </w:r>
            <w:r w:rsidRPr="00B26027">
              <w:rPr>
                <w:rFonts w:cstheme="minorHAnsi"/>
                <w:bCs/>
                <w:sz w:val="16"/>
                <w:szCs w:val="16"/>
                <w:lang w:val="pl-PL"/>
              </w:rPr>
              <w:t>uop</w:t>
            </w:r>
            <w:r w:rsidRPr="00B26027">
              <w:rPr>
                <w:rFonts w:cstheme="minorHAnsi"/>
                <w:bCs/>
                <w:sz w:val="16"/>
                <w:szCs w:val="16"/>
                <w:lang w:val="sr-Latn-CS"/>
              </w:rPr>
              <w:t>š</w:t>
            </w:r>
            <w:r w:rsidRPr="00B26027">
              <w:rPr>
                <w:rFonts w:cstheme="minorHAnsi"/>
                <w:bCs/>
                <w:sz w:val="16"/>
                <w:szCs w:val="16"/>
                <w:lang w:val="pl-PL"/>
              </w:rPr>
              <w:t>tinska</w:t>
            </w:r>
            <w:r w:rsidRPr="00B26027">
              <w:rPr>
                <w:rFonts w:cstheme="minorHAnsi"/>
                <w:bCs/>
                <w:sz w:val="16"/>
                <w:szCs w:val="16"/>
                <w:lang w:val="sr-Latn-CS"/>
              </w:rPr>
              <w:t xml:space="preserve"> </w:t>
            </w:r>
            <w:r w:rsidRPr="00B26027">
              <w:rPr>
                <w:rFonts w:cstheme="minorHAnsi"/>
                <w:bCs/>
                <w:sz w:val="16"/>
                <w:szCs w:val="16"/>
                <w:lang w:val="pl-PL"/>
              </w:rPr>
              <w:t>saradnja</w:t>
            </w:r>
          </w:p>
          <w:p w14:paraId="08C8B8D7"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Hidropotencijal;</w:t>
            </w:r>
          </w:p>
          <w:p w14:paraId="1767C515"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-Izgradnja druge dionice autoputa Bar-Boljare;</w:t>
            </w:r>
          </w:p>
          <w:p w14:paraId="03007A3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-Valorizacija potencijala za razvoj poljoprivrede</w:t>
            </w:r>
          </w:p>
          <w:p w14:paraId="445D63AD" w14:textId="77777777" w:rsidR="00A13DA5" w:rsidRPr="00B26027" w:rsidRDefault="00A13DA5" w:rsidP="0048184E">
            <w:pPr>
              <w:spacing w:after="0" w:line="240" w:lineRule="auto"/>
              <w:rPr>
                <w:rFonts w:cstheme="minorHAnsi"/>
                <w:bCs/>
                <w:sz w:val="16"/>
                <w:szCs w:val="16"/>
                <w:lang w:val="sr-Latn-CS"/>
              </w:rPr>
            </w:pPr>
          </w:p>
        </w:tc>
        <w:tc>
          <w:tcPr>
            <w:tcW w:w="1052" w:type="pct"/>
          </w:tcPr>
          <w:p w14:paraId="4DC5B99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-Nedostatak finansijskih sredstava; </w:t>
            </w:r>
          </w:p>
          <w:p w14:paraId="356CD8B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-Dalji pad investicionih aktivnosti; </w:t>
            </w:r>
          </w:p>
          <w:p w14:paraId="2BC3246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-Neprepoznavanje interesa poslovnog organizovanja MSP u klastere;</w:t>
            </w:r>
          </w:p>
          <w:p w14:paraId="7857315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-Neizgrađenost potrebne institucionalne infrastrukture na regionalnom nivou; </w:t>
            </w:r>
          </w:p>
          <w:p w14:paraId="440BE457"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pl-PL"/>
              </w:rPr>
              <w:t>-</w:t>
            </w:r>
            <w:r w:rsidRPr="00B26027">
              <w:rPr>
                <w:rFonts w:cstheme="minorHAnsi"/>
                <w:bCs/>
                <w:sz w:val="16"/>
                <w:szCs w:val="16"/>
                <w:lang w:val="sv-SE"/>
              </w:rPr>
              <w:t xml:space="preserve">Neizgrađenost partnerstva javnog i privatnog sektora; </w:t>
            </w:r>
          </w:p>
          <w:p w14:paraId="1743B773"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v-SE"/>
              </w:rPr>
              <w:t>-</w:t>
            </w:r>
            <w:r w:rsidRPr="00B26027">
              <w:rPr>
                <w:rFonts w:cstheme="minorHAnsi"/>
                <w:bCs/>
                <w:sz w:val="16"/>
                <w:szCs w:val="16"/>
                <w:lang w:val="it-IT"/>
              </w:rPr>
              <w:t>Povećana zaduženosti JLS</w:t>
            </w:r>
          </w:p>
        </w:tc>
      </w:tr>
      <w:tr w:rsidR="00A13DA5" w:rsidRPr="00FB3BDC" w14:paraId="3CC6E0D4" w14:textId="77777777" w:rsidTr="00D96CF7">
        <w:trPr>
          <w:trHeight w:val="195"/>
          <w:jc w:val="center"/>
        </w:trPr>
        <w:tc>
          <w:tcPr>
            <w:tcW w:w="5000" w:type="pct"/>
            <w:gridSpan w:val="4"/>
            <w:shd w:val="clear" w:color="auto" w:fill="BFBFBF"/>
          </w:tcPr>
          <w:p w14:paraId="307CBF62"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KONKURENTNOSTI I INOVACIJE, DIGITALIZACIJA, EKONOMSKA TRANSFORMACIJA</w:t>
            </w:r>
          </w:p>
        </w:tc>
      </w:tr>
      <w:tr w:rsidR="00A13DA5" w:rsidRPr="00FB3BDC" w14:paraId="017D6978" w14:textId="77777777" w:rsidTr="00B26027">
        <w:trPr>
          <w:trHeight w:val="3454"/>
          <w:jc w:val="center"/>
        </w:trPr>
        <w:tc>
          <w:tcPr>
            <w:tcW w:w="1310" w:type="pct"/>
          </w:tcPr>
          <w:p w14:paraId="34ABF0C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-Razvijeno preduzetništvo i povoljnji uslovi za razvoj MSP i povezivanje s naukom; </w:t>
            </w:r>
          </w:p>
          <w:p w14:paraId="4340818B"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-Resursi za razvoj obnovljivih izvora energije</w:t>
            </w:r>
          </w:p>
          <w:p w14:paraId="1CB69261"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-Razvijena poslovna infrastuktura;</w:t>
            </w:r>
          </w:p>
          <w:p w14:paraId="231A67C2"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 xml:space="preserve">-Detaljni urbanistički planovi; </w:t>
            </w:r>
          </w:p>
          <w:p w14:paraId="470B531F"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it-IT"/>
              </w:rPr>
              <w:t>-</w:t>
            </w:r>
            <w:r w:rsidRPr="00B26027">
              <w:rPr>
                <w:rFonts w:cstheme="minorHAnsi"/>
                <w:bCs/>
                <w:sz w:val="16"/>
                <w:szCs w:val="16"/>
                <w:lang w:val="pl-PL"/>
              </w:rPr>
              <w:t>Napredak u pripremi projektne dokumentacije</w:t>
            </w:r>
            <w:r w:rsidRPr="00B26027">
              <w:rPr>
                <w:rFonts w:cstheme="minorHAnsi"/>
                <w:bCs/>
                <w:sz w:val="16"/>
                <w:szCs w:val="16"/>
                <w:lang w:val="pt-BR"/>
              </w:rPr>
              <w:t xml:space="preserve"> </w:t>
            </w:r>
          </w:p>
        </w:tc>
        <w:tc>
          <w:tcPr>
            <w:tcW w:w="1357" w:type="pct"/>
          </w:tcPr>
          <w:p w14:paraId="18809758"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 xml:space="preserve">-Niska energetska efikasnost; </w:t>
            </w:r>
          </w:p>
          <w:p w14:paraId="183ABE99"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sr-Latn-CS"/>
              </w:rPr>
              <w:t xml:space="preserve">-Nedovoljan nivo povezanosti privrede sa naučno-istraživačkim ustanovama;     </w:t>
            </w:r>
          </w:p>
          <w:p w14:paraId="20AEACD4"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-Problemi u poslovanju velikih industrijskih preduzeća; </w:t>
            </w:r>
          </w:p>
          <w:p w14:paraId="68291229"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-Mali broj zanatskih radnji;  </w:t>
            </w:r>
          </w:p>
          <w:p w14:paraId="0AAAA43C"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-Nedovoljna orijentisanost ka izvoznim tržištima;</w:t>
            </w:r>
          </w:p>
          <w:p w14:paraId="4F6B568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-Neusklađenost dinamike razvoja Glavnog grada sa ostalim djelovima regiona; </w:t>
            </w:r>
          </w:p>
          <w:p w14:paraId="63E2825B"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pl-PL"/>
              </w:rPr>
              <w:t xml:space="preserve">-Nizak nivo međusobne saradnje JLS </w:t>
            </w:r>
          </w:p>
          <w:p w14:paraId="03AFC1B1" w14:textId="77777777" w:rsidR="00A13DA5" w:rsidRPr="00B26027" w:rsidRDefault="00A13DA5" w:rsidP="0048184E">
            <w:pPr>
              <w:spacing w:after="0" w:line="240" w:lineRule="auto"/>
              <w:rPr>
                <w:rFonts w:cstheme="minorHAnsi"/>
                <w:sz w:val="16"/>
                <w:szCs w:val="16"/>
                <w:lang w:val="en-GB"/>
              </w:rPr>
            </w:pPr>
          </w:p>
          <w:p w14:paraId="08A6549B" w14:textId="77777777" w:rsidR="00A13DA5" w:rsidRPr="00B26027" w:rsidRDefault="00A13DA5" w:rsidP="0048184E">
            <w:pPr>
              <w:spacing w:after="0" w:line="240" w:lineRule="auto"/>
              <w:rPr>
                <w:rFonts w:cstheme="minorHAnsi"/>
                <w:sz w:val="16"/>
                <w:szCs w:val="16"/>
                <w:lang w:val="en-GB"/>
              </w:rPr>
            </w:pPr>
          </w:p>
        </w:tc>
        <w:tc>
          <w:tcPr>
            <w:tcW w:w="1281" w:type="pct"/>
          </w:tcPr>
          <w:p w14:paraId="700885B6"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-Unaprjeđenje energetske efikasnosti u privredi; </w:t>
            </w:r>
          </w:p>
          <w:p w14:paraId="11FE9B4B"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-Izgradnja obnovljivih izvora energije; </w:t>
            </w:r>
          </w:p>
          <w:p w14:paraId="6F984F9B"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-Unaprjeđenje sistema selektivnog sakupljanja otpada i njegove prerade; </w:t>
            </w:r>
          </w:p>
          <w:p w14:paraId="4132D27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w:t>
            </w:r>
            <w:r w:rsidRPr="00B26027">
              <w:rPr>
                <w:rFonts w:cstheme="minorHAnsi"/>
                <w:bCs/>
                <w:sz w:val="16"/>
                <w:szCs w:val="16"/>
                <w:lang w:val="pl-PL"/>
              </w:rPr>
              <w:t xml:space="preserve">Jadransko-jonski koridor; </w:t>
            </w:r>
          </w:p>
          <w:p w14:paraId="55C0DB19"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-Digitalizacija sredstava za masovnu komunikaciju;</w:t>
            </w:r>
            <w:r w:rsidRPr="00B26027">
              <w:rPr>
                <w:rFonts w:cstheme="minorHAnsi"/>
                <w:bCs/>
                <w:sz w:val="16"/>
                <w:szCs w:val="16"/>
                <w:lang w:val="sr-Latn-CS"/>
              </w:rPr>
              <w:t xml:space="preserve"> </w:t>
            </w:r>
          </w:p>
          <w:p w14:paraId="62A22CF1"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-Finansiranje izgradnje i unaprjeđenje infrastrukture putem dostupnih EU fondova; </w:t>
            </w:r>
          </w:p>
          <w:p w14:paraId="02A2F1BF"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-Privatno javno partnerstvo;</w:t>
            </w:r>
          </w:p>
          <w:p w14:paraId="4020D7D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w:t>
            </w:r>
            <w:r w:rsidRPr="00B26027">
              <w:rPr>
                <w:rFonts w:cstheme="minorHAnsi"/>
                <w:bCs/>
                <w:sz w:val="16"/>
                <w:szCs w:val="16"/>
                <w:lang w:val="pl-PL"/>
              </w:rPr>
              <w:t>Primjena</w:t>
            </w:r>
            <w:r w:rsidRPr="00B26027">
              <w:rPr>
                <w:rFonts w:cstheme="minorHAnsi"/>
                <w:bCs/>
                <w:sz w:val="16"/>
                <w:szCs w:val="16"/>
                <w:lang w:val="sr-Latn-CS"/>
              </w:rPr>
              <w:t xml:space="preserve"> </w:t>
            </w:r>
            <w:r w:rsidRPr="00B26027">
              <w:rPr>
                <w:rFonts w:cstheme="minorHAnsi"/>
                <w:bCs/>
                <w:sz w:val="16"/>
                <w:szCs w:val="16"/>
                <w:lang w:val="pl-PL"/>
              </w:rPr>
              <w:t>novih</w:t>
            </w:r>
            <w:r w:rsidRPr="00B26027">
              <w:rPr>
                <w:rFonts w:cstheme="minorHAnsi"/>
                <w:bCs/>
                <w:sz w:val="16"/>
                <w:szCs w:val="16"/>
                <w:lang w:val="sr-Latn-CS"/>
              </w:rPr>
              <w:t xml:space="preserve"> </w:t>
            </w:r>
            <w:r w:rsidRPr="00B26027">
              <w:rPr>
                <w:rFonts w:cstheme="minorHAnsi"/>
                <w:bCs/>
                <w:sz w:val="16"/>
                <w:szCs w:val="16"/>
                <w:lang w:val="pl-PL"/>
              </w:rPr>
              <w:t>znanja</w:t>
            </w:r>
            <w:r w:rsidRPr="00B26027">
              <w:rPr>
                <w:rFonts w:cstheme="minorHAnsi"/>
                <w:bCs/>
                <w:sz w:val="16"/>
                <w:szCs w:val="16"/>
                <w:lang w:val="sr-Latn-CS"/>
              </w:rPr>
              <w:t xml:space="preserve"> </w:t>
            </w:r>
            <w:r w:rsidRPr="00B26027">
              <w:rPr>
                <w:rFonts w:cstheme="minorHAnsi"/>
                <w:bCs/>
                <w:sz w:val="16"/>
                <w:szCs w:val="16"/>
                <w:lang w:val="pl-PL"/>
              </w:rPr>
              <w:t>i</w:t>
            </w:r>
            <w:r w:rsidRPr="00B26027">
              <w:rPr>
                <w:rFonts w:cstheme="minorHAnsi"/>
                <w:bCs/>
                <w:sz w:val="16"/>
                <w:szCs w:val="16"/>
                <w:lang w:val="sr-Latn-CS"/>
              </w:rPr>
              <w:t xml:space="preserve"> </w:t>
            </w:r>
            <w:r w:rsidRPr="00B26027">
              <w:rPr>
                <w:rFonts w:cstheme="minorHAnsi"/>
                <w:bCs/>
                <w:sz w:val="16"/>
                <w:szCs w:val="16"/>
                <w:lang w:val="pl-PL"/>
              </w:rPr>
              <w:t>tehnologija</w:t>
            </w:r>
            <w:r w:rsidRPr="00B26027">
              <w:rPr>
                <w:rFonts w:cstheme="minorHAnsi"/>
                <w:bCs/>
                <w:sz w:val="16"/>
                <w:szCs w:val="16"/>
                <w:lang w:val="sr-Latn-CS"/>
              </w:rPr>
              <w:t xml:space="preserve"> </w:t>
            </w:r>
            <w:r w:rsidRPr="00B26027">
              <w:rPr>
                <w:rFonts w:cstheme="minorHAnsi"/>
                <w:bCs/>
                <w:sz w:val="16"/>
                <w:szCs w:val="16"/>
                <w:lang w:val="pl-PL"/>
              </w:rPr>
              <w:t>i</w:t>
            </w:r>
            <w:r w:rsidRPr="00B26027">
              <w:rPr>
                <w:rFonts w:cstheme="minorHAnsi"/>
                <w:bCs/>
                <w:sz w:val="16"/>
                <w:szCs w:val="16"/>
                <w:lang w:val="sr-Latn-CS"/>
              </w:rPr>
              <w:t xml:space="preserve"> </w:t>
            </w:r>
            <w:r w:rsidRPr="00B26027">
              <w:rPr>
                <w:rFonts w:cstheme="minorHAnsi"/>
                <w:bCs/>
                <w:sz w:val="16"/>
                <w:szCs w:val="16"/>
                <w:lang w:val="pl-PL"/>
              </w:rPr>
              <w:t>razvoj</w:t>
            </w:r>
            <w:r w:rsidRPr="00B26027">
              <w:rPr>
                <w:rFonts w:cstheme="minorHAnsi"/>
                <w:bCs/>
                <w:sz w:val="16"/>
                <w:szCs w:val="16"/>
                <w:lang w:val="sr-Latn-CS"/>
              </w:rPr>
              <w:t xml:space="preserve"> </w:t>
            </w:r>
            <w:r w:rsidRPr="00B26027">
              <w:rPr>
                <w:rFonts w:cstheme="minorHAnsi"/>
                <w:bCs/>
                <w:sz w:val="16"/>
                <w:szCs w:val="16"/>
                <w:lang w:val="pl-PL"/>
              </w:rPr>
              <w:t>E</w:t>
            </w:r>
            <w:r w:rsidRPr="00B26027">
              <w:rPr>
                <w:rFonts w:cstheme="minorHAnsi"/>
                <w:bCs/>
                <w:sz w:val="16"/>
                <w:szCs w:val="16"/>
                <w:lang w:val="sr-Latn-CS"/>
              </w:rPr>
              <w:t>-</w:t>
            </w:r>
            <w:r w:rsidRPr="00B26027">
              <w:rPr>
                <w:rFonts w:cstheme="minorHAnsi"/>
                <w:bCs/>
                <w:sz w:val="16"/>
                <w:szCs w:val="16"/>
                <w:lang w:val="pl-PL"/>
              </w:rPr>
              <w:t>trgovine</w:t>
            </w:r>
            <w:r w:rsidRPr="00B26027">
              <w:rPr>
                <w:rFonts w:cstheme="minorHAnsi"/>
                <w:bCs/>
                <w:sz w:val="16"/>
                <w:szCs w:val="16"/>
                <w:lang w:val="sr-Latn-CS"/>
              </w:rPr>
              <w:t xml:space="preserve"> </w:t>
            </w:r>
          </w:p>
        </w:tc>
        <w:tc>
          <w:tcPr>
            <w:tcW w:w="1052" w:type="pct"/>
          </w:tcPr>
          <w:p w14:paraId="470560C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-Svi oblici zagađenja životne sredine; </w:t>
            </w:r>
          </w:p>
          <w:p w14:paraId="345F4F1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-Višestruki pritisci na zaštićena područja;</w:t>
            </w:r>
          </w:p>
          <w:p w14:paraId="476A358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-Globalna i EU konkurencija;</w:t>
            </w:r>
          </w:p>
          <w:p w14:paraId="5093F51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-Nepronalaženje investitora za ulaganja u infrastrukturu; </w:t>
            </w:r>
          </w:p>
          <w:p w14:paraId="572DB7DD"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-Nedostatak finansijskih sredstava za finansiranje infrastrukturnih projekata;</w:t>
            </w:r>
            <w:r w:rsidRPr="00B26027">
              <w:rPr>
                <w:rFonts w:cstheme="minorHAnsi"/>
                <w:bCs/>
                <w:sz w:val="16"/>
                <w:szCs w:val="16"/>
                <w:lang w:val="sr-Latn-CS"/>
              </w:rPr>
              <w:t xml:space="preserve"> </w:t>
            </w:r>
          </w:p>
          <w:p w14:paraId="0FF36A9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-Nedostatak sredstava za donošenje nove prostorno planske dokumentacije</w:t>
            </w:r>
          </w:p>
          <w:p w14:paraId="084CB30B" w14:textId="77777777" w:rsidR="00A13DA5" w:rsidRPr="00B26027" w:rsidRDefault="00A13DA5" w:rsidP="0048184E">
            <w:pPr>
              <w:spacing w:after="0" w:line="240" w:lineRule="auto"/>
              <w:rPr>
                <w:rFonts w:cstheme="minorHAnsi"/>
                <w:bCs/>
                <w:sz w:val="16"/>
                <w:szCs w:val="16"/>
                <w:lang w:val="pl-PL"/>
              </w:rPr>
            </w:pPr>
          </w:p>
        </w:tc>
      </w:tr>
    </w:tbl>
    <w:p w14:paraId="4343C41C" w14:textId="77777777" w:rsidR="00A13DA5" w:rsidRPr="0048184E" w:rsidRDefault="00A13DA5" w:rsidP="0048184E">
      <w:pPr>
        <w:spacing w:after="0" w:line="240" w:lineRule="auto"/>
        <w:jc w:val="both"/>
        <w:rPr>
          <w:rFonts w:eastAsia="Times New Roman" w:cstheme="minorHAnsi"/>
          <w:kern w:val="32"/>
          <w:sz w:val="18"/>
          <w:szCs w:val="18"/>
          <w:lang w:val="pl-PL"/>
        </w:rPr>
      </w:pPr>
    </w:p>
    <w:p w14:paraId="19C743C3" w14:textId="77777777" w:rsidR="00A13DA5" w:rsidRDefault="00A13DA5" w:rsidP="0048184E">
      <w:pPr>
        <w:pStyle w:val="NoSpacing"/>
        <w:jc w:val="both"/>
        <w:rPr>
          <w:rFonts w:asciiTheme="minorHAnsi" w:hAnsiTheme="minorHAnsi" w:cstheme="minorHAnsi"/>
          <w:kern w:val="32"/>
          <w:sz w:val="18"/>
          <w:szCs w:val="18"/>
          <w:lang w:val="pl-PL"/>
        </w:rPr>
      </w:pPr>
      <w:r w:rsidRPr="0048184E">
        <w:rPr>
          <w:rFonts w:asciiTheme="minorHAnsi" w:hAnsiTheme="minorHAnsi" w:cstheme="minorHAnsi"/>
          <w:b/>
          <w:sz w:val="18"/>
          <w:szCs w:val="18"/>
          <w:lang w:val="pl-PL"/>
        </w:rPr>
        <w:t>Primorski region</w:t>
      </w:r>
      <w:r w:rsidRPr="0048184E">
        <w:rPr>
          <w:rFonts w:asciiTheme="minorHAnsi" w:hAnsiTheme="minorHAnsi" w:cstheme="minorHAnsi"/>
          <w:sz w:val="18"/>
          <w:szCs w:val="18"/>
          <w:lang w:val="pl-PL"/>
        </w:rPr>
        <w:t xml:space="preserve"> predstavlja najgušće naseljen region u Crnoj Gori. Na svega 12% ukupne teritorije koju pokriva primorski region živi četvrtina ukupne populacije. </w:t>
      </w:r>
      <w:r w:rsidRPr="0048184E">
        <w:rPr>
          <w:rFonts w:asciiTheme="minorHAnsi" w:hAnsiTheme="minorHAnsi" w:cstheme="minorHAnsi"/>
          <w:kern w:val="32"/>
          <w:sz w:val="18"/>
          <w:szCs w:val="18"/>
          <w:lang w:val="pl-PL"/>
        </w:rPr>
        <w:t xml:space="preserve">Snage za dalji razvoj ovog regiona se upravo ogledaju na pozitivne demografske trendove, kao i na značajan priliv SDI. Region raspolaže velikim potencijalom za razvoj turizma, pomorske privrede i poljoprivrede, i u njemu su smješteni značajni obrazovni kapaciteti i značajni kapaciteti za razvoj preduzetništva. Dosadašnji razvoj je bio baziran na razvoju turizma, ugostiteljstva, preduzetništva, a u određenoj mjeri i na poljoprivredi. Karakterišu ga </w:t>
      </w:r>
      <w:r w:rsidRPr="0048184E">
        <w:rPr>
          <w:rFonts w:asciiTheme="minorHAnsi" w:hAnsiTheme="minorHAnsi" w:cstheme="minorHAnsi"/>
          <w:kern w:val="32"/>
          <w:sz w:val="18"/>
          <w:szCs w:val="18"/>
          <w:lang w:val="pl-PL"/>
        </w:rPr>
        <w:lastRenderedPageBreak/>
        <w:t xml:space="preserve">migracije stanovništva iz drugih regiona, kao i priliv radnika iz drugih zemalja, posebno za vrijeme turističke i građevinske sezone. </w:t>
      </w:r>
    </w:p>
    <w:p w14:paraId="0C7F49C3" w14:textId="77777777" w:rsidR="00A13DA5" w:rsidRPr="0048184E" w:rsidRDefault="00A13DA5" w:rsidP="0048184E">
      <w:pPr>
        <w:pStyle w:val="NoSpacing"/>
        <w:jc w:val="both"/>
        <w:rPr>
          <w:rFonts w:asciiTheme="minorHAnsi" w:hAnsiTheme="minorHAnsi" w:cstheme="minorHAnsi"/>
          <w:kern w:val="32"/>
          <w:sz w:val="18"/>
          <w:szCs w:val="18"/>
          <w:lang w:val="pl-PL"/>
        </w:rPr>
      </w:pPr>
    </w:p>
    <w:p w14:paraId="0A3D80FB"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16</w:t>
      </w:r>
      <w:r w:rsidR="00A13DA5" w:rsidRPr="00EC14B9">
        <w:rPr>
          <w:rFonts w:asciiTheme="minorHAnsi" w:hAnsiTheme="minorHAnsi" w:cstheme="minorHAnsi"/>
          <w:b/>
          <w:color w:val="4472C4" w:themeColor="accent5"/>
          <w:sz w:val="18"/>
          <w:szCs w:val="18"/>
          <w:lang w:val="sr-Latn-ME"/>
        </w:rPr>
        <w:t>. SWOT analiza regionalnog razvoja Crne Gore - PRIMORSKI REGION</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335"/>
        <w:gridCol w:w="2351"/>
        <w:gridCol w:w="2268"/>
        <w:gridCol w:w="2052"/>
      </w:tblGrid>
      <w:tr w:rsidR="00A13DA5" w:rsidRPr="0048184E" w14:paraId="058CCC60" w14:textId="77777777" w:rsidTr="00723D39">
        <w:trPr>
          <w:trHeight w:val="287"/>
          <w:jc w:val="center"/>
        </w:trPr>
        <w:tc>
          <w:tcPr>
            <w:tcW w:w="1297" w:type="pct"/>
            <w:shd w:val="clear" w:color="auto" w:fill="9CC2E5"/>
            <w:vAlign w:val="center"/>
          </w:tcPr>
          <w:p w14:paraId="7489C711"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SNAGE</w:t>
            </w:r>
          </w:p>
        </w:tc>
        <w:tc>
          <w:tcPr>
            <w:tcW w:w="1305" w:type="pct"/>
            <w:shd w:val="clear" w:color="auto" w:fill="9CC2E5"/>
            <w:vAlign w:val="center"/>
          </w:tcPr>
          <w:p w14:paraId="64A6C59E"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SLABOSTI</w:t>
            </w:r>
          </w:p>
        </w:tc>
        <w:tc>
          <w:tcPr>
            <w:tcW w:w="1259" w:type="pct"/>
            <w:shd w:val="clear" w:color="auto" w:fill="9CC2E5"/>
            <w:vAlign w:val="center"/>
          </w:tcPr>
          <w:p w14:paraId="6CF834B5"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ŠANSE</w:t>
            </w:r>
          </w:p>
        </w:tc>
        <w:tc>
          <w:tcPr>
            <w:tcW w:w="1139" w:type="pct"/>
            <w:shd w:val="clear" w:color="auto" w:fill="9CC2E5"/>
            <w:vAlign w:val="center"/>
          </w:tcPr>
          <w:p w14:paraId="090AFCB1" w14:textId="77777777" w:rsidR="00A13DA5" w:rsidRPr="0048184E" w:rsidRDefault="00A13DA5" w:rsidP="0048184E">
            <w:pPr>
              <w:spacing w:after="0" w:line="240" w:lineRule="auto"/>
              <w:jc w:val="both"/>
              <w:rPr>
                <w:rFonts w:cstheme="minorHAnsi"/>
                <w:bCs/>
                <w:sz w:val="18"/>
                <w:szCs w:val="18"/>
                <w:lang w:val="en-GB"/>
              </w:rPr>
            </w:pPr>
            <w:r w:rsidRPr="0048184E">
              <w:rPr>
                <w:rFonts w:cstheme="minorHAnsi"/>
                <w:bCs/>
                <w:sz w:val="18"/>
                <w:szCs w:val="18"/>
                <w:lang w:val="en-GB"/>
              </w:rPr>
              <w:t>PRIJETNJE</w:t>
            </w:r>
          </w:p>
        </w:tc>
      </w:tr>
      <w:tr w:rsidR="00A13DA5" w:rsidRPr="00FB3BDC" w14:paraId="7A0D277F" w14:textId="77777777" w:rsidTr="00723D39">
        <w:trPr>
          <w:trHeight w:val="243"/>
          <w:jc w:val="center"/>
        </w:trPr>
        <w:tc>
          <w:tcPr>
            <w:tcW w:w="5000" w:type="pct"/>
            <w:gridSpan w:val="4"/>
            <w:shd w:val="clear" w:color="auto" w:fill="BFBFBF"/>
            <w:vAlign w:val="center"/>
          </w:tcPr>
          <w:p w14:paraId="05892997"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LJUDSKI RESURSI, ZAPOŠLJAVANJE, OBRAZOVANJE, MOBILNOST, LOKALNE INICIJATIVE I PLANOVI</w:t>
            </w:r>
          </w:p>
        </w:tc>
      </w:tr>
      <w:tr w:rsidR="00A13DA5" w:rsidRPr="00FB3BDC" w14:paraId="4595E761" w14:textId="77777777" w:rsidTr="00723D39">
        <w:trPr>
          <w:trHeight w:val="1133"/>
          <w:jc w:val="center"/>
        </w:trPr>
        <w:tc>
          <w:tcPr>
            <w:tcW w:w="1297" w:type="pct"/>
          </w:tcPr>
          <w:p w14:paraId="65B1225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obrazovna struktura stanovništva; </w:t>
            </w:r>
          </w:p>
          <w:p w14:paraId="577EDFA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-Blizina obrazovnih institucija;</w:t>
            </w:r>
          </w:p>
          <w:p w14:paraId="3956320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-Raspoloživost obrazovnih programa;</w:t>
            </w:r>
          </w:p>
          <w:p w14:paraId="3AC9164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-Relativno dobri kapaciteti za pripremu i sprovođenje projekata iz EU fondova;</w:t>
            </w:r>
          </w:p>
          <w:p w14:paraId="4F6840F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-Relativno dobro razvijeni lokalni administrativni kapaciteti</w:t>
            </w:r>
          </w:p>
        </w:tc>
        <w:tc>
          <w:tcPr>
            <w:tcW w:w="1305" w:type="pct"/>
          </w:tcPr>
          <w:p w14:paraId="6D910CC8"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pl-PL"/>
              </w:rPr>
              <w:t>-Neusklađenost ponude i tražnje na tržištu radne snage;</w:t>
            </w:r>
            <w:r w:rsidRPr="00B26027">
              <w:rPr>
                <w:rFonts w:cstheme="minorHAnsi"/>
                <w:bCs/>
                <w:sz w:val="16"/>
                <w:szCs w:val="16"/>
                <w:lang w:val="sv-SE"/>
              </w:rPr>
              <w:t xml:space="preserve"> </w:t>
            </w:r>
          </w:p>
          <w:p w14:paraId="70A458AD"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-Nedostatak doma</w:t>
            </w:r>
            <w:r w:rsidRPr="00B26027">
              <w:rPr>
                <w:rFonts w:cstheme="minorHAnsi"/>
                <w:bCs/>
                <w:sz w:val="16"/>
                <w:szCs w:val="16"/>
                <w:lang w:val="sr-Latn-ME"/>
              </w:rPr>
              <w:t>će radne snage tokom ljetnje sezone;</w:t>
            </w:r>
          </w:p>
          <w:p w14:paraId="6BEAE725"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sv-SE"/>
              </w:rPr>
              <w:t>-Smanjen broj radnih mjesta van sezone</w:t>
            </w:r>
          </w:p>
        </w:tc>
        <w:tc>
          <w:tcPr>
            <w:tcW w:w="1259" w:type="pct"/>
          </w:tcPr>
          <w:p w14:paraId="2DB271D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-Prekvalifikacija radne snage; </w:t>
            </w:r>
          </w:p>
          <w:p w14:paraId="31C671F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-Obuke o EU programima; </w:t>
            </w:r>
          </w:p>
          <w:p w14:paraId="250EEC4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-Povećanje ponude radne snage različitih profesionalnih profila </w:t>
            </w:r>
          </w:p>
        </w:tc>
        <w:tc>
          <w:tcPr>
            <w:tcW w:w="1139" w:type="pct"/>
          </w:tcPr>
          <w:p w14:paraId="488BD1BC"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-Veliki broj zaposlenih u javnom sektoru; </w:t>
            </w:r>
          </w:p>
          <w:p w14:paraId="36FA06FE"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pl-PL"/>
              </w:rPr>
              <w:t>-</w:t>
            </w:r>
            <w:r w:rsidRPr="0048184E">
              <w:rPr>
                <w:rFonts w:cstheme="minorHAnsi"/>
                <w:bCs/>
                <w:sz w:val="18"/>
                <w:szCs w:val="18"/>
                <w:lang w:val="sr-Latn-CS"/>
              </w:rPr>
              <w:t xml:space="preserve">Depopulacija u pojedinim primorskim opštinama; </w:t>
            </w:r>
          </w:p>
          <w:p w14:paraId="30EB151E"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sr-Latn-CS"/>
              </w:rPr>
              <w:t>-Odlazak mlade i visokokvalitetne radne snage u druge države</w:t>
            </w:r>
          </w:p>
        </w:tc>
      </w:tr>
      <w:tr w:rsidR="00A13DA5" w:rsidRPr="00FB3BDC" w14:paraId="2D95D40F" w14:textId="77777777" w:rsidTr="00723D39">
        <w:trPr>
          <w:trHeight w:val="196"/>
          <w:jc w:val="center"/>
        </w:trPr>
        <w:tc>
          <w:tcPr>
            <w:tcW w:w="5000" w:type="pct"/>
            <w:gridSpan w:val="4"/>
            <w:shd w:val="clear" w:color="auto" w:fill="BFBFBF"/>
          </w:tcPr>
          <w:p w14:paraId="22DA5905"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SAOBRAĆAJ, POLJOPRIVREDA, ENERGETIKA, ŽIVOTNA SREDINA  I KLIMATSKE AKCIJE</w:t>
            </w:r>
          </w:p>
        </w:tc>
      </w:tr>
      <w:tr w:rsidR="00A13DA5" w:rsidRPr="00FB3BDC" w14:paraId="75DCE4BB" w14:textId="77777777" w:rsidTr="00723D39">
        <w:trPr>
          <w:trHeight w:val="4584"/>
          <w:jc w:val="center"/>
        </w:trPr>
        <w:tc>
          <w:tcPr>
            <w:tcW w:w="1297" w:type="pct"/>
          </w:tcPr>
          <w:p w14:paraId="67F5029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-Postojanje DUP; </w:t>
            </w:r>
          </w:p>
          <w:p w14:paraId="3D721F9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w:t>
            </w:r>
            <w:r w:rsidRPr="00B26027">
              <w:rPr>
                <w:rFonts w:cstheme="minorHAnsi"/>
                <w:bCs/>
                <w:sz w:val="16"/>
                <w:szCs w:val="16"/>
                <w:lang w:val="sr-Latn-CS"/>
              </w:rPr>
              <w:t>U</w:t>
            </w:r>
            <w:r w:rsidRPr="00B26027">
              <w:rPr>
                <w:rFonts w:cstheme="minorHAnsi"/>
                <w:bCs/>
                <w:sz w:val="16"/>
                <w:szCs w:val="16"/>
                <w:lang w:val="sv-SE"/>
              </w:rPr>
              <w:t>laganja u turizam i hotelijerstvo;</w:t>
            </w:r>
            <w:r w:rsidRPr="00B26027">
              <w:rPr>
                <w:rFonts w:cstheme="minorHAnsi"/>
                <w:bCs/>
                <w:sz w:val="16"/>
                <w:szCs w:val="16"/>
                <w:lang w:val="sr-Latn-CS"/>
              </w:rPr>
              <w:t xml:space="preserve"> </w:t>
            </w:r>
          </w:p>
          <w:p w14:paraId="5E32ECE6"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r-Latn-CS"/>
              </w:rPr>
              <w:t>-Značajan broj malih i srednjih preduzeća</w:t>
            </w:r>
            <w:r w:rsidRPr="00B26027">
              <w:rPr>
                <w:rFonts w:cstheme="minorHAnsi"/>
                <w:bCs/>
                <w:sz w:val="16"/>
                <w:szCs w:val="16"/>
                <w:lang w:val="sv-SE"/>
              </w:rPr>
              <w:t xml:space="preserve">; </w:t>
            </w:r>
          </w:p>
          <w:p w14:paraId="62B715DC"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-Postojanje biznis inkubatora u Baru; </w:t>
            </w:r>
          </w:p>
          <w:p w14:paraId="24CE7EC0"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-Raspoloživi resursi za razvoj poljoprivredne djelatnosti; </w:t>
            </w:r>
          </w:p>
          <w:p w14:paraId="20E15FD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v-SE"/>
              </w:rPr>
              <w:t>-</w:t>
            </w:r>
            <w:r w:rsidRPr="00B26027">
              <w:rPr>
                <w:rFonts w:cstheme="minorHAnsi"/>
                <w:bCs/>
                <w:sz w:val="16"/>
                <w:szCs w:val="16"/>
                <w:lang w:val="pl-PL"/>
              </w:rPr>
              <w:t xml:space="preserve">Potencijal za razvoj eko-turizma; </w:t>
            </w:r>
          </w:p>
          <w:p w14:paraId="0125CD7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-Solidan  institucionalni okvir u kulturi; </w:t>
            </w:r>
          </w:p>
          <w:p w14:paraId="2248F1D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-Potencijal za promociju kulturne različitosti </w:t>
            </w:r>
          </w:p>
        </w:tc>
        <w:tc>
          <w:tcPr>
            <w:tcW w:w="1305" w:type="pct"/>
          </w:tcPr>
          <w:p w14:paraId="63730FF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-Nepostojanje sektorskih strategija razvoja na lokalnom nivou;</w:t>
            </w:r>
          </w:p>
          <w:p w14:paraId="5037441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infrastruktura za snabdijevanje vodom u gradskim opštinama i ruralnim područjima; </w:t>
            </w:r>
          </w:p>
          <w:p w14:paraId="733B021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-Nedovoljno razvijena privredna infrastruktura; </w:t>
            </w:r>
          </w:p>
          <w:p w14:paraId="39CCE66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-Nepovezanost turizma i  poljoprivrede; </w:t>
            </w:r>
          </w:p>
          <w:p w14:paraId="04AEFAF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-Kratko trajanje ljetnje sezone; </w:t>
            </w:r>
          </w:p>
          <w:p w14:paraId="47DECCD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-Nedovoljan fokus na druge vidove turizma; </w:t>
            </w:r>
          </w:p>
          <w:p w14:paraId="4966332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iskorišćenost kulturnih potencijala za kreiranje dodate vrijednosti u turizmu</w:t>
            </w:r>
          </w:p>
        </w:tc>
        <w:tc>
          <w:tcPr>
            <w:tcW w:w="1259" w:type="pct"/>
          </w:tcPr>
          <w:p w14:paraId="70C4EBC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-Unaprjeđenje prekogranične saradnje; </w:t>
            </w:r>
          </w:p>
          <w:p w14:paraId="4D9538B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-Iskorišćavanje EU fondova; </w:t>
            </w:r>
          </w:p>
          <w:p w14:paraId="70AE543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-Mogućnost uspostavljanja potrebne institucionalne infrastrukture na regionalnom nivou;</w:t>
            </w:r>
          </w:p>
          <w:p w14:paraId="6AE2C775"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-Razvoj novih vidova turizm</w:t>
            </w:r>
            <w:r w:rsidR="00B26027" w:rsidRPr="005C60FA">
              <w:rPr>
                <w:rFonts w:cstheme="minorHAnsi"/>
                <w:bCs/>
                <w:sz w:val="16"/>
                <w:szCs w:val="16"/>
                <w:lang w:val="pl-PL"/>
              </w:rPr>
              <w:t>a</w:t>
            </w:r>
            <w:r w:rsidRPr="005C60FA">
              <w:rPr>
                <w:rFonts w:cstheme="minorHAnsi"/>
                <w:bCs/>
                <w:sz w:val="16"/>
                <w:szCs w:val="16"/>
                <w:lang w:val="pl-PL"/>
              </w:rPr>
              <w:t xml:space="preserve"> ;  </w:t>
            </w:r>
          </w:p>
          <w:p w14:paraId="190AB3F0"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 xml:space="preserve">-Privatno-javno partnerstvo; </w:t>
            </w:r>
          </w:p>
          <w:p w14:paraId="4AA5CF56"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 xml:space="preserve">-Produženje turističke sezone; </w:t>
            </w:r>
          </w:p>
          <w:p w14:paraId="560FE537"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 xml:space="preserve">-Razvoj morske plovidbe; </w:t>
            </w:r>
          </w:p>
          <w:p w14:paraId="3AD95A0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w:t>
            </w:r>
            <w:r w:rsidRPr="00B26027">
              <w:rPr>
                <w:rFonts w:cstheme="minorHAnsi"/>
                <w:bCs/>
                <w:sz w:val="16"/>
                <w:szCs w:val="16"/>
                <w:lang w:val="pl-PL"/>
              </w:rPr>
              <w:t>Adekvatna valorizacija postojeće kulturno-istorijske baštine</w:t>
            </w:r>
          </w:p>
          <w:p w14:paraId="3F609437" w14:textId="77777777" w:rsidR="00A13DA5" w:rsidRPr="00B26027" w:rsidRDefault="00A13DA5" w:rsidP="0048184E">
            <w:pPr>
              <w:spacing w:after="0" w:line="240" w:lineRule="auto"/>
              <w:rPr>
                <w:rFonts w:cstheme="minorHAnsi"/>
                <w:bCs/>
                <w:sz w:val="16"/>
                <w:szCs w:val="16"/>
                <w:lang w:val="pl-PL"/>
              </w:rPr>
            </w:pPr>
          </w:p>
        </w:tc>
        <w:tc>
          <w:tcPr>
            <w:tcW w:w="1139" w:type="pct"/>
          </w:tcPr>
          <w:p w14:paraId="7722E69B"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sr-Latn-CS"/>
              </w:rPr>
              <w:t xml:space="preserve">-Smanjenje broja turista zbog globalnih dešavanja u regionu i šire; </w:t>
            </w:r>
          </w:p>
          <w:p w14:paraId="10F5C657"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sr-Latn-CS"/>
              </w:rPr>
              <w:t xml:space="preserve">-Razvoj masovnih turističkih projekata u susjednim državama; </w:t>
            </w:r>
          </w:p>
          <w:p w14:paraId="3FC6BF2A"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sr-Latn-CS"/>
              </w:rPr>
              <w:t>-</w:t>
            </w:r>
            <w:r w:rsidRPr="0048184E">
              <w:rPr>
                <w:rFonts w:cstheme="minorHAnsi"/>
                <w:bCs/>
                <w:sz w:val="18"/>
                <w:szCs w:val="18"/>
                <w:lang w:val="pl-PL"/>
              </w:rPr>
              <w:t>Nedostatak odgovarajuće finansijske podrške za jačanje MSP;</w:t>
            </w:r>
          </w:p>
          <w:p w14:paraId="46A073A4"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-Neiskorišćenost potencijala za kreiranje raznovrsnijeg turističkog proizvoda u vrijeme kada je Crne Gora atraktivna destinacija; </w:t>
            </w:r>
          </w:p>
          <w:p w14:paraId="14813C10"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-Buka u turističkoj sezoni; </w:t>
            </w:r>
          </w:p>
          <w:p w14:paraId="3CE9F15A"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-Problem  sa vodisnadbijevanjem zbog presušivanja izvorišta Bolje sestre</w:t>
            </w:r>
          </w:p>
        </w:tc>
      </w:tr>
      <w:tr w:rsidR="00A13DA5" w:rsidRPr="00FB3BDC" w14:paraId="48DCF6D7" w14:textId="77777777" w:rsidTr="00723D39">
        <w:trPr>
          <w:trHeight w:val="177"/>
          <w:jc w:val="center"/>
        </w:trPr>
        <w:tc>
          <w:tcPr>
            <w:tcW w:w="5000" w:type="pct"/>
            <w:gridSpan w:val="4"/>
            <w:shd w:val="clear" w:color="auto" w:fill="BFBFBF"/>
          </w:tcPr>
          <w:p w14:paraId="363FCE60" w14:textId="77777777" w:rsidR="00A13DA5" w:rsidRPr="00B26027" w:rsidRDefault="00A13DA5" w:rsidP="0048184E">
            <w:pPr>
              <w:spacing w:after="0" w:line="240" w:lineRule="auto"/>
              <w:jc w:val="both"/>
              <w:rPr>
                <w:rFonts w:cstheme="minorHAnsi"/>
                <w:bCs/>
                <w:sz w:val="16"/>
                <w:szCs w:val="16"/>
                <w:lang w:val="sr-Latn-CS"/>
              </w:rPr>
            </w:pPr>
            <w:r w:rsidRPr="00B26027">
              <w:rPr>
                <w:rFonts w:cstheme="minorHAnsi"/>
                <w:bCs/>
                <w:sz w:val="16"/>
                <w:szCs w:val="16"/>
                <w:lang w:val="pl-PL"/>
              </w:rPr>
              <w:t>KONKURENTNOSTI I INOVACIJE, DIGITALIZACIJA, EKONOMSKA TRANSFORMACIJA</w:t>
            </w:r>
          </w:p>
        </w:tc>
      </w:tr>
      <w:tr w:rsidR="00A13DA5" w:rsidRPr="00FB3BDC" w14:paraId="4C9FF91E" w14:textId="77777777" w:rsidTr="00B26027">
        <w:trPr>
          <w:trHeight w:val="3769"/>
          <w:jc w:val="center"/>
        </w:trPr>
        <w:tc>
          <w:tcPr>
            <w:tcW w:w="1297" w:type="pct"/>
          </w:tcPr>
          <w:p w14:paraId="5FF6784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-Izrada i donošenje prostorno-urbanističkih planova lokalnih samouprava; </w:t>
            </w:r>
          </w:p>
          <w:p w14:paraId="0D707A3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saobraćajna infrastruktura; </w:t>
            </w:r>
          </w:p>
          <w:p w14:paraId="2F0E05B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-Atraktivnost područja za razvoj raznovrsnih vidova turizma; </w:t>
            </w:r>
          </w:p>
          <w:p w14:paraId="47FF41D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-Bogato i očuvano kulturno-istorijsko nasljeđe; </w:t>
            </w:r>
          </w:p>
          <w:p w14:paraId="268D733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-Velik broj zaštićenih područja prirode;</w:t>
            </w:r>
          </w:p>
          <w:p w14:paraId="1B8A52A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putna povezanost sa ostalim regionima; </w:t>
            </w:r>
          </w:p>
          <w:p w14:paraId="2491E80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-Relativno dobra el. energetska struktura u gradskom području; </w:t>
            </w:r>
          </w:p>
          <w:p w14:paraId="0C7F04B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-Postojanje regionalnog vodovoda; </w:t>
            </w:r>
          </w:p>
          <w:p w14:paraId="7FE4FF2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-Postojanje regionalne deponije u Baru</w:t>
            </w:r>
          </w:p>
        </w:tc>
        <w:tc>
          <w:tcPr>
            <w:tcW w:w="1305" w:type="pct"/>
          </w:tcPr>
          <w:p w14:paraId="0F1E569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-Nedovoljan nivo konkurentnosti, inovativnosti privrede i promocije raspoloživih resursa;  </w:t>
            </w:r>
          </w:p>
          <w:p w14:paraId="19ED82D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-Neadekvatno planiranje i upravljanje prostorom; </w:t>
            </w:r>
          </w:p>
          <w:p w14:paraId="47C1B96A"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-Neadekvatno upravljanje zaštićenim područjima</w:t>
            </w:r>
            <w:r w:rsidRPr="00B26027">
              <w:rPr>
                <w:rFonts w:cstheme="minorHAnsi"/>
                <w:bCs/>
                <w:sz w:val="16"/>
                <w:szCs w:val="16"/>
                <w:lang w:val="sr-Latn-ME"/>
              </w:rPr>
              <w:t>;</w:t>
            </w:r>
          </w:p>
          <w:p w14:paraId="6DF2F7A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-Slaba razvijenost el. energetske mreže u ruralnim područjima; </w:t>
            </w:r>
          </w:p>
          <w:p w14:paraId="1D132A2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-Nerazvijenost sistema za prečišćavanje otpadnih voda; </w:t>
            </w:r>
          </w:p>
          <w:p w14:paraId="03447FB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-Problem vodosnabdijevanja u nekim JLS i ruralnim djelovima; </w:t>
            </w:r>
          </w:p>
          <w:p w14:paraId="75E48B1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-Neadekvatno dugoročno riješeno pitanje odlaganja otpada pojedinih opština (H.Novi, Kotor, Tivat)</w:t>
            </w:r>
          </w:p>
        </w:tc>
        <w:tc>
          <w:tcPr>
            <w:tcW w:w="1259" w:type="pct"/>
          </w:tcPr>
          <w:p w14:paraId="5BB9A62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-Unaprjeđenje intersektorske saradnje u cilju razvoja kreativnih industrija i bolje iskorišćenosti kapaciteta; </w:t>
            </w:r>
          </w:p>
          <w:p w14:paraId="7C276BF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-Potencijali solarne energije i energije vjetra; </w:t>
            </w:r>
          </w:p>
          <w:p w14:paraId="0F651DF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-Atraktivne lokacije za razvoj elitnog i nautičkog turizma; </w:t>
            </w:r>
          </w:p>
          <w:p w14:paraId="353AB0A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-Dobri potencijali za razvoj ribarstva; </w:t>
            </w:r>
          </w:p>
          <w:p w14:paraId="27977AB7"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-Strateški položaj i prirodne karakteristike Luke Bar; </w:t>
            </w:r>
          </w:p>
          <w:p w14:paraId="794B90F9"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-Izgradnja brze saobraćajnice;</w:t>
            </w:r>
          </w:p>
          <w:p w14:paraId="6305A022"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-Priključenje ostalih JLS na regionalni vodovod;</w:t>
            </w:r>
          </w:p>
          <w:p w14:paraId="69DD25F8"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-Lučki kompleksi sa pratećim sadržajima </w:t>
            </w:r>
          </w:p>
          <w:p w14:paraId="64069154" w14:textId="77777777" w:rsidR="00A13DA5" w:rsidRPr="00B26027" w:rsidRDefault="00A13DA5" w:rsidP="0048184E">
            <w:pPr>
              <w:spacing w:after="0" w:line="240" w:lineRule="auto"/>
              <w:rPr>
                <w:rFonts w:cstheme="minorHAnsi"/>
                <w:bCs/>
                <w:sz w:val="16"/>
                <w:szCs w:val="16"/>
                <w:lang w:val="en-GB"/>
              </w:rPr>
            </w:pPr>
          </w:p>
        </w:tc>
        <w:tc>
          <w:tcPr>
            <w:tcW w:w="1139" w:type="pct"/>
          </w:tcPr>
          <w:p w14:paraId="6B02357B"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-Konkurencija drugih luka u Mediteranu; </w:t>
            </w:r>
          </w:p>
          <w:p w14:paraId="4ECA9416"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-Nedostatak finansijskih sredstava za realizaciju infrastrukturnih projekata</w:t>
            </w:r>
          </w:p>
        </w:tc>
      </w:tr>
    </w:tbl>
    <w:p w14:paraId="3024C7AB" w14:textId="77777777" w:rsidR="00A13DA5" w:rsidRPr="0048184E" w:rsidRDefault="00A13DA5" w:rsidP="0048184E">
      <w:pPr>
        <w:spacing w:after="0" w:line="240" w:lineRule="auto"/>
        <w:jc w:val="both"/>
        <w:rPr>
          <w:rFonts w:cstheme="minorHAnsi"/>
          <w:sz w:val="18"/>
          <w:szCs w:val="18"/>
          <w:lang w:val="sl-SI" w:eastAsia="en-GB"/>
        </w:rPr>
      </w:pPr>
    </w:p>
    <w:p w14:paraId="1B5A1E21" w14:textId="4729FD5A" w:rsidR="00357E2D" w:rsidRPr="00CB5EC4" w:rsidRDefault="00A13DA5" w:rsidP="0048184E">
      <w:pPr>
        <w:pStyle w:val="NoSpacing"/>
        <w:jc w:val="both"/>
        <w:rPr>
          <w:rFonts w:asciiTheme="minorHAnsi" w:hAnsiTheme="minorHAnsi" w:cstheme="minorHAnsi"/>
          <w:sz w:val="18"/>
          <w:szCs w:val="18"/>
          <w:lang w:val="sl-SI" w:eastAsia="en-GB"/>
        </w:rPr>
      </w:pPr>
      <w:r w:rsidRPr="0048184E">
        <w:rPr>
          <w:rFonts w:asciiTheme="minorHAnsi" w:hAnsiTheme="minorHAnsi" w:cstheme="minorHAnsi"/>
          <w:b/>
          <w:sz w:val="18"/>
          <w:szCs w:val="18"/>
          <w:lang w:val="sl-SI" w:eastAsia="en-GB"/>
        </w:rPr>
        <w:t xml:space="preserve">SWOT analiza na nacionalnom nivou pokazuje </w:t>
      </w:r>
      <w:r w:rsidRPr="00502E5A">
        <w:rPr>
          <w:rFonts w:asciiTheme="minorHAnsi" w:hAnsiTheme="minorHAnsi" w:cstheme="minorHAnsi"/>
          <w:sz w:val="18"/>
          <w:szCs w:val="18"/>
          <w:lang w:val="sl-SI" w:eastAsia="en-GB"/>
        </w:rPr>
        <w:t>da (i dalje) postoje značajni i nedovoljno iskorišćeni prirodni resursi i prednosti koje predstavljaju potencijal za rast ukoliko bi se njima adekvatno upravljalo. Tu spadaju primarni sektori (poljoprivreda, šumarstvo), i u direktnoj vezi razvoj prerađivačke prehrambene industrije, drvna industrija, razvoj turizma u primorskim i planinskim područjima, kao i ruralnim i urbanim područjima, energetski potencijali zasnovani na obnovljivim izvorima.</w:t>
      </w:r>
    </w:p>
    <w:p w14:paraId="6B4287DD" w14:textId="77777777" w:rsidR="00B369D1" w:rsidRPr="00726BE7" w:rsidRDefault="00A13DA5" w:rsidP="0048184E">
      <w:pPr>
        <w:pStyle w:val="Heading2"/>
        <w:numPr>
          <w:ilvl w:val="0"/>
          <w:numId w:val="27"/>
        </w:numPr>
        <w:spacing w:before="0" w:line="240" w:lineRule="auto"/>
        <w:rPr>
          <w:rFonts w:asciiTheme="minorHAnsi" w:hAnsiTheme="minorHAnsi"/>
        </w:rPr>
      </w:pPr>
      <w:bookmarkStart w:id="40" w:name="_Toc205215844"/>
      <w:r w:rsidRPr="00726BE7">
        <w:rPr>
          <w:rFonts w:asciiTheme="minorHAnsi" w:hAnsiTheme="minorHAnsi"/>
        </w:rPr>
        <w:lastRenderedPageBreak/>
        <w:t xml:space="preserve">Ključni izazovi </w:t>
      </w:r>
      <w:r w:rsidR="00B369D1" w:rsidRPr="00726BE7">
        <w:rPr>
          <w:rFonts w:asciiTheme="minorHAnsi" w:hAnsiTheme="minorHAnsi"/>
        </w:rPr>
        <w:t xml:space="preserve">za politiku </w:t>
      </w:r>
      <w:r w:rsidRPr="00726BE7">
        <w:rPr>
          <w:rFonts w:asciiTheme="minorHAnsi" w:hAnsiTheme="minorHAnsi"/>
        </w:rPr>
        <w:t>re</w:t>
      </w:r>
      <w:r w:rsidR="00B369D1" w:rsidRPr="00726BE7">
        <w:rPr>
          <w:rFonts w:asciiTheme="minorHAnsi" w:hAnsiTheme="minorHAnsi"/>
        </w:rPr>
        <w:t>gionalnog</w:t>
      </w:r>
      <w:r w:rsidRPr="00726BE7">
        <w:rPr>
          <w:rFonts w:asciiTheme="minorHAnsi" w:hAnsiTheme="minorHAnsi"/>
        </w:rPr>
        <w:t xml:space="preserve"> </w:t>
      </w:r>
      <w:r w:rsidR="00B369D1" w:rsidRPr="00726BE7">
        <w:rPr>
          <w:rFonts w:asciiTheme="minorHAnsi" w:hAnsiTheme="minorHAnsi"/>
        </w:rPr>
        <w:t>razvoja</w:t>
      </w:r>
      <w:bookmarkEnd w:id="40"/>
    </w:p>
    <w:p w14:paraId="72632C1B" w14:textId="77777777" w:rsidR="00B369D1" w:rsidRPr="0048184E" w:rsidRDefault="00B369D1" w:rsidP="0048184E">
      <w:pPr>
        <w:spacing w:after="0" w:line="240" w:lineRule="auto"/>
        <w:rPr>
          <w:sz w:val="18"/>
          <w:szCs w:val="18"/>
          <w:lang w:val="sr-Latn-ME"/>
        </w:rPr>
      </w:pPr>
    </w:p>
    <w:p w14:paraId="61A00DB4" w14:textId="77777777" w:rsidR="00A13DA5" w:rsidRPr="0048184E" w:rsidRDefault="00A13DA5" w:rsidP="0048184E">
      <w:pPr>
        <w:pStyle w:val="NoSpacing"/>
        <w:jc w:val="both"/>
        <w:rPr>
          <w:rFonts w:asciiTheme="minorHAnsi" w:hAnsiTheme="minorHAnsi" w:cstheme="minorHAnsi"/>
          <w:bCs/>
          <w:sz w:val="18"/>
          <w:szCs w:val="18"/>
          <w:lang w:val="sr-Latn-ME"/>
        </w:rPr>
      </w:pPr>
      <w:bookmarkStart w:id="41" w:name="_Hlk127428181"/>
      <w:r w:rsidRPr="0048184E">
        <w:rPr>
          <w:rFonts w:asciiTheme="minorHAnsi" w:hAnsiTheme="minorHAnsi" w:cstheme="minorHAnsi"/>
          <w:bCs/>
          <w:sz w:val="18"/>
          <w:szCs w:val="18"/>
          <w:lang w:val="sr-Latn-ME"/>
        </w:rPr>
        <w:t>Strukturne slabosti crnogorske ekonomije koje nepovoljno utiču na njenu konkurentnost, ali i značajni regionalni dispariteti u zemlji, usporili su i aktivnosti na ostvarivanju ciljeva održivog razvoja (SDGs). Navedeni dispariteti su, mjereno stepenom razvijenosti regiona, smanjeni, ali u svakom slučaju ne dovoljno, da bi se kvalitet života posebno u Sjevernom kao najmanje razvijenom regionu približio onom u Primorskom, ili pojedinim opštinama Središnjeg regiona, i doprinio bržem dostizanju ciljeva održivog razvoja.</w:t>
      </w:r>
    </w:p>
    <w:p w14:paraId="543AA302" w14:textId="77777777" w:rsidR="00A13DA5" w:rsidRPr="0048184E" w:rsidRDefault="00A13DA5" w:rsidP="0048184E">
      <w:pPr>
        <w:pStyle w:val="NoSpacing"/>
        <w:jc w:val="both"/>
        <w:rPr>
          <w:rFonts w:asciiTheme="minorHAnsi" w:hAnsiTheme="minorHAnsi" w:cstheme="minorHAnsi"/>
          <w:sz w:val="18"/>
          <w:szCs w:val="18"/>
          <w:lang w:val="sr-Latn-ME"/>
        </w:rPr>
      </w:pPr>
    </w:p>
    <w:p w14:paraId="688C5DCA"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Dakle, polazeći od problema izraženih regionalnih dispariteta, koji su identifikovani ranije u dokumentu, u sprovođenju SRR </w:t>
      </w:r>
      <w:r w:rsidR="0095135D" w:rsidRPr="0048184E">
        <w:rPr>
          <w:rFonts w:asciiTheme="minorHAnsi" w:hAnsiTheme="minorHAnsi" w:cstheme="minorHAnsi"/>
          <w:sz w:val="18"/>
          <w:szCs w:val="18"/>
          <w:lang w:val="sr-Latn-ME"/>
        </w:rPr>
        <w:t xml:space="preserve">2023-2027 </w:t>
      </w:r>
      <w:r w:rsidRPr="0048184E">
        <w:rPr>
          <w:rFonts w:asciiTheme="minorHAnsi" w:hAnsiTheme="minorHAnsi" w:cstheme="minorHAnsi"/>
          <w:sz w:val="18"/>
          <w:szCs w:val="18"/>
          <w:lang w:val="sr-Latn-ME"/>
        </w:rPr>
        <w:t>u narednom periodu, potrebno je odgovoriti na</w:t>
      </w:r>
      <w:r w:rsidR="0095135D" w:rsidRPr="0048184E">
        <w:rPr>
          <w:rFonts w:asciiTheme="minorHAnsi" w:hAnsiTheme="minorHAnsi" w:cstheme="minorHAnsi"/>
          <w:sz w:val="18"/>
          <w:szCs w:val="18"/>
          <w:lang w:val="sr-Latn-ME"/>
        </w:rPr>
        <w:t xml:space="preserve"> pet</w:t>
      </w:r>
      <w:r w:rsidRPr="0048184E">
        <w:rPr>
          <w:rFonts w:asciiTheme="minorHAnsi" w:hAnsiTheme="minorHAnsi" w:cstheme="minorHAnsi"/>
          <w:sz w:val="18"/>
          <w:szCs w:val="18"/>
          <w:lang w:val="sr-Latn-ME"/>
        </w:rPr>
        <w:t xml:space="preserve"> </w:t>
      </w:r>
      <w:r w:rsidR="0095135D" w:rsidRPr="0048184E">
        <w:rPr>
          <w:rFonts w:asciiTheme="minorHAnsi" w:hAnsiTheme="minorHAnsi" w:cstheme="minorHAnsi"/>
          <w:sz w:val="18"/>
          <w:szCs w:val="18"/>
          <w:lang w:val="sr-Latn-ME"/>
        </w:rPr>
        <w:t>(</w:t>
      </w:r>
      <w:r w:rsidRPr="0048184E">
        <w:rPr>
          <w:rFonts w:asciiTheme="minorHAnsi" w:hAnsiTheme="minorHAnsi" w:cstheme="minorHAnsi"/>
          <w:sz w:val="18"/>
          <w:szCs w:val="18"/>
          <w:lang w:val="sr-Latn-ME"/>
        </w:rPr>
        <w:t>5</w:t>
      </w:r>
      <w:r w:rsidR="0095135D" w:rsidRPr="0048184E">
        <w:rPr>
          <w:rFonts w:asciiTheme="minorHAnsi" w:hAnsiTheme="minorHAnsi" w:cstheme="minorHAnsi"/>
          <w:sz w:val="18"/>
          <w:szCs w:val="18"/>
          <w:lang w:val="sr-Latn-ME"/>
        </w:rPr>
        <w:t>)</w:t>
      </w:r>
      <w:r w:rsidRPr="0048184E">
        <w:rPr>
          <w:rFonts w:asciiTheme="minorHAnsi" w:hAnsiTheme="minorHAnsi" w:cstheme="minorHAnsi"/>
          <w:sz w:val="18"/>
          <w:szCs w:val="18"/>
          <w:lang w:val="sr-Latn-ME"/>
        </w:rPr>
        <w:t xml:space="preserve"> ključnih izazova od kojih su većina višedecenijskog karaktera, i to:</w:t>
      </w:r>
      <w:bookmarkStart w:id="42" w:name="_Hlk118891789"/>
    </w:p>
    <w:p w14:paraId="6BF6F4F5" w14:textId="77777777" w:rsidR="00A13DA5" w:rsidRPr="0048184E" w:rsidRDefault="00A13DA5" w:rsidP="0048184E">
      <w:pPr>
        <w:pStyle w:val="NoSpacing"/>
        <w:jc w:val="both"/>
        <w:rPr>
          <w:rFonts w:asciiTheme="minorHAnsi" w:hAnsiTheme="minorHAnsi" w:cstheme="minorHAnsi"/>
          <w:sz w:val="18"/>
          <w:szCs w:val="18"/>
          <w:lang w:val="sr-Latn-ME"/>
        </w:rPr>
      </w:pPr>
    </w:p>
    <w:p w14:paraId="7C204E64"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Visoka (dugoročna) nezaposlenost i stopa rizika od siromaštva, posebno žena i mladih</w:t>
      </w:r>
      <w:r w:rsidRPr="0048184E">
        <w:rPr>
          <w:rFonts w:asciiTheme="minorHAnsi" w:hAnsiTheme="minorHAnsi" w:cstheme="minorHAnsi"/>
          <w:bCs/>
          <w:sz w:val="18"/>
          <w:szCs w:val="18"/>
          <w:lang w:val="sr-Latn-ME"/>
        </w:rPr>
        <w:t xml:space="preserve"> - Crna Gora nema jedinstven dokument ili strategiju koja bi obuvatila sve mjere podrške i programe aktivne politike zapošljavanja, sa posebnim fokusom na regionalne disparitete. </w:t>
      </w:r>
      <w:r w:rsidRPr="0048184E">
        <w:rPr>
          <w:rFonts w:asciiTheme="minorHAnsi" w:hAnsiTheme="minorHAnsi" w:cstheme="minorHAnsi"/>
          <w:bCs/>
          <w:sz w:val="18"/>
          <w:szCs w:val="18"/>
        </w:rPr>
        <w:t>Indikatori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ukazuju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na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to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crnogorski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obrazovni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sistem</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uspio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ostvari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zna</w:t>
      </w:r>
      <w:r w:rsidRPr="0048184E">
        <w:rPr>
          <w:rFonts w:asciiTheme="minorHAnsi" w:hAnsiTheme="minorHAnsi" w:cstheme="minorHAnsi"/>
          <w:bCs/>
          <w:sz w:val="18"/>
          <w:szCs w:val="18"/>
          <w:lang w:val="sr-Latn-ME"/>
        </w:rPr>
        <w:t>č</w:t>
      </w:r>
      <w:r w:rsidRPr="0048184E">
        <w:rPr>
          <w:rFonts w:asciiTheme="minorHAnsi" w:hAnsiTheme="minorHAnsi" w:cstheme="minorHAnsi"/>
          <w:bCs/>
          <w:sz w:val="18"/>
          <w:szCs w:val="18"/>
        </w:rPr>
        <w:t>ajna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pobolj</w:t>
      </w:r>
      <w:r w:rsidRPr="0048184E">
        <w:rPr>
          <w:rFonts w:asciiTheme="minorHAnsi" w:hAnsiTheme="minorHAnsi" w:cstheme="minorHAnsi"/>
          <w:bCs/>
          <w:sz w:val="18"/>
          <w:szCs w:val="18"/>
          <w:lang w:val="sr-Latn-ME"/>
        </w:rPr>
        <w:t>š</w:t>
      </w:r>
      <w:r w:rsidRPr="0048184E">
        <w:rPr>
          <w:rFonts w:asciiTheme="minorHAnsi" w:hAnsiTheme="minorHAnsi" w:cstheme="minorHAnsi"/>
          <w:bCs/>
          <w:sz w:val="18"/>
          <w:szCs w:val="18"/>
        </w:rPr>
        <w:t>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pogledu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dostupnosti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obrazovanja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kao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č</w:t>
      </w:r>
      <w:r w:rsidRPr="0048184E">
        <w:rPr>
          <w:rFonts w:asciiTheme="minorHAnsi" w:hAnsiTheme="minorHAnsi" w:cstheme="minorHAnsi"/>
          <w:bCs/>
          <w:sz w:val="18"/>
          <w:szCs w:val="18"/>
        </w:rPr>
        <w:t>enici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du</w:t>
      </w:r>
      <w:r w:rsidRPr="0048184E">
        <w:rPr>
          <w:rFonts w:asciiTheme="minorHAnsi" w:hAnsiTheme="minorHAnsi" w:cstheme="minorHAnsi"/>
          <w:bCs/>
          <w:sz w:val="18"/>
          <w:szCs w:val="18"/>
          <w:lang w:val="sr-Latn-ME"/>
        </w:rPr>
        <w:t>ž</w:t>
      </w:r>
      <w:r w:rsidRPr="0048184E">
        <w:rPr>
          <w:rFonts w:asciiTheme="minorHAnsi" w:hAnsiTheme="minorHAnsi" w:cstheme="minorHAnsi"/>
          <w:bCs/>
          <w:sz w:val="18"/>
          <w:szCs w:val="18"/>
        </w:rPr>
        <w:t>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ostaju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procesu</w:t>
      </w:r>
      <w:r w:rsidRPr="0048184E">
        <w:rPr>
          <w:rFonts w:asciiTheme="minorHAnsi" w:hAnsiTheme="minorHAnsi" w:cstheme="minorHAnsi"/>
          <w:bCs/>
          <w:sz w:val="18"/>
          <w:szCs w:val="18"/>
          <w:lang w:val="sr-Latn-ME"/>
        </w:rPr>
        <w:t xml:space="preserve"> š</w:t>
      </w:r>
      <w:r w:rsidRPr="0048184E">
        <w:rPr>
          <w:rFonts w:asciiTheme="minorHAnsi" w:hAnsiTheme="minorHAnsi" w:cstheme="minorHAnsi"/>
          <w:bCs/>
          <w:sz w:val="18"/>
          <w:szCs w:val="18"/>
        </w:rPr>
        <w:t>kolovanja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uz</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ve</w:t>
      </w:r>
      <w:r w:rsidRPr="0048184E">
        <w:rPr>
          <w:rFonts w:asciiTheme="minorHAnsi" w:hAnsiTheme="minorHAnsi" w:cstheme="minorHAnsi"/>
          <w:bCs/>
          <w:sz w:val="18"/>
          <w:szCs w:val="18"/>
          <w:lang w:val="sr-Latn-ME"/>
        </w:rPr>
        <w:t>ć</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stopu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uspje</w:t>
      </w:r>
      <w:r w:rsidRPr="0048184E">
        <w:rPr>
          <w:rFonts w:asciiTheme="minorHAnsi" w:hAnsiTheme="minorHAnsi" w:cstheme="minorHAnsi"/>
          <w:bCs/>
          <w:sz w:val="18"/>
          <w:szCs w:val="18"/>
          <w:lang w:val="sr-Latn-ME"/>
        </w:rPr>
        <w:t>š</w:t>
      </w:r>
      <w:r w:rsidRPr="0048184E">
        <w:rPr>
          <w:rFonts w:asciiTheme="minorHAnsi" w:hAnsiTheme="minorHAnsi" w:cstheme="minorHAnsi"/>
          <w:bCs/>
          <w:sz w:val="18"/>
          <w:szCs w:val="18"/>
        </w:rPr>
        <w:t>nog</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zavr</w:t>
      </w:r>
      <w:r w:rsidRPr="0048184E">
        <w:rPr>
          <w:rFonts w:asciiTheme="minorHAnsi" w:hAnsiTheme="minorHAnsi" w:cstheme="minorHAnsi"/>
          <w:bCs/>
          <w:sz w:val="18"/>
          <w:szCs w:val="18"/>
          <w:lang w:val="sr-Latn-ME"/>
        </w:rPr>
        <w:t>š</w:t>
      </w:r>
      <w:r w:rsidRPr="0048184E">
        <w:rPr>
          <w:rFonts w:asciiTheme="minorHAnsi" w:hAnsiTheme="minorHAnsi" w:cstheme="minorHAnsi"/>
          <w:bCs/>
          <w:sz w:val="18"/>
          <w:szCs w:val="18"/>
        </w:rPr>
        <w:t>etka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obrazovanja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pl-PL"/>
        </w:rPr>
        <w:t xml:space="preserve">Ipak, postoje razlike u demografskim trendovima između različitih regiona ili opština. Povećanje urbanizacije i unutrašnje migracije iz Sjevernog u Središnji i Primorski region, dovele su do sve manje tražnje za obrazovanjem na Sjeveru i ruralnim sredinama. Crna Gora se suočava s ozbiljnom neusklađenošću potreba i raspoloživosti u pogledu obrazovne infrastrukture, koja je dodatno naglašena pomenutim demografskim promjenama (UNICEF, 2022). </w:t>
      </w:r>
      <w:r w:rsidRPr="0048184E">
        <w:rPr>
          <w:rFonts w:asciiTheme="minorHAnsi" w:hAnsiTheme="minorHAnsi" w:cstheme="minorHAnsi"/>
          <w:sz w:val="18"/>
          <w:szCs w:val="18"/>
          <w:lang w:val="sr-Latn-ME"/>
        </w:rPr>
        <w:t>Nedovoljna usklađenost obrazovne politike sa potrebama tržišta rada prepoznata je kroz neusklađenost znanja i vještina lica koja su završila proces obrazovanja, kako za mlade sa srednjom, tako i sa visokom stručnom spremom. Ovdje je važno naglasiti da su nastavne metode više usmjerene na sticanje/akumuliranje znanja, nego na kritičko razmišljanje,</w:t>
      </w:r>
      <w:r w:rsidRPr="0048184E">
        <w:rPr>
          <w:rFonts w:asciiTheme="minorHAnsi" w:hAnsiTheme="minorHAnsi" w:cstheme="minorHAnsi"/>
          <w:bCs/>
          <w:sz w:val="18"/>
          <w:szCs w:val="18"/>
          <w:lang w:val="sr-Latn-ME"/>
        </w:rPr>
        <w:t xml:space="preserve"> uprkos prelasku na nastavne planove zasnovane na kompetencijama</w:t>
      </w:r>
      <w:r w:rsidRPr="0048184E">
        <w:rPr>
          <w:rFonts w:asciiTheme="minorHAnsi" w:hAnsiTheme="minorHAnsi" w:cstheme="minorHAnsi"/>
          <w:bCs/>
          <w:sz w:val="18"/>
          <w:szCs w:val="18"/>
          <w:vertAlign w:val="superscript"/>
          <w:lang w:val="sr-Latn-ME"/>
        </w:rPr>
        <w:footnoteReference w:id="44"/>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pl-PL"/>
        </w:rPr>
        <w:t xml:space="preserve">U  periodu do 2020. godine, napravljeni su značajni pomaci kroz sistem dualnog obrazovanja, ali ipak, ishodi učenja nijesu zadovoljavajući. Prema rezultatima PISA testiranja, petnaestogodišnji učenik iz Crne Gore, u opštem znanju i osnovnim vještinama zaostaje za svojim vršnjacima u OECD zemljama. Ovaj problem naročito dolazi do izražaja u manje razvijenim opštinama Crne Gore. Dodatni izazov je što svršeni srendjoškolci iz manje razvijenih opština, uglavnom sa Sjevera, zbog upisa na studije napuštaju svoje opštine i uglavnom po završetku studija pronalaze šansu za zaposlenje u Središnjem i Primorskom regionu ili u inostranstvu, utičući tako na dalje starenje stanovništva u najmanje razvijenim opštinama, i njihov sporiji razvoj. To značajno usporava unaprjeđenje </w:t>
      </w:r>
      <w:r w:rsidRPr="0048184E">
        <w:rPr>
          <w:rFonts w:asciiTheme="minorHAnsi" w:hAnsiTheme="minorHAnsi" w:cstheme="minorHAnsi"/>
          <w:bCs/>
          <w:sz w:val="18"/>
          <w:szCs w:val="18"/>
          <w:lang w:val="sr-Latn-ME"/>
        </w:rPr>
        <w:t>ljudskog kapitala</w:t>
      </w:r>
      <w:r w:rsidRPr="0048184E">
        <w:rPr>
          <w:rFonts w:asciiTheme="minorHAnsi" w:hAnsiTheme="minorHAnsi" w:cstheme="minorHAnsi"/>
          <w:bCs/>
          <w:sz w:val="18"/>
          <w:szCs w:val="18"/>
          <w:vertAlign w:val="superscript"/>
          <w:lang w:val="sr-Latn-ME"/>
        </w:rPr>
        <w:footnoteReference w:id="45"/>
      </w:r>
      <w:r w:rsidRPr="0048184E">
        <w:rPr>
          <w:rFonts w:asciiTheme="minorHAnsi" w:hAnsiTheme="minorHAnsi" w:cstheme="minorHAnsi"/>
          <w:bCs/>
          <w:sz w:val="18"/>
          <w:szCs w:val="18"/>
          <w:lang w:val="sr-Latn-ME"/>
        </w:rPr>
        <w:t xml:space="preserve"> u Sjevernom regionu.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 xml:space="preserve">Dodatno, prepoznata je neophodnost boljeg usmjeravanja mjera socijalne politike za smanjenje siromaštva, sa fokusom na regionalnu dimenziju, imajući u vidu nastale promjene u strukturi alokacije socijalnih davanja. </w:t>
      </w:r>
      <w:r w:rsidRPr="0048184E">
        <w:rPr>
          <w:rFonts w:asciiTheme="minorHAnsi" w:hAnsiTheme="minorHAnsi" w:cstheme="minorHAnsi"/>
          <w:sz w:val="18"/>
          <w:szCs w:val="18"/>
          <w:lang w:val="sr-Latn-ME"/>
        </w:rPr>
        <w:t>R</w:t>
      </w:r>
      <w:r w:rsidRPr="0048184E">
        <w:rPr>
          <w:rFonts w:asciiTheme="minorHAnsi" w:hAnsiTheme="minorHAnsi" w:cstheme="minorHAnsi"/>
          <w:sz w:val="18"/>
          <w:szCs w:val="18"/>
          <w:lang w:val="pl-PL"/>
        </w:rPr>
        <w:t xml:space="preserve">azlike u kvalitetu i kapacitetima obrazovanja, socijalne i zdravstvene zaštite između regiona, utiču i na različitu stopu rizika od siromaštva između regiona. </w:t>
      </w:r>
      <w:r w:rsidRPr="0048184E">
        <w:rPr>
          <w:rFonts w:asciiTheme="minorHAnsi" w:hAnsiTheme="minorHAnsi" w:cstheme="minorHAnsi"/>
          <w:sz w:val="18"/>
          <w:szCs w:val="18"/>
          <w:lang w:val="sr-Latn-ME"/>
        </w:rPr>
        <w:t>Sistem zdravstvene zaštite se takođe poslednjih godina suočava sa velikim izazovima koji utiču na njegovu efikasnost i održivost. Potrošnja u zdravstvu, koja iznosi oko 7% BDP  (</w:t>
      </w:r>
      <w:r w:rsidRPr="0048184E">
        <w:rPr>
          <w:rFonts w:asciiTheme="minorHAnsi" w:hAnsiTheme="minorHAnsi" w:cstheme="minorHAnsi"/>
          <w:bCs/>
          <w:sz w:val="18"/>
          <w:szCs w:val="18"/>
          <w:lang w:val="sr-Latn-ME"/>
        </w:rPr>
        <w:t>slično EU prosjeku), nije usklađena sa povećanim troškovima zdravstvene zaštite zbog starenja stanovništva</w:t>
      </w:r>
      <w:r w:rsidRPr="0048184E">
        <w:rPr>
          <w:rFonts w:asciiTheme="minorHAnsi" w:hAnsiTheme="minorHAnsi" w:cstheme="minorHAnsi"/>
          <w:bCs/>
          <w:sz w:val="18"/>
          <w:szCs w:val="18"/>
          <w:vertAlign w:val="superscript"/>
          <w:lang w:val="sr-Latn-ME"/>
        </w:rPr>
        <w:footnoteReference w:id="46"/>
      </w:r>
      <w:r w:rsidRPr="0048184E">
        <w:rPr>
          <w:rFonts w:asciiTheme="minorHAnsi" w:hAnsiTheme="minorHAnsi" w:cstheme="minorHAnsi"/>
          <w:bCs/>
          <w:sz w:val="18"/>
          <w:szCs w:val="18"/>
          <w:lang w:val="sr-Latn-ME"/>
        </w:rPr>
        <w:t xml:space="preserve">. </w:t>
      </w:r>
      <w:r w:rsidRPr="0048184E">
        <w:rPr>
          <w:rFonts w:asciiTheme="minorHAnsi" w:hAnsiTheme="minorHAnsi" w:cstheme="minorHAnsi"/>
          <w:sz w:val="18"/>
          <w:szCs w:val="18"/>
          <w:lang w:val="en-GB"/>
        </w:rPr>
        <w:t>Pored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nedovoljne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uskla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lang w:val="en-GB"/>
        </w:rPr>
        <w:t>enosti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tr</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tem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rada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obrazovne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socijalne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zdravstvene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politike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posebno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regionalnog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aspekta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dalje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unaprje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lang w:val="en-GB"/>
        </w:rPr>
        <w:t>enje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poslovnog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ambijenta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veoma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va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en-GB"/>
        </w:rPr>
        <w:t>no</w:t>
      </w:r>
      <w:r w:rsidRPr="0048184E">
        <w:rPr>
          <w:rFonts w:asciiTheme="minorHAnsi" w:hAnsiTheme="minorHAnsi" w:cstheme="minorHAnsi"/>
          <w:sz w:val="18"/>
          <w:szCs w:val="18"/>
          <w:lang w:val="sr-Latn-ME"/>
        </w:rPr>
        <w:t>,</w:t>
      </w:r>
      <w:r w:rsidRPr="0048184E">
        <w:rPr>
          <w:rFonts w:asciiTheme="minorHAnsi" w:hAnsiTheme="minorHAnsi" w:cstheme="minorHAnsi"/>
          <w:bCs/>
          <w:sz w:val="18"/>
          <w:szCs w:val="18"/>
          <w:lang w:val="sr-Latn-ME"/>
        </w:rPr>
        <w:t xml:space="preserve"> š</w:t>
      </w:r>
      <w:r w:rsidRPr="0048184E">
        <w:rPr>
          <w:rFonts w:asciiTheme="minorHAnsi" w:hAnsiTheme="minorHAnsi" w:cstheme="minorHAnsi"/>
          <w:bCs/>
          <w:sz w:val="18"/>
          <w:szCs w:val="18"/>
          <w:lang w:val="en-GB"/>
        </w:rPr>
        <w:t>to</w:t>
      </w:r>
      <w:r w:rsidRPr="0048184E">
        <w:rPr>
          <w:rFonts w:asciiTheme="minorHAnsi" w:hAnsiTheme="minorHAnsi" w:cstheme="minorHAnsi"/>
          <w:bCs/>
          <w:sz w:val="18"/>
          <w:szCs w:val="18"/>
          <w:lang w:val="sr-Latn-ME"/>
        </w:rPr>
        <w:t xml:space="preserve"> ć</w:t>
      </w:r>
      <w:r w:rsidRPr="0048184E">
        <w:rPr>
          <w:rFonts w:asciiTheme="minorHAnsi" w:hAnsiTheme="minorHAnsi" w:cstheme="minorHAnsi"/>
          <w:bCs/>
          <w:sz w:val="18"/>
          <w:szCs w:val="18"/>
          <w:lang w:val="en-GB"/>
        </w:rPr>
        <w:t>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tako</w:t>
      </w:r>
      <w:r w:rsidRPr="0048184E">
        <w:rPr>
          <w:rFonts w:asciiTheme="minorHAnsi" w:hAnsiTheme="minorHAnsi" w:cstheme="minorHAnsi"/>
          <w:bCs/>
          <w:sz w:val="18"/>
          <w:szCs w:val="18"/>
          <w:lang w:val="sr-Latn-ME"/>
        </w:rPr>
        <w:t>đ</w:t>
      </w:r>
      <w:r w:rsidRPr="0048184E">
        <w:rPr>
          <w:rFonts w:asciiTheme="minorHAnsi" w:hAnsiTheme="minorHAnsi" w:cstheme="minorHAnsi"/>
          <w:bCs/>
          <w:sz w:val="18"/>
          <w:szCs w:val="18"/>
          <w:lang w:val="en-GB"/>
        </w:rPr>
        <w:t>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doprinijeti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smanjenju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razlike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prilikama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za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zaposlenje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izme</w:t>
      </w:r>
      <w:r w:rsidRPr="0048184E">
        <w:rPr>
          <w:rFonts w:asciiTheme="minorHAnsi" w:hAnsiTheme="minorHAnsi" w:cstheme="minorHAnsi"/>
          <w:bCs/>
          <w:sz w:val="18"/>
          <w:szCs w:val="18"/>
          <w:lang w:val="sr-Latn-ME"/>
        </w:rPr>
        <w:t>đ</w:t>
      </w:r>
      <w:r w:rsidRPr="0048184E">
        <w:rPr>
          <w:rFonts w:asciiTheme="minorHAnsi" w:hAnsiTheme="minorHAnsi" w:cstheme="minorHAnsi"/>
          <w:bCs/>
          <w:sz w:val="18"/>
          <w:szCs w:val="18"/>
          <w:lang w:val="en-GB"/>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regiona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koje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su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evidentne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postoje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Dodatno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postoje</w:t>
      </w:r>
      <w:r w:rsidRPr="0048184E">
        <w:rPr>
          <w:rFonts w:asciiTheme="minorHAnsi" w:hAnsiTheme="minorHAnsi" w:cstheme="minorHAnsi"/>
          <w:bCs/>
          <w:sz w:val="18"/>
          <w:szCs w:val="18"/>
          <w:lang w:val="sr-Latn-ME"/>
        </w:rPr>
        <w:t>ć</w:t>
      </w:r>
      <w:r w:rsidRPr="0048184E">
        <w:rPr>
          <w:rFonts w:asciiTheme="minorHAnsi" w:hAnsiTheme="minorHAnsi" w:cstheme="minorHAnsi"/>
          <w:bCs/>
          <w:sz w:val="18"/>
          <w:szCs w:val="18"/>
          <w:lang w:val="en-GB"/>
        </w:rPr>
        <w:t>im</w:t>
      </w:r>
      <w:r w:rsidRPr="0048184E">
        <w:rPr>
          <w:rFonts w:asciiTheme="minorHAnsi" w:hAnsiTheme="minorHAnsi" w:cstheme="minorHAnsi"/>
          <w:bCs/>
          <w:sz w:val="18"/>
          <w:szCs w:val="18"/>
          <w:lang w:val="sr-Latn-ME"/>
        </w:rPr>
        <w:t xml:space="preserve"> </w:t>
      </w:r>
      <w:r w:rsidRPr="0048184E">
        <w:rPr>
          <w:rFonts w:asciiTheme="minorHAnsi" w:hAnsiTheme="minorHAnsi" w:cstheme="minorHAnsi"/>
          <w:sz w:val="18"/>
          <w:szCs w:val="18"/>
          <w:lang w:val="sr-Latn-ME"/>
        </w:rPr>
        <w:t>mjerama socijalne politike za smanjenje siromaštva u zemlji,</w:t>
      </w:r>
      <w:r w:rsidRPr="0048184E">
        <w:rPr>
          <w:rFonts w:asciiTheme="minorHAnsi" w:hAnsiTheme="minorHAnsi" w:cstheme="minorHAnsi"/>
          <w:sz w:val="18"/>
          <w:szCs w:val="18"/>
          <w:lang w:val="sr-Latn-RS"/>
        </w:rPr>
        <w:t xml:space="preserve"> vremenom se može produbiti jaz posebno u pogledu stope rizika od siromaštva djece na Sjeveru u odnosu na ostatak Crne Gore, budući da je alokacija ovih davanja usmjerena na razvijenije regione i JLS, što je slučaj i sa ostalim pravima iz oblasti socijalne i dječje zaštite.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navedeno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ukazuje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nu</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en-GB"/>
        </w:rPr>
        <w:t>nost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daljeg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uskla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lang w:val="en-GB"/>
        </w:rPr>
        <w:t>ivanja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mjera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oblasti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prekvalifikacija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stru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osposobljavanja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mjerama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suzbijanju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siroma</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tva</w:t>
      </w:r>
      <w:r w:rsidRPr="0048184E">
        <w:rPr>
          <w:rFonts w:asciiTheme="minorHAnsi" w:hAnsiTheme="minorHAnsi" w:cstheme="minorHAnsi"/>
          <w:sz w:val="18"/>
          <w:szCs w:val="18"/>
          <w:lang w:val="sr-Latn-ME"/>
        </w:rPr>
        <w:t>.</w:t>
      </w:r>
      <w:bookmarkStart w:id="43" w:name="_Hlk118892295"/>
      <w:bookmarkEnd w:id="42"/>
    </w:p>
    <w:p w14:paraId="7E6C4809" w14:textId="77777777" w:rsidR="00A13DA5" w:rsidRPr="0048184E" w:rsidRDefault="00A13DA5" w:rsidP="0048184E">
      <w:pPr>
        <w:pStyle w:val="NoSpacing"/>
        <w:ind w:left="720"/>
        <w:jc w:val="both"/>
        <w:rPr>
          <w:rFonts w:asciiTheme="minorHAnsi" w:hAnsiTheme="minorHAnsi" w:cstheme="minorHAnsi"/>
          <w:sz w:val="18"/>
          <w:szCs w:val="18"/>
          <w:lang w:val="sr-Latn-ME"/>
        </w:rPr>
      </w:pPr>
    </w:p>
    <w:p w14:paraId="1B148F43" w14:textId="30E93DD0" w:rsidR="00A13DA5" w:rsidRPr="00E1163F" w:rsidRDefault="00A13DA5" w:rsidP="0048184E">
      <w:pPr>
        <w:pStyle w:val="NoSpacing"/>
        <w:numPr>
          <w:ilvl w:val="0"/>
          <w:numId w:val="15"/>
        </w:numPr>
        <w:jc w:val="both"/>
        <w:rPr>
          <w:rFonts w:asciiTheme="minorHAnsi" w:hAnsiTheme="minorHAnsi" w:cstheme="minorHAnsi"/>
          <w:sz w:val="18"/>
          <w:szCs w:val="18"/>
          <w:lang w:val="sr-Latn-ME"/>
        </w:rPr>
      </w:pPr>
      <w:r w:rsidRPr="00E1163F">
        <w:rPr>
          <w:rFonts w:asciiTheme="minorHAnsi" w:hAnsiTheme="minorHAnsi" w:cstheme="minorHAnsi"/>
          <w:b/>
          <w:sz w:val="18"/>
          <w:szCs w:val="18"/>
          <w:lang w:val="sr-Latn-ME"/>
        </w:rPr>
        <w:t>Negativan prirodni priraštaj i migracije (unutrašnje i spoljne)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
          <w:sz w:val="18"/>
          <w:szCs w:val="18"/>
          <w:lang w:val="sr-Latn-ME"/>
        </w:rPr>
        <w:t xml:space="preserve"> </w:t>
      </w:r>
      <w:r w:rsidRPr="00E1163F">
        <w:rPr>
          <w:rFonts w:asciiTheme="minorHAnsi" w:hAnsiTheme="minorHAnsi" w:cstheme="minorHAnsi"/>
          <w:bCs/>
          <w:sz w:val="18"/>
          <w:szCs w:val="18"/>
        </w:rPr>
        <w:t>Iako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su</w:t>
      </w:r>
      <w:r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aktivnosti</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VCG</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u</w:t>
      </w:r>
      <w:r w:rsidR="0095135D" w:rsidRPr="00E1163F">
        <w:rPr>
          <w:rFonts w:asciiTheme="minorHAnsi" w:hAnsiTheme="minorHAnsi" w:cstheme="minorHAnsi"/>
          <w:bCs/>
          <w:sz w:val="18"/>
          <w:szCs w:val="18"/>
          <w:lang w:val="sr-Latn-ME"/>
        </w:rPr>
        <w:t xml:space="preserve"> </w:t>
      </w:r>
      <w:r w:rsidR="00E1163F" w:rsidRPr="00E1163F">
        <w:rPr>
          <w:rFonts w:asciiTheme="minorHAnsi" w:hAnsiTheme="minorHAnsi" w:cstheme="minorHAnsi"/>
          <w:bCs/>
          <w:sz w:val="18"/>
          <w:szCs w:val="18"/>
        </w:rPr>
        <w:t>p</w:t>
      </w:r>
      <w:r w:rsidR="0095135D" w:rsidRPr="00E1163F">
        <w:rPr>
          <w:rFonts w:asciiTheme="minorHAnsi" w:hAnsiTheme="minorHAnsi" w:cstheme="minorHAnsi"/>
          <w:bCs/>
          <w:sz w:val="18"/>
          <w:szCs w:val="18"/>
        </w:rPr>
        <w:t>rethodnom</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period</w:t>
      </w:r>
      <w:r w:rsidR="00E1163F" w:rsidRPr="00E1163F">
        <w:rPr>
          <w:rFonts w:asciiTheme="minorHAnsi" w:hAnsiTheme="minorHAnsi" w:cstheme="minorHAnsi"/>
          <w:bCs/>
          <w:sz w:val="18"/>
          <w:szCs w:val="18"/>
        </w:rPr>
        <w:t>u</w:t>
      </w:r>
      <w:r w:rsidR="0095135D"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doprinijele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unaprje</w:t>
      </w:r>
      <w:r w:rsidRPr="00E1163F">
        <w:rPr>
          <w:rFonts w:asciiTheme="minorHAnsi" w:hAnsiTheme="minorHAnsi" w:cstheme="minorHAnsi"/>
          <w:bCs/>
          <w:sz w:val="18"/>
          <w:szCs w:val="18"/>
          <w:lang w:val="sr-Latn-ME"/>
        </w:rPr>
        <w:t>đ</w:t>
      </w:r>
      <w:r w:rsidRPr="00E1163F">
        <w:rPr>
          <w:rFonts w:asciiTheme="minorHAnsi" w:hAnsiTheme="minorHAnsi" w:cstheme="minorHAnsi"/>
          <w:bCs/>
          <w:sz w:val="18"/>
          <w:szCs w:val="18"/>
        </w:rPr>
        <w:t>enju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osnovne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poslovne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infrastrukture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unaprje</w:t>
      </w:r>
      <w:r w:rsidRPr="00E1163F">
        <w:rPr>
          <w:rFonts w:asciiTheme="minorHAnsi" w:hAnsiTheme="minorHAnsi" w:cstheme="minorHAnsi"/>
          <w:bCs/>
          <w:sz w:val="18"/>
          <w:szCs w:val="18"/>
          <w:lang w:val="sr-Latn-ME"/>
        </w:rPr>
        <w:t>đ</w:t>
      </w:r>
      <w:r w:rsidRPr="00E1163F">
        <w:rPr>
          <w:rFonts w:asciiTheme="minorHAnsi" w:hAnsiTheme="minorHAnsi" w:cstheme="minorHAnsi"/>
          <w:bCs/>
          <w:sz w:val="18"/>
          <w:szCs w:val="18"/>
        </w:rPr>
        <w:t>enju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poslovnog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okru</w:t>
      </w:r>
      <w:r w:rsidRPr="00E1163F">
        <w:rPr>
          <w:rFonts w:asciiTheme="minorHAnsi" w:hAnsiTheme="minorHAnsi" w:cstheme="minorHAnsi"/>
          <w:bCs/>
          <w:sz w:val="18"/>
          <w:szCs w:val="18"/>
          <w:lang w:val="sr-Latn-ME"/>
        </w:rPr>
        <w:t>ž</w:t>
      </w:r>
      <w:r w:rsidRPr="00E1163F">
        <w:rPr>
          <w:rFonts w:asciiTheme="minorHAnsi" w:hAnsiTheme="minorHAnsi" w:cstheme="minorHAnsi"/>
          <w:bCs/>
          <w:sz w:val="18"/>
          <w:szCs w:val="18"/>
        </w:rPr>
        <w:t>enja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nijesu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zna</w:t>
      </w:r>
      <w:r w:rsidRPr="00E1163F">
        <w:rPr>
          <w:rFonts w:asciiTheme="minorHAnsi" w:hAnsiTheme="minorHAnsi" w:cstheme="minorHAnsi"/>
          <w:bCs/>
          <w:sz w:val="18"/>
          <w:szCs w:val="18"/>
          <w:lang w:val="sr-Latn-ME"/>
        </w:rPr>
        <w:t>č</w:t>
      </w:r>
      <w:r w:rsidRPr="00E1163F">
        <w:rPr>
          <w:rFonts w:asciiTheme="minorHAnsi" w:hAnsiTheme="minorHAnsi" w:cstheme="minorHAnsi"/>
          <w:bCs/>
          <w:sz w:val="18"/>
          <w:szCs w:val="18"/>
        </w:rPr>
        <w:t>ajnije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doprinijele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dovoljnom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broju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prilika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zaposlenje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smanjenju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rizika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od</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siroma</w:t>
      </w:r>
      <w:r w:rsidRPr="00E1163F">
        <w:rPr>
          <w:rFonts w:asciiTheme="minorHAnsi" w:hAnsiTheme="minorHAnsi" w:cstheme="minorHAnsi"/>
          <w:bCs/>
          <w:sz w:val="18"/>
          <w:szCs w:val="18"/>
          <w:lang w:val="sr-Latn-ME"/>
        </w:rPr>
        <w:t>š</w:t>
      </w:r>
      <w:r w:rsidRPr="00E1163F">
        <w:rPr>
          <w:rFonts w:asciiTheme="minorHAnsi" w:hAnsiTheme="minorHAnsi" w:cstheme="minorHAnsi"/>
          <w:bCs/>
          <w:sz w:val="18"/>
          <w:szCs w:val="18"/>
        </w:rPr>
        <w:t>tva</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naro</w:t>
      </w:r>
      <w:r w:rsidR="0095135D" w:rsidRPr="00E1163F">
        <w:rPr>
          <w:rFonts w:asciiTheme="minorHAnsi" w:hAnsiTheme="minorHAnsi" w:cstheme="minorHAnsi"/>
          <w:bCs/>
          <w:sz w:val="18"/>
          <w:szCs w:val="18"/>
          <w:lang w:val="sr-Latn-ME"/>
        </w:rPr>
        <w:t>č</w:t>
      </w:r>
      <w:r w:rsidR="0095135D" w:rsidRPr="00E1163F">
        <w:rPr>
          <w:rFonts w:asciiTheme="minorHAnsi" w:hAnsiTheme="minorHAnsi" w:cstheme="minorHAnsi"/>
          <w:bCs/>
          <w:sz w:val="18"/>
          <w:szCs w:val="18"/>
        </w:rPr>
        <w:t>ito</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u</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Sjevernom</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regionu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Naime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pored</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negativnog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prirodnog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prira</w:t>
      </w:r>
      <w:r w:rsidRPr="00E1163F">
        <w:rPr>
          <w:rFonts w:asciiTheme="minorHAnsi" w:hAnsiTheme="minorHAnsi" w:cstheme="minorHAnsi"/>
          <w:bCs/>
          <w:sz w:val="18"/>
          <w:szCs w:val="18"/>
          <w:lang w:val="sr-Latn-ME"/>
        </w:rPr>
        <w:t>š</w:t>
      </w:r>
      <w:r w:rsidRPr="00E1163F">
        <w:rPr>
          <w:rFonts w:asciiTheme="minorHAnsi" w:hAnsiTheme="minorHAnsi" w:cstheme="minorHAnsi"/>
          <w:bCs/>
          <w:sz w:val="18"/>
          <w:szCs w:val="18"/>
        </w:rPr>
        <w:t>taja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drugi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faktor</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smanjenja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broja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stanovnika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Sjevernog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regiona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migracije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Iako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mnogo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manjem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obimu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nego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zemljama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okru</w:t>
      </w:r>
      <w:r w:rsidRPr="00E1163F">
        <w:rPr>
          <w:rFonts w:asciiTheme="minorHAnsi" w:hAnsiTheme="minorHAnsi" w:cstheme="minorHAnsi"/>
          <w:bCs/>
          <w:sz w:val="18"/>
          <w:szCs w:val="18"/>
          <w:lang w:val="sr-Latn-ME"/>
        </w:rPr>
        <w:t>ž</w:t>
      </w:r>
      <w:r w:rsidRPr="00E1163F">
        <w:rPr>
          <w:rFonts w:asciiTheme="minorHAnsi" w:hAnsiTheme="minorHAnsi" w:cstheme="minorHAnsi"/>
          <w:bCs/>
          <w:sz w:val="18"/>
          <w:szCs w:val="18"/>
        </w:rPr>
        <w:t>enja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poput</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Bosne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Hercegovine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Makedonije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Albanije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Svjetska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banka</w:t>
      </w:r>
      <w:r w:rsidRPr="00E1163F">
        <w:rPr>
          <w:rFonts w:asciiTheme="minorHAnsi" w:hAnsiTheme="minorHAnsi" w:cstheme="minorHAnsi"/>
          <w:sz w:val="18"/>
          <w:szCs w:val="18"/>
          <w:lang w:val="sr-Latn-ME"/>
        </w:rPr>
        <w:t xml:space="preserve">, 2021), </w:t>
      </w:r>
      <w:r w:rsidRPr="00E1163F">
        <w:rPr>
          <w:rFonts w:asciiTheme="minorHAnsi" w:hAnsiTheme="minorHAnsi" w:cstheme="minorHAnsi"/>
          <w:sz w:val="18"/>
          <w:szCs w:val="18"/>
        </w:rPr>
        <w:t>migracije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stanovni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tva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inostranstvo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naro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ito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brain</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drain</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posljednjih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decenija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karakteristi</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istovremeno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ava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unutra</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njim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migracijama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kao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najmanje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razvijenog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prema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Sredi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njem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Primorskom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regionu</w:t>
      </w:r>
      <w:r w:rsidRPr="00E1163F">
        <w:rPr>
          <w:rFonts w:asciiTheme="minorHAnsi" w:hAnsiTheme="minorHAnsi" w:cstheme="minorHAnsi"/>
          <w:sz w:val="18"/>
          <w:szCs w:val="18"/>
          <w:lang w:val="sr-Latn-ME"/>
        </w:rPr>
        <w:t>, š</w:t>
      </w:r>
      <w:r w:rsidRPr="00E1163F">
        <w:rPr>
          <w:rFonts w:asciiTheme="minorHAnsi" w:hAnsiTheme="minorHAnsi" w:cstheme="minorHAnsi"/>
          <w:sz w:val="18"/>
          <w:szCs w:val="18"/>
        </w:rPr>
        <w:t>to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edecenijski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trend</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Klju</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razlozi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emigracija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inostranstvo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kao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unutra</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ostala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dva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nepovoljna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situacija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tr</w:t>
      </w:r>
      <w:r w:rsidRPr="00E1163F">
        <w:rPr>
          <w:rFonts w:asciiTheme="minorHAnsi" w:hAnsiTheme="minorHAnsi" w:cstheme="minorHAnsi"/>
          <w:sz w:val="18"/>
          <w:szCs w:val="18"/>
          <w:lang w:val="sr-Latn-ME"/>
        </w:rPr>
        <w:t>ž</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rada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odnosno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visoka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stopa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nezaposlenosti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zbog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nedovoljnog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broja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prilika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otvaranje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novih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radnih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mjesta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ni</w:t>
      </w:r>
      <w:r w:rsidRPr="00E1163F">
        <w:rPr>
          <w:rFonts w:asciiTheme="minorHAnsi" w:hAnsiTheme="minorHAnsi" w:cstheme="minorHAnsi"/>
          <w:sz w:val="18"/>
          <w:szCs w:val="18"/>
          <w:lang w:val="sr-Latn-ME"/>
        </w:rPr>
        <w:t>ž</w:t>
      </w:r>
      <w:r w:rsidRPr="00E1163F">
        <w:rPr>
          <w:rFonts w:asciiTheme="minorHAnsi" w:hAnsiTheme="minorHAnsi" w:cstheme="minorHAnsi"/>
          <w:sz w:val="18"/>
          <w:szCs w:val="18"/>
        </w:rPr>
        <w: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prosje</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zarada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odnosu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ostatak</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naro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ito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odnosu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zemlje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Zapadne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Evrope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neformalna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ekonomija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nedovoljno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razvijena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osnovna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poslovna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infrastruktura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funkciji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ve</w:t>
      </w:r>
      <w:r w:rsidRPr="00E1163F">
        <w:rPr>
          <w:rFonts w:asciiTheme="minorHAnsi" w:hAnsiTheme="minorHAnsi" w:cstheme="minorHAnsi"/>
          <w:sz w:val="18"/>
          <w:szCs w:val="18"/>
          <w:lang w:val="sr-Latn-ME"/>
        </w:rPr>
        <w:t>ć</w:t>
      </w:r>
      <w:r w:rsidRPr="00E1163F">
        <w:rPr>
          <w:rFonts w:asciiTheme="minorHAnsi" w:hAnsiTheme="minorHAnsi" w:cstheme="minorHAnsi"/>
          <w:sz w:val="18"/>
          <w:szCs w:val="18"/>
        </w:rPr>
        <w:t>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konkurentnosti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kvaliteta</w:t>
      </w:r>
      <w:r w:rsidRPr="00E1163F">
        <w:rPr>
          <w:rFonts w:asciiTheme="minorHAnsi" w:hAnsiTheme="minorHAnsi" w:cstheme="minorHAnsi"/>
          <w:sz w:val="18"/>
          <w:szCs w:val="18"/>
          <w:lang w:val="sr-Latn-ME"/>
        </w:rPr>
        <w:t xml:space="preserve"> ž</w:t>
      </w:r>
      <w:r w:rsidRPr="00E1163F">
        <w:rPr>
          <w:rFonts w:asciiTheme="minorHAnsi" w:hAnsiTheme="minorHAnsi" w:cstheme="minorHAnsi"/>
          <w:sz w:val="18"/>
          <w:szCs w:val="18"/>
        </w:rPr>
        <w:t>ivota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Pored</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inostranstvo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unutra</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lastRenderedPageBreak/>
        <w:t>Sjevernog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Sredi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Primorski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veoma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izra</w:t>
      </w:r>
      <w:r w:rsidRPr="00E1163F">
        <w:rPr>
          <w:rFonts w:asciiTheme="minorHAnsi" w:hAnsiTheme="minorHAnsi" w:cstheme="minorHAnsi"/>
          <w:sz w:val="18"/>
          <w:szCs w:val="18"/>
          <w:lang w:val="sr-Latn-ME"/>
        </w:rPr>
        <w:t>ž</w:t>
      </w:r>
      <w:r w:rsidRPr="00E1163F">
        <w:rPr>
          <w:rFonts w:asciiTheme="minorHAnsi" w:hAnsiTheme="minorHAnsi" w:cstheme="minorHAnsi"/>
          <w:sz w:val="18"/>
          <w:szCs w:val="18"/>
        </w:rPr>
        <w:t>ene</w:t>
      </w:r>
      <w:r w:rsidRPr="00E1163F">
        <w:rPr>
          <w:rFonts w:asciiTheme="minorHAnsi" w:hAnsiTheme="minorHAnsi" w:cstheme="minorHAnsi"/>
          <w:sz w:val="18"/>
          <w:szCs w:val="18"/>
          <w:lang w:val="sr-Latn-ME"/>
        </w:rPr>
        <w:t xml:space="preserve">. </w:t>
      </w:r>
      <w:r w:rsidR="00E1163F" w:rsidRPr="00E1163F">
        <w:rPr>
          <w:rFonts w:asciiTheme="minorHAnsi" w:hAnsiTheme="minorHAnsi" w:cstheme="minorHAnsi"/>
          <w:sz w:val="18"/>
          <w:szCs w:val="18"/>
          <w:lang w:val="sr-Latn-ME"/>
        </w:rPr>
        <w:t>Prema posljednjim r</w:t>
      </w:r>
      <w:r w:rsidR="00E1163F">
        <w:rPr>
          <w:rFonts w:asciiTheme="minorHAnsi" w:hAnsiTheme="minorHAnsi" w:cstheme="minorHAnsi"/>
          <w:sz w:val="18"/>
          <w:szCs w:val="18"/>
          <w:lang w:val="sr-Latn-ME"/>
        </w:rPr>
        <w:t>aspoloživim podacima MONSTATa (</w:t>
      </w:r>
      <w:r w:rsidR="00E1163F" w:rsidRPr="00E1163F">
        <w:rPr>
          <w:rFonts w:asciiTheme="minorHAnsi" w:hAnsiTheme="minorHAnsi" w:cstheme="minorHAnsi"/>
          <w:sz w:val="18"/>
          <w:szCs w:val="18"/>
          <w:lang w:val="sr-Latn-ME"/>
        </w:rPr>
        <w:t>januar-maj 2025</w:t>
      </w:r>
      <w:r w:rsidR="00E1163F">
        <w:rPr>
          <w:rFonts w:asciiTheme="minorHAnsi" w:hAnsiTheme="minorHAnsi" w:cstheme="minorHAnsi"/>
          <w:sz w:val="18"/>
          <w:szCs w:val="18"/>
          <w:lang w:val="sr-Latn-ME"/>
        </w:rPr>
        <w:t>.</w:t>
      </w:r>
      <w:r w:rsidR="00E1163F" w:rsidRPr="00E1163F">
        <w:rPr>
          <w:rFonts w:asciiTheme="minorHAnsi" w:hAnsiTheme="minorHAnsi" w:cstheme="minorHAnsi"/>
          <w:sz w:val="18"/>
          <w:szCs w:val="18"/>
          <w:lang w:val="sr-Latn-ME"/>
        </w:rPr>
        <w:t>) Crna Gora se i u 2025.</w:t>
      </w:r>
      <w:r w:rsidR="00CB5EC4">
        <w:rPr>
          <w:rFonts w:asciiTheme="minorHAnsi" w:hAnsiTheme="minorHAnsi" w:cstheme="minorHAnsi"/>
          <w:sz w:val="18"/>
          <w:szCs w:val="18"/>
          <w:lang w:val="sr-Latn-ME"/>
        </w:rPr>
        <w:t xml:space="preserve"> </w:t>
      </w:r>
      <w:r w:rsidR="00E1163F" w:rsidRPr="00E1163F">
        <w:rPr>
          <w:rFonts w:asciiTheme="minorHAnsi" w:hAnsiTheme="minorHAnsi" w:cstheme="minorHAnsi"/>
          <w:sz w:val="18"/>
          <w:szCs w:val="18"/>
          <w:lang w:val="sr-Latn-ME"/>
        </w:rPr>
        <w:t>godini</w:t>
      </w:r>
      <w:r w:rsidR="00E1163F">
        <w:rPr>
          <w:rFonts w:asciiTheme="minorHAnsi" w:hAnsiTheme="minorHAnsi" w:cstheme="minorHAnsi"/>
          <w:sz w:val="18"/>
          <w:szCs w:val="18"/>
          <w:lang w:val="sr-Latn-ME"/>
        </w:rPr>
        <w:t xml:space="preserve"> suo</w:t>
      </w:r>
      <w:r w:rsidR="00E1163F" w:rsidRPr="00E1163F">
        <w:rPr>
          <w:rFonts w:asciiTheme="minorHAnsi" w:hAnsiTheme="minorHAnsi" w:cstheme="minorHAnsi"/>
          <w:sz w:val="18"/>
          <w:szCs w:val="18"/>
          <w:lang w:val="sr-Latn-ME"/>
        </w:rPr>
        <w:t>čava sa nastavkom negativnih demografskih trendova, pa je tako negativan prirodni priraštaj zabilježen u čak 18 od 25 crnogo</w:t>
      </w:r>
      <w:r w:rsidR="00E1163F">
        <w:rPr>
          <w:rFonts w:asciiTheme="minorHAnsi" w:hAnsiTheme="minorHAnsi" w:cstheme="minorHAnsi"/>
          <w:sz w:val="18"/>
          <w:szCs w:val="18"/>
          <w:lang w:val="sr-Latn-ME"/>
        </w:rPr>
        <w:t>rskih opština (</w:t>
      </w:r>
      <w:r w:rsidR="00E1163F" w:rsidRPr="00E1163F">
        <w:rPr>
          <w:rFonts w:asciiTheme="minorHAnsi" w:hAnsiTheme="minorHAnsi" w:cstheme="minorHAnsi"/>
          <w:sz w:val="18"/>
          <w:szCs w:val="18"/>
          <w:lang w:val="sr-Latn-ME"/>
        </w:rPr>
        <w:t xml:space="preserve">najveći minus zabilježen je u Pljevljima od čak 106., Nikšiću sa minusom od 64, i u Bijelom Polju sa minusom od 40). Što potvrđuje da se problemi depopulicaije najviše osjećaju u Sjevernom regionu.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cilju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odgovora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ovaj</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izazov</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narednom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srednjoro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nom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periodu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neophodno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kreirati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set</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konkretnih</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mjera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aktivnosti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kombinacijom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mjera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fiskalne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politike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ostalim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politikama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poput</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demografske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obrazovne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zdravstvene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socijalne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naro</w:t>
      </w:r>
      <w:r w:rsidRPr="00E1163F">
        <w:rPr>
          <w:rFonts w:asciiTheme="minorHAnsi" w:hAnsiTheme="minorHAnsi" w:cstheme="minorHAnsi"/>
          <w:bCs/>
          <w:sz w:val="18"/>
          <w:szCs w:val="18"/>
          <w:lang w:val="sr-Latn-ME"/>
        </w:rPr>
        <w:t>č</w:t>
      </w:r>
      <w:r w:rsidRPr="00E1163F">
        <w:rPr>
          <w:rFonts w:asciiTheme="minorHAnsi" w:hAnsiTheme="minorHAnsi" w:cstheme="minorHAnsi"/>
          <w:bCs/>
          <w:sz w:val="18"/>
          <w:szCs w:val="18"/>
        </w:rPr>
        <w:t>ito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politike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tr</w:t>
      </w:r>
      <w:r w:rsidRPr="00E1163F">
        <w:rPr>
          <w:rFonts w:asciiTheme="minorHAnsi" w:hAnsiTheme="minorHAnsi" w:cstheme="minorHAnsi"/>
          <w:bCs/>
          <w:sz w:val="18"/>
          <w:szCs w:val="18"/>
          <w:lang w:val="sr-Latn-ME"/>
        </w:rPr>
        <w:t>ž</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š</w:t>
      </w:r>
      <w:r w:rsidRPr="00E1163F">
        <w:rPr>
          <w:rFonts w:asciiTheme="minorHAnsi" w:hAnsiTheme="minorHAnsi" w:cstheme="minorHAnsi"/>
          <w:bCs/>
          <w:sz w:val="18"/>
          <w:szCs w:val="18"/>
        </w:rPr>
        <w:t>tu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rada</w:t>
      </w:r>
      <w:r w:rsidRPr="00E1163F">
        <w:rPr>
          <w:rFonts w:asciiTheme="minorHAnsi" w:hAnsiTheme="minorHAnsi" w:cstheme="minorHAnsi"/>
          <w:bCs/>
          <w:sz w:val="18"/>
          <w:szCs w:val="18"/>
          <w:lang w:val="sr-Latn-ME"/>
        </w:rPr>
        <w:t xml:space="preserve">. </w:t>
      </w:r>
    </w:p>
    <w:p w14:paraId="7EC8B8E8" w14:textId="77777777" w:rsidR="00A13DA5" w:rsidRPr="0048184E" w:rsidRDefault="00A13DA5" w:rsidP="0048184E">
      <w:pPr>
        <w:pStyle w:val="NoSpacing"/>
        <w:ind w:left="720"/>
        <w:jc w:val="both"/>
        <w:rPr>
          <w:rFonts w:asciiTheme="minorHAnsi" w:hAnsiTheme="minorHAnsi" w:cstheme="minorHAnsi"/>
          <w:sz w:val="18"/>
          <w:szCs w:val="18"/>
          <w:lang w:val="sr-Latn-ME"/>
        </w:rPr>
      </w:pPr>
    </w:p>
    <w:p w14:paraId="756A85A1"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Nedovoljna konkurentnost MMSP, nerazvijena infrastruktura i visok stepen neformalne ekonomije</w:t>
      </w:r>
      <w:r w:rsidRPr="0048184E">
        <w:rPr>
          <w:rFonts w:asciiTheme="minorHAnsi" w:hAnsiTheme="minorHAnsi" w:cstheme="minorHAnsi"/>
          <w:bCs/>
          <w:sz w:val="18"/>
          <w:szCs w:val="18"/>
          <w:lang w:val="sr-Latn-ME"/>
        </w:rPr>
        <w:t xml:space="preserve"> - Iako je većina promjena regulatornog okvira i poslovnog ambijenta u prethodnom periodu imala pozitivan uticaj, poslovno okruženje u Crnoj Gori, i na centralnom i lokalnom nivou, karakteriše nepredvidivost, složene administrativne procedure, kao i nedovoljan pristup finansiranju posebno startapova i inovacija. Poteškoćama u unaprjeđenju konkurentnosti JLS u velikoj mjeri doprinose i dalje brojni parafiskalni nameti. Najveći broj parafiskaliteta, posmatrano po glavi stanovnika, je upravo u opštinama Sjevernog regiona koje bilježe najmanji stepen konkurentnosti.</w:t>
      </w:r>
      <w:r w:rsidRPr="0048184E">
        <w:rPr>
          <w:rFonts w:asciiTheme="minorHAnsi" w:hAnsiTheme="minorHAnsi" w:cstheme="minorHAnsi"/>
          <w:bCs/>
          <w:sz w:val="18"/>
          <w:szCs w:val="18"/>
          <w:lang w:val="pl-PL"/>
        </w:rPr>
        <w:t xml:space="preserve"> </w:t>
      </w:r>
      <w:bookmarkStart w:id="44" w:name="_Hlk118906478"/>
      <w:bookmarkEnd w:id="43"/>
    </w:p>
    <w:p w14:paraId="12955A51" w14:textId="77777777" w:rsidR="00A13DA5" w:rsidRPr="0048184E" w:rsidRDefault="00A13DA5" w:rsidP="0048184E">
      <w:pPr>
        <w:pStyle w:val="NoSpacing"/>
        <w:ind w:left="720"/>
        <w:jc w:val="both"/>
        <w:rPr>
          <w:rFonts w:asciiTheme="minorHAnsi" w:hAnsiTheme="minorHAnsi" w:cstheme="minorHAnsi"/>
          <w:sz w:val="18"/>
          <w:szCs w:val="18"/>
          <w:lang w:val="sr-Latn-ME"/>
        </w:rPr>
      </w:pPr>
    </w:p>
    <w:p w14:paraId="06B68D67"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Finansiranje JLS i nedovoljno razvijeni administrativni kapaciteti</w:t>
      </w:r>
      <w:bookmarkEnd w:id="44"/>
      <w:r w:rsidRPr="0048184E">
        <w:rPr>
          <w:rFonts w:asciiTheme="minorHAnsi" w:hAnsiTheme="minorHAnsi" w:cstheme="minorHAnsi"/>
          <w:bCs/>
          <w:sz w:val="18"/>
          <w:szCs w:val="18"/>
          <w:lang w:val="sr-Latn-ME"/>
        </w:rPr>
        <w:t xml:space="preserve"> - </w:t>
      </w:r>
      <w:r w:rsidRPr="0048184E">
        <w:rPr>
          <w:rFonts w:asciiTheme="minorHAnsi" w:hAnsiTheme="minorHAnsi" w:cstheme="minorHAnsi"/>
          <w:bCs/>
          <w:iCs/>
          <w:sz w:val="18"/>
          <w:szCs w:val="18"/>
          <w:lang w:val="sr-Latn-ME"/>
        </w:rPr>
        <w:t xml:space="preserve">novim zakonskim rješenjima značajno je povećan procenat ustupanja poreza na dohodak fizičkih lica opštinama Sjevernog regiona, </w:t>
      </w:r>
      <w:r w:rsidR="0095135D" w:rsidRPr="0048184E">
        <w:rPr>
          <w:rFonts w:asciiTheme="minorHAnsi" w:hAnsiTheme="minorHAnsi" w:cstheme="minorHAnsi"/>
          <w:bCs/>
          <w:iCs/>
          <w:sz w:val="18"/>
          <w:szCs w:val="18"/>
          <w:lang w:val="sr-Latn-ME"/>
        </w:rPr>
        <w:t xml:space="preserve">s </w:t>
      </w:r>
      <w:r w:rsidRPr="0048184E">
        <w:rPr>
          <w:rFonts w:asciiTheme="minorHAnsi" w:hAnsiTheme="minorHAnsi" w:cstheme="minorHAnsi"/>
          <w:bCs/>
          <w:iCs/>
          <w:sz w:val="18"/>
          <w:szCs w:val="18"/>
          <w:lang w:val="sr-Latn-ME"/>
        </w:rPr>
        <w:t>obzirom na njihovu slabu razvijenost, migratorna kretanja, slabiji fiskalni kapacitet privrede i stanovništva u odnosu na druga dva regiona u Crnoj Gori i slabe mogućnosti da iz svojih prihoda finansiraju zakonom utvrđene obaveze.</w:t>
      </w:r>
      <w:r w:rsidRPr="0048184E">
        <w:rPr>
          <w:rFonts w:asciiTheme="minorHAnsi" w:hAnsiTheme="minorHAnsi" w:cstheme="minorHAnsi"/>
          <w:bCs/>
          <w:sz w:val="18"/>
          <w:szCs w:val="18"/>
          <w:lang w:val="sr-Latn-ME"/>
        </w:rPr>
        <w:t xml:space="preserve"> Međutim, prepoznata je neophodnost da dostupna podrška i </w:t>
      </w:r>
      <w:r w:rsidRPr="0048184E">
        <w:rPr>
          <w:rFonts w:asciiTheme="minorHAnsi" w:hAnsiTheme="minorHAnsi" w:cstheme="minorHAnsi"/>
          <w:bCs/>
          <w:iCs/>
          <w:sz w:val="18"/>
          <w:szCs w:val="18"/>
          <w:lang w:val="sr-Latn-ME"/>
        </w:rPr>
        <w:t>sredstava koja su na raspolaganju budu pravilnije raspoređena, odnosno usmjerena prevashodno na manje razvijene JLS.</w:t>
      </w:r>
      <w:r w:rsidRPr="0048184E">
        <w:rPr>
          <w:rFonts w:asciiTheme="minorHAnsi" w:hAnsiTheme="minorHAnsi" w:cstheme="minorHAnsi"/>
          <w:bCs/>
          <w:sz w:val="18"/>
          <w:szCs w:val="18"/>
          <w:lang w:val="pl-PL"/>
        </w:rPr>
        <w:t xml:space="preserve"> Iskustva funkcionisanja monotipskog načina organizacije rada lokalne samouprave u CG, u kojem sve JLS, od najmanje do najveće, imaju iste nadležnosti i vrše iste poslove, imaju istu ili sličnu organizaciju, pri čemu su lokalne samouprave veoma različite, kako po broju stanovnika, po površini, razuđenosti teritorije, fiskalnim, administrativnim i drugim kapacitetima, pokazuju da je potrebno izvršiti preispitivanja istog. Jedan od prepoznatih izazova je i utvrđivanje tj. prebacivanje nadležnosti i poslova sa centralnog na lokalni nivo kroz strateške akte suprotno zakonskim rješenjima bez adekvatne finansijske podrške, a naročito decentralizacija poslova iz nadležnosti države, posebno u oblasti socijalne i dječje zaštite, na lokalni nivo suprotno zakonu i bez adekvatne finansijske podrške kroz zakone i strateška akta. Takođe, u praksi postoji izazov kad je u pitanju implementacija zakonske obaveze pa resorna ministarstva JLS ne dostave ili dostave neblagovremeno izjašnjenje o značajnim javnim politikama kojima se utiče na funkcionisanje lokalnih samouprava u različitim oblastima. </w:t>
      </w:r>
      <w:r w:rsidRPr="0048184E">
        <w:rPr>
          <w:rFonts w:asciiTheme="minorHAnsi" w:hAnsiTheme="minorHAnsi" w:cstheme="minorHAnsi"/>
          <w:bCs/>
          <w:iCs/>
          <w:sz w:val="18"/>
          <w:szCs w:val="18"/>
          <w:lang w:val="pl-PL"/>
        </w:rPr>
        <w:t>Dodatno, neophodno je dalje raditi na unaprjeđenju međuopštinske saradnje kao mehanizam saradnje kojim se mogu nadomjestiti neujednačeni kapaciteti JLS za sprovođenje zakonom propisanih poslova i da se rješavaju zajednički izazovi koji prevazilaze granice JLS.</w:t>
      </w:r>
    </w:p>
    <w:p w14:paraId="245B4FD5" w14:textId="77777777" w:rsidR="00C647A8" w:rsidRPr="0048184E" w:rsidRDefault="00C647A8" w:rsidP="0048184E">
      <w:pPr>
        <w:pStyle w:val="NoSpacing"/>
        <w:jc w:val="both"/>
        <w:rPr>
          <w:rFonts w:asciiTheme="minorHAnsi" w:hAnsiTheme="minorHAnsi" w:cstheme="minorHAnsi"/>
          <w:sz w:val="18"/>
          <w:szCs w:val="18"/>
          <w:lang w:val="sr-Latn-ME"/>
        </w:rPr>
      </w:pPr>
    </w:p>
    <w:p w14:paraId="5E1266AF" w14:textId="77777777" w:rsidR="00C647A8" w:rsidRPr="0048184E" w:rsidRDefault="00C647A8" w:rsidP="0048184E">
      <w:pPr>
        <w:pBdr>
          <w:top w:val="single" w:sz="4" w:space="1" w:color="auto"/>
          <w:left w:val="single" w:sz="4" w:space="4" w:color="auto"/>
          <w:bottom w:val="single" w:sz="4" w:space="1" w:color="auto"/>
          <w:right w:val="single" w:sz="4" w:space="4" w:color="auto"/>
        </w:pBdr>
        <w:tabs>
          <w:tab w:val="left" w:pos="1077"/>
        </w:tabs>
        <w:spacing w:after="0" w:line="240" w:lineRule="auto"/>
        <w:jc w:val="both"/>
        <w:rPr>
          <w:i/>
          <w:sz w:val="18"/>
          <w:szCs w:val="18"/>
          <w:lang w:val="pl-PL"/>
        </w:rPr>
      </w:pPr>
      <w:r w:rsidRPr="0048184E">
        <w:rPr>
          <w:b/>
          <w:i/>
          <w:sz w:val="18"/>
          <w:szCs w:val="18"/>
          <w:lang w:val="pl-PL"/>
        </w:rPr>
        <w:t>Me</w:t>
      </w:r>
      <w:r w:rsidRPr="0048184E">
        <w:rPr>
          <w:b/>
          <w:i/>
          <w:sz w:val="18"/>
          <w:szCs w:val="18"/>
          <w:lang w:val="sr-Latn-ME"/>
        </w:rPr>
        <w:t>đ</w:t>
      </w:r>
      <w:r w:rsidRPr="0048184E">
        <w:rPr>
          <w:b/>
          <w:i/>
          <w:sz w:val="18"/>
          <w:szCs w:val="18"/>
          <w:lang w:val="pl-PL"/>
        </w:rPr>
        <w:t>uop</w:t>
      </w:r>
      <w:r w:rsidRPr="0048184E">
        <w:rPr>
          <w:b/>
          <w:i/>
          <w:sz w:val="18"/>
          <w:szCs w:val="18"/>
          <w:lang w:val="sr-Latn-ME"/>
        </w:rPr>
        <w:t>š</w:t>
      </w:r>
      <w:r w:rsidRPr="0048184E">
        <w:rPr>
          <w:b/>
          <w:i/>
          <w:sz w:val="18"/>
          <w:szCs w:val="18"/>
          <w:lang w:val="pl-PL"/>
        </w:rPr>
        <w:t>tinska</w:t>
      </w:r>
      <w:r w:rsidRPr="0048184E">
        <w:rPr>
          <w:b/>
          <w:i/>
          <w:sz w:val="18"/>
          <w:szCs w:val="18"/>
          <w:lang w:val="sr-Latn-ME"/>
        </w:rPr>
        <w:t xml:space="preserve"> </w:t>
      </w:r>
      <w:r w:rsidRPr="0048184E">
        <w:rPr>
          <w:b/>
          <w:i/>
          <w:sz w:val="18"/>
          <w:szCs w:val="18"/>
          <w:lang w:val="pl-PL"/>
        </w:rPr>
        <w:t>saradnja</w:t>
      </w:r>
      <w:r w:rsidRPr="0048184E">
        <w:rPr>
          <w:i/>
          <w:sz w:val="18"/>
          <w:szCs w:val="18"/>
          <w:lang w:val="sr-Latn-ME"/>
        </w:rPr>
        <w:t xml:space="preserve"> </w:t>
      </w:r>
      <w:r w:rsidRPr="0048184E">
        <w:rPr>
          <w:i/>
          <w:sz w:val="18"/>
          <w:szCs w:val="18"/>
          <w:lang w:val="pl-PL"/>
        </w:rPr>
        <w:t>u</w:t>
      </w:r>
      <w:r w:rsidRPr="0048184E">
        <w:rPr>
          <w:i/>
          <w:sz w:val="18"/>
          <w:szCs w:val="18"/>
          <w:lang w:val="sr-Latn-ME"/>
        </w:rPr>
        <w:t xml:space="preserve"> </w:t>
      </w:r>
      <w:r w:rsidRPr="0048184E">
        <w:rPr>
          <w:i/>
          <w:sz w:val="18"/>
          <w:szCs w:val="18"/>
          <w:lang w:val="pl-PL"/>
        </w:rPr>
        <w:t>praksi</w:t>
      </w:r>
      <w:r w:rsidRPr="0048184E">
        <w:rPr>
          <w:i/>
          <w:sz w:val="18"/>
          <w:szCs w:val="18"/>
          <w:lang w:val="sr-Latn-ME"/>
        </w:rPr>
        <w:t xml:space="preserve"> </w:t>
      </w:r>
      <w:r w:rsidRPr="0048184E">
        <w:rPr>
          <w:i/>
          <w:sz w:val="18"/>
          <w:szCs w:val="18"/>
          <w:lang w:val="pl-PL"/>
        </w:rPr>
        <w:t>pored</w:t>
      </w:r>
      <w:r w:rsidRPr="0048184E">
        <w:rPr>
          <w:i/>
          <w:sz w:val="18"/>
          <w:szCs w:val="18"/>
          <w:lang w:val="sr-Latn-ME"/>
        </w:rPr>
        <w:t xml:space="preserve"> </w:t>
      </w:r>
      <w:r w:rsidRPr="0048184E">
        <w:rPr>
          <w:i/>
          <w:sz w:val="18"/>
          <w:szCs w:val="18"/>
          <w:lang w:val="pl-PL"/>
        </w:rPr>
        <w:t>zakonodavstva</w:t>
      </w:r>
      <w:r w:rsidRPr="0048184E">
        <w:rPr>
          <w:i/>
          <w:sz w:val="18"/>
          <w:szCs w:val="18"/>
          <w:lang w:val="sr-Latn-ME"/>
        </w:rPr>
        <w:t xml:space="preserve">, </w:t>
      </w:r>
      <w:r w:rsidRPr="0048184E">
        <w:rPr>
          <w:i/>
          <w:sz w:val="18"/>
          <w:szCs w:val="18"/>
          <w:lang w:val="pl-PL"/>
        </w:rPr>
        <w:t>va</w:t>
      </w:r>
      <w:r w:rsidRPr="0048184E">
        <w:rPr>
          <w:i/>
          <w:sz w:val="18"/>
          <w:szCs w:val="18"/>
          <w:lang w:val="sr-Latn-ME"/>
        </w:rPr>
        <w:t>ž</w:t>
      </w:r>
      <w:r w:rsidRPr="0048184E">
        <w:rPr>
          <w:i/>
          <w:sz w:val="18"/>
          <w:szCs w:val="18"/>
          <w:lang w:val="pl-PL"/>
        </w:rPr>
        <w:t>no</w:t>
      </w:r>
      <w:r w:rsidRPr="0048184E">
        <w:rPr>
          <w:i/>
          <w:sz w:val="18"/>
          <w:szCs w:val="18"/>
          <w:lang w:val="sr-Latn-ME"/>
        </w:rPr>
        <w:t xml:space="preserve"> </w:t>
      </w:r>
      <w:r w:rsidRPr="0048184E">
        <w:rPr>
          <w:i/>
          <w:sz w:val="18"/>
          <w:szCs w:val="18"/>
          <w:lang w:val="pl-PL"/>
        </w:rPr>
        <w:t>je</w:t>
      </w:r>
      <w:r w:rsidRPr="0048184E">
        <w:rPr>
          <w:i/>
          <w:sz w:val="18"/>
          <w:szCs w:val="18"/>
          <w:lang w:val="sr-Latn-ME"/>
        </w:rPr>
        <w:t xml:space="preserve"> </w:t>
      </w:r>
      <w:r w:rsidRPr="0048184E">
        <w:rPr>
          <w:i/>
          <w:sz w:val="18"/>
          <w:szCs w:val="18"/>
          <w:lang w:val="pl-PL"/>
        </w:rPr>
        <w:t>pogledati</w:t>
      </w:r>
      <w:r w:rsidRPr="0048184E">
        <w:rPr>
          <w:i/>
          <w:sz w:val="18"/>
          <w:szCs w:val="18"/>
          <w:lang w:val="sr-Latn-ME"/>
        </w:rPr>
        <w:t xml:space="preserve"> </w:t>
      </w:r>
      <w:r w:rsidRPr="0048184E">
        <w:rPr>
          <w:i/>
          <w:sz w:val="18"/>
          <w:szCs w:val="18"/>
          <w:lang w:val="pl-PL"/>
        </w:rPr>
        <w:t>i</w:t>
      </w:r>
      <w:r w:rsidRPr="0048184E">
        <w:rPr>
          <w:i/>
          <w:sz w:val="18"/>
          <w:szCs w:val="18"/>
          <w:lang w:val="sr-Latn-ME"/>
        </w:rPr>
        <w:t xml:space="preserve"> </w:t>
      </w:r>
      <w:r w:rsidRPr="0048184E">
        <w:rPr>
          <w:i/>
          <w:sz w:val="18"/>
          <w:szCs w:val="18"/>
          <w:lang w:val="pl-PL"/>
        </w:rPr>
        <w:t>prakti</w:t>
      </w:r>
      <w:r w:rsidRPr="0048184E">
        <w:rPr>
          <w:i/>
          <w:sz w:val="18"/>
          <w:szCs w:val="18"/>
          <w:lang w:val="sr-Latn-ME"/>
        </w:rPr>
        <w:t>č</w:t>
      </w:r>
      <w:r w:rsidRPr="0048184E">
        <w:rPr>
          <w:i/>
          <w:sz w:val="18"/>
          <w:szCs w:val="18"/>
          <w:lang w:val="pl-PL"/>
        </w:rPr>
        <w:t>ne</w:t>
      </w:r>
      <w:r w:rsidRPr="0048184E">
        <w:rPr>
          <w:i/>
          <w:sz w:val="18"/>
          <w:szCs w:val="18"/>
          <w:lang w:val="sr-Latn-ME"/>
        </w:rPr>
        <w:t xml:space="preserve"> </w:t>
      </w:r>
      <w:r w:rsidRPr="0048184E">
        <w:rPr>
          <w:i/>
          <w:sz w:val="18"/>
          <w:szCs w:val="18"/>
          <w:lang w:val="pl-PL"/>
        </w:rPr>
        <w:t>podatke</w:t>
      </w:r>
      <w:r w:rsidRPr="0048184E">
        <w:rPr>
          <w:i/>
          <w:sz w:val="18"/>
          <w:szCs w:val="18"/>
          <w:lang w:val="sr-Latn-ME"/>
        </w:rPr>
        <w:t xml:space="preserve"> </w:t>
      </w:r>
      <w:r w:rsidRPr="0048184E">
        <w:rPr>
          <w:i/>
          <w:sz w:val="18"/>
          <w:szCs w:val="18"/>
          <w:lang w:val="pl-PL"/>
        </w:rPr>
        <w:t>i</w:t>
      </w:r>
      <w:r w:rsidRPr="0048184E">
        <w:rPr>
          <w:i/>
          <w:sz w:val="18"/>
          <w:szCs w:val="18"/>
          <w:lang w:val="sr-Latn-ME"/>
        </w:rPr>
        <w:t xml:space="preserve"> </w:t>
      </w:r>
      <w:r w:rsidRPr="0048184E">
        <w:rPr>
          <w:i/>
          <w:sz w:val="18"/>
          <w:szCs w:val="18"/>
          <w:lang w:val="pl-PL"/>
        </w:rPr>
        <w:t>mi</w:t>
      </w:r>
      <w:r w:rsidRPr="0048184E">
        <w:rPr>
          <w:i/>
          <w:sz w:val="18"/>
          <w:szCs w:val="18"/>
          <w:lang w:val="sr-Latn-ME"/>
        </w:rPr>
        <w:t>š</w:t>
      </w:r>
      <w:r w:rsidRPr="0048184E">
        <w:rPr>
          <w:i/>
          <w:sz w:val="18"/>
          <w:szCs w:val="18"/>
          <w:lang w:val="pl-PL"/>
        </w:rPr>
        <w:t>ljenja</w:t>
      </w:r>
      <w:r w:rsidRPr="0048184E">
        <w:rPr>
          <w:i/>
          <w:sz w:val="18"/>
          <w:szCs w:val="18"/>
          <w:lang w:val="sr-Latn-ME"/>
        </w:rPr>
        <w:t xml:space="preserve"> </w:t>
      </w:r>
      <w:r w:rsidRPr="0048184E">
        <w:rPr>
          <w:i/>
          <w:sz w:val="18"/>
          <w:szCs w:val="18"/>
          <w:lang w:val="pl-PL"/>
        </w:rPr>
        <w:t>crnogorskih</w:t>
      </w:r>
      <w:r w:rsidRPr="0048184E">
        <w:rPr>
          <w:i/>
          <w:sz w:val="18"/>
          <w:szCs w:val="18"/>
          <w:lang w:val="sr-Latn-ME"/>
        </w:rPr>
        <w:t xml:space="preserve"> </w:t>
      </w:r>
      <w:r w:rsidRPr="0048184E">
        <w:rPr>
          <w:i/>
          <w:sz w:val="18"/>
          <w:szCs w:val="18"/>
          <w:lang w:val="pl-PL"/>
        </w:rPr>
        <w:t>op</w:t>
      </w:r>
      <w:r w:rsidRPr="0048184E">
        <w:rPr>
          <w:i/>
          <w:sz w:val="18"/>
          <w:szCs w:val="18"/>
          <w:lang w:val="sr-Latn-ME"/>
        </w:rPr>
        <w:t>š</w:t>
      </w:r>
      <w:r w:rsidRPr="0048184E">
        <w:rPr>
          <w:i/>
          <w:sz w:val="18"/>
          <w:szCs w:val="18"/>
          <w:lang w:val="pl-PL"/>
        </w:rPr>
        <w:t>tina</w:t>
      </w:r>
      <w:r w:rsidRPr="0048184E">
        <w:rPr>
          <w:i/>
          <w:sz w:val="18"/>
          <w:szCs w:val="18"/>
          <w:lang w:val="sr-Latn-ME"/>
        </w:rPr>
        <w:t xml:space="preserve"> </w:t>
      </w:r>
      <w:r w:rsidRPr="0048184E">
        <w:rPr>
          <w:i/>
          <w:sz w:val="18"/>
          <w:szCs w:val="18"/>
          <w:lang w:val="pl-PL"/>
        </w:rPr>
        <w:t>o</w:t>
      </w:r>
      <w:r w:rsidRPr="0048184E">
        <w:rPr>
          <w:i/>
          <w:sz w:val="18"/>
          <w:szCs w:val="18"/>
          <w:lang w:val="sr-Latn-ME"/>
        </w:rPr>
        <w:t xml:space="preserve"> </w:t>
      </w:r>
      <w:r w:rsidRPr="0048184E">
        <w:rPr>
          <w:i/>
          <w:sz w:val="18"/>
          <w:szCs w:val="18"/>
          <w:lang w:val="pl-PL"/>
        </w:rPr>
        <w:t>ovoj</w:t>
      </w:r>
      <w:r w:rsidRPr="0048184E">
        <w:rPr>
          <w:i/>
          <w:sz w:val="18"/>
          <w:szCs w:val="18"/>
          <w:lang w:val="sr-Latn-ME"/>
        </w:rPr>
        <w:t xml:space="preserve"> </w:t>
      </w:r>
      <w:r w:rsidRPr="0048184E">
        <w:rPr>
          <w:i/>
          <w:sz w:val="18"/>
          <w:szCs w:val="18"/>
          <w:lang w:val="pl-PL"/>
        </w:rPr>
        <w:t>temi</w:t>
      </w:r>
      <w:r w:rsidRPr="0048184E">
        <w:rPr>
          <w:i/>
          <w:sz w:val="18"/>
          <w:szCs w:val="18"/>
          <w:lang w:val="sr-Latn-ME"/>
        </w:rPr>
        <w:t xml:space="preserve">. </w:t>
      </w:r>
      <w:r w:rsidRPr="0048184E">
        <w:rPr>
          <w:i/>
          <w:sz w:val="18"/>
          <w:szCs w:val="18"/>
          <w:lang w:val="pl-PL"/>
        </w:rPr>
        <w:t>A</w:t>
      </w:r>
      <w:r w:rsidR="0054581F">
        <w:rPr>
          <w:i/>
          <w:sz w:val="18"/>
          <w:szCs w:val="18"/>
          <w:lang w:val="pl-PL"/>
        </w:rPr>
        <w:t>naliza MJU</w:t>
      </w:r>
      <w:r w:rsidRPr="0048184E">
        <w:rPr>
          <w:i/>
          <w:sz w:val="18"/>
          <w:szCs w:val="18"/>
          <w:lang w:val="pl-PL"/>
        </w:rPr>
        <w:t xml:space="preserve"> je obuhvatila posebnu listu pitanja o međuopštinskoj saradnji, koja su upućena svim lokalnim samoupravama. Stopa odgovora na upitnik je bila 72%, odnosno odgovore 18 od 25 opština na specifična pitanja uključujući međuopštinsku saradnju. Među crnogorskim opštinama deset opština smatra postojeći pravni okvir za međuopštinsku saradnju zadovoljavajućim, šest ga smatra ograničenim, a dvije ga smatraju nezadovoljavajućim. Ovo se može tumačiti da opštine smatraju da ne postoje zakonska ograničenja za uspostavljanje saradnje, ali da je potrebno to unaprijediti na način da se detaljnije regulišu pitanja međuopštinske saradnje. U jednom od podnijetih predloga je, takođe, sugerisano da se zakonskim okvirom predvidi formiranje posebnog fonda na nacionalnom nivou, kojim bi se planirala sredstva za unaprijeđenje međuopštinske saradnje kroz studijske posjete, odnosno radionice za sticanje novih znanja i razmjene iskustva. Na osnovu analize, koja je tražila informacije iz poslednje tri godine (2020-2023), dvanaest opština je učestvovalo u projektima međuopštinske saradnje, dok četiri opštine nijesu učestvovale ni u jednoj međuopštinskoj saradnji. Što se tiče oblika MOS, dvanaest opština je odgovorilo da su potpisale ugovor o međuopštinskoj saradnji, dok je šest opština navelo da nije potpisalo ugovore o MOS. Većina opština definiše nadležnosti MOS u ugovoru kojim je osnovana. Dva odgovora su, pored toga, ukazivala da je ovo nejasno definisana oblast bez jasnih formalnih okvira</w:t>
      </w:r>
      <w:r w:rsidRPr="0048184E">
        <w:rPr>
          <w:rStyle w:val="FootnoteReference"/>
          <w:i/>
          <w:sz w:val="18"/>
          <w:szCs w:val="18"/>
          <w:lang w:val="pl-PL"/>
        </w:rPr>
        <w:footnoteReference w:id="47"/>
      </w:r>
      <w:r w:rsidRPr="0048184E">
        <w:rPr>
          <w:i/>
          <w:sz w:val="18"/>
          <w:szCs w:val="18"/>
          <w:lang w:val="pl-PL"/>
        </w:rPr>
        <w:t>.</w:t>
      </w:r>
    </w:p>
    <w:p w14:paraId="02FA2C48" w14:textId="77777777" w:rsidR="00C647A8" w:rsidRPr="0048184E" w:rsidRDefault="00C647A8" w:rsidP="0048184E">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i/>
          <w:sz w:val="18"/>
          <w:szCs w:val="18"/>
          <w:lang w:val="pl-PL"/>
        </w:rPr>
      </w:pPr>
    </w:p>
    <w:p w14:paraId="52817E6D" w14:textId="77777777" w:rsidR="00A13DA5" w:rsidRPr="0048184E" w:rsidRDefault="00A13DA5" w:rsidP="0048184E">
      <w:pPr>
        <w:pStyle w:val="NoSpacing"/>
        <w:jc w:val="both"/>
        <w:rPr>
          <w:rFonts w:asciiTheme="minorHAnsi" w:hAnsiTheme="minorHAnsi" w:cstheme="minorHAnsi"/>
          <w:sz w:val="18"/>
          <w:szCs w:val="18"/>
          <w:lang w:val="sr-Latn-ME"/>
        </w:rPr>
      </w:pPr>
    </w:p>
    <w:p w14:paraId="4CDC0540"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 xml:space="preserve">Nedostaci u koordinaciji politike regionalnog razvoja koja je fragmentirana između više organa državne uprave i JLS, kao i nedostatak statističkih podataka </w:t>
      </w:r>
      <w:r w:rsidRPr="003A09C5">
        <w:rPr>
          <w:rFonts w:asciiTheme="minorHAnsi" w:hAnsiTheme="minorHAnsi" w:cstheme="minorHAnsi"/>
          <w:b/>
          <w:sz w:val="18"/>
          <w:szCs w:val="18"/>
          <w:lang w:val="sr-Latn-ME"/>
        </w:rPr>
        <w:t>na opštinskom i regionalnom nivou za praćenje implementacije strategije i politike regionalnog razvoja</w:t>
      </w:r>
      <w:r w:rsidRPr="0048184E">
        <w:rPr>
          <w:rFonts w:asciiTheme="minorHAnsi" w:hAnsiTheme="minorHAnsi" w:cstheme="minorHAnsi"/>
          <w:sz w:val="18"/>
          <w:szCs w:val="18"/>
          <w:lang w:val="sr-Latn-ME"/>
        </w:rPr>
        <w:t xml:space="preserve"> - </w:t>
      </w:r>
      <w:r w:rsidRPr="0048184E">
        <w:rPr>
          <w:rFonts w:asciiTheme="minorHAnsi" w:hAnsiTheme="minorHAnsi" w:cstheme="minorHAnsi"/>
          <w:bCs/>
          <w:sz w:val="18"/>
          <w:szCs w:val="18"/>
          <w:lang w:val="sr-Latn-ME"/>
        </w:rPr>
        <w:t xml:space="preserve">Za sprovođenje operativnih ciljeva SRR i mjera po regionima, potrebno je unaprijediti insitucionalni okvir kroz izmjene Zakona o regionalnom razvoju i njegovih podzakonskih akata, kao i veće funkcionalnosti rada Partnerskog savjeta za regionalni razvoj. Navedeno će značiti poboljšanje funkcije nadzora nad sprovođenjem strategije i politike regionalnog razvoja, unaprjeđenje koordinacije i moguće objedinjavanje nadležnosti vezanih za regionalni razvoj. </w:t>
      </w:r>
      <w:bookmarkStart w:id="45" w:name="_Hlk138611021"/>
      <w:r w:rsidRPr="0048184E">
        <w:rPr>
          <w:rFonts w:asciiTheme="minorHAnsi" w:hAnsiTheme="minorHAnsi" w:cstheme="minorHAnsi"/>
          <w:bCs/>
          <w:sz w:val="18"/>
          <w:szCs w:val="18"/>
          <w:lang w:val="en-GB"/>
        </w:rPr>
        <w:t>Naime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pojedina</w:t>
      </w:r>
      <w:r w:rsidRPr="0048184E">
        <w:rPr>
          <w:rFonts w:asciiTheme="minorHAnsi" w:hAnsiTheme="minorHAnsi" w:cstheme="minorHAnsi"/>
          <w:bCs/>
          <w:sz w:val="18"/>
          <w:szCs w:val="18"/>
          <w:lang w:val="sr-Latn-ME"/>
        </w:rPr>
        <w:t>č</w:t>
      </w:r>
      <w:r w:rsidRPr="0048184E">
        <w:rPr>
          <w:rFonts w:asciiTheme="minorHAnsi" w:hAnsiTheme="minorHAnsi" w:cstheme="minorHAnsi"/>
          <w:bCs/>
          <w:sz w:val="18"/>
          <w:szCs w:val="18"/>
          <w:lang w:val="en-GB"/>
        </w:rPr>
        <w:t>ni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resori</w:t>
      </w:r>
      <w:r w:rsidRPr="0048184E">
        <w:rPr>
          <w:rFonts w:asciiTheme="minorHAnsi" w:hAnsiTheme="minorHAnsi" w:cstheme="minorHAnsi"/>
          <w:sz w:val="18"/>
          <w:szCs w:val="18"/>
          <w:lang w:val="sr-Latn-ME"/>
        </w:rPr>
        <w:t xml:space="preserve"> su u velikom broju slučajeva fokusirani na svoje sektorske prioritete, često navodeći ravnomjerniji regionalni razvoj kao važan cilj u svom strateškom planiranju. Ipak, u praksi se proklamovani ciljevi koji se odnose na regionalni razvoj realizuju vrlo ograničeno. Takođe, administrativni kapaciteti </w:t>
      </w:r>
      <w:r w:rsidRPr="0048184E">
        <w:rPr>
          <w:rFonts w:asciiTheme="minorHAnsi" w:hAnsiTheme="minorHAnsi" w:cstheme="minorHAnsi"/>
          <w:sz w:val="18"/>
          <w:szCs w:val="18"/>
          <w:lang w:val="en-GB"/>
        </w:rPr>
        <w:t>za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pripremu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razvojnih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projekata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naro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ito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za</w:t>
      </w:r>
      <w:r w:rsidRPr="0048184E">
        <w:rPr>
          <w:rFonts w:asciiTheme="minorHAnsi" w:hAnsiTheme="minorHAnsi" w:cstheme="minorHAnsi"/>
          <w:sz w:val="18"/>
          <w:szCs w:val="18"/>
          <w:lang w:val="sr-Latn-ME"/>
        </w:rPr>
        <w:t xml:space="preserve"> č</w:t>
      </w:r>
      <w:r w:rsidRPr="0048184E">
        <w:rPr>
          <w:rFonts w:asciiTheme="minorHAnsi" w:hAnsiTheme="minorHAnsi" w:cstheme="minorHAnsi"/>
          <w:sz w:val="18"/>
          <w:szCs w:val="18"/>
          <w:lang w:val="en-GB"/>
        </w:rPr>
        <w:t>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finansiranje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aplicira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EU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fondova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nedovoljno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razvijeni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Dodatno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neophodno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en-GB"/>
        </w:rPr>
        <w:t>ati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transparetnost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prilikom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lastRenderedPageBreak/>
        <w:t>dono</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enja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novih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zakonskih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propisa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ili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izmjene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postoje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en-GB"/>
        </w:rPr>
        <w:t>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budu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lokalne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samouprave</w:t>
      </w:r>
      <w:r w:rsidRPr="0048184E">
        <w:rPr>
          <w:rFonts w:asciiTheme="minorHAnsi" w:hAnsiTheme="minorHAnsi" w:cstheme="minorHAnsi"/>
          <w:sz w:val="18"/>
          <w:szCs w:val="18"/>
          <w:lang w:val="sr-Latn-ME"/>
        </w:rPr>
        <w:t xml:space="preserve"> č</w:t>
      </w:r>
      <w:r w:rsidRPr="0048184E">
        <w:rPr>
          <w:rFonts w:asciiTheme="minorHAnsi" w:hAnsiTheme="minorHAnsi" w:cstheme="minorHAnsi"/>
          <w:sz w:val="18"/>
          <w:szCs w:val="18"/>
          <w:lang w:val="en-GB"/>
        </w:rPr>
        <w:t>esto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nijesu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uklju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proces</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dono</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enja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novih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propisa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koji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direktno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uti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njihova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postupanja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finansije</w:t>
      </w:r>
      <w:bookmarkEnd w:id="45"/>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pl-PL"/>
        </w:rPr>
        <w:t>Pored navedenog, u koordinaciji i monitoringu sprovođenja SRR, poseban izazov je nedostatak statističkih podataka na regionalnom nivou.</w:t>
      </w:r>
    </w:p>
    <w:bookmarkEnd w:id="41"/>
    <w:p w14:paraId="2FC23713" w14:textId="77777777" w:rsidR="00A13DA5" w:rsidRPr="0048184E" w:rsidRDefault="00A13DA5" w:rsidP="0048184E">
      <w:pPr>
        <w:pStyle w:val="NoSpacing"/>
        <w:jc w:val="both"/>
        <w:rPr>
          <w:rFonts w:asciiTheme="minorHAnsi" w:hAnsiTheme="minorHAnsi" w:cstheme="minorHAnsi"/>
          <w:b/>
          <w:sz w:val="18"/>
          <w:szCs w:val="18"/>
          <w:lang w:val="sr-Latn-ME"/>
        </w:rPr>
      </w:pPr>
    </w:p>
    <w:p w14:paraId="48C7B10A" w14:textId="77777777" w:rsidR="00A13DA5" w:rsidRDefault="00A13DA5" w:rsidP="0048184E">
      <w:pPr>
        <w:spacing w:after="0" w:line="240" w:lineRule="auto"/>
        <w:jc w:val="both"/>
        <w:rPr>
          <w:rFonts w:eastAsia="Times New Roman" w:cstheme="minorHAnsi"/>
          <w:b/>
          <w:bCs/>
          <w:sz w:val="18"/>
          <w:szCs w:val="18"/>
          <w:lang w:val="sr-Latn-ME"/>
        </w:rPr>
      </w:pPr>
      <w:r w:rsidRPr="0048184E">
        <w:rPr>
          <w:rFonts w:eastAsia="Times New Roman" w:cstheme="minorHAnsi"/>
          <w:bCs/>
          <w:sz w:val="18"/>
          <w:szCs w:val="18"/>
          <w:lang w:val="sr-Latn-ME"/>
        </w:rPr>
        <w:t xml:space="preserve">Analizom stanja u oblasti regionalnog razvoja koja je data u prethodnom poglavlju, utvrđeni su </w:t>
      </w:r>
      <w:r w:rsidRPr="0048184E">
        <w:rPr>
          <w:rFonts w:eastAsia="Times New Roman" w:cstheme="minorHAnsi"/>
          <w:b/>
          <w:bCs/>
          <w:sz w:val="18"/>
          <w:szCs w:val="18"/>
          <w:lang w:val="sr-Latn-ME"/>
        </w:rPr>
        <w:t xml:space="preserve">problemi, uzroci </w:t>
      </w:r>
      <w:r w:rsidRPr="0048184E">
        <w:rPr>
          <w:rFonts w:eastAsia="Times New Roman" w:cstheme="minorHAnsi"/>
          <w:bCs/>
          <w:sz w:val="18"/>
          <w:szCs w:val="18"/>
          <w:lang w:val="sr-Latn-ME"/>
        </w:rPr>
        <w:t xml:space="preserve">kao i </w:t>
      </w:r>
      <w:r w:rsidRPr="0048184E">
        <w:rPr>
          <w:rFonts w:eastAsia="Times New Roman" w:cstheme="minorHAnsi"/>
          <w:b/>
          <w:bCs/>
          <w:sz w:val="18"/>
          <w:szCs w:val="18"/>
          <w:lang w:val="sr-Latn-ME"/>
        </w:rPr>
        <w:t>posljedice</w:t>
      </w:r>
      <w:r w:rsidRPr="0048184E">
        <w:rPr>
          <w:rFonts w:eastAsia="Times New Roman" w:cstheme="minorHAnsi"/>
          <w:bCs/>
          <w:sz w:val="18"/>
          <w:szCs w:val="18"/>
          <w:lang w:val="sr-Latn-ME"/>
        </w:rPr>
        <w:t xml:space="preserve"> i shodno tome definisani </w:t>
      </w:r>
      <w:r w:rsidRPr="0048184E">
        <w:rPr>
          <w:rFonts w:eastAsia="Times New Roman" w:cstheme="minorHAnsi"/>
          <w:b/>
          <w:bCs/>
          <w:sz w:val="18"/>
          <w:szCs w:val="18"/>
          <w:lang w:val="sr-Latn-ME"/>
        </w:rPr>
        <w:t>izazovi</w:t>
      </w:r>
      <w:r w:rsidRPr="0048184E">
        <w:rPr>
          <w:rFonts w:eastAsia="Times New Roman" w:cstheme="minorHAnsi"/>
          <w:bCs/>
          <w:sz w:val="18"/>
          <w:szCs w:val="18"/>
          <w:lang w:val="sr-Latn-ME"/>
        </w:rPr>
        <w:t xml:space="preserve"> za regionalni razvoj u narednom periodu. Naime, na osnovu uzročno-posljedične povezanosti, u nastavku slijedi prikaz strukture SRR 2023-2027 u okviru koje je definisana vizija, </w:t>
      </w:r>
      <w:r w:rsidRPr="0048184E">
        <w:rPr>
          <w:rFonts w:eastAsia="Times New Roman" w:cstheme="minorHAnsi"/>
          <w:b/>
          <w:bCs/>
          <w:sz w:val="18"/>
          <w:szCs w:val="18"/>
          <w:lang w:val="sr-Latn-ME"/>
        </w:rPr>
        <w:t xml:space="preserve">ključni problem </w:t>
      </w:r>
      <w:r w:rsidRPr="0048184E">
        <w:rPr>
          <w:rFonts w:eastAsia="Times New Roman" w:cstheme="minorHAnsi"/>
          <w:bCs/>
          <w:sz w:val="18"/>
          <w:szCs w:val="18"/>
          <w:lang w:val="sr-Latn-ME"/>
        </w:rPr>
        <w:t>u oblasti regionalnog razvoja, odnosno</w:t>
      </w:r>
      <w:r w:rsidRPr="0048184E">
        <w:rPr>
          <w:rFonts w:eastAsia="Times New Roman" w:cstheme="minorHAnsi"/>
          <w:b/>
          <w:bCs/>
          <w:sz w:val="18"/>
          <w:szCs w:val="18"/>
          <w:lang w:val="sr-Latn-ME"/>
        </w:rPr>
        <w:t xml:space="preserve"> veliki razvojni jaz između Sjevera i ostala dva regiona u Crnoj Gori</w:t>
      </w:r>
      <w:r w:rsidRPr="0048184E">
        <w:rPr>
          <w:rFonts w:eastAsia="Times New Roman" w:cstheme="minorHAnsi"/>
          <w:sz w:val="18"/>
          <w:szCs w:val="18"/>
          <w:lang w:val="sr-Latn-ME"/>
        </w:rPr>
        <w:t>, oblasti djelovanja, i predstavlja osnov za dalju razradu strateških/operativnih ciljeva i pratećih aktivnosti.</w:t>
      </w:r>
      <w:r w:rsidRPr="0048184E">
        <w:rPr>
          <w:rFonts w:eastAsia="Times New Roman" w:cstheme="minorHAnsi"/>
          <w:b/>
          <w:bCs/>
          <w:sz w:val="18"/>
          <w:szCs w:val="18"/>
          <w:lang w:val="sr-Latn-ME"/>
        </w:rPr>
        <w:t xml:space="preserve"> </w:t>
      </w:r>
    </w:p>
    <w:p w14:paraId="6E87D93B" w14:textId="77777777" w:rsidR="00FF554E" w:rsidRPr="0048184E" w:rsidRDefault="00FF554E" w:rsidP="0048184E">
      <w:pPr>
        <w:spacing w:after="0" w:line="240" w:lineRule="auto"/>
        <w:jc w:val="both"/>
        <w:rPr>
          <w:rFonts w:eastAsia="Times New Roman" w:cstheme="minorHAnsi"/>
          <w:b/>
          <w:bCs/>
          <w:sz w:val="18"/>
          <w:szCs w:val="18"/>
          <w:lang w:val="sr-Latn-ME"/>
        </w:rPr>
      </w:pPr>
    </w:p>
    <w:p w14:paraId="6CA59D0C" w14:textId="77777777" w:rsidR="00A13DA5" w:rsidRPr="0048184E" w:rsidRDefault="00A13DA5" w:rsidP="0048184E">
      <w:pPr>
        <w:spacing w:after="0" w:line="240" w:lineRule="auto"/>
        <w:jc w:val="both"/>
        <w:rPr>
          <w:rFonts w:eastAsia="Times New Roman" w:cstheme="minorHAnsi"/>
          <w:b/>
          <w:bCs/>
          <w:sz w:val="18"/>
          <w:szCs w:val="18"/>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06"/>
        <w:gridCol w:w="3000"/>
      </w:tblGrid>
      <w:tr w:rsidR="0048184E" w:rsidRPr="0048184E" w14:paraId="12EA125F" w14:textId="77777777" w:rsidTr="00723D39">
        <w:trPr>
          <w:jc w:val="center"/>
        </w:trPr>
        <w:tc>
          <w:tcPr>
            <w:tcW w:w="3116" w:type="dxa"/>
            <w:shd w:val="clear" w:color="auto" w:fill="D9E2F3"/>
          </w:tcPr>
          <w:p w14:paraId="2886D5DD" w14:textId="77777777" w:rsidR="00A13DA5" w:rsidRPr="00FF554E" w:rsidRDefault="00A13DA5" w:rsidP="0048184E">
            <w:pPr>
              <w:pStyle w:val="NoSpacing"/>
              <w:jc w:val="center"/>
              <w:rPr>
                <w:rFonts w:asciiTheme="minorHAnsi" w:hAnsiTheme="minorHAnsi" w:cstheme="minorHAnsi"/>
                <w:b/>
                <w:sz w:val="16"/>
                <w:szCs w:val="16"/>
              </w:rPr>
            </w:pPr>
            <w:r w:rsidRPr="00FF554E">
              <w:rPr>
                <w:rFonts w:asciiTheme="minorHAnsi" w:hAnsiTheme="minorHAnsi" w:cstheme="minorHAnsi"/>
                <w:b/>
                <w:sz w:val="16"/>
                <w:szCs w:val="16"/>
              </w:rPr>
              <w:t>VIZIJA</w:t>
            </w:r>
          </w:p>
        </w:tc>
        <w:tc>
          <w:tcPr>
            <w:tcW w:w="6234" w:type="dxa"/>
            <w:gridSpan w:val="2"/>
            <w:shd w:val="clear" w:color="auto" w:fill="D9E2F3"/>
          </w:tcPr>
          <w:p w14:paraId="57C7468A"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Ravnomjerniji regionalni razvoj za život po mjeri čovjeka, zasnovan na konkurentnosti, inovativnosti, unaprjeđenju ljudskog kapitala, digitalizaciji, dekarbonizaciji i socijalnoj inkluziji.</w:t>
            </w:r>
          </w:p>
        </w:tc>
      </w:tr>
      <w:tr w:rsidR="00A13DA5" w:rsidRPr="00FB3BDC" w14:paraId="471F4E50" w14:textId="77777777" w:rsidTr="00723D39">
        <w:trPr>
          <w:jc w:val="center"/>
        </w:trPr>
        <w:tc>
          <w:tcPr>
            <w:tcW w:w="9350" w:type="dxa"/>
            <w:gridSpan w:val="3"/>
            <w:shd w:val="clear" w:color="auto" w:fill="auto"/>
          </w:tcPr>
          <w:p w14:paraId="38CF921D" w14:textId="77777777" w:rsidR="00A13DA5" w:rsidRPr="00FF554E" w:rsidRDefault="00A13DA5" w:rsidP="0048184E">
            <w:pPr>
              <w:pStyle w:val="NoSpacing"/>
              <w:jc w:val="center"/>
              <w:rPr>
                <w:rFonts w:asciiTheme="minorHAnsi" w:eastAsia="Times New Roman" w:hAnsiTheme="minorHAnsi" w:cstheme="minorHAnsi"/>
                <w:sz w:val="16"/>
                <w:szCs w:val="16"/>
                <w:lang w:val="hr-BA"/>
              </w:rPr>
            </w:pPr>
            <w:r w:rsidRPr="00FF554E">
              <w:rPr>
                <w:rFonts w:asciiTheme="minorHAnsi" w:eastAsia="Times New Roman" w:hAnsiTheme="minorHAnsi" w:cstheme="minorHAnsi"/>
                <w:sz w:val="16"/>
                <w:szCs w:val="16"/>
                <w:lang w:val="hr-BA"/>
              </w:rPr>
              <w:t>Povećanje kvaliteta života svih građana, kroz veću zapošljivost i dohodak per capita</w:t>
            </w:r>
          </w:p>
          <w:p w14:paraId="0E2546F1" w14:textId="77777777" w:rsidR="00A13DA5" w:rsidRPr="00FF554E" w:rsidRDefault="00A13DA5" w:rsidP="0048184E">
            <w:pPr>
              <w:pStyle w:val="NoSpacing"/>
              <w:jc w:val="center"/>
              <w:rPr>
                <w:rFonts w:asciiTheme="minorHAnsi" w:hAnsiTheme="minorHAnsi" w:cstheme="minorHAnsi"/>
                <w:iCs/>
                <w:sz w:val="16"/>
                <w:szCs w:val="16"/>
                <w:lang w:val="sr-Latn-ME"/>
              </w:rPr>
            </w:pPr>
            <w:r w:rsidRPr="00FF554E">
              <w:rPr>
                <w:rFonts w:asciiTheme="minorHAnsi" w:eastAsia="Times New Roman" w:hAnsiTheme="minorHAnsi" w:cstheme="minorHAnsi"/>
                <w:sz w:val="16"/>
                <w:szCs w:val="16"/>
                <w:lang w:val="hr-BA"/>
              </w:rPr>
              <w:t>i posljedično smanjenje rizika od siromaštva i migracija</w:t>
            </w:r>
          </w:p>
        </w:tc>
      </w:tr>
      <w:tr w:rsidR="00A13DA5" w:rsidRPr="0048184E" w14:paraId="483A9611" w14:textId="77777777" w:rsidTr="00723D39">
        <w:trPr>
          <w:jc w:val="center"/>
        </w:trPr>
        <w:tc>
          <w:tcPr>
            <w:tcW w:w="9350" w:type="dxa"/>
            <w:gridSpan w:val="3"/>
            <w:shd w:val="clear" w:color="auto" w:fill="D9E2F3"/>
          </w:tcPr>
          <w:p w14:paraId="170C26D6" w14:textId="77777777" w:rsidR="00A13DA5" w:rsidRPr="00FF554E" w:rsidRDefault="00A13DA5" w:rsidP="0048184E">
            <w:pPr>
              <w:pStyle w:val="NoSpacing"/>
              <w:jc w:val="center"/>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Ključni izazovi</w:t>
            </w:r>
          </w:p>
        </w:tc>
      </w:tr>
      <w:tr w:rsidR="0048184E" w:rsidRPr="00FB3BDC" w14:paraId="5EA70729" w14:textId="77777777" w:rsidTr="00723D39">
        <w:trPr>
          <w:jc w:val="center"/>
        </w:trPr>
        <w:tc>
          <w:tcPr>
            <w:tcW w:w="3116" w:type="dxa"/>
            <w:shd w:val="clear" w:color="auto" w:fill="auto"/>
          </w:tcPr>
          <w:p w14:paraId="0A9BD81B" w14:textId="77777777" w:rsidR="00A13DA5" w:rsidRPr="00FF554E" w:rsidRDefault="00A13DA5" w:rsidP="0048184E">
            <w:pPr>
              <w:pStyle w:val="NoSpacing"/>
              <w:rPr>
                <w:rFonts w:asciiTheme="minorHAnsi" w:hAnsiTheme="minorHAnsi" w:cstheme="minorHAnsi"/>
                <w:sz w:val="16"/>
                <w:szCs w:val="16"/>
              </w:rPr>
            </w:pPr>
            <w:r w:rsidRPr="00FF554E">
              <w:rPr>
                <w:rFonts w:asciiTheme="minorHAnsi" w:hAnsiTheme="minorHAnsi" w:cstheme="minorHAnsi"/>
                <w:iCs/>
                <w:sz w:val="16"/>
                <w:szCs w:val="16"/>
                <w:lang w:val="sr-Latn-ME"/>
              </w:rPr>
              <w:t>-Finansiranje JLS i nedovoljno razvijeni administrativni kapaciteti;</w:t>
            </w:r>
          </w:p>
          <w:p w14:paraId="17BE33B1"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iCs/>
                <w:sz w:val="16"/>
                <w:szCs w:val="16"/>
                <w:lang w:val="sr-Latn-ME"/>
              </w:rPr>
              <w:t>-Nedostaci u koordinaciji politike regionalnog razvoja koja je fragmentirana između više organa državne uprave i JLS, kao i nedostatak statističkih podataka</w:t>
            </w:r>
          </w:p>
        </w:tc>
        <w:tc>
          <w:tcPr>
            <w:tcW w:w="3117" w:type="dxa"/>
            <w:shd w:val="clear" w:color="auto" w:fill="auto"/>
          </w:tcPr>
          <w:p w14:paraId="76D1C365"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-Visoka (dugoročna) nezaposlenost i stopa rizika od siromaštva, posebno žena i mladih;</w:t>
            </w:r>
          </w:p>
          <w:p w14:paraId="6841FF70"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-Negativan prirodni priraštaj i migracije (unutrašnje i spoljne),</w:t>
            </w:r>
          </w:p>
          <w:p w14:paraId="46F14E5E" w14:textId="77777777" w:rsidR="00A13DA5" w:rsidRPr="00FF554E" w:rsidRDefault="00A13DA5" w:rsidP="0048184E">
            <w:pPr>
              <w:pStyle w:val="NoSpacing"/>
              <w:rPr>
                <w:rFonts w:asciiTheme="minorHAnsi" w:hAnsiTheme="minorHAnsi" w:cstheme="minorHAnsi"/>
                <w:b/>
                <w:iCs/>
                <w:sz w:val="16"/>
                <w:szCs w:val="16"/>
                <w:lang w:val="sr-Latn-ME"/>
              </w:rPr>
            </w:pPr>
          </w:p>
        </w:tc>
        <w:tc>
          <w:tcPr>
            <w:tcW w:w="3117" w:type="dxa"/>
            <w:shd w:val="clear" w:color="auto" w:fill="auto"/>
          </w:tcPr>
          <w:p w14:paraId="32584E75"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-Nedovoljna konkurentnost MMSP, nerazvijena infrastruktura i visok stepen neformalne ekonomije,</w:t>
            </w:r>
          </w:p>
          <w:p w14:paraId="00C69DF9" w14:textId="77777777" w:rsidR="00A13DA5" w:rsidRPr="00FF554E" w:rsidRDefault="00A13DA5" w:rsidP="0048184E">
            <w:pPr>
              <w:pStyle w:val="NoSpacing"/>
              <w:rPr>
                <w:rFonts w:asciiTheme="minorHAnsi" w:hAnsiTheme="minorHAnsi" w:cstheme="minorHAnsi"/>
                <w:b/>
                <w:iCs/>
                <w:sz w:val="16"/>
                <w:szCs w:val="16"/>
                <w:lang w:val="sr-Latn-ME"/>
              </w:rPr>
            </w:pPr>
          </w:p>
        </w:tc>
      </w:tr>
      <w:tr w:rsidR="0048184E" w:rsidRPr="00FB3BDC" w14:paraId="1A88F79F" w14:textId="77777777" w:rsidTr="00723D39">
        <w:trPr>
          <w:jc w:val="center"/>
        </w:trPr>
        <w:tc>
          <w:tcPr>
            <w:tcW w:w="3116" w:type="dxa"/>
            <w:shd w:val="clear" w:color="auto" w:fill="D9E2F3"/>
          </w:tcPr>
          <w:p w14:paraId="48CAA875"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SC 1 </w:t>
            </w:r>
          </w:p>
          <w:p w14:paraId="21AD5969"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Jačanje funkcionalnosti JLS kroz sistemsko upravljanje regionalnim razvojem</w:t>
            </w:r>
          </w:p>
        </w:tc>
        <w:tc>
          <w:tcPr>
            <w:tcW w:w="3117" w:type="dxa"/>
            <w:shd w:val="clear" w:color="auto" w:fill="D9E2F3"/>
          </w:tcPr>
          <w:p w14:paraId="124BE0DF"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SC 2 </w:t>
            </w:r>
          </w:p>
          <w:p w14:paraId="03FE88AF"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Ostvarenje održivog ekonomskog razvoja regiona kroz jačanje ljudskih potencijala i podsticanje zapošljavanja radi poboljšanja kvaliteta života</w:t>
            </w:r>
          </w:p>
        </w:tc>
        <w:tc>
          <w:tcPr>
            <w:tcW w:w="3117" w:type="dxa"/>
            <w:shd w:val="clear" w:color="auto" w:fill="D9E2F3"/>
          </w:tcPr>
          <w:p w14:paraId="56CE417E"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SC 3 </w:t>
            </w:r>
          </w:p>
          <w:p w14:paraId="41B3672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Povećanje konkurentnosti regiona zasnovano na unaprjeđenju infrastrukture, poboljšanju poslovnog ambijenta i razvoj prioritetnih sektora i sektora sa potencijalom rasta</w:t>
            </w:r>
          </w:p>
        </w:tc>
      </w:tr>
      <w:tr w:rsidR="0048184E" w:rsidRPr="00FB3BDC" w14:paraId="51A92155" w14:textId="77777777" w:rsidTr="00723D39">
        <w:trPr>
          <w:jc w:val="center"/>
        </w:trPr>
        <w:tc>
          <w:tcPr>
            <w:tcW w:w="3116" w:type="dxa"/>
            <w:shd w:val="clear" w:color="auto" w:fill="auto"/>
          </w:tcPr>
          <w:p w14:paraId="139047EF"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Ključni uzroci problema vezani za SC 1: </w:t>
            </w:r>
          </w:p>
          <w:p w14:paraId="21246601"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-Neophodnost da dostupna podrška i sredstva koja su na raspolaganju budu pravilnije raspoređena;</w:t>
            </w:r>
          </w:p>
          <w:p w14:paraId="0C6A077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-Potreba za preispitivanjem modela funkcionisanja postojećeg monotipskog načina organizacije rada JLS;</w:t>
            </w:r>
          </w:p>
          <w:p w14:paraId="5AACFE33"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-Prebacivanje nadležnosti i poslova sa centralnog na lokalni nivo kroz strateške akte suprotno zakonskim rješenjima bez adekvatne finansijske podrške;</w:t>
            </w:r>
          </w:p>
          <w:p w14:paraId="39A0DD8B"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-Decentralizacija poslova;</w:t>
            </w:r>
          </w:p>
          <w:p w14:paraId="6B5FF05D"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-Nedovoljno razvijena međuopštinska saradnja;</w:t>
            </w:r>
          </w:p>
          <w:p w14:paraId="5A951BF1"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-Potreba za unaprjeđenjem postojećeg institucionalnog okvira i koordinacije;</w:t>
            </w:r>
          </w:p>
          <w:p w14:paraId="255DC5A4"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-Definisani ciljevi koji se odnose na regionalni razvoj, u okviru drugih resora sprovode se u ograničenoj mjeri;</w:t>
            </w:r>
          </w:p>
          <w:p w14:paraId="1973FD4C"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-Administrativni kapaciteti nedovoljno razvijeni;</w:t>
            </w:r>
          </w:p>
          <w:p w14:paraId="11C9027C"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-Nedovoljna transparentnost prilikom donošenja/izmjena zakonskih rješenja;</w:t>
            </w:r>
          </w:p>
          <w:p w14:paraId="6771198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-Nedostatak statističkih podataka na regionalnom nivou.</w:t>
            </w:r>
          </w:p>
        </w:tc>
        <w:tc>
          <w:tcPr>
            <w:tcW w:w="3117" w:type="dxa"/>
            <w:shd w:val="clear" w:color="auto" w:fill="auto"/>
          </w:tcPr>
          <w:p w14:paraId="78ED18A5" w14:textId="77777777" w:rsidR="00A13DA5" w:rsidRPr="00FF554E" w:rsidRDefault="00A13DA5" w:rsidP="0048184E">
            <w:pPr>
              <w:pStyle w:val="NoSpacing"/>
              <w:rPr>
                <w:rFonts w:asciiTheme="minorHAnsi" w:hAnsiTheme="minorHAnsi" w:cstheme="minorHAnsi"/>
                <w:b/>
                <w:sz w:val="16"/>
                <w:szCs w:val="16"/>
                <w:lang w:val="pl-PL"/>
              </w:rPr>
            </w:pPr>
            <w:r w:rsidRPr="00FF554E">
              <w:rPr>
                <w:rFonts w:asciiTheme="minorHAnsi" w:hAnsiTheme="minorHAnsi" w:cstheme="minorHAnsi"/>
                <w:b/>
                <w:iCs/>
                <w:sz w:val="16"/>
                <w:szCs w:val="16"/>
                <w:lang w:val="sr-Latn-ME"/>
              </w:rPr>
              <w:t>Ključni uzroci problema vezani za SC 2:</w:t>
            </w:r>
            <w:r w:rsidRPr="00FF554E">
              <w:rPr>
                <w:rFonts w:asciiTheme="minorHAnsi" w:hAnsiTheme="minorHAnsi" w:cstheme="minorHAnsi"/>
                <w:b/>
                <w:sz w:val="16"/>
                <w:szCs w:val="16"/>
                <w:lang w:val="pl-PL"/>
              </w:rPr>
              <w:t xml:space="preserve"> </w:t>
            </w:r>
          </w:p>
          <w:p w14:paraId="3AD77285"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iCs/>
                <w:sz w:val="16"/>
                <w:szCs w:val="16"/>
                <w:lang w:val="sr-Latn-ME"/>
              </w:rPr>
              <w:t>-Nedovoljan broj</w:t>
            </w:r>
            <w:r w:rsidRPr="00FF554E">
              <w:rPr>
                <w:rFonts w:asciiTheme="minorHAnsi" w:hAnsiTheme="minorHAnsi" w:cstheme="minorHAnsi"/>
                <w:sz w:val="16"/>
                <w:szCs w:val="16"/>
                <w:lang w:val="sr-Latn-ME"/>
              </w:rPr>
              <w:t xml:space="preserve"> programa aktivne politike zapošljavanja; </w:t>
            </w:r>
          </w:p>
          <w:p w14:paraId="76512677"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-Nedovoljna usklađenost obrazovne politike sa potrebama tržišta rada;</w:t>
            </w:r>
          </w:p>
          <w:p w14:paraId="223D8E61"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-Ishodi učenja nijesu na zadovoljavajućem nivou;</w:t>
            </w:r>
          </w:p>
          <w:p w14:paraId="2E8BEF7D"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-Unaprjeđenje dostupnosti obrazovanja u cilju smanjenja razlike u demografskim trendovima između različitih regiona/opština;</w:t>
            </w:r>
          </w:p>
          <w:p w14:paraId="496F567E"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-Neusklađenost potreba i raspoloživosti u pogledu obrazovne infrastrukture;</w:t>
            </w:r>
          </w:p>
          <w:p w14:paraId="4F55EF92"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-Dalje starenje stanovništva u najmanje razvijenim JLS i njihov sporiji razvoj;</w:t>
            </w:r>
          </w:p>
          <w:p w14:paraId="2ED49F0A"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-Povećanje troškova zdravstvene zaštite zbog starenja stanovništva;</w:t>
            </w:r>
          </w:p>
          <w:p w14:paraId="2DE604CC"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-Neophodnost boljeg usmjeravanja mjera socijalne politike za smanjenje siromaštva sa fokusom na regionalnu dimenziju;</w:t>
            </w:r>
          </w:p>
          <w:p w14:paraId="6C52C87E"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-Negativni prirodni priraštaj;</w:t>
            </w:r>
          </w:p>
          <w:p w14:paraId="3EE2876E"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-Emigracije stanovništva u inostranstvo i unutrašnje migracije.</w:t>
            </w:r>
          </w:p>
        </w:tc>
        <w:tc>
          <w:tcPr>
            <w:tcW w:w="3117" w:type="dxa"/>
            <w:shd w:val="clear" w:color="auto" w:fill="auto"/>
          </w:tcPr>
          <w:p w14:paraId="137251F8" w14:textId="77777777" w:rsidR="00A13DA5" w:rsidRPr="00FF554E" w:rsidRDefault="00A13DA5" w:rsidP="0048184E">
            <w:pPr>
              <w:pStyle w:val="NoSpacing"/>
              <w:rPr>
                <w:rFonts w:asciiTheme="minorHAnsi" w:hAnsiTheme="minorHAnsi" w:cstheme="minorHAnsi"/>
                <w:b/>
                <w:sz w:val="16"/>
                <w:szCs w:val="16"/>
                <w:lang w:val="pl-PL"/>
              </w:rPr>
            </w:pPr>
            <w:r w:rsidRPr="00FF554E">
              <w:rPr>
                <w:rFonts w:asciiTheme="minorHAnsi" w:hAnsiTheme="minorHAnsi" w:cstheme="minorHAnsi"/>
                <w:b/>
                <w:iCs/>
                <w:sz w:val="16"/>
                <w:szCs w:val="16"/>
                <w:lang w:val="sr-Latn-ME"/>
              </w:rPr>
              <w:t>Ključni uzroci problema vezani za SC 3:</w:t>
            </w:r>
            <w:r w:rsidRPr="00FF554E">
              <w:rPr>
                <w:rFonts w:asciiTheme="minorHAnsi" w:hAnsiTheme="minorHAnsi" w:cstheme="minorHAnsi"/>
                <w:b/>
                <w:sz w:val="16"/>
                <w:szCs w:val="16"/>
                <w:lang w:val="pl-PL"/>
              </w:rPr>
              <w:t xml:space="preserve"> </w:t>
            </w:r>
          </w:p>
          <w:p w14:paraId="23BF43C1"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-Nedovoljno razvijena osnovna i poslovna infrastruktura;</w:t>
            </w:r>
          </w:p>
          <w:p w14:paraId="7B97007A"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-Nepredvidivo poslovno okruženje i složene administrativne procedure;</w:t>
            </w:r>
          </w:p>
          <w:p w14:paraId="6AFA3F74"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-Nedovoljan pristup finansiranju;</w:t>
            </w:r>
          </w:p>
          <w:p w14:paraId="1D613E27"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Postojanje brojnih parafiskalnih nameta.</w:t>
            </w:r>
          </w:p>
          <w:p w14:paraId="369A1F22" w14:textId="77777777" w:rsidR="00A13DA5" w:rsidRPr="00FF554E" w:rsidRDefault="00A13DA5" w:rsidP="0048184E">
            <w:pPr>
              <w:pStyle w:val="NoSpacing"/>
              <w:rPr>
                <w:rFonts w:asciiTheme="minorHAnsi" w:hAnsiTheme="minorHAnsi" w:cstheme="minorHAnsi"/>
                <w:iCs/>
                <w:sz w:val="16"/>
                <w:szCs w:val="16"/>
                <w:lang w:val="sr-Latn-ME"/>
              </w:rPr>
            </w:pPr>
          </w:p>
        </w:tc>
      </w:tr>
      <w:tr w:rsidR="0048184E" w:rsidRPr="00FB3BDC" w14:paraId="7F02F4C2" w14:textId="77777777" w:rsidTr="00723D39">
        <w:trPr>
          <w:jc w:val="center"/>
        </w:trPr>
        <w:tc>
          <w:tcPr>
            <w:tcW w:w="3116" w:type="dxa"/>
            <w:shd w:val="clear" w:color="auto" w:fill="D9E2F3"/>
          </w:tcPr>
          <w:p w14:paraId="6070ACBE"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Oblasti djelovanja:</w:t>
            </w:r>
          </w:p>
          <w:p w14:paraId="5D9FE052"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1.1: Jačanje funkcionalnosti JLS i fiskalnih pozicija manje razvijenih opština;</w:t>
            </w:r>
          </w:p>
          <w:p w14:paraId="596D87D3"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1.2: Unaprjeđenje mehanizma koordinacije u sprovođenju politike regionalnog razvoja</w:t>
            </w:r>
          </w:p>
        </w:tc>
        <w:tc>
          <w:tcPr>
            <w:tcW w:w="3117" w:type="dxa"/>
            <w:shd w:val="clear" w:color="auto" w:fill="D9E2F3"/>
          </w:tcPr>
          <w:p w14:paraId="5A0081EB"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Oblasti djelovanja:</w:t>
            </w:r>
          </w:p>
          <w:p w14:paraId="6084ED29"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 xml:space="preserve">OC 2.1: Unaprjeđenje ljudskog kapitala kroz poboljšanje kvaliteta obrazovanja, zdravstvene i socijalne zaštite; </w:t>
            </w:r>
          </w:p>
          <w:p w14:paraId="668B2119"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 xml:space="preserve">OC 2.2 : Povećanje stope zaposlenosti i smanjenje neformalne zaposlenosti; </w:t>
            </w:r>
          </w:p>
          <w:p w14:paraId="0281A8CF"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2.3 : Povećanje efikasnosti i učinkovitosti populacione politike</w:t>
            </w:r>
          </w:p>
        </w:tc>
        <w:tc>
          <w:tcPr>
            <w:tcW w:w="3117" w:type="dxa"/>
            <w:shd w:val="clear" w:color="auto" w:fill="D9E2F3"/>
          </w:tcPr>
          <w:p w14:paraId="4335AFD1"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Oblasti djelovanja:</w:t>
            </w:r>
          </w:p>
          <w:p w14:paraId="7DA6BB9E"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3.1. Povećanje regionalne konkurentnosti</w:t>
            </w:r>
          </w:p>
          <w:p w14:paraId="00789350"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3.2. Razvoj prioritetnih sektora sa potencijalom rasta sa fokusom na diverzifikaciju turističkog proizvoda, prerađivačku industriju i valorizaciju kulturne baštine</w:t>
            </w:r>
          </w:p>
          <w:p w14:paraId="2CB821BB"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Održivi rast</w:t>
            </w:r>
          </w:p>
          <w:p w14:paraId="2EF2C938"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3.3. Unaprjeđenje saobraćajne infrastrukture</w:t>
            </w:r>
          </w:p>
          <w:p w14:paraId="331E36DC"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 xml:space="preserve">OC 3.4. Unaprjeđenje uslova za proizvodnju visokokvalitetne hrane, </w:t>
            </w:r>
            <w:r w:rsidRPr="00FF554E">
              <w:rPr>
                <w:rFonts w:asciiTheme="minorHAnsi" w:hAnsiTheme="minorHAnsi" w:cstheme="minorHAnsi"/>
                <w:iCs/>
                <w:sz w:val="16"/>
                <w:szCs w:val="16"/>
                <w:lang w:val="sr-Latn-ME"/>
              </w:rPr>
              <w:lastRenderedPageBreak/>
              <w:t>organskog porijekla uz održiv dohodak poljoprivrednika</w:t>
            </w:r>
          </w:p>
          <w:p w14:paraId="292B590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3.5. Zaštita životne sredine, razvoj energetike, unaprjeđenje energetske efikasnosti, adaptacija i mitigacija efekata klimatskih promjena</w:t>
            </w:r>
          </w:p>
        </w:tc>
      </w:tr>
      <w:tr w:rsidR="0048184E" w:rsidRPr="00FB3BDC" w14:paraId="3C168360" w14:textId="77777777" w:rsidTr="00723D39">
        <w:trPr>
          <w:jc w:val="center"/>
        </w:trPr>
        <w:tc>
          <w:tcPr>
            <w:tcW w:w="3116" w:type="dxa"/>
            <w:shd w:val="clear" w:color="auto" w:fill="auto"/>
          </w:tcPr>
          <w:p w14:paraId="2F74BA2A"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lastRenderedPageBreak/>
              <w:t>Aktivnosti i rezultati mjereni indikatorima učinka.</w:t>
            </w:r>
          </w:p>
        </w:tc>
        <w:tc>
          <w:tcPr>
            <w:tcW w:w="3117" w:type="dxa"/>
            <w:shd w:val="clear" w:color="auto" w:fill="auto"/>
          </w:tcPr>
          <w:p w14:paraId="2C16ACE8"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Aktivnosti i rezultati mjereni indikatorima učinka.</w:t>
            </w:r>
          </w:p>
        </w:tc>
        <w:tc>
          <w:tcPr>
            <w:tcW w:w="3117" w:type="dxa"/>
            <w:shd w:val="clear" w:color="auto" w:fill="auto"/>
          </w:tcPr>
          <w:p w14:paraId="7CF41D57"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Aktivnosti i rezultati mjereni indikatorima učinka.</w:t>
            </w:r>
          </w:p>
        </w:tc>
      </w:tr>
    </w:tbl>
    <w:p w14:paraId="46BABB96" w14:textId="77777777" w:rsidR="00726BE7" w:rsidRDefault="00726BE7" w:rsidP="0048184E">
      <w:pPr>
        <w:pStyle w:val="Heading11"/>
        <w:spacing w:before="0"/>
        <w:rPr>
          <w:color w:val="4472C4" w:themeColor="accent5"/>
          <w:szCs w:val="32"/>
          <w:lang w:val="sr-Latn-ME"/>
        </w:rPr>
      </w:pPr>
      <w:bookmarkStart w:id="46" w:name="_Hlk127354083"/>
      <w:bookmarkStart w:id="47" w:name="_Toc205215845"/>
    </w:p>
    <w:p w14:paraId="04BB4ECD" w14:textId="77777777" w:rsidR="00A13DA5" w:rsidRPr="00726BE7" w:rsidRDefault="00B369D1" w:rsidP="0048184E">
      <w:pPr>
        <w:pStyle w:val="Heading11"/>
        <w:spacing w:before="0"/>
        <w:rPr>
          <w:color w:val="4472C4" w:themeColor="accent5"/>
          <w:szCs w:val="32"/>
          <w:lang w:val="sr-Latn-ME"/>
        </w:rPr>
      </w:pPr>
      <w:r w:rsidRPr="00726BE7">
        <w:rPr>
          <w:color w:val="4472C4" w:themeColor="accent5"/>
          <w:szCs w:val="32"/>
          <w:lang w:val="sr-Latn-ME"/>
        </w:rPr>
        <w:t xml:space="preserve">III </w:t>
      </w:r>
      <w:r w:rsidR="00A13DA5" w:rsidRPr="00726BE7">
        <w:rPr>
          <w:color w:val="4472C4" w:themeColor="accent5"/>
          <w:szCs w:val="32"/>
          <w:lang w:val="sr-Latn-ME"/>
        </w:rPr>
        <w:t>VIZIJA</w:t>
      </w:r>
      <w:bookmarkEnd w:id="46"/>
      <w:r w:rsidR="00A13DA5" w:rsidRPr="00726BE7">
        <w:rPr>
          <w:color w:val="4472C4" w:themeColor="accent5"/>
          <w:szCs w:val="32"/>
          <w:lang w:val="sr-Latn-ME"/>
        </w:rPr>
        <w:t>, STRATEŠKI I OPERATIVNI CILJEVI STRATEGIJE REGIONALNOG RAZVOJA CRNE GORE 2023-2027</w:t>
      </w:r>
      <w:bookmarkEnd w:id="47"/>
    </w:p>
    <w:p w14:paraId="20CAB1C4" w14:textId="77777777" w:rsidR="00A13DA5" w:rsidRPr="0048184E" w:rsidRDefault="00A13DA5" w:rsidP="0048184E">
      <w:pPr>
        <w:pStyle w:val="NoSpacing"/>
        <w:jc w:val="both"/>
        <w:rPr>
          <w:rFonts w:asciiTheme="minorHAnsi" w:hAnsiTheme="minorHAnsi" w:cstheme="minorHAnsi"/>
          <w:b/>
          <w:sz w:val="18"/>
          <w:szCs w:val="18"/>
          <w:lang w:val="sr-Latn-ME"/>
        </w:rPr>
      </w:pPr>
    </w:p>
    <w:p w14:paraId="1B1274E3" w14:textId="77777777" w:rsidR="00A13DA5" w:rsidRPr="0048184E" w:rsidRDefault="00A13DA5" w:rsidP="0048184E">
      <w:pPr>
        <w:spacing w:after="0" w:line="240" w:lineRule="auto"/>
        <w:jc w:val="both"/>
        <w:rPr>
          <w:rFonts w:eastAsia="Times New Roman" w:cstheme="minorHAnsi"/>
          <w:sz w:val="18"/>
          <w:szCs w:val="18"/>
          <w:lang w:val="hr-BA"/>
        </w:rPr>
      </w:pPr>
      <w:r w:rsidRPr="0048184E">
        <w:rPr>
          <w:rFonts w:eastAsia="Times New Roman" w:cstheme="minorHAnsi"/>
          <w:sz w:val="18"/>
          <w:szCs w:val="18"/>
          <w:lang w:val="sr-Latn-ME"/>
        </w:rPr>
        <w:t xml:space="preserve">Vizija regionalnog razvoja Crne Gore definisana SRR 2023-2027 je </w:t>
      </w:r>
      <w:r w:rsidRPr="0048184E">
        <w:rPr>
          <w:rFonts w:eastAsia="Times New Roman" w:cstheme="minorHAnsi"/>
          <w:b/>
          <w:sz w:val="18"/>
          <w:szCs w:val="18"/>
          <w:lang w:val="sr-Latn-ME"/>
        </w:rPr>
        <w:t xml:space="preserve">ravnomjerniji regionalni razvoj za život po mjeri čovjeka, zasnovan na konkurentnosti, inovativnosti, unaprjeđenju ljudskog kapitala, digitalizaciji, dekarbonizaciji i socijalnoj inkluziji. </w:t>
      </w:r>
      <w:r w:rsidRPr="0048184E">
        <w:rPr>
          <w:rFonts w:eastAsia="Times New Roman" w:cstheme="minorHAnsi"/>
          <w:sz w:val="18"/>
          <w:szCs w:val="18"/>
          <w:lang w:val="sr-Latn-ME"/>
        </w:rPr>
        <w:t xml:space="preserve">Navedeno </w:t>
      </w:r>
      <w:r w:rsidRPr="0048184E">
        <w:rPr>
          <w:rFonts w:eastAsia="Times New Roman" w:cstheme="minorHAnsi"/>
          <w:sz w:val="18"/>
          <w:szCs w:val="18"/>
          <w:lang w:val="hr-BA"/>
        </w:rPr>
        <w:t xml:space="preserve">istovremeno podrazumijeva povećanje kvaliteta života svih građana/ki, kroz veću zapošljivost i dohodak per capita i posljedično smanjenje rizika od siromaštva i migracija. </w:t>
      </w:r>
    </w:p>
    <w:p w14:paraId="2E1AE349" w14:textId="77777777" w:rsidR="00A13DA5" w:rsidRPr="0048184E" w:rsidRDefault="007333FC" w:rsidP="0048184E">
      <w:pPr>
        <w:spacing w:after="0" w:line="240" w:lineRule="auto"/>
        <w:jc w:val="both"/>
        <w:rPr>
          <w:rFonts w:eastAsia="Times New Roman" w:cstheme="minorHAnsi"/>
          <w:sz w:val="18"/>
          <w:szCs w:val="18"/>
          <w:lang w:val="sr-Latn-ME"/>
        </w:rPr>
      </w:pPr>
      <w:r>
        <w:rPr>
          <w:rFonts w:eastAsia="Times New Roman" w:cstheme="minorHAnsi"/>
          <w:sz w:val="18"/>
          <w:szCs w:val="18"/>
          <w:lang w:val="hr-BA"/>
        </w:rPr>
        <w:t>U</w:t>
      </w:r>
      <w:r w:rsidR="00A13DA5" w:rsidRPr="0048184E">
        <w:rPr>
          <w:rFonts w:eastAsia="Times New Roman" w:cstheme="minorHAnsi"/>
          <w:sz w:val="18"/>
          <w:szCs w:val="18"/>
          <w:lang w:val="sr-Latn-ME"/>
        </w:rPr>
        <w:t xml:space="preserve"> okviru SRR 2023-2027 definisana su </w:t>
      </w:r>
      <w:r w:rsidR="00A13DA5" w:rsidRPr="0048184E">
        <w:rPr>
          <w:rFonts w:eastAsia="Times New Roman" w:cstheme="minorHAnsi"/>
          <w:b/>
          <w:sz w:val="18"/>
          <w:szCs w:val="18"/>
          <w:lang w:val="sr-Latn-ME"/>
        </w:rPr>
        <w:t>3 strateška cilja na nivou regiona</w:t>
      </w:r>
      <w:r w:rsidR="00A13DA5" w:rsidRPr="0048184E">
        <w:rPr>
          <w:rFonts w:eastAsia="Times New Roman" w:cstheme="minorHAnsi"/>
          <w:sz w:val="18"/>
          <w:szCs w:val="18"/>
          <w:lang w:val="sr-Latn-ME"/>
        </w:rPr>
        <w:t>, koji su jasno postavljeni i sveobuhvatni i koji se nadovezuju na viziju regionalnog razvoja zemlje, kao i na ciljeve iz prethodne SRR</w:t>
      </w:r>
      <w:r>
        <w:rPr>
          <w:rStyle w:val="FootnoteReference"/>
          <w:rFonts w:eastAsia="Times New Roman" w:cstheme="minorHAnsi"/>
          <w:sz w:val="18"/>
          <w:szCs w:val="18"/>
          <w:lang w:val="sr-Latn-ME"/>
        </w:rPr>
        <w:footnoteReference w:id="48"/>
      </w:r>
      <w:r w:rsidR="00A13DA5" w:rsidRPr="0048184E">
        <w:rPr>
          <w:rFonts w:eastAsia="Times New Roman" w:cstheme="minorHAnsi"/>
          <w:sz w:val="18"/>
          <w:szCs w:val="18"/>
          <w:lang w:val="sr-Latn-ME"/>
        </w:rPr>
        <w:t>.</w:t>
      </w:r>
    </w:p>
    <w:p w14:paraId="588E318C" w14:textId="77777777" w:rsidR="00A13DA5" w:rsidRPr="0048184E" w:rsidRDefault="00A13DA5" w:rsidP="0048184E">
      <w:pPr>
        <w:pStyle w:val="NoSpacing"/>
        <w:jc w:val="both"/>
        <w:rPr>
          <w:rFonts w:asciiTheme="minorHAnsi" w:hAnsiTheme="minorHAnsi" w:cstheme="minorHAnsi"/>
          <w:b/>
          <w:sz w:val="18"/>
          <w:szCs w:val="18"/>
          <w:lang w:val="sr-Latn-ME"/>
        </w:rPr>
      </w:pPr>
    </w:p>
    <w:p w14:paraId="620FB361"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17</w:t>
      </w:r>
      <w:r w:rsidR="00A13DA5" w:rsidRPr="00EC14B9">
        <w:rPr>
          <w:rFonts w:asciiTheme="minorHAnsi" w:hAnsiTheme="minorHAnsi" w:cstheme="minorHAnsi"/>
          <w:b/>
          <w:color w:val="4472C4" w:themeColor="accent5"/>
          <w:sz w:val="18"/>
          <w:szCs w:val="18"/>
          <w:lang w:val="sr-Latn-ME"/>
        </w:rPr>
        <w:t>. Vizija i strateški ciljevi regionalnog razvoja 2023-2027</w:t>
      </w:r>
    </w:p>
    <w:p w14:paraId="0F61832E" w14:textId="77777777" w:rsidR="00A13DA5" w:rsidRPr="0048184E" w:rsidRDefault="00A13DA5" w:rsidP="0048184E">
      <w:pPr>
        <w:pStyle w:val="NoSpacing"/>
        <w:jc w:val="center"/>
        <w:rPr>
          <w:rFonts w:asciiTheme="minorHAnsi" w:hAnsiTheme="minorHAnsi" w:cs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998"/>
        <w:gridCol w:w="3009"/>
      </w:tblGrid>
      <w:tr w:rsidR="00A13DA5" w:rsidRPr="002A2822" w14:paraId="2BB22BF3" w14:textId="77777777" w:rsidTr="00723D39">
        <w:tc>
          <w:tcPr>
            <w:tcW w:w="9576" w:type="dxa"/>
            <w:gridSpan w:val="3"/>
            <w:shd w:val="clear" w:color="auto" w:fill="D9E2F3"/>
          </w:tcPr>
          <w:p w14:paraId="2AF2479D"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VIZIJA STRATEGIJE REGIONALNOG RAZVOJA CRNE GORE 2023-2027</w:t>
            </w:r>
          </w:p>
        </w:tc>
      </w:tr>
      <w:tr w:rsidR="00A13DA5" w:rsidRPr="002A2822" w14:paraId="3983C9A4" w14:textId="77777777" w:rsidTr="00723D39">
        <w:tc>
          <w:tcPr>
            <w:tcW w:w="9576" w:type="dxa"/>
            <w:gridSpan w:val="3"/>
            <w:shd w:val="clear" w:color="auto" w:fill="auto"/>
          </w:tcPr>
          <w:p w14:paraId="6D4CE1EA"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Ravnomjerniji regionalni razvoj u Crnoj Gori za bolji život po mjeri čovjeka, zasnovan na konkurentnosti, inovativnosti, unaprjeđenju ljudskog kapitala, digitalizaciji, dekarbonizaciji i socijalnoj inkluziji</w:t>
            </w:r>
          </w:p>
        </w:tc>
      </w:tr>
      <w:tr w:rsidR="0048184E" w:rsidRPr="0048184E" w14:paraId="00ECB1C2" w14:textId="77777777" w:rsidTr="00723D39">
        <w:tc>
          <w:tcPr>
            <w:tcW w:w="3192" w:type="dxa"/>
            <w:shd w:val="clear" w:color="auto" w:fill="D9E2F3"/>
          </w:tcPr>
          <w:p w14:paraId="0FDB6755"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STRATEŠKI CILJ 1</w:t>
            </w:r>
          </w:p>
        </w:tc>
        <w:tc>
          <w:tcPr>
            <w:tcW w:w="3192" w:type="dxa"/>
            <w:shd w:val="clear" w:color="auto" w:fill="D9E2F3"/>
          </w:tcPr>
          <w:p w14:paraId="6F17D7AE"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STRATEŠKI CILJ 2</w:t>
            </w:r>
          </w:p>
        </w:tc>
        <w:tc>
          <w:tcPr>
            <w:tcW w:w="3192" w:type="dxa"/>
            <w:shd w:val="clear" w:color="auto" w:fill="D9E2F3"/>
          </w:tcPr>
          <w:p w14:paraId="00BA2A12"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STRATEŠKI CILJ 3</w:t>
            </w:r>
          </w:p>
        </w:tc>
      </w:tr>
      <w:tr w:rsidR="0048184E" w:rsidRPr="002A2822" w14:paraId="751679E3" w14:textId="77777777" w:rsidTr="00723D39">
        <w:tc>
          <w:tcPr>
            <w:tcW w:w="3192" w:type="dxa"/>
            <w:shd w:val="clear" w:color="auto" w:fill="auto"/>
          </w:tcPr>
          <w:p w14:paraId="136C2251"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Jačanje funkcionalnosti JLS kroz sistemsko upravljanje regionalnim razvojem</w:t>
            </w:r>
          </w:p>
        </w:tc>
        <w:tc>
          <w:tcPr>
            <w:tcW w:w="3192" w:type="dxa"/>
            <w:shd w:val="clear" w:color="auto" w:fill="auto"/>
          </w:tcPr>
          <w:p w14:paraId="366D3D4D"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Ostvarenje održivog ekonomskog razvoja regiona kroz jačanje ljudskih potencijala i podsticanje zapošljavanja radi poboljšanja kvaliteta života</w:t>
            </w:r>
          </w:p>
        </w:tc>
        <w:tc>
          <w:tcPr>
            <w:tcW w:w="3192" w:type="dxa"/>
            <w:shd w:val="clear" w:color="auto" w:fill="auto"/>
          </w:tcPr>
          <w:p w14:paraId="17D58330"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Povećanje konkurentnosti regiona zasnovano na unaprjeđenju infrastrukture, poboljšanju poslovnog ambijenta i razvoj prioritetnih sektora i sektora sa potencijalom rasta</w:t>
            </w:r>
          </w:p>
        </w:tc>
      </w:tr>
    </w:tbl>
    <w:p w14:paraId="7A4EF52B" w14:textId="77777777" w:rsidR="00A13DA5" w:rsidRPr="0048184E" w:rsidRDefault="00A13DA5" w:rsidP="0048184E">
      <w:pPr>
        <w:pStyle w:val="NoSpacing"/>
        <w:jc w:val="both"/>
        <w:rPr>
          <w:rFonts w:asciiTheme="minorHAnsi" w:hAnsiTheme="minorHAnsi" w:cstheme="minorHAnsi"/>
          <w:b/>
          <w:sz w:val="18"/>
          <w:szCs w:val="18"/>
          <w:lang w:val="sr-Latn-ME"/>
        </w:rPr>
      </w:pPr>
    </w:p>
    <w:p w14:paraId="42206EA1" w14:textId="77777777" w:rsidR="00A13DA5" w:rsidRPr="0048184E" w:rsidRDefault="00A13DA5" w:rsidP="0048184E">
      <w:pPr>
        <w:pStyle w:val="NoSpacing"/>
        <w:jc w:val="both"/>
        <w:rPr>
          <w:rFonts w:asciiTheme="minorHAnsi" w:eastAsia="Times New Roman" w:hAnsiTheme="minorHAnsi" w:cstheme="minorHAnsi"/>
          <w:sz w:val="18"/>
          <w:szCs w:val="18"/>
          <w:lang w:val="sr-Latn-ME"/>
        </w:rPr>
      </w:pPr>
      <w:r w:rsidRPr="0048184E">
        <w:rPr>
          <w:rFonts w:asciiTheme="minorHAnsi" w:eastAsia="Times New Roman" w:hAnsiTheme="minorHAnsi" w:cstheme="minorHAnsi"/>
          <w:sz w:val="18"/>
          <w:szCs w:val="18"/>
          <w:lang w:val="sr-Latn-ME"/>
        </w:rPr>
        <w:t>Navedeni strateški ciljevi će se realizovati kroz 10 operativnih ciljeva, poštujući klasifikaciju aktivnosti po pravcima razvoja i prioritetnim oblastima iz prethodnog strateškog okvira, koji se takođe dijelom prilagođavaju konceptu razvoja regionalne politike u narednom periodu.</w:t>
      </w:r>
    </w:p>
    <w:p w14:paraId="7140E1A4" w14:textId="77777777" w:rsidR="00A13DA5" w:rsidRPr="0048184E" w:rsidRDefault="00A13DA5" w:rsidP="0048184E">
      <w:pPr>
        <w:pStyle w:val="NoSpacing"/>
        <w:jc w:val="both"/>
        <w:rPr>
          <w:rFonts w:asciiTheme="minorHAnsi" w:hAnsiTheme="minorHAnsi" w:cstheme="minorHAnsi"/>
          <w:b/>
          <w:sz w:val="18"/>
          <w:szCs w:val="18"/>
          <w:lang w:val="sr-Latn-ME"/>
        </w:rPr>
      </w:pPr>
    </w:p>
    <w:p w14:paraId="611D3189"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18</w:t>
      </w:r>
      <w:r w:rsidR="00A13DA5" w:rsidRPr="00EC14B9">
        <w:rPr>
          <w:rFonts w:asciiTheme="minorHAnsi" w:hAnsiTheme="minorHAnsi" w:cstheme="minorHAnsi"/>
          <w:b/>
          <w:color w:val="4472C4" w:themeColor="accent5"/>
          <w:sz w:val="18"/>
          <w:szCs w:val="18"/>
          <w:lang w:val="sr-Latn-ME"/>
        </w:rPr>
        <w:t>. Predlog prioritetnih oblasti po stubovima rasta za period 2023-2027</w:t>
      </w:r>
    </w:p>
    <w:p w14:paraId="38023068" w14:textId="77777777" w:rsidR="00A13DA5" w:rsidRPr="0048184E" w:rsidRDefault="00A13DA5" w:rsidP="0048184E">
      <w:pPr>
        <w:pStyle w:val="NoSpacing"/>
        <w:jc w:val="center"/>
        <w:rPr>
          <w:rFonts w:asciiTheme="minorHAnsi" w:hAnsiTheme="minorHAnsi" w:cs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991"/>
        <w:gridCol w:w="3031"/>
      </w:tblGrid>
      <w:tr w:rsidR="0048184E" w:rsidRPr="0048184E" w14:paraId="1B7150EA" w14:textId="77777777" w:rsidTr="00723D39">
        <w:tc>
          <w:tcPr>
            <w:tcW w:w="3192" w:type="dxa"/>
            <w:shd w:val="clear" w:color="auto" w:fill="D9E2F3"/>
          </w:tcPr>
          <w:p w14:paraId="4707E53D" w14:textId="77777777" w:rsidR="00A13DA5" w:rsidRPr="00024C65" w:rsidRDefault="00A13DA5" w:rsidP="0048184E">
            <w:pPr>
              <w:pStyle w:val="NoSpacing"/>
              <w:jc w:val="center"/>
              <w:rPr>
                <w:rFonts w:asciiTheme="minorHAnsi" w:hAnsiTheme="minorHAnsi" w:cstheme="minorHAnsi"/>
                <w:b/>
                <w:sz w:val="16"/>
                <w:szCs w:val="16"/>
              </w:rPr>
            </w:pPr>
            <w:r w:rsidRPr="00024C65">
              <w:rPr>
                <w:rFonts w:asciiTheme="minorHAnsi" w:hAnsiTheme="minorHAnsi" w:cstheme="minorHAnsi"/>
                <w:b/>
                <w:sz w:val="16"/>
                <w:szCs w:val="16"/>
              </w:rPr>
              <w:t>ODRŽIVI RAST</w:t>
            </w:r>
          </w:p>
        </w:tc>
        <w:tc>
          <w:tcPr>
            <w:tcW w:w="3192" w:type="dxa"/>
            <w:shd w:val="clear" w:color="auto" w:fill="D9E2F3"/>
          </w:tcPr>
          <w:p w14:paraId="14F23EBD" w14:textId="77777777" w:rsidR="00A13DA5" w:rsidRPr="00024C65" w:rsidRDefault="00A13DA5" w:rsidP="0048184E">
            <w:pPr>
              <w:pStyle w:val="NoSpacing"/>
              <w:jc w:val="center"/>
              <w:rPr>
                <w:rFonts w:asciiTheme="minorHAnsi" w:hAnsiTheme="minorHAnsi" w:cstheme="minorHAnsi"/>
                <w:b/>
                <w:sz w:val="16"/>
                <w:szCs w:val="16"/>
              </w:rPr>
            </w:pPr>
            <w:r w:rsidRPr="00024C65">
              <w:rPr>
                <w:rFonts w:asciiTheme="minorHAnsi" w:hAnsiTheme="minorHAnsi" w:cstheme="minorHAnsi"/>
                <w:b/>
                <w:sz w:val="16"/>
                <w:szCs w:val="16"/>
              </w:rPr>
              <w:t>PAMETNI RAST</w:t>
            </w:r>
          </w:p>
        </w:tc>
        <w:tc>
          <w:tcPr>
            <w:tcW w:w="3192" w:type="dxa"/>
            <w:shd w:val="clear" w:color="auto" w:fill="D9E2F3"/>
          </w:tcPr>
          <w:p w14:paraId="2C5D8984" w14:textId="77777777" w:rsidR="00A13DA5" w:rsidRPr="00024C65" w:rsidRDefault="00A13DA5" w:rsidP="0048184E">
            <w:pPr>
              <w:pStyle w:val="NoSpacing"/>
              <w:jc w:val="center"/>
              <w:rPr>
                <w:rFonts w:asciiTheme="minorHAnsi" w:hAnsiTheme="minorHAnsi" w:cstheme="minorHAnsi"/>
                <w:b/>
                <w:sz w:val="16"/>
                <w:szCs w:val="16"/>
              </w:rPr>
            </w:pPr>
            <w:r w:rsidRPr="00024C65">
              <w:rPr>
                <w:rFonts w:asciiTheme="minorHAnsi" w:hAnsiTheme="minorHAnsi" w:cstheme="minorHAnsi"/>
                <w:b/>
                <w:sz w:val="16"/>
                <w:szCs w:val="16"/>
              </w:rPr>
              <w:t>INKLUZIVNI RAST</w:t>
            </w:r>
          </w:p>
        </w:tc>
      </w:tr>
      <w:tr w:rsidR="0048184E" w:rsidRPr="002A2822" w14:paraId="49957B24" w14:textId="77777777" w:rsidTr="00723D39">
        <w:tc>
          <w:tcPr>
            <w:tcW w:w="3192" w:type="dxa"/>
            <w:shd w:val="clear" w:color="auto" w:fill="auto"/>
          </w:tcPr>
          <w:p w14:paraId="6539F12E"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Fizička infrastruktura;</w:t>
            </w:r>
          </w:p>
          <w:p w14:paraId="7AE6592F"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 xml:space="preserve">Poljoprivreda i ruralni razvoj; </w:t>
            </w:r>
          </w:p>
          <w:p w14:paraId="71F85A5B"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Zaštita životne sredine;</w:t>
            </w:r>
          </w:p>
          <w:p w14:paraId="5FAF3FAE"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Energetika i njen razvoj povećanjem učešća obnovljivih izvora energije, rastom energetske efikasnosti i smanjenjem emisija gasova sa efektom staklene bašte (GHG)</w:t>
            </w:r>
          </w:p>
        </w:tc>
        <w:tc>
          <w:tcPr>
            <w:tcW w:w="3192" w:type="dxa"/>
            <w:shd w:val="clear" w:color="auto" w:fill="FFFFFF"/>
          </w:tcPr>
          <w:p w14:paraId="612AE255"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Fiskalna održivost lokalnih samouprava;</w:t>
            </w:r>
          </w:p>
          <w:p w14:paraId="4539B4D7"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Valorizacija kulturne baštine;</w:t>
            </w:r>
          </w:p>
          <w:p w14:paraId="51DB6D67"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Digitalna transformacija;</w:t>
            </w:r>
          </w:p>
          <w:p w14:paraId="6A00E554"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Inovacije;</w:t>
            </w:r>
          </w:p>
          <w:p w14:paraId="3F6AAA59"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Prerađivačka industrija (Sjeverni i Središnji region);</w:t>
            </w:r>
          </w:p>
          <w:p w14:paraId="7A15E235"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Litoralna industrija - od kopna prema moru (Primorski region)</w:t>
            </w:r>
          </w:p>
        </w:tc>
        <w:tc>
          <w:tcPr>
            <w:tcW w:w="3192" w:type="dxa"/>
            <w:shd w:val="clear" w:color="auto" w:fill="auto"/>
          </w:tcPr>
          <w:p w14:paraId="34940F34" w14:textId="77777777" w:rsidR="00A13DA5" w:rsidRPr="00024C65" w:rsidRDefault="00A13DA5" w:rsidP="0048184E">
            <w:pPr>
              <w:pStyle w:val="NoSpacing"/>
              <w:numPr>
                <w:ilvl w:val="0"/>
                <w:numId w:val="12"/>
              </w:numPr>
              <w:ind w:left="424"/>
              <w:rPr>
                <w:rFonts w:asciiTheme="minorHAnsi" w:hAnsiTheme="minorHAnsi" w:cstheme="minorHAnsi"/>
                <w:sz w:val="16"/>
                <w:szCs w:val="16"/>
                <w:lang w:val="sr-Latn-ME"/>
              </w:rPr>
            </w:pPr>
            <w:r w:rsidRPr="00024C65">
              <w:rPr>
                <w:rFonts w:asciiTheme="minorHAnsi" w:hAnsiTheme="minorHAnsi" w:cstheme="minorHAnsi"/>
                <w:sz w:val="16"/>
                <w:szCs w:val="16"/>
                <w:lang w:val="sr-Latn-ME"/>
              </w:rPr>
              <w:t>Pro-natalitetna populaciona politika; Crna Gora bliža građanima;</w:t>
            </w:r>
          </w:p>
          <w:p w14:paraId="2F1812C9" w14:textId="77777777" w:rsidR="00A13DA5" w:rsidRPr="00024C65" w:rsidRDefault="00A13DA5" w:rsidP="0048184E">
            <w:pPr>
              <w:pStyle w:val="NoSpacing"/>
              <w:numPr>
                <w:ilvl w:val="0"/>
                <w:numId w:val="12"/>
              </w:numPr>
              <w:ind w:left="424"/>
              <w:rPr>
                <w:rFonts w:asciiTheme="minorHAnsi" w:hAnsiTheme="minorHAnsi" w:cstheme="minorHAnsi"/>
                <w:sz w:val="16"/>
                <w:szCs w:val="16"/>
                <w:lang w:val="sr-Latn-ME"/>
              </w:rPr>
            </w:pPr>
            <w:r w:rsidRPr="00024C65">
              <w:rPr>
                <w:rFonts w:asciiTheme="minorHAnsi" w:hAnsiTheme="minorHAnsi" w:cstheme="minorHAnsi"/>
                <w:sz w:val="16"/>
                <w:szCs w:val="16"/>
                <w:lang w:val="sr-Latn-ME"/>
              </w:rPr>
              <w:t xml:space="preserve">Unaprijeđena koordinacija politikom regionalnog razvoja i komplementarnost strateških planova razvoja sa SRR </w:t>
            </w:r>
          </w:p>
        </w:tc>
      </w:tr>
    </w:tbl>
    <w:p w14:paraId="06A1F0EB" w14:textId="77777777" w:rsidR="00A13DA5" w:rsidRPr="0048184E" w:rsidRDefault="00A13DA5" w:rsidP="0048184E">
      <w:pPr>
        <w:pStyle w:val="NoSpacing"/>
        <w:jc w:val="center"/>
        <w:rPr>
          <w:rFonts w:asciiTheme="minorHAnsi" w:hAnsiTheme="minorHAnsi" w:cstheme="minorHAnsi"/>
          <w:b/>
          <w:sz w:val="18"/>
          <w:szCs w:val="18"/>
          <w:lang w:val="sr-Latn-ME"/>
        </w:rPr>
      </w:pPr>
    </w:p>
    <w:p w14:paraId="0DA41CE0"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eastAsia="Times New Roman" w:cstheme="minorHAnsi"/>
          <w:sz w:val="18"/>
          <w:szCs w:val="18"/>
          <w:lang w:val="sr-Latn-ME"/>
        </w:rPr>
        <w:t xml:space="preserve">Za svaki hijerarhijski nivo ciljeva, definisani su odgovarajući indikatori uspjeha sa početnim i ciljnim vrijednostima i deskripciju. Konkretnije, za strateške ciljeve se definišu indikatori uticaja (impact indicators), a za operativne ciljeve, indikator učinka (outcome indicators). Dodatno, za konkretne aktivnosti na sprovođenju SRR 2023-2027 definisani su indikatori rezultata (result indicators). </w:t>
      </w:r>
    </w:p>
    <w:p w14:paraId="6BF46502" w14:textId="77777777" w:rsidR="00A13DA5" w:rsidRPr="0048184E" w:rsidRDefault="00A13DA5" w:rsidP="0048184E">
      <w:pPr>
        <w:spacing w:after="0" w:line="240" w:lineRule="auto"/>
        <w:jc w:val="both"/>
        <w:rPr>
          <w:rFonts w:eastAsia="Times New Roman" w:cstheme="minorHAnsi"/>
          <w:sz w:val="18"/>
          <w:szCs w:val="18"/>
          <w:lang w:val="sr-Latn-ME"/>
        </w:rPr>
      </w:pPr>
    </w:p>
    <w:p w14:paraId="19D4014E" w14:textId="77777777" w:rsidR="00A13DA5" w:rsidRPr="0048184E" w:rsidRDefault="00A13DA5" w:rsidP="0048184E">
      <w:pPr>
        <w:pBdr>
          <w:top w:val="single" w:sz="6" w:space="1" w:color="auto"/>
          <w:left w:val="single" w:sz="6" w:space="4" w:color="auto"/>
          <w:bottom w:val="single" w:sz="6" w:space="1" w:color="auto"/>
          <w:right w:val="single" w:sz="6" w:space="4" w:color="auto"/>
        </w:pBdr>
        <w:spacing w:after="0" w:line="240" w:lineRule="auto"/>
        <w:jc w:val="both"/>
        <w:rPr>
          <w:rFonts w:eastAsia="Times New Roman" w:cstheme="minorHAnsi"/>
          <w:b/>
          <w:sz w:val="18"/>
          <w:szCs w:val="18"/>
          <w:lang w:val="sr-Latn-ME"/>
        </w:rPr>
      </w:pPr>
      <w:r w:rsidRPr="0048184E">
        <w:rPr>
          <w:rFonts w:eastAsia="Times New Roman" w:cstheme="minorHAnsi"/>
          <w:b/>
          <w:sz w:val="18"/>
          <w:szCs w:val="18"/>
          <w:lang w:val="sr-Latn-ME"/>
        </w:rPr>
        <w:t xml:space="preserve">Veliki broj aktivnosti u dostizanju operativnih ciljeva SRR 2023-2027 po regionima će, kao i u prethodnom strateškom okviru uključivati ulaganja u osnovnu infrastrukturu, prije svega izgradnju preostalih dionica auto-puta Bar-Boljare, dalja ulaganja u turističku i poslovnu infrastrukturu, nastavak unaprjeđenja poslovnog ambijenta za povećanje konkurentnosti, kroz razmatranje uvođenja dodatnih poreskih olakšica u manje razvijenim JLS, veće subvencije i izdvajanja iz Agrobudžeta, </w:t>
      </w:r>
      <w:r w:rsidRPr="0048184E">
        <w:rPr>
          <w:rFonts w:eastAsia="Times New Roman" w:cstheme="minorHAnsi"/>
          <w:b/>
          <w:sz w:val="18"/>
          <w:szCs w:val="18"/>
          <w:lang w:val="sr-Latn-ME"/>
        </w:rPr>
        <w:lastRenderedPageBreak/>
        <w:t xml:space="preserve">pravedniju preraspodjelu sredstava iz Egalizacionog fonda, da bi manje razvijene JLS dobile više sredstava za servisiranje svojih usluga građanima, pravedniju raspodjelu sredstava za socijalnu i dječju zaštitu, odnosno njihovo bolje targetiranje prema socijalno najugroženijim slojevima stanovništva manje razvijenih JLS. </w:t>
      </w:r>
    </w:p>
    <w:p w14:paraId="7542BF4F" w14:textId="77777777" w:rsidR="00A13DA5" w:rsidRPr="0048184E" w:rsidRDefault="00A13DA5" w:rsidP="0048184E">
      <w:pPr>
        <w:pStyle w:val="NoSpacing"/>
        <w:jc w:val="both"/>
        <w:rPr>
          <w:rFonts w:asciiTheme="minorHAnsi" w:hAnsiTheme="minorHAnsi" w:cstheme="minorHAnsi"/>
          <w:sz w:val="18"/>
          <w:szCs w:val="18"/>
          <w:lang w:val="sr-Latn-ME"/>
        </w:rPr>
      </w:pPr>
    </w:p>
    <w:p w14:paraId="1CB23FD3" w14:textId="77777777" w:rsidR="00CB42F8" w:rsidRDefault="00CB42F8" w:rsidP="0048184E">
      <w:pPr>
        <w:pStyle w:val="NoSpacing"/>
        <w:jc w:val="both"/>
        <w:rPr>
          <w:rFonts w:asciiTheme="minorHAnsi" w:hAnsiTheme="minorHAnsi" w:cstheme="minorHAnsi"/>
          <w:b/>
          <w:sz w:val="18"/>
          <w:szCs w:val="18"/>
          <w:lang w:val="hr-BA"/>
        </w:rPr>
      </w:pPr>
    </w:p>
    <w:p w14:paraId="7D473A85"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b/>
          <w:sz w:val="18"/>
          <w:szCs w:val="18"/>
          <w:lang w:val="hr-BA"/>
        </w:rPr>
        <w:t>Ključni indikatori</w:t>
      </w:r>
      <w:r w:rsidRPr="0048184E">
        <w:rPr>
          <w:rFonts w:asciiTheme="minorHAnsi" w:hAnsiTheme="minorHAnsi" w:cstheme="minorHAnsi"/>
          <w:sz w:val="18"/>
          <w:szCs w:val="18"/>
          <w:lang w:val="hr-BA"/>
        </w:rPr>
        <w:t xml:space="preserve"> kojima će se mjeriti dostizanje vizije SRR 2023-2027 navedeni su u nastavku:</w:t>
      </w:r>
    </w:p>
    <w:p w14:paraId="309CFB5A"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bookmarkStart w:id="48" w:name="_Hlk126056357"/>
      <w:r w:rsidRPr="0048184E">
        <w:rPr>
          <w:rFonts w:asciiTheme="minorHAnsi" w:hAnsiTheme="minorHAnsi" w:cstheme="minorHAnsi"/>
          <w:bCs/>
          <w:sz w:val="18"/>
          <w:szCs w:val="18"/>
          <w:lang w:val="hr-BA"/>
        </w:rPr>
        <w:t>stepen razvijenosti JLS i regiona na način da se smanji razvojni jaz između najviše i najmanje razvijenih JLS i regiona,</w:t>
      </w:r>
    </w:p>
    <w:p w14:paraId="11636911"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r w:rsidRPr="0048184E">
        <w:rPr>
          <w:rFonts w:asciiTheme="minorHAnsi" w:hAnsiTheme="minorHAnsi" w:cstheme="minorHAnsi"/>
          <w:bCs/>
          <w:sz w:val="18"/>
          <w:szCs w:val="18"/>
          <w:lang w:val="hr-BA"/>
        </w:rPr>
        <w:t>stopa rizika od siromaštva na niovu regiona,</w:t>
      </w:r>
    </w:p>
    <w:p w14:paraId="2DC25B96"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r w:rsidRPr="0048184E">
        <w:rPr>
          <w:rFonts w:asciiTheme="minorHAnsi" w:hAnsiTheme="minorHAnsi" w:cstheme="minorHAnsi"/>
          <w:bCs/>
          <w:sz w:val="18"/>
          <w:szCs w:val="18"/>
          <w:lang w:val="hr-BA"/>
        </w:rPr>
        <w:t>prirodni priraštaj na nivou Crne Gore i na regionalnom nivou,</w:t>
      </w:r>
    </w:p>
    <w:p w14:paraId="14405BFE"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r w:rsidRPr="0048184E">
        <w:rPr>
          <w:rFonts w:asciiTheme="minorHAnsi" w:hAnsiTheme="minorHAnsi" w:cstheme="minorHAnsi"/>
          <w:bCs/>
          <w:sz w:val="18"/>
          <w:szCs w:val="18"/>
          <w:lang w:val="hr-BA"/>
        </w:rPr>
        <w:t>saldo unutrašnjih migracija na nivou regiona,</w:t>
      </w:r>
    </w:p>
    <w:p w14:paraId="0415D23B" w14:textId="77777777" w:rsidR="00A13DA5" w:rsidRPr="0048184E" w:rsidRDefault="00A13DA5" w:rsidP="0048184E">
      <w:pPr>
        <w:pStyle w:val="NoSpacing"/>
        <w:numPr>
          <w:ilvl w:val="0"/>
          <w:numId w:val="7"/>
        </w:numPr>
        <w:jc w:val="both"/>
        <w:rPr>
          <w:rFonts w:asciiTheme="minorHAnsi" w:hAnsiTheme="minorHAnsi" w:cstheme="minorHAnsi"/>
          <w:b/>
          <w:bCs/>
          <w:sz w:val="18"/>
          <w:szCs w:val="18"/>
          <w:lang w:val="sr-Latn-ME"/>
        </w:rPr>
      </w:pPr>
      <w:r w:rsidRPr="0048184E">
        <w:rPr>
          <w:rFonts w:asciiTheme="minorHAnsi" w:hAnsiTheme="minorHAnsi" w:cstheme="minorHAnsi"/>
          <w:bCs/>
          <w:sz w:val="18"/>
          <w:szCs w:val="18"/>
          <w:lang w:val="hr-BA"/>
        </w:rPr>
        <w:t>indeks razvoja po mjeri čovjeka za svaki od tri regiona.</w:t>
      </w:r>
    </w:p>
    <w:p w14:paraId="542EC254" w14:textId="77777777" w:rsidR="00A13DA5" w:rsidRPr="0048184E" w:rsidRDefault="00A13DA5" w:rsidP="0048184E">
      <w:pPr>
        <w:pStyle w:val="NoSpacing"/>
        <w:jc w:val="both"/>
        <w:rPr>
          <w:rFonts w:asciiTheme="minorHAnsi" w:hAnsiTheme="minorHAnsi" w:cstheme="minorHAnsi"/>
          <w:b/>
          <w:bCs/>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05"/>
        <w:gridCol w:w="1881"/>
        <w:gridCol w:w="1604"/>
        <w:gridCol w:w="1485"/>
        <w:gridCol w:w="1456"/>
      </w:tblGrid>
      <w:tr w:rsidR="0048184E" w:rsidRPr="0048184E" w14:paraId="43CC06AA" w14:textId="77777777" w:rsidTr="00723D39">
        <w:tc>
          <w:tcPr>
            <w:tcW w:w="1336" w:type="dxa"/>
            <w:shd w:val="clear" w:color="auto" w:fill="D9E2F3"/>
          </w:tcPr>
          <w:p w14:paraId="20E1E064"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Uticaj</w:t>
            </w:r>
          </w:p>
        </w:tc>
        <w:tc>
          <w:tcPr>
            <w:tcW w:w="1373" w:type="dxa"/>
            <w:shd w:val="clear" w:color="auto" w:fill="D9E2F3"/>
          </w:tcPr>
          <w:p w14:paraId="146A27EF"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Indikator uticaja</w:t>
            </w:r>
          </w:p>
        </w:tc>
        <w:tc>
          <w:tcPr>
            <w:tcW w:w="2064" w:type="dxa"/>
            <w:shd w:val="clear" w:color="auto" w:fill="D9E2F3"/>
          </w:tcPr>
          <w:p w14:paraId="478AB9DD" w14:textId="77777777" w:rsidR="00A13DA5" w:rsidRPr="00024C65" w:rsidRDefault="00A13DA5" w:rsidP="0048184E">
            <w:pPr>
              <w:pStyle w:val="NoSpacing"/>
              <w:jc w:val="center"/>
              <w:rPr>
                <w:rFonts w:asciiTheme="minorHAnsi" w:hAnsiTheme="minorHAnsi" w:cstheme="minorHAnsi"/>
                <w:b/>
                <w:sz w:val="16"/>
                <w:szCs w:val="16"/>
                <w:lang w:val="hr-BA"/>
              </w:rPr>
            </w:pPr>
            <w:r w:rsidRPr="00024C65">
              <w:rPr>
                <w:rFonts w:asciiTheme="minorHAnsi" w:hAnsiTheme="minorHAnsi" w:cstheme="minorHAnsi"/>
                <w:b/>
                <w:sz w:val="16"/>
                <w:szCs w:val="16"/>
                <w:lang w:val="hr-BA"/>
              </w:rPr>
              <w:t>Izvor verifikacije</w:t>
            </w:r>
          </w:p>
        </w:tc>
        <w:tc>
          <w:tcPr>
            <w:tcW w:w="1708" w:type="dxa"/>
            <w:shd w:val="clear" w:color="auto" w:fill="D9E2F3"/>
          </w:tcPr>
          <w:p w14:paraId="30093C69"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Početna vrijednost 2022.</w:t>
            </w:r>
          </w:p>
        </w:tc>
        <w:tc>
          <w:tcPr>
            <w:tcW w:w="1565" w:type="dxa"/>
            <w:shd w:val="clear" w:color="auto" w:fill="D9E2F3"/>
          </w:tcPr>
          <w:p w14:paraId="6D5F5BE9"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Ciljna vrijednost 2025.</w:t>
            </w:r>
          </w:p>
        </w:tc>
        <w:tc>
          <w:tcPr>
            <w:tcW w:w="1530" w:type="dxa"/>
            <w:shd w:val="clear" w:color="auto" w:fill="D9E2F3"/>
          </w:tcPr>
          <w:p w14:paraId="7E55FCB1"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Ciljna vrijednost 2027.</w:t>
            </w:r>
          </w:p>
        </w:tc>
      </w:tr>
      <w:tr w:rsidR="0048184E" w:rsidRPr="0048184E" w14:paraId="463DF398" w14:textId="77777777" w:rsidTr="00723D39">
        <w:tc>
          <w:tcPr>
            <w:tcW w:w="1336" w:type="dxa"/>
          </w:tcPr>
          <w:p w14:paraId="0528850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Povećan stepen razvijenosti JLS </w:t>
            </w:r>
          </w:p>
        </w:tc>
        <w:tc>
          <w:tcPr>
            <w:tcW w:w="1373" w:type="dxa"/>
            <w:shd w:val="clear" w:color="auto" w:fill="auto"/>
          </w:tcPr>
          <w:p w14:paraId="7E84D64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Indeks razvijenosti JLS</w:t>
            </w:r>
          </w:p>
        </w:tc>
        <w:tc>
          <w:tcPr>
            <w:tcW w:w="2064" w:type="dxa"/>
            <w:shd w:val="clear" w:color="auto" w:fill="auto"/>
          </w:tcPr>
          <w:p w14:paraId="491E49F9" w14:textId="77777777" w:rsidR="00A13DA5" w:rsidRPr="00024C65" w:rsidRDefault="00D25A5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MER</w:t>
            </w:r>
          </w:p>
          <w:p w14:paraId="2A08B4FE" w14:textId="77777777" w:rsidR="00A13DA5" w:rsidRPr="00024C65" w:rsidRDefault="00A13DA5" w:rsidP="0048184E">
            <w:pPr>
              <w:pStyle w:val="NoSpacing"/>
              <w:rPr>
                <w:rFonts w:asciiTheme="minorHAnsi" w:hAnsiTheme="minorHAnsi" w:cstheme="minorHAnsi"/>
                <w:sz w:val="16"/>
                <w:szCs w:val="16"/>
                <w:lang w:val="hr-BA"/>
              </w:rPr>
            </w:pPr>
          </w:p>
        </w:tc>
        <w:tc>
          <w:tcPr>
            <w:tcW w:w="1708" w:type="dxa"/>
            <w:shd w:val="clear" w:color="auto" w:fill="auto"/>
          </w:tcPr>
          <w:p w14:paraId="2B143E74"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Za period 2019-2021.,</w:t>
            </w:r>
          </w:p>
          <w:p w14:paraId="42ACBB3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24 indikatora po JLS (CG=100)</w:t>
            </w:r>
          </w:p>
          <w:p w14:paraId="7797D77E"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sz w:val="16"/>
                <w:szCs w:val="16"/>
                <w:lang w:val="hr-BA"/>
              </w:rPr>
              <w:t xml:space="preserve">5 JLS </w:t>
            </w:r>
            <w:r w:rsidRPr="00024C65">
              <w:rPr>
                <w:rFonts w:asciiTheme="minorHAnsi" w:hAnsiTheme="minorHAnsi" w:cstheme="minorHAnsi"/>
                <w:sz w:val="16"/>
                <w:szCs w:val="16"/>
                <w:lang w:val="pl-PL"/>
              </w:rPr>
              <w:t>&gt; iznad prosjeka CG (100)</w:t>
            </w:r>
          </w:p>
          <w:p w14:paraId="1732EFCB"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sz w:val="16"/>
                <w:szCs w:val="16"/>
                <w:lang w:val="pl-PL"/>
              </w:rPr>
              <w:t>10 JLS: 75-100%</w:t>
            </w:r>
          </w:p>
          <w:p w14:paraId="1825EB55" w14:textId="77777777" w:rsidR="00A13DA5" w:rsidRPr="00024C65" w:rsidRDefault="00A13DA5" w:rsidP="0048184E">
            <w:pPr>
              <w:pStyle w:val="NoSpacing"/>
              <w:rPr>
                <w:rFonts w:asciiTheme="minorHAnsi" w:hAnsiTheme="minorHAnsi" w:cstheme="minorHAnsi"/>
                <w:sz w:val="16"/>
                <w:szCs w:val="16"/>
                <w:lang w:val="en-GB"/>
              </w:rPr>
            </w:pPr>
            <w:r w:rsidRPr="00024C65">
              <w:rPr>
                <w:rFonts w:asciiTheme="minorHAnsi" w:hAnsiTheme="minorHAnsi" w:cstheme="minorHAnsi"/>
                <w:sz w:val="16"/>
                <w:szCs w:val="16"/>
                <w:lang w:val="en-GB"/>
              </w:rPr>
              <w:t xml:space="preserve">5 JLS: 50-75% </w:t>
            </w:r>
          </w:p>
          <w:p w14:paraId="01C1D248" w14:textId="77777777" w:rsidR="00A13DA5" w:rsidRPr="00024C65" w:rsidRDefault="00A13DA5" w:rsidP="0048184E">
            <w:pPr>
              <w:pStyle w:val="NoSpacing"/>
              <w:rPr>
                <w:rFonts w:asciiTheme="minorHAnsi" w:hAnsiTheme="minorHAnsi" w:cstheme="minorHAnsi"/>
                <w:sz w:val="16"/>
                <w:szCs w:val="16"/>
                <w:lang w:val="en-GB"/>
              </w:rPr>
            </w:pPr>
            <w:r w:rsidRPr="00024C65">
              <w:rPr>
                <w:rFonts w:asciiTheme="minorHAnsi" w:hAnsiTheme="minorHAnsi" w:cstheme="minorHAnsi"/>
                <w:sz w:val="16"/>
                <w:szCs w:val="16"/>
                <w:lang w:val="en-GB"/>
              </w:rPr>
              <w:t>4 JLS: &lt; 50%</w:t>
            </w:r>
          </w:p>
        </w:tc>
        <w:tc>
          <w:tcPr>
            <w:tcW w:w="1565" w:type="dxa"/>
          </w:tcPr>
          <w:p w14:paraId="03ACC2B1"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Za period 2022-2024.,</w:t>
            </w:r>
          </w:p>
          <w:p w14:paraId="15B5AC10"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13 indikatora po JLS (CG=100)</w:t>
            </w:r>
          </w:p>
          <w:p w14:paraId="7596AF47"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6 JLS: 75-100%</w:t>
            </w:r>
          </w:p>
          <w:p w14:paraId="30CF20B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5 JLS: 50-75% </w:t>
            </w:r>
          </w:p>
          <w:p w14:paraId="15267CD3"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 JLS: &lt; 50%</w:t>
            </w:r>
          </w:p>
        </w:tc>
        <w:tc>
          <w:tcPr>
            <w:tcW w:w="1530" w:type="dxa"/>
            <w:shd w:val="clear" w:color="auto" w:fill="auto"/>
          </w:tcPr>
          <w:p w14:paraId="008F5F8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Za period 2025-2027.,</w:t>
            </w:r>
          </w:p>
          <w:p w14:paraId="1751873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13 indikatora po JLS (CG=100)</w:t>
            </w:r>
          </w:p>
          <w:p w14:paraId="2DBCADB6"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6 JLS: 75-100%</w:t>
            </w:r>
          </w:p>
          <w:p w14:paraId="3A60D99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6 JLS: 50-75% </w:t>
            </w:r>
          </w:p>
          <w:p w14:paraId="3088A6C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 JLS: &lt; 50%</w:t>
            </w:r>
          </w:p>
          <w:p w14:paraId="0573CAF6" w14:textId="77777777" w:rsidR="00A13DA5" w:rsidRPr="00024C65" w:rsidRDefault="00A13DA5" w:rsidP="0048184E">
            <w:pPr>
              <w:pStyle w:val="NoSpacing"/>
              <w:rPr>
                <w:rFonts w:asciiTheme="minorHAnsi" w:hAnsiTheme="minorHAnsi" w:cstheme="minorHAnsi"/>
                <w:sz w:val="16"/>
                <w:szCs w:val="16"/>
                <w:lang w:val="hr-BA"/>
              </w:rPr>
            </w:pPr>
          </w:p>
        </w:tc>
      </w:tr>
      <w:tr w:rsidR="0048184E" w:rsidRPr="002A2822" w14:paraId="01443B55" w14:textId="77777777" w:rsidTr="00723D39">
        <w:tc>
          <w:tcPr>
            <w:tcW w:w="1336" w:type="dxa"/>
          </w:tcPr>
          <w:p w14:paraId="51B6D8D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Smanjen razvojni jaz između JLS</w:t>
            </w:r>
          </w:p>
        </w:tc>
        <w:tc>
          <w:tcPr>
            <w:tcW w:w="1373" w:type="dxa"/>
            <w:shd w:val="clear" w:color="auto" w:fill="auto"/>
          </w:tcPr>
          <w:p w14:paraId="6EA9D35F"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Raspon u nivou razvijenosti (raspon Indeksa razvijenosti 1. i 25. JLS)</w:t>
            </w:r>
          </w:p>
        </w:tc>
        <w:tc>
          <w:tcPr>
            <w:tcW w:w="2064" w:type="dxa"/>
            <w:shd w:val="clear" w:color="auto" w:fill="auto"/>
          </w:tcPr>
          <w:p w14:paraId="041EDBDA" w14:textId="77777777" w:rsidR="00A13DA5" w:rsidRPr="00024C65" w:rsidRDefault="00D25A5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MER</w:t>
            </w:r>
          </w:p>
          <w:p w14:paraId="2EE4E2E2" w14:textId="77777777" w:rsidR="00A13DA5" w:rsidRPr="00024C65" w:rsidRDefault="00A13DA5" w:rsidP="0048184E">
            <w:pPr>
              <w:pStyle w:val="NoSpacing"/>
              <w:rPr>
                <w:rFonts w:asciiTheme="minorHAnsi" w:hAnsiTheme="minorHAnsi" w:cstheme="minorHAnsi"/>
                <w:sz w:val="16"/>
                <w:szCs w:val="16"/>
                <w:lang w:val="hr-BA"/>
              </w:rPr>
            </w:pPr>
          </w:p>
        </w:tc>
        <w:tc>
          <w:tcPr>
            <w:tcW w:w="1708" w:type="dxa"/>
            <w:shd w:val="clear" w:color="auto" w:fill="auto"/>
          </w:tcPr>
          <w:p w14:paraId="1DE0C3C8"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Razvojni jaz između najrazvijenije i najmanje razvijene JLS=5.6 za period 2019-2021.</w:t>
            </w:r>
          </w:p>
          <w:p w14:paraId="52C394AA"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157,08 (BD) : 28,13 (PT) = 5.6</w:t>
            </w:r>
          </w:p>
          <w:p w14:paraId="342B22C3" w14:textId="77777777" w:rsidR="00A13DA5" w:rsidRPr="00024C65" w:rsidRDefault="00A13DA5" w:rsidP="0048184E">
            <w:pPr>
              <w:pStyle w:val="NoSpacing"/>
              <w:rPr>
                <w:rFonts w:asciiTheme="minorHAnsi" w:hAnsiTheme="minorHAnsi" w:cstheme="minorHAnsi"/>
                <w:sz w:val="16"/>
                <w:szCs w:val="16"/>
                <w:lang w:val="hr-BA"/>
              </w:rPr>
            </w:pPr>
          </w:p>
        </w:tc>
        <w:tc>
          <w:tcPr>
            <w:tcW w:w="1565" w:type="dxa"/>
          </w:tcPr>
          <w:p w14:paraId="75E166FB"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Razvojni jaz između najrazvijenije i najmanje razvijene JLS=4.8 za period 2012-2024.</w:t>
            </w:r>
          </w:p>
          <w:p w14:paraId="6338AAB6"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145 (BD) : 30 (PT) = 4.8</w:t>
            </w:r>
          </w:p>
        </w:tc>
        <w:tc>
          <w:tcPr>
            <w:tcW w:w="1530" w:type="dxa"/>
            <w:shd w:val="clear" w:color="auto" w:fill="auto"/>
          </w:tcPr>
          <w:p w14:paraId="0FF9E7F4"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Razvojni jaz između najrazvijenije i najmanje razvijene JLS smanjen na 4.46 ili za 20%</w:t>
            </w:r>
          </w:p>
        </w:tc>
      </w:tr>
      <w:tr w:rsidR="0048184E" w:rsidRPr="0048184E" w14:paraId="6887B5C5" w14:textId="77777777" w:rsidTr="00723D39">
        <w:tc>
          <w:tcPr>
            <w:tcW w:w="1336" w:type="dxa"/>
          </w:tcPr>
          <w:p w14:paraId="31A4EE7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Smanjen stepen rizika od siromaštva</w:t>
            </w:r>
          </w:p>
        </w:tc>
        <w:tc>
          <w:tcPr>
            <w:tcW w:w="1373" w:type="dxa"/>
            <w:shd w:val="clear" w:color="auto" w:fill="auto"/>
          </w:tcPr>
          <w:p w14:paraId="1F5E1D9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Stopa rizika od siromaštva na nivou Crne Gore, %</w:t>
            </w:r>
          </w:p>
        </w:tc>
        <w:tc>
          <w:tcPr>
            <w:tcW w:w="2064" w:type="dxa"/>
            <w:shd w:val="clear" w:color="auto" w:fill="auto"/>
          </w:tcPr>
          <w:p w14:paraId="78A2B3B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Monstat,</w:t>
            </w:r>
          </w:p>
          <w:p w14:paraId="14D6357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Anketa o dohotku i uslovima života</w:t>
            </w:r>
            <w:r w:rsidRPr="00024C65">
              <w:rPr>
                <w:rFonts w:asciiTheme="minorHAnsi" w:hAnsiTheme="minorHAnsi" w:cstheme="minorHAnsi"/>
                <w:sz w:val="16"/>
                <w:szCs w:val="16"/>
                <w:vertAlign w:val="superscript"/>
                <w:lang w:val="hr-BA"/>
              </w:rPr>
              <w:footnoteReference w:id="49"/>
            </w:r>
          </w:p>
          <w:p w14:paraId="78CEB3C7" w14:textId="77777777" w:rsidR="00A13DA5" w:rsidRPr="00024C65" w:rsidRDefault="00A13DA5" w:rsidP="0048184E">
            <w:pPr>
              <w:pStyle w:val="NoSpacing"/>
              <w:rPr>
                <w:rFonts w:asciiTheme="minorHAnsi" w:hAnsiTheme="minorHAnsi" w:cstheme="minorHAnsi"/>
                <w:sz w:val="16"/>
                <w:szCs w:val="16"/>
                <w:lang w:val="hr-BA"/>
              </w:rPr>
            </w:pPr>
          </w:p>
        </w:tc>
        <w:tc>
          <w:tcPr>
            <w:tcW w:w="1708" w:type="dxa"/>
            <w:shd w:val="clear" w:color="auto" w:fill="auto"/>
          </w:tcPr>
          <w:p w14:paraId="2CD3E26A"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21,2 (2021.)</w:t>
            </w:r>
          </w:p>
        </w:tc>
        <w:tc>
          <w:tcPr>
            <w:tcW w:w="1565" w:type="dxa"/>
          </w:tcPr>
          <w:p w14:paraId="57A1BF91"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18,8</w:t>
            </w:r>
          </w:p>
          <w:p w14:paraId="733F0D51" w14:textId="3C251F4B" w:rsidR="00526AB9" w:rsidRPr="00024C65" w:rsidRDefault="00526AB9" w:rsidP="0048184E">
            <w:pPr>
              <w:pStyle w:val="NoSpacing"/>
              <w:rPr>
                <w:rFonts w:asciiTheme="minorHAnsi" w:hAnsiTheme="minorHAnsi" w:cstheme="minorHAnsi"/>
                <w:sz w:val="16"/>
                <w:szCs w:val="16"/>
                <w:lang w:val="hr-BA"/>
              </w:rPr>
            </w:pPr>
          </w:p>
        </w:tc>
        <w:tc>
          <w:tcPr>
            <w:tcW w:w="1530" w:type="dxa"/>
            <w:shd w:val="clear" w:color="auto" w:fill="auto"/>
          </w:tcPr>
          <w:p w14:paraId="54EECEF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 17,5</w:t>
            </w:r>
          </w:p>
        </w:tc>
      </w:tr>
      <w:tr w:rsidR="0048184E" w:rsidRPr="0048184E" w14:paraId="3B56DFC2" w14:textId="77777777" w:rsidTr="00723D39">
        <w:tc>
          <w:tcPr>
            <w:tcW w:w="1336" w:type="dxa"/>
          </w:tcPr>
          <w:p w14:paraId="39553C0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Smanjene migracije iz Sjevernog regiona u ostala dva regiona</w:t>
            </w:r>
          </w:p>
        </w:tc>
        <w:tc>
          <w:tcPr>
            <w:tcW w:w="1373" w:type="dxa"/>
            <w:shd w:val="clear" w:color="auto" w:fill="auto"/>
          </w:tcPr>
          <w:p w14:paraId="15EDB7B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Migracioni saldo-unutrašnje migracije, Sjeverni region, broj lica</w:t>
            </w:r>
          </w:p>
        </w:tc>
        <w:tc>
          <w:tcPr>
            <w:tcW w:w="2064" w:type="dxa"/>
            <w:shd w:val="clear" w:color="auto" w:fill="auto"/>
          </w:tcPr>
          <w:p w14:paraId="5BAE682F"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Monstat, statistika migracija</w:t>
            </w:r>
            <w:r w:rsidRPr="00024C65">
              <w:rPr>
                <w:rFonts w:asciiTheme="minorHAnsi" w:hAnsiTheme="minorHAnsi" w:cstheme="minorHAnsi"/>
                <w:sz w:val="16"/>
                <w:szCs w:val="16"/>
                <w:vertAlign w:val="superscript"/>
                <w:lang w:val="hr-BA"/>
              </w:rPr>
              <w:footnoteReference w:id="50"/>
            </w:r>
          </w:p>
        </w:tc>
        <w:tc>
          <w:tcPr>
            <w:tcW w:w="1708" w:type="dxa"/>
            <w:shd w:val="clear" w:color="auto" w:fill="auto"/>
          </w:tcPr>
          <w:p w14:paraId="4CDFB874" w14:textId="77777777" w:rsidR="00A13DA5" w:rsidRPr="00024C65" w:rsidRDefault="00A13DA5" w:rsidP="0048184E">
            <w:pPr>
              <w:pStyle w:val="NoSpacing"/>
              <w:rPr>
                <w:rFonts w:asciiTheme="minorHAnsi" w:hAnsiTheme="minorHAnsi" w:cstheme="minorHAnsi"/>
                <w:sz w:val="16"/>
                <w:szCs w:val="16"/>
                <w:lang w:val="hr-BA"/>
              </w:rPr>
            </w:pPr>
          </w:p>
          <w:p w14:paraId="3DB40AC4" w14:textId="77777777" w:rsidR="00A13DA5" w:rsidRPr="00024C65" w:rsidRDefault="00A13DA5" w:rsidP="0048184E">
            <w:pPr>
              <w:pStyle w:val="NoSpacing"/>
              <w:rPr>
                <w:rFonts w:asciiTheme="minorHAnsi" w:hAnsiTheme="minorHAnsi" w:cstheme="minorHAnsi"/>
                <w:sz w:val="16"/>
                <w:szCs w:val="16"/>
                <w:lang w:val="hr-BA"/>
              </w:rPr>
            </w:pPr>
          </w:p>
          <w:p w14:paraId="3F0DC5C3"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-1267 lica (2021.)</w:t>
            </w:r>
          </w:p>
        </w:tc>
        <w:tc>
          <w:tcPr>
            <w:tcW w:w="1565" w:type="dxa"/>
          </w:tcPr>
          <w:p w14:paraId="0E68AB66" w14:textId="77777777" w:rsidR="00A13DA5" w:rsidRPr="00024C65" w:rsidRDefault="00A13DA5" w:rsidP="0048184E">
            <w:pPr>
              <w:pStyle w:val="NoSpacing"/>
              <w:rPr>
                <w:rFonts w:asciiTheme="minorHAnsi" w:hAnsiTheme="minorHAnsi" w:cstheme="minorHAnsi"/>
                <w:sz w:val="16"/>
                <w:szCs w:val="16"/>
                <w:lang w:val="hr-BA"/>
              </w:rPr>
            </w:pPr>
          </w:p>
          <w:p w14:paraId="60842E90" w14:textId="77777777" w:rsidR="00A13DA5" w:rsidRPr="00024C65" w:rsidRDefault="00A13DA5" w:rsidP="0048184E">
            <w:pPr>
              <w:pStyle w:val="NoSpacing"/>
              <w:rPr>
                <w:rFonts w:asciiTheme="minorHAnsi" w:hAnsiTheme="minorHAnsi" w:cstheme="minorHAnsi"/>
                <w:sz w:val="16"/>
                <w:szCs w:val="16"/>
                <w:lang w:val="hr-BA"/>
              </w:rPr>
            </w:pPr>
          </w:p>
          <w:p w14:paraId="49FB213B" w14:textId="46F5F2D6"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-516</w:t>
            </w:r>
            <w:r w:rsidR="00A13DA5" w:rsidRPr="00024C65">
              <w:rPr>
                <w:rFonts w:asciiTheme="minorHAnsi" w:hAnsiTheme="minorHAnsi" w:cstheme="minorHAnsi"/>
                <w:sz w:val="16"/>
                <w:szCs w:val="16"/>
                <w:lang w:val="hr-BA"/>
              </w:rPr>
              <w:t xml:space="preserve"> lica</w:t>
            </w:r>
          </w:p>
          <w:p w14:paraId="4236A2E2" w14:textId="74FF88A3" w:rsidR="00C471F3" w:rsidRPr="00024C65" w:rsidRDefault="00C471F3" w:rsidP="0048184E">
            <w:pPr>
              <w:pStyle w:val="NoSpacing"/>
              <w:rPr>
                <w:rFonts w:asciiTheme="minorHAnsi" w:hAnsiTheme="minorHAnsi" w:cstheme="minorHAnsi"/>
                <w:sz w:val="16"/>
                <w:szCs w:val="16"/>
                <w:lang w:val="hr-BA"/>
              </w:rPr>
            </w:pPr>
          </w:p>
        </w:tc>
        <w:tc>
          <w:tcPr>
            <w:tcW w:w="1530" w:type="dxa"/>
            <w:shd w:val="clear" w:color="auto" w:fill="auto"/>
          </w:tcPr>
          <w:p w14:paraId="451398C2" w14:textId="77777777" w:rsidR="00A13DA5" w:rsidRPr="00024C65" w:rsidRDefault="00A13DA5" w:rsidP="0048184E">
            <w:pPr>
              <w:pStyle w:val="NoSpacing"/>
              <w:rPr>
                <w:rFonts w:asciiTheme="minorHAnsi" w:hAnsiTheme="minorHAnsi" w:cstheme="minorHAnsi"/>
                <w:sz w:val="16"/>
                <w:szCs w:val="16"/>
                <w:lang w:val="hr-BA"/>
              </w:rPr>
            </w:pPr>
          </w:p>
          <w:p w14:paraId="1BD83075" w14:textId="77777777" w:rsidR="00A13DA5" w:rsidRPr="00024C65" w:rsidRDefault="00A13DA5" w:rsidP="0048184E">
            <w:pPr>
              <w:pStyle w:val="NoSpacing"/>
              <w:rPr>
                <w:rFonts w:asciiTheme="minorHAnsi" w:hAnsiTheme="minorHAnsi" w:cstheme="minorHAnsi"/>
                <w:sz w:val="16"/>
                <w:szCs w:val="16"/>
                <w:lang w:val="hr-BA"/>
              </w:rPr>
            </w:pPr>
          </w:p>
          <w:p w14:paraId="4FC7B425" w14:textId="4EF9FD97"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-500</w:t>
            </w:r>
            <w:r w:rsidR="00A13DA5" w:rsidRPr="00024C65">
              <w:rPr>
                <w:rFonts w:asciiTheme="minorHAnsi" w:hAnsiTheme="minorHAnsi" w:cstheme="minorHAnsi"/>
                <w:sz w:val="16"/>
                <w:szCs w:val="16"/>
                <w:lang w:val="hr-BA"/>
              </w:rPr>
              <w:t xml:space="preserve"> lica</w:t>
            </w:r>
          </w:p>
        </w:tc>
      </w:tr>
      <w:tr w:rsidR="0048184E" w:rsidRPr="0048184E" w14:paraId="176E7CD5" w14:textId="77777777" w:rsidTr="00723D39">
        <w:tc>
          <w:tcPr>
            <w:tcW w:w="1336" w:type="dxa"/>
          </w:tcPr>
          <w:p w14:paraId="0ED2FA0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Povećan broj stanovnika</w:t>
            </w:r>
          </w:p>
        </w:tc>
        <w:tc>
          <w:tcPr>
            <w:tcW w:w="1373" w:type="dxa"/>
            <w:shd w:val="clear" w:color="auto" w:fill="auto"/>
          </w:tcPr>
          <w:p w14:paraId="4ECED59A"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Prirodni priraštaj, broj lica</w:t>
            </w:r>
          </w:p>
        </w:tc>
        <w:tc>
          <w:tcPr>
            <w:tcW w:w="2064" w:type="dxa"/>
            <w:shd w:val="clear" w:color="auto" w:fill="auto"/>
          </w:tcPr>
          <w:p w14:paraId="6FE566D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Monstat</w:t>
            </w:r>
          </w:p>
        </w:tc>
        <w:tc>
          <w:tcPr>
            <w:tcW w:w="1708" w:type="dxa"/>
            <w:shd w:val="clear" w:color="auto" w:fill="auto"/>
          </w:tcPr>
          <w:p w14:paraId="4EA6FD2D" w14:textId="77777777" w:rsidR="00A13DA5" w:rsidRPr="00024C65" w:rsidRDefault="00A13DA5" w:rsidP="0048184E">
            <w:pPr>
              <w:pStyle w:val="NoSpacing"/>
              <w:rPr>
                <w:rFonts w:asciiTheme="minorHAnsi" w:hAnsiTheme="minorHAnsi" w:cstheme="minorHAnsi"/>
                <w:sz w:val="16"/>
                <w:szCs w:val="16"/>
                <w:lang w:val="hr-BA"/>
              </w:rPr>
            </w:pPr>
          </w:p>
          <w:p w14:paraId="774B94AA"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-196 lica (2020.)</w:t>
            </w:r>
          </w:p>
        </w:tc>
        <w:tc>
          <w:tcPr>
            <w:tcW w:w="1565" w:type="dxa"/>
          </w:tcPr>
          <w:p w14:paraId="29933E7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 </w:t>
            </w:r>
          </w:p>
          <w:p w14:paraId="10D0F749" w14:textId="793A5393"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+100</w:t>
            </w:r>
            <w:r w:rsidR="00A13DA5" w:rsidRPr="00024C65">
              <w:rPr>
                <w:rFonts w:asciiTheme="minorHAnsi" w:hAnsiTheme="minorHAnsi" w:cstheme="minorHAnsi"/>
                <w:sz w:val="16"/>
                <w:szCs w:val="16"/>
                <w:lang w:val="hr-BA"/>
              </w:rPr>
              <w:t xml:space="preserve"> lica</w:t>
            </w:r>
          </w:p>
          <w:p w14:paraId="3BAB7600" w14:textId="6CE968AF" w:rsidR="00526AB9" w:rsidRPr="00024C65" w:rsidRDefault="00526AB9" w:rsidP="0048184E">
            <w:pPr>
              <w:pStyle w:val="NoSpacing"/>
              <w:rPr>
                <w:rFonts w:asciiTheme="minorHAnsi" w:hAnsiTheme="minorHAnsi" w:cstheme="minorHAnsi"/>
                <w:sz w:val="16"/>
                <w:szCs w:val="16"/>
                <w:lang w:val="hr-BA"/>
              </w:rPr>
            </w:pPr>
          </w:p>
        </w:tc>
        <w:tc>
          <w:tcPr>
            <w:tcW w:w="1530" w:type="dxa"/>
            <w:shd w:val="clear" w:color="auto" w:fill="auto"/>
          </w:tcPr>
          <w:p w14:paraId="3BDAA69B" w14:textId="77777777" w:rsidR="00A13DA5" w:rsidRPr="00024C65" w:rsidRDefault="00A13DA5" w:rsidP="0048184E">
            <w:pPr>
              <w:pStyle w:val="NoSpacing"/>
              <w:rPr>
                <w:rFonts w:asciiTheme="minorHAnsi" w:hAnsiTheme="minorHAnsi" w:cstheme="minorHAnsi"/>
                <w:sz w:val="16"/>
                <w:szCs w:val="16"/>
                <w:lang w:val="hr-BA"/>
              </w:rPr>
            </w:pPr>
          </w:p>
          <w:p w14:paraId="4E366286" w14:textId="212213C2"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+3</w:t>
            </w:r>
            <w:r w:rsidR="00A13DA5" w:rsidRPr="00024C65">
              <w:rPr>
                <w:rFonts w:asciiTheme="minorHAnsi" w:hAnsiTheme="minorHAnsi" w:cstheme="minorHAnsi"/>
                <w:sz w:val="16"/>
                <w:szCs w:val="16"/>
                <w:lang w:val="hr-BA"/>
              </w:rPr>
              <w:t>00 lica</w:t>
            </w:r>
          </w:p>
        </w:tc>
      </w:tr>
      <w:tr w:rsidR="0048184E" w:rsidRPr="0048184E" w14:paraId="2E0FC624" w14:textId="77777777" w:rsidTr="00723D39">
        <w:tc>
          <w:tcPr>
            <w:tcW w:w="1336" w:type="dxa"/>
          </w:tcPr>
          <w:p w14:paraId="04B7BC2B"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Unaprijeđen život po mjeri ćovjeka</w:t>
            </w:r>
          </w:p>
        </w:tc>
        <w:tc>
          <w:tcPr>
            <w:tcW w:w="1373" w:type="dxa"/>
            <w:shd w:val="clear" w:color="auto" w:fill="auto"/>
          </w:tcPr>
          <w:p w14:paraId="17BA675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HDI Crne Gore</w:t>
            </w:r>
          </w:p>
          <w:p w14:paraId="651BEE90" w14:textId="77777777" w:rsidR="00A13DA5" w:rsidRPr="00024C65" w:rsidRDefault="00A13DA5" w:rsidP="0048184E">
            <w:pPr>
              <w:pStyle w:val="NoSpacing"/>
              <w:rPr>
                <w:rFonts w:asciiTheme="minorHAnsi" w:hAnsiTheme="minorHAnsi" w:cstheme="minorHAnsi"/>
                <w:sz w:val="16"/>
                <w:szCs w:val="16"/>
                <w:lang w:val="hr-BA"/>
              </w:rPr>
            </w:pPr>
          </w:p>
        </w:tc>
        <w:tc>
          <w:tcPr>
            <w:tcW w:w="2064" w:type="dxa"/>
            <w:shd w:val="clear" w:color="auto" w:fill="auto"/>
          </w:tcPr>
          <w:p w14:paraId="7B9C08B7"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Global Data Lab, </w:t>
            </w:r>
          </w:p>
          <w:p w14:paraId="2C073EBB"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Vremenska serija za period 2006-2019 za Crnu Goru i regione</w:t>
            </w:r>
            <w:r w:rsidRPr="00024C65">
              <w:rPr>
                <w:rFonts w:asciiTheme="minorHAnsi" w:hAnsiTheme="minorHAnsi" w:cstheme="minorHAnsi"/>
                <w:sz w:val="16"/>
                <w:szCs w:val="16"/>
                <w:vertAlign w:val="superscript"/>
                <w:lang w:val="hr-BA"/>
              </w:rPr>
              <w:footnoteReference w:id="51"/>
            </w:r>
          </w:p>
        </w:tc>
        <w:tc>
          <w:tcPr>
            <w:tcW w:w="1708" w:type="dxa"/>
            <w:shd w:val="clear" w:color="auto" w:fill="auto"/>
          </w:tcPr>
          <w:p w14:paraId="2CFE554A" w14:textId="77777777" w:rsidR="00A13DA5" w:rsidRPr="00024C65" w:rsidRDefault="00A13DA5" w:rsidP="0048184E">
            <w:pPr>
              <w:pStyle w:val="NoSpacing"/>
              <w:rPr>
                <w:rFonts w:asciiTheme="minorHAnsi" w:hAnsiTheme="minorHAnsi" w:cstheme="minorHAnsi"/>
                <w:sz w:val="16"/>
                <w:szCs w:val="16"/>
                <w:lang w:val="hr-BA"/>
              </w:rPr>
            </w:pPr>
          </w:p>
          <w:p w14:paraId="341ACB0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2019. godina</w:t>
            </w:r>
            <w:r w:rsidRPr="00024C65">
              <w:rPr>
                <w:rFonts w:asciiTheme="minorHAnsi" w:hAnsiTheme="minorHAnsi" w:cstheme="minorHAnsi"/>
                <w:sz w:val="16"/>
                <w:szCs w:val="16"/>
                <w:vertAlign w:val="superscript"/>
                <w:lang w:val="hr-BA"/>
              </w:rPr>
              <w:footnoteReference w:id="52"/>
            </w:r>
            <w:r w:rsidRPr="00024C65">
              <w:rPr>
                <w:rFonts w:asciiTheme="minorHAnsi" w:hAnsiTheme="minorHAnsi" w:cstheme="minorHAnsi"/>
                <w:sz w:val="16"/>
                <w:szCs w:val="16"/>
                <w:lang w:val="hr-BA"/>
              </w:rPr>
              <w:t>:</w:t>
            </w:r>
          </w:p>
          <w:p w14:paraId="02ECA36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Crna Gora: 0.858</w:t>
            </w:r>
          </w:p>
          <w:p w14:paraId="4B44FBDC" w14:textId="77777777" w:rsidR="00A13DA5" w:rsidRPr="00024C65" w:rsidRDefault="00A13DA5" w:rsidP="0048184E">
            <w:pPr>
              <w:pStyle w:val="NoSpacing"/>
              <w:rPr>
                <w:rFonts w:asciiTheme="minorHAnsi" w:hAnsiTheme="minorHAnsi" w:cstheme="minorHAnsi"/>
                <w:sz w:val="16"/>
                <w:szCs w:val="16"/>
                <w:lang w:val="hr-BA"/>
              </w:rPr>
            </w:pPr>
          </w:p>
          <w:p w14:paraId="307EFA2C" w14:textId="77777777" w:rsidR="00A13DA5" w:rsidRPr="00024C65" w:rsidRDefault="00A13DA5" w:rsidP="0048184E">
            <w:pPr>
              <w:pStyle w:val="NoSpacing"/>
              <w:rPr>
                <w:rFonts w:asciiTheme="minorHAnsi" w:hAnsiTheme="minorHAnsi" w:cstheme="minorHAnsi"/>
                <w:sz w:val="16"/>
                <w:szCs w:val="16"/>
                <w:lang w:val="hr-BA"/>
              </w:rPr>
            </w:pPr>
          </w:p>
        </w:tc>
        <w:tc>
          <w:tcPr>
            <w:tcW w:w="1565" w:type="dxa"/>
          </w:tcPr>
          <w:p w14:paraId="12502CE6" w14:textId="77777777" w:rsidR="00A13DA5" w:rsidRPr="00024C65" w:rsidRDefault="00A13DA5" w:rsidP="0048184E">
            <w:pPr>
              <w:pStyle w:val="NoSpacing"/>
              <w:rPr>
                <w:rFonts w:asciiTheme="minorHAnsi" w:hAnsiTheme="minorHAnsi" w:cstheme="minorHAnsi"/>
                <w:sz w:val="16"/>
                <w:szCs w:val="16"/>
                <w:lang w:val="hr-BA"/>
              </w:rPr>
            </w:pPr>
          </w:p>
          <w:p w14:paraId="28D72EE6"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Crna Gora: 0,870</w:t>
            </w:r>
          </w:p>
          <w:p w14:paraId="622F01FF" w14:textId="77777777" w:rsidR="00526AB9" w:rsidRPr="00024C65" w:rsidRDefault="00526AB9"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0.844 ( 2022)</w:t>
            </w:r>
          </w:p>
          <w:p w14:paraId="406C88AD" w14:textId="77777777" w:rsidR="00A13DA5" w:rsidRPr="00024C65" w:rsidRDefault="00A13DA5" w:rsidP="0048184E">
            <w:pPr>
              <w:pStyle w:val="NoSpacing"/>
              <w:rPr>
                <w:rFonts w:asciiTheme="minorHAnsi" w:hAnsiTheme="minorHAnsi" w:cstheme="minorHAnsi"/>
                <w:sz w:val="16"/>
                <w:szCs w:val="16"/>
                <w:lang w:val="hr-BA"/>
              </w:rPr>
            </w:pPr>
          </w:p>
        </w:tc>
        <w:tc>
          <w:tcPr>
            <w:tcW w:w="1530" w:type="dxa"/>
            <w:shd w:val="clear" w:color="auto" w:fill="auto"/>
          </w:tcPr>
          <w:p w14:paraId="1EC4240D" w14:textId="77777777" w:rsidR="00A13DA5" w:rsidRPr="00024C65" w:rsidRDefault="00A13DA5" w:rsidP="0048184E">
            <w:pPr>
              <w:pStyle w:val="NoSpacing"/>
              <w:rPr>
                <w:rFonts w:asciiTheme="minorHAnsi" w:hAnsiTheme="minorHAnsi" w:cstheme="minorHAnsi"/>
                <w:sz w:val="16"/>
                <w:szCs w:val="16"/>
                <w:lang w:val="hr-BA"/>
              </w:rPr>
            </w:pPr>
          </w:p>
          <w:p w14:paraId="65A7B9F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Crna Gora: 0,884</w:t>
            </w:r>
          </w:p>
          <w:p w14:paraId="6E966896"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 </w:t>
            </w:r>
          </w:p>
          <w:p w14:paraId="1B37283F"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hr-BA"/>
              </w:rPr>
              <w:t xml:space="preserve"> </w:t>
            </w:r>
          </w:p>
        </w:tc>
      </w:tr>
    </w:tbl>
    <w:p w14:paraId="2E3110F8" w14:textId="77777777" w:rsidR="00A13DA5" w:rsidRPr="0048184E" w:rsidRDefault="00A13DA5" w:rsidP="0048184E">
      <w:pPr>
        <w:pStyle w:val="NoSpacing"/>
        <w:jc w:val="both"/>
        <w:rPr>
          <w:rFonts w:asciiTheme="minorHAnsi" w:hAnsiTheme="minorHAnsi" w:cstheme="minorHAnsi"/>
          <w:b/>
          <w:bCs/>
          <w:sz w:val="18"/>
          <w:szCs w:val="18"/>
          <w:lang w:val="sr-Latn-ME"/>
        </w:rPr>
      </w:pPr>
    </w:p>
    <w:bookmarkEnd w:id="48"/>
    <w:p w14:paraId="2B64D548" w14:textId="77777777" w:rsidR="00A13DA5" w:rsidRPr="0048184E" w:rsidRDefault="00A13DA5" w:rsidP="0048184E">
      <w:pPr>
        <w:pStyle w:val="NoSpacing"/>
        <w:jc w:val="both"/>
        <w:rPr>
          <w:rFonts w:asciiTheme="minorHAnsi" w:hAnsiTheme="minorHAnsi" w:cstheme="minorHAnsi"/>
          <w:b/>
          <w:sz w:val="18"/>
          <w:szCs w:val="18"/>
          <w:lang w:val="sr-Latn-ME"/>
        </w:rPr>
      </w:pPr>
      <w:r w:rsidRPr="0048184E">
        <w:rPr>
          <w:rFonts w:asciiTheme="minorHAnsi" w:eastAsia="Times New Roman" w:hAnsiTheme="minorHAnsi" w:cstheme="minorHAnsi"/>
          <w:b/>
          <w:bCs/>
          <w:sz w:val="18"/>
          <w:szCs w:val="18"/>
          <w:lang w:val="sr-Latn-ME"/>
        </w:rPr>
        <w:t xml:space="preserve">Dakle, vizija regionalnog razvoja na nivou Crne Gore i strateški ciljevi koji su definisani, daju odgovor na rješenje ključnog problema, dok su uzroci problema pretočeni u operativne ciljeve koji zapravo predstavljaju odgovor na pitanje kroz koje aktivnosti je moguće doći do unaprjeđenja stanja u periodu 2023-2027. godine. </w:t>
      </w:r>
    </w:p>
    <w:p w14:paraId="5657072B" w14:textId="77777777" w:rsidR="00B369D1" w:rsidRPr="0048184E" w:rsidRDefault="00B369D1" w:rsidP="0048184E">
      <w:pPr>
        <w:pStyle w:val="NoSpacing"/>
        <w:jc w:val="both"/>
        <w:rPr>
          <w:rFonts w:asciiTheme="minorHAnsi" w:hAnsiTheme="minorHAnsi" w:cstheme="minorHAnsi"/>
          <w:sz w:val="18"/>
          <w:szCs w:val="18"/>
          <w:lang w:val="sr-Latn-ME"/>
        </w:rPr>
      </w:pPr>
    </w:p>
    <w:p w14:paraId="63BAD88E" w14:textId="77777777" w:rsidR="00A13DA5" w:rsidRPr="00726BE7" w:rsidRDefault="00A13DA5" w:rsidP="0048184E">
      <w:pPr>
        <w:pStyle w:val="Heading2"/>
        <w:numPr>
          <w:ilvl w:val="0"/>
          <w:numId w:val="28"/>
        </w:numPr>
        <w:spacing w:before="0" w:line="240" w:lineRule="auto"/>
        <w:rPr>
          <w:rFonts w:asciiTheme="minorHAnsi" w:hAnsiTheme="minorHAnsi"/>
        </w:rPr>
      </w:pPr>
      <w:bookmarkStart w:id="49" w:name="_Toc205215846"/>
      <w:r w:rsidRPr="00726BE7">
        <w:rPr>
          <w:rFonts w:asciiTheme="minorHAnsi" w:hAnsiTheme="minorHAnsi"/>
        </w:rPr>
        <w:t>STRATEŠKI CILJ 1 (SC1) – Jačanje funkcionalnosti JLS kroz sistemsko upravljanje regionalnim razvojem</w:t>
      </w:r>
      <w:bookmarkEnd w:id="49"/>
    </w:p>
    <w:p w14:paraId="1212BAEC" w14:textId="77777777" w:rsidR="00A13DA5" w:rsidRPr="0048184E" w:rsidRDefault="00A13DA5" w:rsidP="0048184E">
      <w:pPr>
        <w:spacing w:after="0" w:line="240" w:lineRule="auto"/>
        <w:jc w:val="both"/>
        <w:rPr>
          <w:rFonts w:cstheme="minorHAnsi"/>
          <w:sz w:val="18"/>
          <w:szCs w:val="18"/>
          <w:lang w:val="sr-Latn-ME"/>
        </w:rPr>
      </w:pPr>
    </w:p>
    <w:p w14:paraId="7399A275"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cstheme="minorHAnsi"/>
          <w:sz w:val="18"/>
          <w:szCs w:val="18"/>
          <w:lang w:val="sr-Latn-ME"/>
        </w:rPr>
        <w:t>Analizom trenutnog stanja i uočavanjem ključnih proble</w:t>
      </w:r>
      <w:r w:rsidR="00FC3C35" w:rsidRPr="0048184E">
        <w:rPr>
          <w:rFonts w:cstheme="minorHAnsi"/>
          <w:sz w:val="18"/>
          <w:szCs w:val="18"/>
          <w:lang w:val="sr-Latn-ME"/>
        </w:rPr>
        <w:t>ma u razvoju JLS u prethodnom periodu</w:t>
      </w:r>
      <w:r w:rsidRPr="0048184E">
        <w:rPr>
          <w:rFonts w:cstheme="minorHAnsi"/>
          <w:sz w:val="18"/>
          <w:szCs w:val="18"/>
          <w:lang w:val="sr-Latn-ME"/>
        </w:rPr>
        <w:t xml:space="preserve"> definisan je SC1 kao i set operativnih ciljeva i aktivnosti. Za ostvarivanje ovog strateškog cilja u periodu implementacije strategije neophodno je </w:t>
      </w:r>
      <w:r w:rsidRPr="0048184E">
        <w:rPr>
          <w:rFonts w:cstheme="minorHAnsi"/>
          <w:sz w:val="18"/>
          <w:szCs w:val="18"/>
          <w:lang w:val="sr-Latn-ME"/>
        </w:rPr>
        <w:lastRenderedPageBreak/>
        <w:t xml:space="preserve">razmotriti potrebu za izmjenom zakonskih rješenja kao i reforme u oblasti poreske politike koje bi doprinijele jačanju funkcionalnosti jedinica lokalne samouprave i njihovom daljem razvoju. </w:t>
      </w:r>
      <w:r w:rsidRPr="0048184E">
        <w:rPr>
          <w:rFonts w:eastAsia="Times New Roman" w:cstheme="minorHAnsi"/>
          <w:sz w:val="18"/>
          <w:szCs w:val="18"/>
          <w:lang w:val="hr-BA"/>
        </w:rPr>
        <w:t>Imajući u vidu prethodno realizovane aktivnosti, prepoznata je neophodnost za unaprjeđenjem</w:t>
      </w:r>
      <w:r w:rsidRPr="0048184E">
        <w:rPr>
          <w:rFonts w:eastAsia="Times New Roman" w:cstheme="minorHAnsi"/>
          <w:sz w:val="18"/>
          <w:szCs w:val="18"/>
          <w:lang w:val="sr-Latn-ME"/>
        </w:rPr>
        <w:t xml:space="preserve"> regulatornog okvira za finansiranje JLS koji će posebno prepoznati i uvažiti specifičnosti i razlike između opština u pogledu broja stanovnika, veličine, privrednog i fiskalnog kapaciteta. To bi se prvenstveno odnosilo na kriterijume za način raspodjele prihoda od poreza na dohodak fizičkih lica na način da se </w:t>
      </w:r>
      <w:r w:rsidRPr="0048184E">
        <w:rPr>
          <w:rFonts w:eastAsia="Times New Roman" w:cstheme="minorHAnsi"/>
          <w:iCs/>
          <w:sz w:val="18"/>
          <w:szCs w:val="18"/>
          <w:lang w:val="sr-Latn-ME"/>
        </w:rPr>
        <w:t>uvaže razlike u stepenu razvijenosti JLS i njihovog fiskalnog kapaciteta uz izmjene strukture prihoda iz kojih se posebno obezbjeđuju sredstva Egalizacionog fonda</w:t>
      </w:r>
      <w:r w:rsidRPr="0048184E">
        <w:rPr>
          <w:rFonts w:eastAsia="Times New Roman" w:cstheme="minorHAnsi"/>
          <w:sz w:val="18"/>
          <w:szCs w:val="18"/>
          <w:lang w:val="sr-Latn-ME"/>
        </w:rPr>
        <w:t xml:space="preserve"> (navedeno je detal</w:t>
      </w:r>
      <w:r w:rsidR="00FC3C35" w:rsidRPr="0048184E">
        <w:rPr>
          <w:rFonts w:eastAsia="Times New Roman" w:cstheme="minorHAnsi"/>
          <w:sz w:val="18"/>
          <w:szCs w:val="18"/>
          <w:lang w:val="sr-Latn-ME"/>
        </w:rPr>
        <w:t>jnije opisano u okviru OC 1.1.)</w:t>
      </w:r>
      <w:r w:rsidR="00FC3C35" w:rsidRPr="0048184E">
        <w:rPr>
          <w:rStyle w:val="FootnoteReference"/>
          <w:rFonts w:eastAsia="Times New Roman" w:cstheme="minorHAnsi"/>
          <w:sz w:val="18"/>
          <w:szCs w:val="18"/>
          <w:lang w:val="sr-Latn-ME"/>
        </w:rPr>
        <w:footnoteReference w:id="53"/>
      </w:r>
    </w:p>
    <w:p w14:paraId="67FA6195" w14:textId="77777777" w:rsidR="00A13DA5" w:rsidRPr="0048184E" w:rsidRDefault="00A13DA5" w:rsidP="0048184E">
      <w:pPr>
        <w:spacing w:after="0" w:line="240" w:lineRule="auto"/>
        <w:jc w:val="both"/>
        <w:rPr>
          <w:rFonts w:cstheme="minorHAnsi"/>
          <w:sz w:val="18"/>
          <w:szCs w:val="18"/>
          <w:lang w:val="sr-Latn-ME"/>
        </w:rPr>
      </w:pPr>
    </w:p>
    <w:p w14:paraId="0B7E6D5F" w14:textId="77777777" w:rsidR="00A13DA5" w:rsidRPr="0048184E" w:rsidRDefault="00A13DA5" w:rsidP="0048184E">
      <w:pPr>
        <w:spacing w:after="0" w:line="240" w:lineRule="auto"/>
        <w:jc w:val="both"/>
        <w:rPr>
          <w:rFonts w:cstheme="minorHAnsi"/>
          <w:sz w:val="18"/>
          <w:szCs w:val="18"/>
          <w:lang w:val="hr-BA"/>
        </w:rPr>
      </w:pPr>
      <w:r w:rsidRPr="0048184E">
        <w:rPr>
          <w:rFonts w:cstheme="minorHAnsi"/>
          <w:sz w:val="18"/>
          <w:szCs w:val="18"/>
          <w:lang w:val="hr-BA"/>
        </w:rPr>
        <w:t>Kao potvrda dobrog puta u dostizanju SC1, indikator u 2027. godini treba da pokaže da će Indeks ljudskog razvoja, HDI (Human Development Index ), porasti za 2,5% u odnosu na početnu vrijednost.</w:t>
      </w:r>
    </w:p>
    <w:p w14:paraId="0C3679A1" w14:textId="77777777" w:rsidR="00A13DA5" w:rsidRPr="0048184E" w:rsidRDefault="00A13DA5" w:rsidP="0048184E">
      <w:pPr>
        <w:spacing w:after="0" w:line="240" w:lineRule="auto"/>
        <w:jc w:val="both"/>
        <w:rPr>
          <w:rFonts w:cstheme="minorHAnsi"/>
          <w:sz w:val="18"/>
          <w:szCs w:val="18"/>
          <w:lang w:val="hr-BA"/>
        </w:rPr>
      </w:pPr>
      <w:r w:rsidRPr="0048184E">
        <w:rPr>
          <w:rFonts w:cstheme="minorHAnsi"/>
          <w:sz w:val="18"/>
          <w:szCs w:val="18"/>
          <w:lang w:val="hr-BA"/>
        </w:rPr>
        <w:t>U nastavku dokumenta na nivou operativnih ciljeva dat je tabelarni pregled sa indikatorima učinka koji prate realizaciju aktivnosti koji su definisani unutar strateških ciljeva.</w:t>
      </w:r>
    </w:p>
    <w:p w14:paraId="20E4DE19" w14:textId="77777777" w:rsidR="00A13DA5" w:rsidRPr="0048184E" w:rsidRDefault="00A13DA5" w:rsidP="0048184E">
      <w:pPr>
        <w:spacing w:after="0" w:line="240" w:lineRule="auto"/>
        <w:jc w:val="both"/>
        <w:rPr>
          <w:rFonts w:cstheme="minorHAnsi"/>
          <w:b/>
          <w:sz w:val="18"/>
          <w:szCs w:val="18"/>
          <w:lang w:val="hr-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249"/>
        <w:gridCol w:w="928"/>
        <w:gridCol w:w="1772"/>
        <w:gridCol w:w="1822"/>
        <w:gridCol w:w="1527"/>
      </w:tblGrid>
      <w:tr w:rsidR="0048184E" w:rsidRPr="0048184E" w14:paraId="607D5EFB" w14:textId="77777777" w:rsidTr="00723D39">
        <w:tc>
          <w:tcPr>
            <w:tcW w:w="1776" w:type="dxa"/>
            <w:shd w:val="clear" w:color="auto" w:fill="D9E2F3"/>
          </w:tcPr>
          <w:p w14:paraId="072918F0"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Uticaj</w:t>
            </w:r>
          </w:p>
        </w:tc>
        <w:tc>
          <w:tcPr>
            <w:tcW w:w="1286" w:type="dxa"/>
            <w:shd w:val="clear" w:color="auto" w:fill="D9E2F3"/>
          </w:tcPr>
          <w:p w14:paraId="4EAE56F9"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Indikator uticaja</w:t>
            </w:r>
          </w:p>
        </w:tc>
        <w:tc>
          <w:tcPr>
            <w:tcW w:w="953" w:type="dxa"/>
            <w:shd w:val="clear" w:color="auto" w:fill="D9E2F3"/>
          </w:tcPr>
          <w:p w14:paraId="114B799C"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Izvor</w:t>
            </w:r>
          </w:p>
        </w:tc>
        <w:tc>
          <w:tcPr>
            <w:tcW w:w="1849" w:type="dxa"/>
            <w:shd w:val="clear" w:color="auto" w:fill="D9E2F3"/>
          </w:tcPr>
          <w:p w14:paraId="1784FF69"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Početna vrijednost 2022.</w:t>
            </w:r>
          </w:p>
        </w:tc>
        <w:tc>
          <w:tcPr>
            <w:tcW w:w="1903" w:type="dxa"/>
            <w:shd w:val="clear" w:color="auto" w:fill="D9E2F3"/>
          </w:tcPr>
          <w:p w14:paraId="64471949"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Ciljna vrijednost u 2025.</w:t>
            </w:r>
          </w:p>
        </w:tc>
        <w:tc>
          <w:tcPr>
            <w:tcW w:w="1583" w:type="dxa"/>
            <w:shd w:val="clear" w:color="auto" w:fill="D9E2F3"/>
          </w:tcPr>
          <w:p w14:paraId="16A203ED"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Ciljna vrijednost u 2027.</w:t>
            </w:r>
          </w:p>
        </w:tc>
      </w:tr>
      <w:tr w:rsidR="0048184E" w:rsidRPr="0048184E" w14:paraId="2B8365F9" w14:textId="77777777" w:rsidTr="00723D39">
        <w:tc>
          <w:tcPr>
            <w:tcW w:w="1776" w:type="dxa"/>
          </w:tcPr>
          <w:p w14:paraId="44B1B2C0"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 xml:space="preserve">Unaprijeđeni uslovi za život po mjeri čovjeka </w:t>
            </w:r>
          </w:p>
        </w:tc>
        <w:tc>
          <w:tcPr>
            <w:tcW w:w="1286" w:type="dxa"/>
          </w:tcPr>
          <w:p w14:paraId="70235B58"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 xml:space="preserve">HDI </w:t>
            </w:r>
          </w:p>
        </w:tc>
        <w:tc>
          <w:tcPr>
            <w:tcW w:w="953" w:type="dxa"/>
          </w:tcPr>
          <w:p w14:paraId="177438E1"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Global Data Lab</w:t>
            </w:r>
          </w:p>
        </w:tc>
        <w:tc>
          <w:tcPr>
            <w:tcW w:w="1849" w:type="dxa"/>
          </w:tcPr>
          <w:p w14:paraId="60B6D798" w14:textId="42594F5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Sjeverni region: 0.844</w:t>
            </w:r>
            <w:r w:rsidR="00C07FEF">
              <w:rPr>
                <w:rFonts w:cstheme="minorHAnsi"/>
                <w:sz w:val="16"/>
                <w:szCs w:val="16"/>
                <w:lang w:val="sr-Latn-ME"/>
              </w:rPr>
              <w:t xml:space="preserve"> </w:t>
            </w:r>
          </w:p>
          <w:p w14:paraId="6179C379" w14:textId="3094F869"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Središnji region: 0.867</w:t>
            </w:r>
          </w:p>
          <w:p w14:paraId="174CF052" w14:textId="5E627BD5"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Primorski region: 0.844</w:t>
            </w:r>
          </w:p>
          <w:p w14:paraId="7DAC3AD3" w14:textId="77777777" w:rsidR="00A13DA5" w:rsidRPr="00C07FEF" w:rsidRDefault="00A13DA5" w:rsidP="0048184E">
            <w:pPr>
              <w:spacing w:after="0" w:line="240" w:lineRule="auto"/>
              <w:rPr>
                <w:rFonts w:cstheme="minorHAnsi"/>
                <w:sz w:val="16"/>
                <w:szCs w:val="16"/>
                <w:lang w:val="sr-Latn-ME"/>
              </w:rPr>
            </w:pPr>
          </w:p>
        </w:tc>
        <w:tc>
          <w:tcPr>
            <w:tcW w:w="1903" w:type="dxa"/>
          </w:tcPr>
          <w:p w14:paraId="5359A3F7"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Sjeverni region: 0.850</w:t>
            </w:r>
          </w:p>
          <w:p w14:paraId="30F4298D"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Središnji region: 0.876</w:t>
            </w:r>
          </w:p>
          <w:p w14:paraId="21EAD280"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Primorski region: 0,853</w:t>
            </w:r>
          </w:p>
        </w:tc>
        <w:tc>
          <w:tcPr>
            <w:tcW w:w="1583" w:type="dxa"/>
          </w:tcPr>
          <w:p w14:paraId="489A4EE4"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Sjeverni region: 0.865 (rast za 2,5%)</w:t>
            </w:r>
          </w:p>
          <w:p w14:paraId="62D16B39"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Središnji region: 0.888 (rast za 2,5%)</w:t>
            </w:r>
          </w:p>
          <w:p w14:paraId="170B6737"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Primorski region: 0.860</w:t>
            </w:r>
          </w:p>
        </w:tc>
      </w:tr>
      <w:tr w:rsidR="00A13DA5" w:rsidRPr="002A2822" w14:paraId="15228A50" w14:textId="77777777" w:rsidTr="00723D39">
        <w:tc>
          <w:tcPr>
            <w:tcW w:w="9350" w:type="dxa"/>
            <w:gridSpan w:val="6"/>
            <w:shd w:val="clear" w:color="auto" w:fill="D9E2F3"/>
          </w:tcPr>
          <w:p w14:paraId="6AEBD5C0"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U OKVIRU STRATEŠKOG CILJA 1 DEFINISANI SU SLJEDEĆI OPERATIVNI CILJEVI (OC):</w:t>
            </w:r>
          </w:p>
          <w:p w14:paraId="74740DD9" w14:textId="77777777" w:rsidR="00A13DA5" w:rsidRPr="00024C65" w:rsidRDefault="00A13DA5" w:rsidP="0048184E">
            <w:pPr>
              <w:spacing w:after="0" w:line="240" w:lineRule="auto"/>
              <w:rPr>
                <w:rFonts w:cstheme="minorHAnsi"/>
                <w:b/>
                <w:sz w:val="16"/>
                <w:szCs w:val="16"/>
                <w:u w:val="single"/>
                <w:lang w:val="sr-Latn-ME"/>
              </w:rPr>
            </w:pPr>
            <w:r w:rsidRPr="00024C65">
              <w:rPr>
                <w:rFonts w:cstheme="minorHAnsi"/>
                <w:b/>
                <w:sz w:val="16"/>
                <w:szCs w:val="16"/>
                <w:u w:val="single"/>
                <w:lang w:val="sr-Latn-ME"/>
              </w:rPr>
              <w:t>Pametni rast</w:t>
            </w:r>
          </w:p>
          <w:p w14:paraId="23443BA4"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OC 1.1. Jačanje funkcionalnosti JLS i fiskalnih pozicija manje razvijenih opština</w:t>
            </w:r>
          </w:p>
          <w:p w14:paraId="0BB0B529"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OC 1.2. Unaprjeđenje mehanizma koordinacije u sprovođenju politike regionalnog razvoja</w:t>
            </w:r>
          </w:p>
        </w:tc>
      </w:tr>
    </w:tbl>
    <w:p w14:paraId="6920DD2D" w14:textId="77777777" w:rsidR="00A13DA5" w:rsidRPr="0048184E" w:rsidRDefault="00A13DA5" w:rsidP="0048184E">
      <w:pPr>
        <w:pStyle w:val="NoSpacing"/>
        <w:jc w:val="both"/>
        <w:rPr>
          <w:rFonts w:asciiTheme="minorHAnsi" w:hAnsiTheme="minorHAnsi" w:cstheme="minorHAnsi"/>
          <w:b/>
          <w:i/>
          <w:sz w:val="18"/>
          <w:szCs w:val="18"/>
          <w:lang w:val="sr-Latn-ME"/>
        </w:rPr>
      </w:pPr>
    </w:p>
    <w:p w14:paraId="2CD1F771" w14:textId="77777777" w:rsidR="00A13DA5" w:rsidRPr="00726BE7" w:rsidRDefault="00A13DA5" w:rsidP="0048184E">
      <w:pPr>
        <w:pStyle w:val="Heading21"/>
        <w:numPr>
          <w:ilvl w:val="1"/>
          <w:numId w:val="28"/>
        </w:numPr>
        <w:spacing w:before="0"/>
        <w:rPr>
          <w:color w:val="4472C4" w:themeColor="accent5"/>
          <w:szCs w:val="22"/>
          <w:lang w:val="pl-PL"/>
        </w:rPr>
      </w:pPr>
      <w:bookmarkStart w:id="50" w:name="_Toc205215847"/>
      <w:r w:rsidRPr="00726BE7">
        <w:rPr>
          <w:color w:val="4472C4" w:themeColor="accent5"/>
          <w:szCs w:val="22"/>
          <w:lang w:val="pl-PL"/>
        </w:rPr>
        <w:t>OPERATIVNI CILJ 1.1. Jačanje funkcionalnosti JLS i fiskalnih pozicija manje razvijenih opština</w:t>
      </w:r>
      <w:bookmarkEnd w:id="50"/>
    </w:p>
    <w:p w14:paraId="0E0E79B4" w14:textId="77777777" w:rsidR="00A13DA5" w:rsidRPr="00726BE7" w:rsidRDefault="00A13DA5" w:rsidP="0048184E">
      <w:pPr>
        <w:pStyle w:val="NoSpacing"/>
        <w:ind w:left="720"/>
        <w:rPr>
          <w:rFonts w:asciiTheme="minorHAnsi" w:hAnsiTheme="minorHAnsi" w:cstheme="minorHAnsi"/>
          <w:b/>
          <w:color w:val="4472C4" w:themeColor="accent5"/>
          <w:lang w:val="sr-Latn-ME"/>
        </w:rPr>
      </w:pPr>
    </w:p>
    <w:p w14:paraId="5C5FA516" w14:textId="77777777" w:rsidR="00A13DA5" w:rsidRPr="00357E2D" w:rsidRDefault="00A13DA5" w:rsidP="0048184E">
      <w:pPr>
        <w:pStyle w:val="NoSpacing"/>
        <w:jc w:val="both"/>
        <w:rPr>
          <w:rFonts w:asciiTheme="minorHAnsi" w:hAnsiTheme="minorHAnsi" w:cstheme="minorHAnsi"/>
          <w:sz w:val="18"/>
          <w:szCs w:val="18"/>
          <w:lang w:val="sr-Latn-ME"/>
        </w:rPr>
      </w:pPr>
      <w:r w:rsidRPr="00357E2D">
        <w:rPr>
          <w:rFonts w:asciiTheme="minorHAnsi" w:hAnsiTheme="minorHAnsi" w:cstheme="minorHAnsi"/>
          <w:sz w:val="18"/>
          <w:szCs w:val="18"/>
          <w:lang w:val="sr-Latn-ME"/>
        </w:rPr>
        <w:t>U okviru OC 1.1. u narednom periodu neophodno je razmotriti mogućnost izmjene zakonskog okvira kojim se definiše finansiranje JLS koja</w:t>
      </w:r>
      <w:bookmarkStart w:id="51" w:name="_Hlk121374759"/>
      <w:r w:rsidRPr="00357E2D">
        <w:rPr>
          <w:rFonts w:asciiTheme="minorHAnsi" w:hAnsiTheme="minorHAnsi" w:cstheme="minorHAnsi"/>
          <w:sz w:val="18"/>
          <w:szCs w:val="18"/>
          <w:lang w:val="sr-Latn-ME"/>
        </w:rPr>
        <w:t xml:space="preserve"> bi obuhvatila izmjenu načina raspodjele ustupljenih prihoda od poreza na dohodak fizičkih lica na način da se uvaže razlike u stepenu razvijenosti jedinica lokalne samouprave i njihovog fiskalnog kapaciteta</w:t>
      </w:r>
      <w:bookmarkStart w:id="52" w:name="_Hlk120937357"/>
      <w:r w:rsidRPr="00357E2D">
        <w:rPr>
          <w:rFonts w:asciiTheme="minorHAnsi" w:hAnsiTheme="minorHAnsi" w:cstheme="minorHAnsi"/>
          <w:sz w:val="18"/>
          <w:szCs w:val="18"/>
          <w:lang w:val="sr-Latn-ME"/>
        </w:rPr>
        <w:t>, kao i da se izmijeni struktura prihoda iz kojih se obezbjeđuju sredstva Egalizacionog fonda</w:t>
      </w:r>
      <w:bookmarkEnd w:id="52"/>
      <w:r w:rsidRPr="00357E2D">
        <w:rPr>
          <w:rFonts w:asciiTheme="minorHAnsi" w:hAnsiTheme="minorHAnsi" w:cstheme="minorHAnsi"/>
          <w:sz w:val="18"/>
          <w:szCs w:val="18"/>
          <w:lang w:val="sr-Latn-ME"/>
        </w:rPr>
        <w:t>. Takođe, potrebno je razmotriti izmjene koncepta finansijskog ujednačavanja opština odnosno raspodjele sredstava Egalizacionog fonda na način da:</w:t>
      </w:r>
    </w:p>
    <w:p w14:paraId="5C4D2DC2" w14:textId="77777777" w:rsidR="00A13DA5" w:rsidRPr="00357E2D" w:rsidRDefault="00A13DA5" w:rsidP="0048184E">
      <w:pPr>
        <w:pStyle w:val="NoSpacing"/>
        <w:numPr>
          <w:ilvl w:val="0"/>
          <w:numId w:val="13"/>
        </w:numPr>
        <w:jc w:val="both"/>
        <w:rPr>
          <w:rFonts w:asciiTheme="minorHAnsi" w:hAnsiTheme="minorHAnsi" w:cstheme="minorHAnsi"/>
          <w:sz w:val="18"/>
          <w:szCs w:val="18"/>
          <w:lang w:val="sr-Latn-ME"/>
        </w:rPr>
      </w:pPr>
      <w:r w:rsidRPr="00357E2D">
        <w:rPr>
          <w:rFonts w:asciiTheme="minorHAnsi" w:hAnsiTheme="minorHAnsi" w:cstheme="minorHAnsi"/>
          <w:sz w:val="18"/>
          <w:szCs w:val="18"/>
          <w:lang w:val="sr-Latn-ME"/>
        </w:rPr>
        <w:t>pravo na sredstva Fonda imaju samo opštine koje su svrstane u grupu manje razvijenih opština odnosno opština čija je vrijednost indeksa razvijenosti ispod 75% p</w:t>
      </w:r>
      <w:bookmarkEnd w:id="51"/>
      <w:r w:rsidRPr="00357E2D">
        <w:rPr>
          <w:rFonts w:asciiTheme="minorHAnsi" w:hAnsiTheme="minorHAnsi" w:cstheme="minorHAnsi"/>
          <w:sz w:val="18"/>
          <w:szCs w:val="18"/>
          <w:lang w:val="sr-Latn-ME"/>
        </w:rPr>
        <w:t>rosjeka indeksa razvijenosti u Crnoj Gori i</w:t>
      </w:r>
    </w:p>
    <w:p w14:paraId="17E1537B" w14:textId="77777777" w:rsidR="00A13DA5" w:rsidRPr="00357E2D" w:rsidRDefault="00A13DA5" w:rsidP="0048184E">
      <w:pPr>
        <w:pStyle w:val="NoSpacing"/>
        <w:numPr>
          <w:ilvl w:val="0"/>
          <w:numId w:val="13"/>
        </w:numPr>
        <w:jc w:val="both"/>
        <w:rPr>
          <w:rFonts w:asciiTheme="minorHAnsi" w:hAnsiTheme="minorHAnsi" w:cstheme="minorHAnsi"/>
          <w:sz w:val="18"/>
          <w:szCs w:val="18"/>
          <w:lang w:val="sr-Latn-ME"/>
        </w:rPr>
      </w:pPr>
      <w:r w:rsidRPr="00357E2D">
        <w:rPr>
          <w:rFonts w:asciiTheme="minorHAnsi" w:hAnsiTheme="minorHAnsi" w:cstheme="minorHAnsi"/>
          <w:sz w:val="18"/>
          <w:szCs w:val="18"/>
          <w:lang w:val="sr-Latn-ME"/>
        </w:rPr>
        <w:t>da se izvrši izmjena kriterijuma za raspodjelu sredstava Fonda pri čemu treba razmotriti opciju da se određeni procenat sredstava Fonda mora koristiti namjenski za izgradnju lokalne infrastrukture.</w:t>
      </w:r>
    </w:p>
    <w:p w14:paraId="3A4C4DA8" w14:textId="77777777" w:rsidR="00A13DA5" w:rsidRPr="0048184E" w:rsidRDefault="00A13DA5" w:rsidP="0048184E">
      <w:pPr>
        <w:pStyle w:val="NoSpacing"/>
        <w:jc w:val="both"/>
        <w:rPr>
          <w:rFonts w:asciiTheme="minorHAnsi" w:hAnsiTheme="minorHAnsi" w:cstheme="minorHAnsi"/>
          <w:sz w:val="18"/>
          <w:szCs w:val="18"/>
          <w:lang w:val="sr-Latn-ME"/>
        </w:rPr>
      </w:pPr>
    </w:p>
    <w:p w14:paraId="1C4BF3CF" w14:textId="77777777" w:rsidR="004C1B9C" w:rsidRDefault="00A13DA5" w:rsidP="0048184E">
      <w:pPr>
        <w:spacing w:after="0" w:line="240" w:lineRule="auto"/>
        <w:jc w:val="both"/>
        <w:rPr>
          <w:sz w:val="18"/>
          <w:szCs w:val="18"/>
          <w:lang w:val="sr-Latn-ME"/>
        </w:rPr>
      </w:pPr>
      <w:r w:rsidRPr="0048184E">
        <w:rPr>
          <w:rFonts w:cstheme="minorHAnsi"/>
          <w:sz w:val="18"/>
          <w:szCs w:val="18"/>
          <w:lang w:val="sr-Latn-ME"/>
        </w:rPr>
        <w:t>P</w:t>
      </w:r>
      <w:r w:rsidRPr="0048184E">
        <w:rPr>
          <w:rFonts w:cstheme="minorHAnsi"/>
          <w:sz w:val="18"/>
          <w:szCs w:val="18"/>
          <w:lang w:val="en-GB"/>
        </w:rPr>
        <w:t>otrebno</w:t>
      </w:r>
      <w:r w:rsidRPr="0048184E">
        <w:rPr>
          <w:rFonts w:cstheme="minorHAnsi"/>
          <w:sz w:val="18"/>
          <w:szCs w:val="18"/>
          <w:lang w:val="sr-Latn-ME"/>
        </w:rPr>
        <w:t xml:space="preserve"> </w:t>
      </w:r>
      <w:r w:rsidRPr="0048184E">
        <w:rPr>
          <w:rFonts w:cstheme="minorHAnsi"/>
          <w:sz w:val="18"/>
          <w:szCs w:val="18"/>
          <w:lang w:val="en-GB"/>
        </w:rPr>
        <w:t>je</w:t>
      </w:r>
      <w:r w:rsidRPr="0048184E">
        <w:rPr>
          <w:rFonts w:cstheme="minorHAnsi"/>
          <w:sz w:val="18"/>
          <w:szCs w:val="18"/>
          <w:lang w:val="sr-Latn-ME"/>
        </w:rPr>
        <w:t xml:space="preserve"> </w:t>
      </w:r>
      <w:r w:rsidRPr="0048184E">
        <w:rPr>
          <w:rFonts w:cstheme="minorHAnsi"/>
          <w:sz w:val="18"/>
          <w:szCs w:val="18"/>
          <w:lang w:val="en-GB"/>
        </w:rPr>
        <w:t>raditi</w:t>
      </w:r>
      <w:r w:rsidRPr="0048184E">
        <w:rPr>
          <w:rFonts w:cstheme="minorHAnsi"/>
          <w:sz w:val="18"/>
          <w:szCs w:val="18"/>
          <w:lang w:val="sr-Latn-ME"/>
        </w:rPr>
        <w:t xml:space="preserve"> i </w:t>
      </w:r>
      <w:r w:rsidRPr="0048184E">
        <w:rPr>
          <w:rFonts w:cstheme="minorHAnsi"/>
          <w:sz w:val="18"/>
          <w:szCs w:val="18"/>
          <w:lang w:val="en-GB"/>
        </w:rPr>
        <w:t>na</w:t>
      </w:r>
      <w:r w:rsidRPr="0048184E">
        <w:rPr>
          <w:rFonts w:cstheme="minorHAnsi"/>
          <w:sz w:val="18"/>
          <w:szCs w:val="18"/>
          <w:lang w:val="sr-Latn-ME"/>
        </w:rPr>
        <w:t xml:space="preserve"> </w:t>
      </w:r>
      <w:r w:rsidRPr="0048184E">
        <w:rPr>
          <w:rFonts w:cstheme="minorHAnsi"/>
          <w:sz w:val="18"/>
          <w:szCs w:val="18"/>
          <w:lang w:val="en-GB"/>
        </w:rPr>
        <w:t>unaprje</w:t>
      </w:r>
      <w:r w:rsidRPr="0048184E">
        <w:rPr>
          <w:rFonts w:cstheme="minorHAnsi"/>
          <w:sz w:val="18"/>
          <w:szCs w:val="18"/>
          <w:lang w:val="sr-Latn-ME"/>
        </w:rPr>
        <w:t>đ</w:t>
      </w:r>
      <w:r w:rsidRPr="0048184E">
        <w:rPr>
          <w:rFonts w:cstheme="minorHAnsi"/>
          <w:sz w:val="18"/>
          <w:szCs w:val="18"/>
          <w:lang w:val="en-GB"/>
        </w:rPr>
        <w:t>enju</w:t>
      </w:r>
      <w:r w:rsidRPr="0048184E">
        <w:rPr>
          <w:rFonts w:cstheme="minorHAnsi"/>
          <w:sz w:val="18"/>
          <w:szCs w:val="18"/>
          <w:lang w:val="sr-Latn-ME"/>
        </w:rPr>
        <w:t xml:space="preserve"> </w:t>
      </w:r>
      <w:r w:rsidRPr="0048184E">
        <w:rPr>
          <w:rFonts w:cstheme="minorHAnsi"/>
          <w:sz w:val="18"/>
          <w:szCs w:val="18"/>
          <w:lang w:val="en-GB"/>
        </w:rPr>
        <w:t>funkcionalnosti</w:t>
      </w:r>
      <w:r w:rsidRPr="0048184E">
        <w:rPr>
          <w:rFonts w:cstheme="minorHAnsi"/>
          <w:sz w:val="18"/>
          <w:szCs w:val="18"/>
          <w:lang w:val="sr-Latn-ME"/>
        </w:rPr>
        <w:t xml:space="preserve"> </w:t>
      </w:r>
      <w:r w:rsidRPr="0048184E">
        <w:rPr>
          <w:rFonts w:cstheme="minorHAnsi"/>
          <w:sz w:val="18"/>
          <w:szCs w:val="18"/>
          <w:lang w:val="en-GB"/>
        </w:rPr>
        <w:t>JLS</w:t>
      </w:r>
      <w:r w:rsidRPr="0048184E">
        <w:rPr>
          <w:rFonts w:cstheme="minorHAnsi"/>
          <w:sz w:val="18"/>
          <w:szCs w:val="18"/>
          <w:lang w:val="sr-Latn-ME"/>
        </w:rPr>
        <w:t xml:space="preserve"> </w:t>
      </w:r>
      <w:r w:rsidRPr="0048184E">
        <w:rPr>
          <w:rFonts w:cstheme="minorHAnsi"/>
          <w:sz w:val="18"/>
          <w:szCs w:val="18"/>
          <w:lang w:val="en-GB"/>
        </w:rPr>
        <w:t>i</w:t>
      </w:r>
      <w:r w:rsidRPr="0048184E">
        <w:rPr>
          <w:rFonts w:cstheme="minorHAnsi"/>
          <w:sz w:val="18"/>
          <w:szCs w:val="18"/>
          <w:lang w:val="sr-Latn-ME"/>
        </w:rPr>
        <w:t xml:space="preserve"> </w:t>
      </w:r>
      <w:r w:rsidRPr="0048184E">
        <w:rPr>
          <w:rFonts w:cstheme="minorHAnsi"/>
          <w:sz w:val="18"/>
          <w:szCs w:val="18"/>
          <w:lang w:val="en-GB"/>
        </w:rPr>
        <w:t>efikasnog</w:t>
      </w:r>
      <w:r w:rsidRPr="0048184E">
        <w:rPr>
          <w:rFonts w:cstheme="minorHAnsi"/>
          <w:sz w:val="18"/>
          <w:szCs w:val="18"/>
          <w:lang w:val="sr-Latn-ME"/>
        </w:rPr>
        <w:t xml:space="preserve"> </w:t>
      </w:r>
      <w:r w:rsidRPr="0048184E">
        <w:rPr>
          <w:rFonts w:cstheme="minorHAnsi"/>
          <w:sz w:val="18"/>
          <w:szCs w:val="18"/>
          <w:lang w:val="en-GB"/>
        </w:rPr>
        <w:t>odgovora</w:t>
      </w:r>
      <w:r w:rsidRPr="0048184E">
        <w:rPr>
          <w:rFonts w:cstheme="minorHAnsi"/>
          <w:sz w:val="18"/>
          <w:szCs w:val="18"/>
          <w:lang w:val="sr-Latn-ME"/>
        </w:rPr>
        <w:t xml:space="preserve"> </w:t>
      </w:r>
      <w:r w:rsidRPr="0048184E">
        <w:rPr>
          <w:rFonts w:cstheme="minorHAnsi"/>
          <w:sz w:val="18"/>
          <w:szCs w:val="18"/>
          <w:lang w:val="en-GB"/>
        </w:rPr>
        <w:t>potrebama</w:t>
      </w:r>
      <w:r w:rsidRPr="0048184E">
        <w:rPr>
          <w:rFonts w:cstheme="minorHAnsi"/>
          <w:sz w:val="18"/>
          <w:szCs w:val="18"/>
          <w:lang w:val="sr-Latn-ME"/>
        </w:rPr>
        <w:t xml:space="preserve"> </w:t>
      </w:r>
      <w:r w:rsidRPr="0048184E">
        <w:rPr>
          <w:rFonts w:cstheme="minorHAnsi"/>
          <w:sz w:val="18"/>
          <w:szCs w:val="18"/>
          <w:lang w:val="en-GB"/>
        </w:rPr>
        <w:t>gra</w:t>
      </w:r>
      <w:r w:rsidRPr="0048184E">
        <w:rPr>
          <w:rFonts w:cstheme="minorHAnsi"/>
          <w:sz w:val="18"/>
          <w:szCs w:val="18"/>
          <w:lang w:val="sr-Latn-ME"/>
        </w:rPr>
        <w:t>đ</w:t>
      </w:r>
      <w:r w:rsidRPr="0048184E">
        <w:rPr>
          <w:rFonts w:cstheme="minorHAnsi"/>
          <w:sz w:val="18"/>
          <w:szCs w:val="18"/>
          <w:lang w:val="en-GB"/>
        </w:rPr>
        <w:t>ana</w:t>
      </w:r>
      <w:r w:rsidRPr="0048184E">
        <w:rPr>
          <w:rFonts w:cstheme="minorHAnsi"/>
          <w:sz w:val="18"/>
          <w:szCs w:val="18"/>
          <w:lang w:val="sr-Latn-ME"/>
        </w:rPr>
        <w:t>/</w:t>
      </w:r>
      <w:r w:rsidRPr="0048184E">
        <w:rPr>
          <w:rFonts w:cstheme="minorHAnsi"/>
          <w:sz w:val="18"/>
          <w:szCs w:val="18"/>
          <w:lang w:val="en-GB"/>
        </w:rPr>
        <w:t>ki</w:t>
      </w:r>
      <w:r w:rsidRPr="0048184E">
        <w:rPr>
          <w:rFonts w:cstheme="minorHAnsi"/>
          <w:sz w:val="18"/>
          <w:szCs w:val="18"/>
          <w:lang w:val="sr-Latn-ME"/>
        </w:rPr>
        <w:t xml:space="preserve"> </w:t>
      </w:r>
      <w:r w:rsidRPr="0048184E">
        <w:rPr>
          <w:rFonts w:cstheme="minorHAnsi"/>
          <w:sz w:val="18"/>
          <w:szCs w:val="18"/>
          <w:lang w:val="en-GB"/>
        </w:rPr>
        <w:t>kao</w:t>
      </w:r>
      <w:r w:rsidRPr="0048184E">
        <w:rPr>
          <w:rFonts w:cstheme="minorHAnsi"/>
          <w:sz w:val="18"/>
          <w:szCs w:val="18"/>
          <w:lang w:val="sr-Latn-ME"/>
        </w:rPr>
        <w:t xml:space="preserve"> </w:t>
      </w:r>
      <w:r w:rsidRPr="0048184E">
        <w:rPr>
          <w:rFonts w:cstheme="minorHAnsi"/>
          <w:sz w:val="18"/>
          <w:szCs w:val="18"/>
          <w:lang w:val="en-GB"/>
        </w:rPr>
        <w:t>i</w:t>
      </w:r>
      <w:r w:rsidRPr="0048184E">
        <w:rPr>
          <w:rFonts w:cstheme="minorHAnsi"/>
          <w:sz w:val="18"/>
          <w:szCs w:val="18"/>
          <w:lang w:val="sr-Latn-ME"/>
        </w:rPr>
        <w:t xml:space="preserve">  </w:t>
      </w:r>
      <w:r w:rsidRPr="0048184E">
        <w:rPr>
          <w:rFonts w:cstheme="minorHAnsi"/>
          <w:sz w:val="18"/>
          <w:szCs w:val="18"/>
          <w:lang w:val="en-GB"/>
        </w:rPr>
        <w:t>ja</w:t>
      </w:r>
      <w:r w:rsidRPr="0048184E">
        <w:rPr>
          <w:rFonts w:cstheme="minorHAnsi"/>
          <w:sz w:val="18"/>
          <w:szCs w:val="18"/>
          <w:lang w:val="sr-Latn-ME"/>
        </w:rPr>
        <w:t>č</w:t>
      </w:r>
      <w:r w:rsidRPr="0048184E">
        <w:rPr>
          <w:rFonts w:cstheme="minorHAnsi"/>
          <w:sz w:val="18"/>
          <w:szCs w:val="18"/>
          <w:lang w:val="en-GB"/>
        </w:rPr>
        <w:t>ati</w:t>
      </w:r>
      <w:r w:rsidRPr="0048184E">
        <w:rPr>
          <w:rFonts w:cstheme="minorHAnsi"/>
          <w:sz w:val="18"/>
          <w:szCs w:val="18"/>
          <w:lang w:val="sr-Latn-ME"/>
        </w:rPr>
        <w:t xml:space="preserve"> </w:t>
      </w:r>
      <w:r w:rsidRPr="0048184E">
        <w:rPr>
          <w:rFonts w:cstheme="minorHAnsi"/>
          <w:sz w:val="18"/>
          <w:szCs w:val="18"/>
          <w:lang w:val="en-GB"/>
        </w:rPr>
        <w:t>mehanizam</w:t>
      </w:r>
      <w:r w:rsidRPr="0048184E">
        <w:rPr>
          <w:rFonts w:cstheme="minorHAnsi"/>
          <w:sz w:val="18"/>
          <w:szCs w:val="18"/>
          <w:lang w:val="sr-Latn-ME"/>
        </w:rPr>
        <w:t xml:space="preserve"> </w:t>
      </w:r>
      <w:r w:rsidRPr="0048184E">
        <w:rPr>
          <w:rFonts w:cstheme="minorHAnsi"/>
          <w:sz w:val="18"/>
          <w:szCs w:val="18"/>
          <w:lang w:val="en-GB"/>
        </w:rPr>
        <w:t>me</w:t>
      </w:r>
      <w:r w:rsidRPr="0048184E">
        <w:rPr>
          <w:rFonts w:cstheme="minorHAnsi"/>
          <w:sz w:val="18"/>
          <w:szCs w:val="18"/>
          <w:lang w:val="sr-Latn-ME"/>
        </w:rPr>
        <w:t>đ</w:t>
      </w:r>
      <w:r w:rsidRPr="0048184E">
        <w:rPr>
          <w:rFonts w:cstheme="minorHAnsi"/>
          <w:sz w:val="18"/>
          <w:szCs w:val="18"/>
          <w:lang w:val="en-GB"/>
        </w:rPr>
        <w:t>uop</w:t>
      </w:r>
      <w:r w:rsidRPr="0048184E">
        <w:rPr>
          <w:rFonts w:cstheme="minorHAnsi"/>
          <w:sz w:val="18"/>
          <w:szCs w:val="18"/>
          <w:lang w:val="sr-Latn-ME"/>
        </w:rPr>
        <w:t>š</w:t>
      </w:r>
      <w:r w:rsidRPr="0048184E">
        <w:rPr>
          <w:rFonts w:cstheme="minorHAnsi"/>
          <w:sz w:val="18"/>
          <w:szCs w:val="18"/>
          <w:lang w:val="en-GB"/>
        </w:rPr>
        <w:t>tinske</w:t>
      </w:r>
      <w:r w:rsidRPr="0048184E">
        <w:rPr>
          <w:rFonts w:cstheme="minorHAnsi"/>
          <w:sz w:val="18"/>
          <w:szCs w:val="18"/>
          <w:lang w:val="sr-Latn-ME"/>
        </w:rPr>
        <w:t xml:space="preserve"> </w:t>
      </w:r>
      <w:r w:rsidRPr="0048184E">
        <w:rPr>
          <w:rFonts w:cstheme="minorHAnsi"/>
          <w:sz w:val="18"/>
          <w:szCs w:val="18"/>
          <w:lang w:val="en-GB"/>
        </w:rPr>
        <w:t>saradnje</w:t>
      </w:r>
      <w:r w:rsidRPr="0048184E">
        <w:rPr>
          <w:rFonts w:cstheme="minorHAnsi"/>
          <w:sz w:val="18"/>
          <w:szCs w:val="18"/>
          <w:lang w:val="sr-Latn-ME"/>
        </w:rPr>
        <w:t xml:space="preserve">, </w:t>
      </w:r>
      <w:r w:rsidRPr="0048184E">
        <w:rPr>
          <w:rFonts w:cstheme="minorHAnsi"/>
          <w:sz w:val="18"/>
          <w:szCs w:val="18"/>
          <w:lang w:val="en-GB"/>
        </w:rPr>
        <w:t>kako</w:t>
      </w:r>
      <w:r w:rsidRPr="0048184E">
        <w:rPr>
          <w:rFonts w:cstheme="minorHAnsi"/>
          <w:sz w:val="18"/>
          <w:szCs w:val="18"/>
          <w:lang w:val="sr-Latn-ME"/>
        </w:rPr>
        <w:t xml:space="preserve"> </w:t>
      </w:r>
      <w:r w:rsidRPr="0048184E">
        <w:rPr>
          <w:rFonts w:cstheme="minorHAnsi"/>
          <w:sz w:val="18"/>
          <w:szCs w:val="18"/>
          <w:lang w:val="en-GB"/>
        </w:rPr>
        <w:t>bi</w:t>
      </w:r>
      <w:r w:rsidRPr="0048184E">
        <w:rPr>
          <w:rFonts w:cstheme="minorHAnsi"/>
          <w:sz w:val="18"/>
          <w:szCs w:val="18"/>
          <w:lang w:val="sr-Latn-ME"/>
        </w:rPr>
        <w:t xml:space="preserve"> </w:t>
      </w:r>
      <w:r w:rsidRPr="0048184E">
        <w:rPr>
          <w:rFonts w:cstheme="minorHAnsi"/>
          <w:sz w:val="18"/>
          <w:szCs w:val="18"/>
          <w:lang w:val="en-GB"/>
        </w:rPr>
        <w:t>se</w:t>
      </w:r>
      <w:r w:rsidRPr="0048184E">
        <w:rPr>
          <w:rFonts w:cstheme="minorHAnsi"/>
          <w:sz w:val="18"/>
          <w:szCs w:val="18"/>
          <w:lang w:val="sr-Latn-ME"/>
        </w:rPr>
        <w:t xml:space="preserve"> </w:t>
      </w:r>
      <w:r w:rsidRPr="0048184E">
        <w:rPr>
          <w:rFonts w:cstheme="minorHAnsi"/>
          <w:sz w:val="18"/>
          <w:szCs w:val="18"/>
          <w:lang w:val="en-GB"/>
        </w:rPr>
        <w:t>obezbijedilo</w:t>
      </w:r>
      <w:r w:rsidRPr="0048184E">
        <w:rPr>
          <w:rFonts w:cstheme="minorHAnsi"/>
          <w:sz w:val="18"/>
          <w:szCs w:val="18"/>
          <w:lang w:val="sr-Latn-ME"/>
        </w:rPr>
        <w:t xml:space="preserve"> </w:t>
      </w:r>
      <w:r w:rsidRPr="0048184E">
        <w:rPr>
          <w:rFonts w:cstheme="minorHAnsi"/>
          <w:sz w:val="18"/>
          <w:szCs w:val="18"/>
          <w:lang w:val="en-GB"/>
        </w:rPr>
        <w:t>kvalitetno</w:t>
      </w:r>
      <w:r w:rsidRPr="0048184E">
        <w:rPr>
          <w:rFonts w:cstheme="minorHAnsi"/>
          <w:sz w:val="18"/>
          <w:szCs w:val="18"/>
          <w:lang w:val="sr-Latn-ME"/>
        </w:rPr>
        <w:t xml:space="preserve"> </w:t>
      </w:r>
      <w:r w:rsidRPr="0048184E">
        <w:rPr>
          <w:rFonts w:cstheme="minorHAnsi"/>
          <w:sz w:val="18"/>
          <w:szCs w:val="18"/>
          <w:lang w:val="en-GB"/>
        </w:rPr>
        <w:t>i</w:t>
      </w:r>
      <w:r w:rsidRPr="0048184E">
        <w:rPr>
          <w:rFonts w:cstheme="minorHAnsi"/>
          <w:sz w:val="18"/>
          <w:szCs w:val="18"/>
          <w:lang w:val="sr-Latn-ME"/>
        </w:rPr>
        <w:t xml:space="preserve"> </w:t>
      </w:r>
      <w:r w:rsidRPr="0048184E">
        <w:rPr>
          <w:rFonts w:cstheme="minorHAnsi"/>
          <w:sz w:val="18"/>
          <w:szCs w:val="18"/>
          <w:lang w:val="en-GB"/>
        </w:rPr>
        <w:t>racionalno</w:t>
      </w:r>
      <w:r w:rsidRPr="0048184E">
        <w:rPr>
          <w:rFonts w:cstheme="minorHAnsi"/>
          <w:sz w:val="18"/>
          <w:szCs w:val="18"/>
          <w:lang w:val="sr-Latn-ME"/>
        </w:rPr>
        <w:t xml:space="preserve"> </w:t>
      </w:r>
      <w:r w:rsidRPr="0048184E">
        <w:rPr>
          <w:rFonts w:cstheme="minorHAnsi"/>
          <w:sz w:val="18"/>
          <w:szCs w:val="18"/>
          <w:lang w:val="en-GB"/>
        </w:rPr>
        <w:t>obavljanje</w:t>
      </w:r>
      <w:r w:rsidRPr="0048184E">
        <w:rPr>
          <w:rFonts w:cstheme="minorHAnsi"/>
          <w:sz w:val="18"/>
          <w:szCs w:val="18"/>
          <w:lang w:val="sr-Latn-ME"/>
        </w:rPr>
        <w:t xml:space="preserve"> </w:t>
      </w:r>
      <w:r w:rsidRPr="0048184E">
        <w:rPr>
          <w:rFonts w:cstheme="minorHAnsi"/>
          <w:sz w:val="18"/>
          <w:szCs w:val="18"/>
          <w:lang w:val="en-GB"/>
        </w:rPr>
        <w:t>poslova</w:t>
      </w:r>
      <w:r w:rsidRPr="0048184E">
        <w:rPr>
          <w:rFonts w:cstheme="minorHAnsi"/>
          <w:sz w:val="18"/>
          <w:szCs w:val="18"/>
          <w:lang w:val="sr-Latn-ME"/>
        </w:rPr>
        <w:t xml:space="preserve"> </w:t>
      </w:r>
      <w:r w:rsidRPr="0048184E">
        <w:rPr>
          <w:rFonts w:cstheme="minorHAnsi"/>
          <w:sz w:val="18"/>
          <w:szCs w:val="18"/>
          <w:lang w:val="en-GB"/>
        </w:rPr>
        <w:t>koji</w:t>
      </w:r>
      <w:r w:rsidRPr="0048184E">
        <w:rPr>
          <w:rFonts w:cstheme="minorHAnsi"/>
          <w:sz w:val="18"/>
          <w:szCs w:val="18"/>
          <w:lang w:val="sr-Latn-ME"/>
        </w:rPr>
        <w:t xml:space="preserve"> </w:t>
      </w:r>
      <w:r w:rsidRPr="0048184E">
        <w:rPr>
          <w:rFonts w:cstheme="minorHAnsi"/>
          <w:sz w:val="18"/>
          <w:szCs w:val="18"/>
          <w:lang w:val="en-GB"/>
        </w:rPr>
        <w:t>su</w:t>
      </w:r>
      <w:r w:rsidRPr="0048184E">
        <w:rPr>
          <w:rFonts w:cstheme="minorHAnsi"/>
          <w:sz w:val="18"/>
          <w:szCs w:val="18"/>
          <w:lang w:val="sr-Latn-ME"/>
        </w:rPr>
        <w:t xml:space="preserve"> </w:t>
      </w:r>
      <w:r w:rsidRPr="0048184E">
        <w:rPr>
          <w:rFonts w:cstheme="minorHAnsi"/>
          <w:sz w:val="18"/>
          <w:szCs w:val="18"/>
          <w:lang w:val="en-GB"/>
        </w:rPr>
        <w:t>u</w:t>
      </w:r>
      <w:r w:rsidRPr="0048184E">
        <w:rPr>
          <w:rFonts w:cstheme="minorHAnsi"/>
          <w:sz w:val="18"/>
          <w:szCs w:val="18"/>
          <w:lang w:val="sr-Latn-ME"/>
        </w:rPr>
        <w:t xml:space="preserve"> </w:t>
      </w:r>
      <w:r w:rsidRPr="0048184E">
        <w:rPr>
          <w:rFonts w:cstheme="minorHAnsi"/>
          <w:sz w:val="18"/>
          <w:szCs w:val="18"/>
          <w:lang w:val="en-GB"/>
        </w:rPr>
        <w:t>nadle</w:t>
      </w:r>
      <w:r w:rsidRPr="0048184E">
        <w:rPr>
          <w:rFonts w:cstheme="minorHAnsi"/>
          <w:sz w:val="18"/>
          <w:szCs w:val="18"/>
          <w:lang w:val="sr-Latn-ME"/>
        </w:rPr>
        <w:t>ž</w:t>
      </w:r>
      <w:r w:rsidRPr="0048184E">
        <w:rPr>
          <w:rFonts w:cstheme="minorHAnsi"/>
          <w:sz w:val="18"/>
          <w:szCs w:val="18"/>
          <w:lang w:val="en-GB"/>
        </w:rPr>
        <w:t>nosti</w:t>
      </w:r>
      <w:r w:rsidRPr="0048184E">
        <w:rPr>
          <w:rFonts w:cstheme="minorHAnsi"/>
          <w:sz w:val="18"/>
          <w:szCs w:val="18"/>
          <w:lang w:val="sr-Latn-ME"/>
        </w:rPr>
        <w:t xml:space="preserve"> </w:t>
      </w:r>
      <w:r w:rsidRPr="0048184E">
        <w:rPr>
          <w:rFonts w:cstheme="minorHAnsi"/>
          <w:sz w:val="18"/>
          <w:szCs w:val="18"/>
          <w:lang w:val="en-GB"/>
        </w:rPr>
        <w:t>op</w:t>
      </w:r>
      <w:r w:rsidRPr="0048184E">
        <w:rPr>
          <w:rFonts w:cstheme="minorHAnsi"/>
          <w:sz w:val="18"/>
          <w:szCs w:val="18"/>
          <w:lang w:val="sr-Latn-ME"/>
        </w:rPr>
        <w:t>š</w:t>
      </w:r>
      <w:r w:rsidRPr="0048184E">
        <w:rPr>
          <w:rFonts w:cstheme="minorHAnsi"/>
          <w:sz w:val="18"/>
          <w:szCs w:val="18"/>
          <w:lang w:val="en-GB"/>
        </w:rPr>
        <w:t>tina</w:t>
      </w:r>
      <w:r w:rsidRPr="0048184E">
        <w:rPr>
          <w:rFonts w:cstheme="minorHAnsi"/>
          <w:sz w:val="18"/>
          <w:szCs w:val="18"/>
          <w:lang w:val="sr-Latn-ME"/>
        </w:rPr>
        <w:t xml:space="preserve">. </w:t>
      </w:r>
      <w:r w:rsidRPr="0048184E">
        <w:rPr>
          <w:rFonts w:cstheme="minorHAnsi"/>
          <w:sz w:val="18"/>
          <w:szCs w:val="18"/>
          <w:lang w:val="en-GB"/>
        </w:rPr>
        <w:t>Dodatno</w:t>
      </w:r>
      <w:r w:rsidRPr="0048184E">
        <w:rPr>
          <w:rFonts w:cstheme="minorHAnsi"/>
          <w:sz w:val="18"/>
          <w:szCs w:val="18"/>
          <w:lang w:val="sr-Latn-ME"/>
        </w:rPr>
        <w:t xml:space="preserve">, poseban akcenat treba staviti na </w:t>
      </w:r>
      <w:r w:rsidRPr="0048184E">
        <w:rPr>
          <w:rFonts w:cstheme="minorHAnsi"/>
          <w:sz w:val="18"/>
          <w:szCs w:val="18"/>
          <w:lang w:val="en-GB"/>
        </w:rPr>
        <w:t>ja</w:t>
      </w:r>
      <w:r w:rsidRPr="0048184E">
        <w:rPr>
          <w:rFonts w:cstheme="minorHAnsi"/>
          <w:sz w:val="18"/>
          <w:szCs w:val="18"/>
          <w:lang w:val="sr-Latn-ME"/>
        </w:rPr>
        <w:t>č</w:t>
      </w:r>
      <w:r w:rsidRPr="0048184E">
        <w:rPr>
          <w:rFonts w:cstheme="minorHAnsi"/>
          <w:sz w:val="18"/>
          <w:szCs w:val="18"/>
          <w:lang w:val="en-GB"/>
        </w:rPr>
        <w:t>anje</w:t>
      </w:r>
      <w:r w:rsidRPr="0048184E">
        <w:rPr>
          <w:rFonts w:cstheme="minorHAnsi"/>
          <w:sz w:val="18"/>
          <w:szCs w:val="18"/>
          <w:lang w:val="sr-Latn-ME"/>
        </w:rPr>
        <w:t xml:space="preserve"> </w:t>
      </w:r>
      <w:r w:rsidRPr="0048184E">
        <w:rPr>
          <w:rFonts w:cstheme="minorHAnsi"/>
          <w:sz w:val="18"/>
          <w:szCs w:val="18"/>
          <w:lang w:val="en-GB"/>
        </w:rPr>
        <w:t>administrativnih</w:t>
      </w:r>
      <w:r w:rsidRPr="0048184E">
        <w:rPr>
          <w:rFonts w:cstheme="minorHAnsi"/>
          <w:sz w:val="18"/>
          <w:szCs w:val="18"/>
          <w:lang w:val="sr-Latn-ME"/>
        </w:rPr>
        <w:t xml:space="preserve"> </w:t>
      </w:r>
      <w:r w:rsidRPr="0048184E">
        <w:rPr>
          <w:rFonts w:cstheme="minorHAnsi"/>
          <w:sz w:val="18"/>
          <w:szCs w:val="18"/>
          <w:lang w:val="en-GB"/>
        </w:rPr>
        <w:t>kapaciteta</w:t>
      </w:r>
      <w:r w:rsidRPr="0048184E">
        <w:rPr>
          <w:rFonts w:cstheme="minorHAnsi"/>
          <w:sz w:val="18"/>
          <w:szCs w:val="18"/>
          <w:lang w:val="sr-Latn-ME"/>
        </w:rPr>
        <w:t xml:space="preserve"> </w:t>
      </w:r>
      <w:r w:rsidRPr="0048184E">
        <w:rPr>
          <w:rFonts w:cstheme="minorHAnsi"/>
          <w:sz w:val="18"/>
          <w:szCs w:val="18"/>
          <w:lang w:val="en-GB"/>
        </w:rPr>
        <w:t>JLS</w:t>
      </w:r>
      <w:r w:rsidRPr="0048184E">
        <w:rPr>
          <w:rFonts w:cstheme="minorHAnsi"/>
          <w:sz w:val="18"/>
          <w:szCs w:val="18"/>
          <w:lang w:val="sr-Latn-ME"/>
        </w:rPr>
        <w:t xml:space="preserve"> </w:t>
      </w:r>
      <w:r w:rsidRPr="0048184E">
        <w:rPr>
          <w:rFonts w:cstheme="minorHAnsi"/>
          <w:sz w:val="18"/>
          <w:szCs w:val="18"/>
          <w:lang w:val="en-GB"/>
        </w:rPr>
        <w:t>za</w:t>
      </w:r>
      <w:r w:rsidRPr="0048184E">
        <w:rPr>
          <w:rFonts w:cstheme="minorHAnsi"/>
          <w:sz w:val="18"/>
          <w:szCs w:val="18"/>
          <w:lang w:val="sr-Latn-ME"/>
        </w:rPr>
        <w:t xml:space="preserve"> </w:t>
      </w:r>
      <w:r w:rsidRPr="0048184E">
        <w:rPr>
          <w:rFonts w:cstheme="minorHAnsi"/>
          <w:sz w:val="18"/>
          <w:szCs w:val="18"/>
          <w:lang w:val="en-GB"/>
        </w:rPr>
        <w:t>pripremu</w:t>
      </w:r>
      <w:r w:rsidRPr="0048184E">
        <w:rPr>
          <w:rFonts w:cstheme="minorHAnsi"/>
          <w:sz w:val="18"/>
          <w:szCs w:val="18"/>
          <w:lang w:val="sr-Latn-ME"/>
        </w:rPr>
        <w:t xml:space="preserve"> </w:t>
      </w:r>
      <w:r w:rsidRPr="0048184E">
        <w:rPr>
          <w:rFonts w:cstheme="minorHAnsi"/>
          <w:sz w:val="18"/>
          <w:szCs w:val="18"/>
          <w:lang w:val="en-GB"/>
        </w:rPr>
        <w:t>razvojnih</w:t>
      </w:r>
      <w:r w:rsidRPr="0048184E">
        <w:rPr>
          <w:rFonts w:cstheme="minorHAnsi"/>
          <w:sz w:val="18"/>
          <w:szCs w:val="18"/>
          <w:lang w:val="sr-Latn-ME"/>
        </w:rPr>
        <w:t xml:space="preserve"> </w:t>
      </w:r>
      <w:r w:rsidRPr="0048184E">
        <w:rPr>
          <w:rFonts w:cstheme="minorHAnsi"/>
          <w:sz w:val="18"/>
          <w:szCs w:val="18"/>
          <w:lang w:val="en-GB"/>
        </w:rPr>
        <w:t>projekata</w:t>
      </w:r>
      <w:r w:rsidRPr="0048184E">
        <w:rPr>
          <w:rFonts w:cstheme="minorHAnsi"/>
          <w:sz w:val="18"/>
          <w:szCs w:val="18"/>
          <w:lang w:val="sr-Latn-ME"/>
        </w:rPr>
        <w:t>, projekata dvije ili više opština kroz izmjene i dopune zakonodavnog okvira koji definiše oblast regionalnog razvoja sa ciljem jasnijeg definisanja podsticaja za finansiranje razvojnih projekata dvije ili više opština.</w:t>
      </w:r>
      <w:r w:rsidR="009A07B3" w:rsidRPr="0048184E">
        <w:rPr>
          <w:rFonts w:cstheme="minorHAnsi"/>
          <w:sz w:val="18"/>
          <w:szCs w:val="18"/>
          <w:lang w:val="sr-Latn-ME"/>
        </w:rPr>
        <w:t xml:space="preserve"> Pored navedenom Vlada bi na predlog resornog m</w:t>
      </w:r>
      <w:r w:rsidR="00C647A8" w:rsidRPr="0048184E">
        <w:rPr>
          <w:rFonts w:cstheme="minorHAnsi"/>
          <w:sz w:val="18"/>
          <w:szCs w:val="18"/>
          <w:lang w:val="sr-Latn-ME"/>
        </w:rPr>
        <w:t>inistarstva, a uz prethodno pri</w:t>
      </w:r>
      <w:r w:rsidR="009A07B3" w:rsidRPr="0048184E">
        <w:rPr>
          <w:rFonts w:cstheme="minorHAnsi"/>
          <w:sz w:val="18"/>
          <w:szCs w:val="18"/>
          <w:lang w:val="sr-Latn-ME"/>
        </w:rPr>
        <w:t xml:space="preserve">bavljeno misljenje </w:t>
      </w:r>
      <w:r w:rsidR="0054581F">
        <w:rPr>
          <w:rFonts w:cstheme="minorHAnsi"/>
          <w:sz w:val="18"/>
          <w:szCs w:val="18"/>
          <w:lang w:val="sr-Latn-ME"/>
        </w:rPr>
        <w:t>MF</w:t>
      </w:r>
      <w:r w:rsidR="009A07B3" w:rsidRPr="0048184E">
        <w:rPr>
          <w:rFonts w:cstheme="minorHAnsi"/>
          <w:sz w:val="18"/>
          <w:szCs w:val="18"/>
          <w:lang w:val="sr-Latn-ME"/>
        </w:rPr>
        <w:t>, trebalo da donosi na godišnjem nivou Program</w:t>
      </w:r>
      <w:r w:rsidR="009A07B3" w:rsidRPr="0048184E">
        <w:rPr>
          <w:sz w:val="18"/>
          <w:szCs w:val="18"/>
          <w:lang w:val="sr-Latn-ME"/>
        </w:rPr>
        <w:t xml:space="preserve"> </w:t>
      </w:r>
      <w:r w:rsidR="009A07B3" w:rsidRPr="0048184E">
        <w:rPr>
          <w:sz w:val="18"/>
          <w:szCs w:val="18"/>
          <w:lang w:val="pl-PL"/>
        </w:rPr>
        <w:t>podsticaja</w:t>
      </w:r>
      <w:r w:rsidR="009A07B3" w:rsidRPr="0048184E">
        <w:rPr>
          <w:sz w:val="18"/>
          <w:szCs w:val="18"/>
          <w:lang w:val="sr-Latn-ME"/>
        </w:rPr>
        <w:t xml:space="preserve"> </w:t>
      </w:r>
      <w:r w:rsidR="009A07B3" w:rsidRPr="0048184E">
        <w:rPr>
          <w:sz w:val="18"/>
          <w:szCs w:val="18"/>
          <w:lang w:val="pl-PL"/>
        </w:rPr>
        <w:t>regionalnog</w:t>
      </w:r>
      <w:r w:rsidR="009A07B3" w:rsidRPr="0048184E">
        <w:rPr>
          <w:sz w:val="18"/>
          <w:szCs w:val="18"/>
          <w:lang w:val="sr-Latn-ME"/>
        </w:rPr>
        <w:t xml:space="preserve"> </w:t>
      </w:r>
      <w:r w:rsidR="009A07B3" w:rsidRPr="0048184E">
        <w:rPr>
          <w:sz w:val="18"/>
          <w:szCs w:val="18"/>
          <w:lang w:val="pl-PL"/>
        </w:rPr>
        <w:t>razvoja</w:t>
      </w:r>
      <w:r w:rsidR="009A07B3" w:rsidRPr="0048184E">
        <w:rPr>
          <w:sz w:val="18"/>
          <w:szCs w:val="18"/>
          <w:lang w:val="sr-Latn-ME"/>
        </w:rPr>
        <w:t xml:space="preserve"> </w:t>
      </w:r>
      <w:r w:rsidR="009A07B3" w:rsidRPr="0048184E">
        <w:rPr>
          <w:sz w:val="18"/>
          <w:szCs w:val="18"/>
          <w:lang w:val="pl-PL"/>
        </w:rPr>
        <w:t>Crne</w:t>
      </w:r>
      <w:r w:rsidR="009A07B3" w:rsidRPr="0048184E">
        <w:rPr>
          <w:sz w:val="18"/>
          <w:szCs w:val="18"/>
          <w:lang w:val="sr-Latn-ME"/>
        </w:rPr>
        <w:t xml:space="preserve"> </w:t>
      </w:r>
      <w:r w:rsidR="009A07B3" w:rsidRPr="0048184E">
        <w:rPr>
          <w:sz w:val="18"/>
          <w:szCs w:val="18"/>
          <w:lang w:val="pl-PL"/>
        </w:rPr>
        <w:t>Gore</w:t>
      </w:r>
      <w:r w:rsidR="004C1B9C" w:rsidRPr="0048184E">
        <w:rPr>
          <w:sz w:val="18"/>
          <w:szCs w:val="18"/>
          <w:lang w:val="sr-Latn-ME"/>
        </w:rPr>
        <w:t xml:space="preserve">. </w:t>
      </w:r>
      <w:r w:rsidR="004C1B9C" w:rsidRPr="0048184E">
        <w:rPr>
          <w:sz w:val="18"/>
          <w:szCs w:val="18"/>
          <w:lang w:val="pl-PL"/>
        </w:rPr>
        <w:t>Program</w:t>
      </w:r>
      <w:r w:rsidR="004C1B9C" w:rsidRPr="0048184E">
        <w:rPr>
          <w:sz w:val="18"/>
          <w:szCs w:val="18"/>
          <w:lang w:val="sr-Latn-ME"/>
        </w:rPr>
        <w:t xml:space="preserve"> </w:t>
      </w:r>
      <w:r w:rsidR="004C1B9C" w:rsidRPr="0048184E">
        <w:rPr>
          <w:sz w:val="18"/>
          <w:szCs w:val="18"/>
          <w:lang w:val="pl-PL"/>
        </w:rPr>
        <w:t>bi</w:t>
      </w:r>
      <w:r w:rsidR="004C1B9C" w:rsidRPr="0048184E">
        <w:rPr>
          <w:sz w:val="18"/>
          <w:szCs w:val="18"/>
          <w:lang w:val="sr-Latn-ME"/>
        </w:rPr>
        <w:t xml:space="preserve"> </w:t>
      </w:r>
      <w:r w:rsidR="004C1B9C" w:rsidRPr="0048184E">
        <w:rPr>
          <w:sz w:val="18"/>
          <w:szCs w:val="18"/>
          <w:lang w:val="pl-PL"/>
        </w:rPr>
        <w:t>se</w:t>
      </w:r>
      <w:r w:rsidR="004C1B9C" w:rsidRPr="0048184E">
        <w:rPr>
          <w:sz w:val="18"/>
          <w:szCs w:val="18"/>
          <w:lang w:val="sr-Latn-ME"/>
        </w:rPr>
        <w:t xml:space="preserve"> </w:t>
      </w:r>
      <w:r w:rsidR="004C1B9C" w:rsidRPr="0048184E">
        <w:rPr>
          <w:sz w:val="18"/>
          <w:szCs w:val="18"/>
          <w:lang w:val="pl-PL"/>
        </w:rPr>
        <w:t>koristio</w:t>
      </w:r>
      <w:r w:rsidR="004C1B9C" w:rsidRPr="0048184E">
        <w:rPr>
          <w:sz w:val="18"/>
          <w:szCs w:val="18"/>
          <w:lang w:val="sr-Latn-ME"/>
        </w:rPr>
        <w:t xml:space="preserve"> </w:t>
      </w:r>
      <w:r w:rsidR="004C1B9C" w:rsidRPr="0048184E">
        <w:rPr>
          <w:sz w:val="18"/>
          <w:szCs w:val="18"/>
          <w:lang w:val="pl-PL"/>
        </w:rPr>
        <w:t>za</w:t>
      </w:r>
      <w:r w:rsidR="004C1B9C" w:rsidRPr="0048184E">
        <w:rPr>
          <w:sz w:val="18"/>
          <w:szCs w:val="18"/>
          <w:lang w:val="sr-Latn-ME"/>
        </w:rPr>
        <w:t xml:space="preserve"> </w:t>
      </w:r>
      <w:r w:rsidR="004C1B9C" w:rsidRPr="0048184E">
        <w:rPr>
          <w:sz w:val="18"/>
          <w:szCs w:val="18"/>
          <w:lang w:val="pl-PL"/>
        </w:rPr>
        <w:t>podr</w:t>
      </w:r>
      <w:r w:rsidR="004C1B9C" w:rsidRPr="0048184E">
        <w:rPr>
          <w:sz w:val="18"/>
          <w:szCs w:val="18"/>
          <w:lang w:val="sr-Latn-ME"/>
        </w:rPr>
        <w:t>š</w:t>
      </w:r>
      <w:r w:rsidR="004C1B9C" w:rsidRPr="0048184E">
        <w:rPr>
          <w:sz w:val="18"/>
          <w:szCs w:val="18"/>
          <w:lang w:val="pl-PL"/>
        </w:rPr>
        <w:t>ku</w:t>
      </w:r>
      <w:r w:rsidR="004C1B9C" w:rsidRPr="0048184E">
        <w:rPr>
          <w:sz w:val="18"/>
          <w:szCs w:val="18"/>
          <w:lang w:val="sr-Latn-ME"/>
        </w:rPr>
        <w:t xml:space="preserve"> </w:t>
      </w:r>
      <w:r w:rsidR="004C1B9C" w:rsidRPr="0048184E">
        <w:rPr>
          <w:sz w:val="18"/>
          <w:szCs w:val="18"/>
          <w:lang w:val="pl-PL"/>
        </w:rPr>
        <w:t>nedovoljno</w:t>
      </w:r>
      <w:r w:rsidR="004C1B9C" w:rsidRPr="0048184E">
        <w:rPr>
          <w:sz w:val="18"/>
          <w:szCs w:val="18"/>
          <w:lang w:val="sr-Latn-ME"/>
        </w:rPr>
        <w:t xml:space="preserve"> </w:t>
      </w:r>
      <w:r w:rsidR="004C1B9C" w:rsidRPr="0048184E">
        <w:rPr>
          <w:sz w:val="18"/>
          <w:szCs w:val="18"/>
          <w:lang w:val="pl-PL"/>
        </w:rPr>
        <w:t>razvijenim</w:t>
      </w:r>
      <w:r w:rsidR="004C1B9C" w:rsidRPr="0048184E">
        <w:rPr>
          <w:sz w:val="18"/>
          <w:szCs w:val="18"/>
          <w:lang w:val="sr-Latn-ME"/>
        </w:rPr>
        <w:t xml:space="preserve"> </w:t>
      </w:r>
      <w:r w:rsidR="004C1B9C" w:rsidRPr="0048184E">
        <w:rPr>
          <w:sz w:val="18"/>
          <w:szCs w:val="18"/>
          <w:lang w:val="pl-PL"/>
        </w:rPr>
        <w:t>op</w:t>
      </w:r>
      <w:r w:rsidR="004C1B9C" w:rsidRPr="0048184E">
        <w:rPr>
          <w:sz w:val="18"/>
          <w:szCs w:val="18"/>
          <w:lang w:val="sr-Latn-ME"/>
        </w:rPr>
        <w:t>š</w:t>
      </w:r>
      <w:r w:rsidR="004C1B9C" w:rsidRPr="0048184E">
        <w:rPr>
          <w:sz w:val="18"/>
          <w:szCs w:val="18"/>
          <w:lang w:val="pl-PL"/>
        </w:rPr>
        <w:t>tinama</w:t>
      </w:r>
      <w:r w:rsidR="004C1B9C" w:rsidRPr="0048184E">
        <w:rPr>
          <w:sz w:val="18"/>
          <w:szCs w:val="18"/>
          <w:lang w:val="sr-Latn-ME"/>
        </w:rPr>
        <w:t xml:space="preserve">. </w:t>
      </w:r>
    </w:p>
    <w:p w14:paraId="28D51482"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909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445"/>
        <w:gridCol w:w="1850"/>
        <w:gridCol w:w="1305"/>
        <w:gridCol w:w="1846"/>
        <w:gridCol w:w="1469"/>
        <w:gridCol w:w="1180"/>
      </w:tblGrid>
      <w:tr w:rsidR="00A13DA5" w:rsidRPr="002A2822" w14:paraId="768B7A58" w14:textId="77777777" w:rsidTr="006E514C">
        <w:trPr>
          <w:jc w:val="center"/>
        </w:trPr>
        <w:tc>
          <w:tcPr>
            <w:tcW w:w="3295" w:type="dxa"/>
            <w:gridSpan w:val="2"/>
            <w:shd w:val="clear" w:color="auto" w:fill="D9E2F3"/>
          </w:tcPr>
          <w:p w14:paraId="11807D92"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Operativni cilj 1.1.</w:t>
            </w:r>
          </w:p>
        </w:tc>
        <w:tc>
          <w:tcPr>
            <w:tcW w:w="5800" w:type="dxa"/>
            <w:gridSpan w:val="4"/>
            <w:shd w:val="clear" w:color="auto" w:fill="D9E2F3"/>
          </w:tcPr>
          <w:p w14:paraId="095E0250"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Jačanje funkcionalnosti JLS i fiskalnih pozicija manje razvijenih opština</w:t>
            </w:r>
          </w:p>
        </w:tc>
      </w:tr>
      <w:tr w:rsidR="00A13DA5" w:rsidRPr="0048184E" w14:paraId="1E980A27" w14:textId="77777777" w:rsidTr="006E514C">
        <w:trPr>
          <w:jc w:val="center"/>
        </w:trPr>
        <w:tc>
          <w:tcPr>
            <w:tcW w:w="1445" w:type="dxa"/>
            <w:shd w:val="clear" w:color="auto" w:fill="D9E2F3"/>
          </w:tcPr>
          <w:p w14:paraId="5FE18684"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Učinak</w:t>
            </w:r>
          </w:p>
        </w:tc>
        <w:tc>
          <w:tcPr>
            <w:tcW w:w="1850" w:type="dxa"/>
            <w:shd w:val="clear" w:color="auto" w:fill="D9E2F3"/>
          </w:tcPr>
          <w:p w14:paraId="69F25C3A"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Indikator učinka (outcome indicator)</w:t>
            </w:r>
          </w:p>
        </w:tc>
        <w:tc>
          <w:tcPr>
            <w:tcW w:w="1305" w:type="dxa"/>
            <w:shd w:val="clear" w:color="auto" w:fill="D9E2F3"/>
          </w:tcPr>
          <w:p w14:paraId="11C91AF4"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Izvor verifikacije</w:t>
            </w:r>
          </w:p>
        </w:tc>
        <w:tc>
          <w:tcPr>
            <w:tcW w:w="1846" w:type="dxa"/>
            <w:shd w:val="clear" w:color="auto" w:fill="D9E2F3"/>
          </w:tcPr>
          <w:p w14:paraId="6B1BBC1C"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Početna vrijednost</w:t>
            </w:r>
          </w:p>
        </w:tc>
        <w:tc>
          <w:tcPr>
            <w:tcW w:w="1469" w:type="dxa"/>
            <w:shd w:val="clear" w:color="auto" w:fill="D9E2F3"/>
          </w:tcPr>
          <w:p w14:paraId="220C643A"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Ciljna vrijednost u 2025.</w:t>
            </w:r>
          </w:p>
        </w:tc>
        <w:tc>
          <w:tcPr>
            <w:tcW w:w="1180" w:type="dxa"/>
            <w:shd w:val="clear" w:color="auto" w:fill="D9E2F3"/>
          </w:tcPr>
          <w:p w14:paraId="506DC7D5"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Ciljna vrijednost 2027.</w:t>
            </w:r>
          </w:p>
        </w:tc>
      </w:tr>
      <w:tr w:rsidR="00A13DA5" w:rsidRPr="0048184E" w14:paraId="264B8313" w14:textId="77777777" w:rsidTr="006E514C">
        <w:trPr>
          <w:trHeight w:val="386"/>
          <w:jc w:val="center"/>
        </w:trPr>
        <w:tc>
          <w:tcPr>
            <w:tcW w:w="1445" w:type="dxa"/>
            <w:shd w:val="clear" w:color="auto" w:fill="auto"/>
          </w:tcPr>
          <w:p w14:paraId="49CA307E"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Smanjenje broja JLS korisnica Egalizacionog fonda</w:t>
            </w:r>
          </w:p>
        </w:tc>
        <w:tc>
          <w:tcPr>
            <w:tcW w:w="1850" w:type="dxa"/>
            <w:shd w:val="clear" w:color="auto" w:fill="auto"/>
          </w:tcPr>
          <w:p w14:paraId="6CB31FB2"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bCs/>
                <w:sz w:val="16"/>
                <w:szCs w:val="16"/>
                <w:lang w:val="sr-Latn-ME"/>
              </w:rPr>
              <w:t>Broj JLS koje su korisnice sredstava Egalizacionog fonda</w:t>
            </w:r>
          </w:p>
        </w:tc>
        <w:tc>
          <w:tcPr>
            <w:tcW w:w="1305" w:type="dxa"/>
            <w:shd w:val="clear" w:color="auto" w:fill="FFFFFF"/>
          </w:tcPr>
          <w:p w14:paraId="2ED3EC45"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MF</w:t>
            </w:r>
          </w:p>
        </w:tc>
        <w:tc>
          <w:tcPr>
            <w:tcW w:w="1846" w:type="dxa"/>
            <w:shd w:val="clear" w:color="auto" w:fill="auto"/>
          </w:tcPr>
          <w:p w14:paraId="131BEF9B"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 13</w:t>
            </w:r>
          </w:p>
          <w:p w14:paraId="31C3CD4C"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Središnji region: 3</w:t>
            </w:r>
          </w:p>
          <w:p w14:paraId="3FA7BB18" w14:textId="3218266C" w:rsidR="00A13DA5" w:rsidRPr="00024C65" w:rsidRDefault="00C07FEF" w:rsidP="0048184E">
            <w:pPr>
              <w:pStyle w:val="NoSpacing"/>
              <w:rPr>
                <w:rFonts w:asciiTheme="minorHAnsi" w:hAnsiTheme="minorHAnsi" w:cstheme="minorHAnsi"/>
                <w:sz w:val="16"/>
                <w:szCs w:val="16"/>
              </w:rPr>
            </w:pPr>
            <w:r>
              <w:rPr>
                <w:rFonts w:asciiTheme="minorHAnsi" w:hAnsiTheme="minorHAnsi" w:cstheme="minorHAnsi"/>
                <w:sz w:val="16"/>
                <w:szCs w:val="16"/>
              </w:rPr>
              <w:t>Primorski region: 2</w:t>
            </w:r>
          </w:p>
        </w:tc>
        <w:tc>
          <w:tcPr>
            <w:tcW w:w="1469" w:type="dxa"/>
            <w:shd w:val="clear" w:color="auto" w:fill="auto"/>
          </w:tcPr>
          <w:p w14:paraId="20C1636F" w14:textId="77777777" w:rsidR="00A13DA5" w:rsidRPr="00C07FEF" w:rsidRDefault="00A13DA5"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Sjeverni region: 11</w:t>
            </w:r>
          </w:p>
          <w:p w14:paraId="36105964" w14:textId="30EA912E" w:rsidR="00A13DA5" w:rsidRPr="00C07FEF" w:rsidRDefault="00C07FEF"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Središnji region: 3</w:t>
            </w:r>
          </w:p>
          <w:p w14:paraId="2C42106B" w14:textId="6ADDB5FA" w:rsidR="00A13DA5" w:rsidRPr="00C07FEF" w:rsidRDefault="00A13DA5"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Pri</w:t>
            </w:r>
            <w:r w:rsidR="00C07FEF" w:rsidRPr="00C07FEF">
              <w:rPr>
                <w:rFonts w:asciiTheme="minorHAnsi" w:hAnsiTheme="minorHAnsi" w:cstheme="minorHAnsi"/>
                <w:sz w:val="16"/>
                <w:szCs w:val="16"/>
              </w:rPr>
              <w:t>morski region: 1</w:t>
            </w:r>
          </w:p>
        </w:tc>
        <w:tc>
          <w:tcPr>
            <w:tcW w:w="1180" w:type="dxa"/>
            <w:shd w:val="clear" w:color="auto" w:fill="auto"/>
          </w:tcPr>
          <w:p w14:paraId="7D7CB075" w14:textId="079E10E5" w:rsidR="00A13DA5" w:rsidRPr="00C07FEF" w:rsidRDefault="00C07FEF"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Sjeverni region: 11</w:t>
            </w:r>
          </w:p>
          <w:p w14:paraId="338A85AB" w14:textId="59D2DDBE" w:rsidR="00A13DA5" w:rsidRPr="00C07FEF" w:rsidRDefault="00C07FEF"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Središnji region: 2</w:t>
            </w:r>
          </w:p>
          <w:p w14:paraId="6436D30D" w14:textId="77777777" w:rsidR="00A13DA5" w:rsidRPr="00C07FEF" w:rsidRDefault="00A13DA5"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Primorski region: 0</w:t>
            </w:r>
          </w:p>
        </w:tc>
      </w:tr>
      <w:tr w:rsidR="00A13DA5" w:rsidRPr="0048184E" w14:paraId="0CDE059E" w14:textId="77777777" w:rsidTr="006E514C">
        <w:trPr>
          <w:trHeight w:val="386"/>
          <w:jc w:val="center"/>
        </w:trPr>
        <w:tc>
          <w:tcPr>
            <w:tcW w:w="1445" w:type="dxa"/>
            <w:shd w:val="clear" w:color="auto" w:fill="auto"/>
          </w:tcPr>
          <w:p w14:paraId="39F03237"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lastRenderedPageBreak/>
              <w:t>Povećan nivo međuopštinske saradnje</w:t>
            </w:r>
          </w:p>
        </w:tc>
        <w:tc>
          <w:tcPr>
            <w:tcW w:w="1850" w:type="dxa"/>
            <w:shd w:val="clear" w:color="auto" w:fill="auto"/>
          </w:tcPr>
          <w:p w14:paraId="4EC3384E"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bCs/>
                <w:sz w:val="16"/>
                <w:szCs w:val="16"/>
                <w:lang w:val="sr-Latn-ME"/>
              </w:rPr>
              <w:t>Broj poslova u kojima je uspostavljena međuopštinska saradnja</w:t>
            </w:r>
          </w:p>
        </w:tc>
        <w:tc>
          <w:tcPr>
            <w:tcW w:w="1305" w:type="dxa"/>
            <w:shd w:val="clear" w:color="auto" w:fill="FFFFFF"/>
          </w:tcPr>
          <w:p w14:paraId="3253D763"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MJU, ZO</w:t>
            </w:r>
          </w:p>
        </w:tc>
        <w:tc>
          <w:tcPr>
            <w:tcW w:w="1846" w:type="dxa"/>
            <w:shd w:val="clear" w:color="auto" w:fill="auto"/>
          </w:tcPr>
          <w:p w14:paraId="557ABCA4"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 20</w:t>
            </w:r>
          </w:p>
          <w:p w14:paraId="60A3CAF3"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Središnji region: n/a</w:t>
            </w:r>
          </w:p>
          <w:p w14:paraId="06ADB149"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Primorski region:  10</w:t>
            </w:r>
          </w:p>
        </w:tc>
        <w:tc>
          <w:tcPr>
            <w:tcW w:w="1469" w:type="dxa"/>
            <w:shd w:val="clear" w:color="auto" w:fill="auto"/>
          </w:tcPr>
          <w:p w14:paraId="5076EB4D" w14:textId="77777777" w:rsidR="00A13DA5" w:rsidRPr="00F178BC" w:rsidRDefault="00A13DA5" w:rsidP="0048184E">
            <w:pPr>
              <w:pStyle w:val="NoSpacing"/>
              <w:rPr>
                <w:rFonts w:asciiTheme="minorHAnsi" w:hAnsiTheme="minorHAnsi" w:cstheme="minorHAnsi"/>
                <w:sz w:val="16"/>
                <w:szCs w:val="16"/>
              </w:rPr>
            </w:pPr>
            <w:r w:rsidRPr="00F178BC">
              <w:rPr>
                <w:rFonts w:asciiTheme="minorHAnsi" w:hAnsiTheme="minorHAnsi" w:cstheme="minorHAnsi"/>
                <w:sz w:val="16"/>
                <w:szCs w:val="16"/>
              </w:rPr>
              <w:t>Sjeverni region: 8</w:t>
            </w:r>
          </w:p>
          <w:p w14:paraId="7D2DC222"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Središnji region: 5</w:t>
            </w:r>
          </w:p>
          <w:p w14:paraId="5F7D9866"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Primorski region: 11</w:t>
            </w:r>
          </w:p>
        </w:tc>
        <w:tc>
          <w:tcPr>
            <w:tcW w:w="1180" w:type="dxa"/>
            <w:shd w:val="clear" w:color="auto" w:fill="auto"/>
          </w:tcPr>
          <w:p w14:paraId="704C593E"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Sjeverni region: 9</w:t>
            </w:r>
          </w:p>
          <w:p w14:paraId="3C0897B5"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Središnji region: 6</w:t>
            </w:r>
          </w:p>
          <w:p w14:paraId="30B0E215"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Primorski region: 12</w:t>
            </w:r>
          </w:p>
        </w:tc>
      </w:tr>
      <w:tr w:rsidR="00A13DA5" w:rsidRPr="0048184E" w14:paraId="4755E9D2" w14:textId="77777777" w:rsidTr="006E514C">
        <w:trPr>
          <w:trHeight w:val="386"/>
          <w:jc w:val="center"/>
        </w:trPr>
        <w:tc>
          <w:tcPr>
            <w:tcW w:w="1445" w:type="dxa"/>
            <w:shd w:val="clear" w:color="auto" w:fill="auto"/>
          </w:tcPr>
          <w:p w14:paraId="3C8A248A"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Povećan broj projekata JLS finansiranih iz EU fondova</w:t>
            </w:r>
          </w:p>
        </w:tc>
        <w:tc>
          <w:tcPr>
            <w:tcW w:w="1850" w:type="dxa"/>
            <w:shd w:val="clear" w:color="auto" w:fill="auto"/>
          </w:tcPr>
          <w:p w14:paraId="1AA88712" w14:textId="77777777" w:rsidR="00A13DA5" w:rsidRPr="00024C65" w:rsidRDefault="00A13DA5" w:rsidP="0048184E">
            <w:pPr>
              <w:pStyle w:val="NoSpacing"/>
              <w:rPr>
                <w:rFonts w:asciiTheme="minorHAnsi" w:hAnsiTheme="minorHAnsi" w:cstheme="minorHAnsi"/>
                <w:bCs/>
                <w:sz w:val="16"/>
                <w:szCs w:val="16"/>
                <w:lang w:val="sr-Latn-ME"/>
              </w:rPr>
            </w:pPr>
            <w:r w:rsidRPr="00024C65">
              <w:rPr>
                <w:rFonts w:asciiTheme="minorHAnsi" w:hAnsiTheme="minorHAnsi" w:cstheme="minorHAnsi"/>
                <w:bCs/>
                <w:sz w:val="16"/>
                <w:szCs w:val="16"/>
                <w:lang w:val="sr-Latn-ME"/>
              </w:rPr>
              <w:t>Broj novih projekata JLS finansiranih iz EU fondova</w:t>
            </w:r>
          </w:p>
        </w:tc>
        <w:tc>
          <w:tcPr>
            <w:tcW w:w="1305" w:type="dxa"/>
            <w:shd w:val="clear" w:color="auto" w:fill="FFFFFF"/>
          </w:tcPr>
          <w:p w14:paraId="4E527536"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MF, ZO</w:t>
            </w:r>
          </w:p>
        </w:tc>
        <w:tc>
          <w:tcPr>
            <w:tcW w:w="1846" w:type="dxa"/>
            <w:shd w:val="clear" w:color="auto" w:fill="auto"/>
          </w:tcPr>
          <w:p w14:paraId="4C6770E2"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 7</w:t>
            </w:r>
          </w:p>
          <w:p w14:paraId="376266E4"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 xml:space="preserve">Središnji region: 10 </w:t>
            </w:r>
          </w:p>
          <w:p w14:paraId="55121C08"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Primorski region: n/a</w:t>
            </w:r>
          </w:p>
        </w:tc>
        <w:tc>
          <w:tcPr>
            <w:tcW w:w="1469" w:type="dxa"/>
            <w:shd w:val="clear" w:color="auto" w:fill="auto"/>
          </w:tcPr>
          <w:p w14:paraId="32CA4BA1"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w:t>
            </w:r>
            <w:r w:rsidRPr="00024C65">
              <w:rPr>
                <w:rFonts w:asciiTheme="minorHAnsi" w:hAnsiTheme="minorHAnsi" w:cstheme="minorHAnsi"/>
                <w:sz w:val="16"/>
                <w:szCs w:val="16"/>
                <w:lang w:val="sr-Latn-ME"/>
              </w:rPr>
              <w:t xml:space="preserve">: </w:t>
            </w:r>
            <w:r w:rsidRPr="00024C65">
              <w:rPr>
                <w:rFonts w:asciiTheme="minorHAnsi" w:hAnsiTheme="minorHAnsi" w:cstheme="minorHAnsi"/>
                <w:sz w:val="16"/>
                <w:szCs w:val="16"/>
              </w:rPr>
              <w:t>8</w:t>
            </w:r>
          </w:p>
          <w:p w14:paraId="15C42879"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Središnji region: 12</w:t>
            </w:r>
          </w:p>
          <w:p w14:paraId="21515A4A"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Primorski region: 10</w:t>
            </w:r>
          </w:p>
        </w:tc>
        <w:tc>
          <w:tcPr>
            <w:tcW w:w="1180" w:type="dxa"/>
            <w:shd w:val="clear" w:color="auto" w:fill="auto"/>
          </w:tcPr>
          <w:p w14:paraId="4901826D"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Sjeverni region: 10</w:t>
            </w:r>
          </w:p>
          <w:p w14:paraId="59F57C9E"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Središnji region: 15</w:t>
            </w:r>
          </w:p>
          <w:p w14:paraId="39BA9E41"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Primorski region: 12</w:t>
            </w:r>
          </w:p>
        </w:tc>
      </w:tr>
      <w:tr w:rsidR="00A13DA5" w:rsidRPr="002A2822" w14:paraId="3929CA12" w14:textId="77777777" w:rsidTr="006E514C">
        <w:trPr>
          <w:trHeight w:val="386"/>
          <w:jc w:val="center"/>
        </w:trPr>
        <w:tc>
          <w:tcPr>
            <w:tcW w:w="1445" w:type="dxa"/>
            <w:vMerge w:val="restart"/>
            <w:shd w:val="clear" w:color="auto" w:fill="auto"/>
          </w:tcPr>
          <w:p w14:paraId="45F7FEB2"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Potencijalni uticaj na životnu sredinu</w:t>
            </w:r>
          </w:p>
        </w:tc>
        <w:tc>
          <w:tcPr>
            <w:tcW w:w="1850" w:type="dxa"/>
            <w:shd w:val="clear" w:color="auto" w:fill="auto"/>
          </w:tcPr>
          <w:p w14:paraId="55F2D199" w14:textId="77777777" w:rsidR="00A13DA5" w:rsidRPr="00024C65" w:rsidRDefault="00A13DA5" w:rsidP="0048184E">
            <w:pPr>
              <w:pStyle w:val="NoSpacing"/>
              <w:rPr>
                <w:rFonts w:asciiTheme="minorHAnsi" w:hAnsiTheme="minorHAnsi" w:cstheme="minorHAnsi"/>
                <w:bCs/>
                <w:sz w:val="16"/>
                <w:szCs w:val="16"/>
                <w:lang w:val="sr-Latn-ME"/>
              </w:rPr>
            </w:pPr>
            <w:r w:rsidRPr="00024C65">
              <w:rPr>
                <w:rFonts w:asciiTheme="minorHAnsi" w:hAnsiTheme="minorHAnsi" w:cstheme="minorHAnsi"/>
                <w:bCs/>
                <w:sz w:val="16"/>
                <w:szCs w:val="16"/>
                <w:lang w:val="sr-Latn-ME"/>
              </w:rPr>
              <w:t>Stanovništvo i zdravlje</w:t>
            </w:r>
          </w:p>
        </w:tc>
        <w:tc>
          <w:tcPr>
            <w:tcW w:w="1305" w:type="dxa"/>
            <w:shd w:val="clear" w:color="auto" w:fill="FFFFFF"/>
          </w:tcPr>
          <w:p w14:paraId="5F5FB9BD"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Prirodni resursi i biodiverzitet</w:t>
            </w:r>
          </w:p>
        </w:tc>
        <w:tc>
          <w:tcPr>
            <w:tcW w:w="1846" w:type="dxa"/>
            <w:shd w:val="clear" w:color="auto" w:fill="auto"/>
          </w:tcPr>
          <w:p w14:paraId="76657BB9" w14:textId="77777777" w:rsidR="00A13DA5" w:rsidRPr="00024C65" w:rsidRDefault="00A13DA5" w:rsidP="0048184E">
            <w:pPr>
              <w:pStyle w:val="NoSpacing"/>
              <w:rPr>
                <w:rFonts w:asciiTheme="minorHAnsi" w:hAnsiTheme="minorHAnsi" w:cstheme="minorHAnsi"/>
                <w:sz w:val="16"/>
                <w:szCs w:val="16"/>
                <w:lang w:val="it-IT"/>
              </w:rPr>
            </w:pPr>
            <w:r w:rsidRPr="00024C65">
              <w:rPr>
                <w:rFonts w:asciiTheme="minorHAnsi" w:hAnsiTheme="minorHAnsi" w:cstheme="minorHAnsi"/>
                <w:sz w:val="16"/>
                <w:szCs w:val="16"/>
                <w:lang w:val="it-IT"/>
              </w:rPr>
              <w:t>Materijalna dobra i kulturno nasleđe</w:t>
            </w:r>
          </w:p>
        </w:tc>
        <w:tc>
          <w:tcPr>
            <w:tcW w:w="1469" w:type="dxa"/>
            <w:shd w:val="clear" w:color="auto" w:fill="auto"/>
          </w:tcPr>
          <w:p w14:paraId="2E484FE9"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Proizvodni procesi i tehnologije</w:t>
            </w:r>
          </w:p>
        </w:tc>
        <w:tc>
          <w:tcPr>
            <w:tcW w:w="1180" w:type="dxa"/>
            <w:shd w:val="clear" w:color="auto" w:fill="auto"/>
          </w:tcPr>
          <w:p w14:paraId="272E601C"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Način isporuke usluga i dobara</w:t>
            </w:r>
          </w:p>
        </w:tc>
      </w:tr>
      <w:tr w:rsidR="00A13DA5" w:rsidRPr="0048184E" w14:paraId="23F8787D" w14:textId="77777777" w:rsidTr="006E514C">
        <w:trPr>
          <w:trHeight w:val="386"/>
          <w:jc w:val="center"/>
        </w:trPr>
        <w:tc>
          <w:tcPr>
            <w:tcW w:w="1445" w:type="dxa"/>
            <w:vMerge/>
            <w:shd w:val="clear" w:color="auto" w:fill="auto"/>
          </w:tcPr>
          <w:p w14:paraId="1339DB59" w14:textId="77777777" w:rsidR="00A13DA5" w:rsidRPr="00024C65" w:rsidRDefault="00A13DA5" w:rsidP="0048184E">
            <w:pPr>
              <w:pStyle w:val="NoSpacing"/>
              <w:rPr>
                <w:rFonts w:asciiTheme="minorHAnsi" w:hAnsiTheme="minorHAnsi" w:cstheme="minorHAnsi"/>
                <w:sz w:val="16"/>
                <w:szCs w:val="16"/>
                <w:lang w:val="sr-Latn-ME"/>
              </w:rPr>
            </w:pPr>
          </w:p>
        </w:tc>
        <w:tc>
          <w:tcPr>
            <w:tcW w:w="1850" w:type="dxa"/>
            <w:shd w:val="clear" w:color="auto" w:fill="auto"/>
          </w:tcPr>
          <w:p w14:paraId="2DA0B1C3" w14:textId="77777777" w:rsidR="00A13DA5" w:rsidRPr="00024C65" w:rsidRDefault="00A13DA5" w:rsidP="0048184E">
            <w:pPr>
              <w:pStyle w:val="NoSpacing"/>
              <w:jc w:val="center"/>
              <w:rPr>
                <w:rFonts w:asciiTheme="minorHAnsi" w:hAnsiTheme="minorHAnsi" w:cstheme="minorHAnsi"/>
                <w:bCs/>
                <w:sz w:val="16"/>
                <w:szCs w:val="16"/>
                <w:lang w:val="sr-Latn-ME"/>
              </w:rPr>
            </w:pPr>
            <w:r w:rsidRPr="00024C65">
              <w:rPr>
                <w:rFonts w:asciiTheme="minorHAnsi" w:hAnsiTheme="minorHAnsi" w:cstheme="minorHAnsi"/>
                <w:bCs/>
                <w:sz w:val="16"/>
                <w:szCs w:val="16"/>
                <w:lang w:val="sr-Latn-ME"/>
              </w:rPr>
              <w:t>+</w:t>
            </w:r>
          </w:p>
        </w:tc>
        <w:tc>
          <w:tcPr>
            <w:tcW w:w="1305" w:type="dxa"/>
            <w:shd w:val="clear" w:color="auto" w:fill="FFFFFF"/>
          </w:tcPr>
          <w:p w14:paraId="08D043CF"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w:t>
            </w:r>
          </w:p>
        </w:tc>
        <w:tc>
          <w:tcPr>
            <w:tcW w:w="1846" w:type="dxa"/>
            <w:shd w:val="clear" w:color="auto" w:fill="auto"/>
          </w:tcPr>
          <w:p w14:paraId="38C617FE" w14:textId="77777777" w:rsidR="00A13DA5" w:rsidRPr="00024C65" w:rsidRDefault="00A13DA5" w:rsidP="0048184E">
            <w:pPr>
              <w:pStyle w:val="NoSpacing"/>
              <w:jc w:val="center"/>
              <w:rPr>
                <w:rFonts w:asciiTheme="minorHAnsi" w:hAnsiTheme="minorHAnsi" w:cstheme="minorHAnsi"/>
                <w:sz w:val="16"/>
                <w:szCs w:val="16"/>
              </w:rPr>
            </w:pPr>
            <w:r w:rsidRPr="00024C65">
              <w:rPr>
                <w:rFonts w:asciiTheme="minorHAnsi" w:hAnsiTheme="minorHAnsi" w:cstheme="minorHAnsi"/>
                <w:sz w:val="16"/>
                <w:szCs w:val="16"/>
              </w:rPr>
              <w:t>+</w:t>
            </w:r>
          </w:p>
        </w:tc>
        <w:tc>
          <w:tcPr>
            <w:tcW w:w="1469" w:type="dxa"/>
            <w:shd w:val="clear" w:color="auto" w:fill="auto"/>
          </w:tcPr>
          <w:p w14:paraId="2293432B" w14:textId="77777777" w:rsidR="00A13DA5" w:rsidRPr="00024C65" w:rsidRDefault="00A13DA5" w:rsidP="0048184E">
            <w:pPr>
              <w:pStyle w:val="NoSpacing"/>
              <w:jc w:val="center"/>
              <w:rPr>
                <w:rFonts w:asciiTheme="minorHAnsi" w:hAnsiTheme="minorHAnsi" w:cstheme="minorHAnsi"/>
                <w:sz w:val="16"/>
                <w:szCs w:val="16"/>
              </w:rPr>
            </w:pPr>
            <w:r w:rsidRPr="00024C65">
              <w:rPr>
                <w:rFonts w:asciiTheme="minorHAnsi" w:hAnsiTheme="minorHAnsi" w:cstheme="minorHAnsi"/>
                <w:sz w:val="16"/>
                <w:szCs w:val="16"/>
              </w:rPr>
              <w:t>-</w:t>
            </w:r>
          </w:p>
        </w:tc>
        <w:tc>
          <w:tcPr>
            <w:tcW w:w="1180" w:type="dxa"/>
            <w:shd w:val="clear" w:color="auto" w:fill="auto"/>
          </w:tcPr>
          <w:p w14:paraId="06847E93"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w:t>
            </w:r>
          </w:p>
        </w:tc>
      </w:tr>
    </w:tbl>
    <w:p w14:paraId="0E3317E6" w14:textId="77777777" w:rsidR="00A13DA5" w:rsidRPr="0048184E" w:rsidRDefault="00A13DA5" w:rsidP="0048184E">
      <w:pPr>
        <w:pStyle w:val="NoSpacing"/>
        <w:jc w:val="both"/>
        <w:rPr>
          <w:rFonts w:asciiTheme="minorHAnsi" w:hAnsiTheme="minorHAnsi" w:cstheme="minorHAnsi"/>
          <w:sz w:val="18"/>
          <w:szCs w:val="18"/>
        </w:rPr>
      </w:pPr>
    </w:p>
    <w:p w14:paraId="592886C7" w14:textId="77777777" w:rsidR="00A13DA5" w:rsidRPr="00726BE7" w:rsidRDefault="00A13DA5" w:rsidP="0048184E">
      <w:pPr>
        <w:pStyle w:val="Heading21"/>
        <w:numPr>
          <w:ilvl w:val="1"/>
          <w:numId w:val="28"/>
        </w:numPr>
        <w:spacing w:before="0"/>
        <w:rPr>
          <w:color w:val="4472C4" w:themeColor="accent5"/>
          <w:szCs w:val="22"/>
        </w:rPr>
      </w:pPr>
      <w:bookmarkStart w:id="53" w:name="_Toc205215848"/>
      <w:r w:rsidRPr="00726BE7">
        <w:rPr>
          <w:color w:val="4472C4" w:themeColor="accent5"/>
          <w:szCs w:val="22"/>
        </w:rPr>
        <w:t>OPERATIVNI CILJ 1.2. Unaprjeđenje mehanizma koordinacije u sprovođenju politike regionalnog razvoja</w:t>
      </w:r>
      <w:bookmarkEnd w:id="53"/>
    </w:p>
    <w:p w14:paraId="02C7714A" w14:textId="77777777" w:rsidR="00A13DA5" w:rsidRPr="00726BE7" w:rsidRDefault="00A13DA5" w:rsidP="0048184E">
      <w:pPr>
        <w:pStyle w:val="Heading21"/>
        <w:spacing w:before="0"/>
        <w:rPr>
          <w:color w:val="4472C4" w:themeColor="accent5"/>
          <w:szCs w:val="22"/>
        </w:rPr>
      </w:pPr>
    </w:p>
    <w:p w14:paraId="3851D410" w14:textId="77777777" w:rsidR="00A73156" w:rsidRPr="0048184E" w:rsidRDefault="00A13DA5" w:rsidP="0048184E">
      <w:pPr>
        <w:spacing w:after="0" w:line="240" w:lineRule="auto"/>
        <w:jc w:val="both"/>
        <w:rPr>
          <w:rFonts w:eastAsia="Times New Roman" w:cstheme="minorHAnsi"/>
          <w:bCs/>
          <w:sz w:val="18"/>
          <w:szCs w:val="18"/>
          <w:lang w:val="sr-Latn-ME"/>
        </w:rPr>
      </w:pPr>
      <w:r w:rsidRPr="0048184E">
        <w:rPr>
          <w:rFonts w:cstheme="minorHAnsi"/>
          <w:sz w:val="18"/>
          <w:szCs w:val="18"/>
          <w:lang w:val="sr-Latn-ME"/>
        </w:rPr>
        <w:t>U okviru OC 1.2.</w:t>
      </w:r>
      <w:r w:rsidRPr="0048184E">
        <w:rPr>
          <w:rFonts w:eastAsia="Times New Roman" w:cstheme="minorHAnsi"/>
          <w:bCs/>
          <w:sz w:val="18"/>
          <w:szCs w:val="18"/>
          <w:lang w:val="sr-Latn-ME"/>
        </w:rPr>
        <w:t xml:space="preserve"> potrebno je unaprijediti insitucionalni okvir, sa ciljem </w:t>
      </w:r>
      <w:r w:rsidR="00A73156" w:rsidRPr="0048184E">
        <w:rPr>
          <w:rFonts w:eastAsia="Times New Roman" w:cstheme="minorHAnsi"/>
          <w:bCs/>
          <w:sz w:val="18"/>
          <w:szCs w:val="18"/>
          <w:lang w:val="sr-Latn-ME"/>
        </w:rPr>
        <w:t>unapređenja koordinacije u sprovođenju</w:t>
      </w:r>
      <w:r w:rsidR="00FC3BF9" w:rsidRPr="0048184E">
        <w:rPr>
          <w:rFonts w:eastAsia="Times New Roman" w:cstheme="minorHAnsi"/>
          <w:bCs/>
          <w:sz w:val="18"/>
          <w:szCs w:val="18"/>
          <w:lang w:val="sr-Latn-ME"/>
        </w:rPr>
        <w:t xml:space="preserve"> politika regionalnog razvoja. </w:t>
      </w:r>
      <w:r w:rsidR="00A73156" w:rsidRPr="0048184E">
        <w:rPr>
          <w:rFonts w:eastAsia="Times New Roman" w:cstheme="minorHAnsi"/>
          <w:bCs/>
          <w:sz w:val="18"/>
          <w:szCs w:val="18"/>
          <w:lang w:val="sr-Latn-ME"/>
        </w:rPr>
        <w:t>U periodu implementacije SRR</w:t>
      </w:r>
      <w:r w:rsidR="00FC3BF9" w:rsidRPr="0048184E">
        <w:rPr>
          <w:rFonts w:eastAsia="Times New Roman" w:cstheme="minorHAnsi"/>
          <w:bCs/>
          <w:sz w:val="18"/>
          <w:szCs w:val="18"/>
          <w:lang w:val="sr-Latn-ME"/>
        </w:rPr>
        <w:t xml:space="preserve"> 2023-2027</w:t>
      </w:r>
      <w:r w:rsidR="00A73156" w:rsidRPr="0048184E">
        <w:rPr>
          <w:rFonts w:eastAsia="Times New Roman" w:cstheme="minorHAnsi"/>
          <w:bCs/>
          <w:sz w:val="18"/>
          <w:szCs w:val="18"/>
          <w:lang w:val="sr-Latn-ME"/>
        </w:rPr>
        <w:t xml:space="preserve"> formiranjem 44</w:t>
      </w:r>
      <w:r w:rsidR="00F4339C" w:rsidRPr="0048184E">
        <w:rPr>
          <w:rFonts w:eastAsia="Times New Roman" w:cstheme="minorHAnsi"/>
          <w:bCs/>
          <w:sz w:val="18"/>
          <w:szCs w:val="18"/>
          <w:lang w:val="sr-Latn-ME"/>
        </w:rPr>
        <w:t>.</w:t>
      </w:r>
      <w:r w:rsidR="00FC3BF9" w:rsidRPr="0048184E">
        <w:rPr>
          <w:rFonts w:eastAsia="Times New Roman" w:cstheme="minorHAnsi"/>
          <w:bCs/>
          <w:sz w:val="18"/>
          <w:szCs w:val="18"/>
          <w:lang w:val="sr-Latn-ME"/>
        </w:rPr>
        <w:t xml:space="preserve"> VCG</w:t>
      </w:r>
      <w:r w:rsidR="00A73156" w:rsidRPr="0048184E">
        <w:rPr>
          <w:rFonts w:eastAsia="Times New Roman" w:cstheme="minorHAnsi"/>
          <w:bCs/>
          <w:sz w:val="18"/>
          <w:szCs w:val="18"/>
          <w:lang w:val="sr-Latn-ME"/>
        </w:rPr>
        <w:t xml:space="preserve"> po prvi put formirano je </w:t>
      </w:r>
      <w:r w:rsidR="0054581F">
        <w:rPr>
          <w:rFonts w:eastAsia="Times New Roman" w:cstheme="minorHAnsi"/>
          <w:bCs/>
          <w:sz w:val="18"/>
          <w:szCs w:val="18"/>
          <w:lang w:val="sr-Latn-ME"/>
        </w:rPr>
        <w:t xml:space="preserve">MIRN </w:t>
      </w:r>
      <w:r w:rsidR="00FC3BF9" w:rsidRPr="0048184E">
        <w:rPr>
          <w:rFonts w:cstheme="minorHAnsi"/>
          <w:sz w:val="18"/>
          <w:szCs w:val="18"/>
          <w:lang w:val="pl-PL"/>
        </w:rPr>
        <w:t>koje je ključno Ministarstvo u</w:t>
      </w:r>
      <w:r w:rsidR="00A73156" w:rsidRPr="0048184E">
        <w:rPr>
          <w:rFonts w:cstheme="minorHAnsi"/>
          <w:sz w:val="18"/>
          <w:szCs w:val="18"/>
          <w:lang w:val="pl-PL"/>
        </w:rPr>
        <w:t xml:space="preserve"> sprovođenju politike regionalnog</w:t>
      </w:r>
      <w:r w:rsidR="006926B6">
        <w:rPr>
          <w:rFonts w:cstheme="minorHAnsi"/>
          <w:sz w:val="18"/>
          <w:szCs w:val="18"/>
          <w:lang w:val="pl-PL"/>
        </w:rPr>
        <w:t xml:space="preserve"> razvoja.  Što uključuje, izmeđ</w:t>
      </w:r>
      <w:r w:rsidR="00A73156" w:rsidRPr="0048184E">
        <w:rPr>
          <w:rFonts w:cstheme="minorHAnsi"/>
          <w:sz w:val="18"/>
          <w:szCs w:val="18"/>
          <w:lang w:val="pl-PL"/>
        </w:rPr>
        <w:t>u ostalog, izradu i praćenje realizacije strategije regionalnog razvoja i srodnih zakona. Iako je ovo značajna pomak u stvaranju bolje koordinacije u sprovođenju polike regionalnog razvoja, nažalost još uvijek postoje značajna preklapanja u aktivnosti u okviru resora u Vladi. Očigledan primjer toga su dio aktivnosti Ministarstva za ekologiju, održivi razv</w:t>
      </w:r>
      <w:r w:rsidR="006926B6">
        <w:rPr>
          <w:rFonts w:cstheme="minorHAnsi"/>
          <w:sz w:val="18"/>
          <w:szCs w:val="18"/>
          <w:lang w:val="pl-PL"/>
        </w:rPr>
        <w:t>oj i razvoj sjevera, koje takođe sprovodi aktivnosti na ublaž</w:t>
      </w:r>
      <w:r w:rsidR="00A73156" w:rsidRPr="0048184E">
        <w:rPr>
          <w:rFonts w:cstheme="minorHAnsi"/>
          <w:sz w:val="18"/>
          <w:szCs w:val="18"/>
          <w:lang w:val="pl-PL"/>
        </w:rPr>
        <w:t>avanju i promovisanju uravnoteženog socio-ekonomskog rasta sjeverne regije. Stoga bi u narednom peri</w:t>
      </w:r>
      <w:r w:rsidR="006926B6">
        <w:rPr>
          <w:rFonts w:cstheme="minorHAnsi"/>
          <w:sz w:val="18"/>
          <w:szCs w:val="18"/>
          <w:lang w:val="pl-PL"/>
        </w:rPr>
        <w:t>o</w:t>
      </w:r>
      <w:r w:rsidR="00A73156" w:rsidRPr="0048184E">
        <w:rPr>
          <w:rFonts w:cstheme="minorHAnsi"/>
          <w:sz w:val="18"/>
          <w:szCs w:val="18"/>
          <w:lang w:val="pl-PL"/>
        </w:rPr>
        <w:t xml:space="preserve">du trebalo razmisliti o objedinjavanju ovih resora, </w:t>
      </w:r>
      <w:r w:rsidR="006926B6">
        <w:rPr>
          <w:rFonts w:cstheme="minorHAnsi"/>
          <w:sz w:val="18"/>
          <w:szCs w:val="18"/>
          <w:lang w:val="pl-PL"/>
        </w:rPr>
        <w:t>u resor Ministar</w:t>
      </w:r>
      <w:r w:rsidR="00F4339C" w:rsidRPr="0048184E">
        <w:rPr>
          <w:rFonts w:cstheme="minorHAnsi"/>
          <w:sz w:val="18"/>
          <w:szCs w:val="18"/>
          <w:lang w:val="pl-PL"/>
        </w:rPr>
        <w:t>stva regiona</w:t>
      </w:r>
      <w:r w:rsidR="00540827" w:rsidRPr="0048184E">
        <w:rPr>
          <w:rFonts w:cstheme="minorHAnsi"/>
          <w:sz w:val="18"/>
          <w:szCs w:val="18"/>
          <w:lang w:val="pl-PL"/>
        </w:rPr>
        <w:t>l</w:t>
      </w:r>
      <w:r w:rsidR="00F4339C" w:rsidRPr="0048184E">
        <w:rPr>
          <w:rFonts w:cstheme="minorHAnsi"/>
          <w:sz w:val="18"/>
          <w:szCs w:val="18"/>
          <w:lang w:val="pl-PL"/>
        </w:rPr>
        <w:t xml:space="preserve">nog razvoja, </w:t>
      </w:r>
      <w:r w:rsidR="00A73156" w:rsidRPr="0048184E">
        <w:rPr>
          <w:rFonts w:cstheme="minorHAnsi"/>
          <w:sz w:val="18"/>
          <w:szCs w:val="18"/>
          <w:lang w:val="pl-PL"/>
        </w:rPr>
        <w:t>kako bi s</w:t>
      </w:r>
      <w:r w:rsidR="006926B6">
        <w:rPr>
          <w:rFonts w:cstheme="minorHAnsi"/>
          <w:sz w:val="18"/>
          <w:szCs w:val="18"/>
          <w:lang w:val="pl-PL"/>
        </w:rPr>
        <w:t>e poveć</w:t>
      </w:r>
      <w:r w:rsidR="00F4339C" w:rsidRPr="0048184E">
        <w:rPr>
          <w:rFonts w:cstheme="minorHAnsi"/>
          <w:sz w:val="18"/>
          <w:szCs w:val="18"/>
          <w:lang w:val="pl-PL"/>
        </w:rPr>
        <w:t>ala efikasnost</w:t>
      </w:r>
      <w:r w:rsidR="00A73156" w:rsidRPr="0048184E">
        <w:rPr>
          <w:rFonts w:cstheme="minorHAnsi"/>
          <w:sz w:val="18"/>
          <w:szCs w:val="18"/>
          <w:lang w:val="pl-PL"/>
        </w:rPr>
        <w:t xml:space="preserve"> i kvalitetnije koristili ograničeni državni resursi. </w:t>
      </w:r>
    </w:p>
    <w:p w14:paraId="36413BCA" w14:textId="77777777" w:rsidR="00A13DA5" w:rsidRPr="0048184E" w:rsidRDefault="00A13DA5" w:rsidP="0048184E">
      <w:pPr>
        <w:spacing w:after="0" w:line="240" w:lineRule="auto"/>
        <w:jc w:val="both"/>
        <w:rPr>
          <w:rFonts w:eastAsia="Times New Roman" w:cstheme="minorHAnsi"/>
          <w:bCs/>
          <w:sz w:val="18"/>
          <w:szCs w:val="18"/>
          <w:lang w:val="pl-PL"/>
        </w:rPr>
      </w:pPr>
    </w:p>
    <w:p w14:paraId="7F9F73EB" w14:textId="77777777" w:rsidR="00A13DA5" w:rsidRDefault="006926B6" w:rsidP="0048184E">
      <w:pPr>
        <w:spacing w:after="0" w:line="240" w:lineRule="auto"/>
        <w:jc w:val="both"/>
        <w:rPr>
          <w:rFonts w:eastAsia="Times New Roman" w:cstheme="minorHAnsi"/>
          <w:b/>
          <w:bCs/>
          <w:sz w:val="18"/>
          <w:szCs w:val="18"/>
          <w:lang w:val="sr-Latn-ME"/>
        </w:rPr>
      </w:pPr>
      <w:r>
        <w:rPr>
          <w:rFonts w:eastAsia="Times New Roman" w:cstheme="minorHAnsi"/>
          <w:bCs/>
          <w:sz w:val="18"/>
          <w:szCs w:val="18"/>
          <w:lang w:val="pl-PL"/>
        </w:rPr>
        <w:t xml:space="preserve">Već u ovom periodu možeme se konstatovati da je </w:t>
      </w:r>
      <w:r>
        <w:rPr>
          <w:rFonts w:eastAsia="Times New Roman" w:cstheme="minorHAnsi"/>
          <w:bCs/>
          <w:sz w:val="18"/>
          <w:szCs w:val="18"/>
          <w:lang w:val="sr-Latn-ME"/>
        </w:rPr>
        <w:t>u</w:t>
      </w:r>
      <w:r w:rsidR="00A13DA5" w:rsidRPr="0048184E">
        <w:rPr>
          <w:rFonts w:eastAsia="Times New Roman" w:cstheme="minorHAnsi"/>
          <w:bCs/>
          <w:sz w:val="18"/>
          <w:szCs w:val="18"/>
          <w:lang w:val="sr-Latn-ME"/>
        </w:rPr>
        <w:t>naprjeđenj</w:t>
      </w:r>
      <w:r>
        <w:rPr>
          <w:rFonts w:eastAsia="Times New Roman" w:cstheme="minorHAnsi"/>
          <w:bCs/>
          <w:sz w:val="18"/>
          <w:szCs w:val="18"/>
          <w:lang w:val="sr-Latn-ME"/>
        </w:rPr>
        <w:t>e insitucionalnog okvira, kroz formiranje novog ministarstva, dovelo do poboljšanja</w:t>
      </w:r>
      <w:r w:rsidR="00A13DA5" w:rsidRPr="0048184E">
        <w:rPr>
          <w:rFonts w:eastAsia="Times New Roman" w:cstheme="minorHAnsi"/>
          <w:bCs/>
          <w:sz w:val="18"/>
          <w:szCs w:val="18"/>
          <w:lang w:val="sr-Latn-ME"/>
        </w:rPr>
        <w:t xml:space="preserve"> funkcije koordinacije i vršenja nadzora nad sprovođenjem</w:t>
      </w:r>
      <w:r>
        <w:rPr>
          <w:rFonts w:eastAsia="Times New Roman" w:cstheme="minorHAnsi"/>
          <w:bCs/>
          <w:sz w:val="18"/>
          <w:szCs w:val="18"/>
          <w:lang w:val="sr-Latn-ME"/>
        </w:rPr>
        <w:t xml:space="preserve"> politike regionalnog razvoja, ali i dalje ostaje izazov u punoj implementaciji definisanih politika zbog velike razuđenosti u sprovođenju. T</w:t>
      </w:r>
      <w:r w:rsidR="00A13DA5" w:rsidRPr="0048184E">
        <w:rPr>
          <w:rFonts w:eastAsia="Times New Roman" w:cstheme="minorHAnsi"/>
          <w:bCs/>
          <w:sz w:val="18"/>
          <w:szCs w:val="18"/>
          <w:lang w:val="sr-Latn-ME"/>
        </w:rPr>
        <w:t>renutno</w:t>
      </w:r>
      <w:r>
        <w:rPr>
          <w:rFonts w:eastAsia="Times New Roman" w:cstheme="minorHAnsi"/>
          <w:bCs/>
          <w:sz w:val="18"/>
          <w:szCs w:val="18"/>
          <w:lang w:val="sr-Latn-ME"/>
        </w:rPr>
        <w:t xml:space="preserve"> su, pored Ministarstva, aktivnosti</w:t>
      </w:r>
      <w:r w:rsidR="00A13DA5" w:rsidRPr="0048184E">
        <w:rPr>
          <w:rFonts w:eastAsia="Times New Roman" w:cstheme="minorHAnsi"/>
          <w:bCs/>
          <w:sz w:val="18"/>
          <w:szCs w:val="18"/>
          <w:lang w:val="sr-Latn-ME"/>
        </w:rPr>
        <w:t xml:space="preserve"> raspoređene po pojedinim direktoratima u više organa državne uprave:</w:t>
      </w:r>
      <w:r w:rsidR="00A13DA5" w:rsidRPr="0048184E">
        <w:rPr>
          <w:rFonts w:eastAsia="Times New Roman" w:cstheme="minorHAnsi"/>
          <w:sz w:val="18"/>
          <w:szCs w:val="18"/>
          <w:lang w:val="sr-Latn-ME"/>
        </w:rPr>
        <w:t xml:space="preserve"> </w:t>
      </w:r>
      <w:r w:rsidR="00A13DA5" w:rsidRPr="006926B6">
        <w:rPr>
          <w:rFonts w:eastAsia="Times New Roman" w:cstheme="minorHAnsi"/>
          <w:sz w:val="18"/>
          <w:szCs w:val="18"/>
          <w:lang w:val="pl-PL"/>
        </w:rPr>
        <w:t>f</w:t>
      </w:r>
      <w:r w:rsidR="00A13DA5" w:rsidRPr="006926B6">
        <w:rPr>
          <w:rFonts w:eastAsia="Times New Roman" w:cstheme="minorHAnsi"/>
          <w:bCs/>
          <w:sz w:val="18"/>
          <w:szCs w:val="18"/>
          <w:lang w:val="pl-PL"/>
        </w:rPr>
        <w:t>inansija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ure</w:t>
      </w:r>
      <w:r w:rsidR="00A13DA5" w:rsidRPr="0048184E">
        <w:rPr>
          <w:rFonts w:eastAsia="Times New Roman" w:cstheme="minorHAnsi"/>
          <w:bCs/>
          <w:sz w:val="18"/>
          <w:szCs w:val="18"/>
          <w:lang w:val="sr-Latn-ME"/>
        </w:rPr>
        <w:t>đ</w:t>
      </w:r>
      <w:r w:rsidR="00A13DA5" w:rsidRPr="006926B6">
        <w:rPr>
          <w:rFonts w:eastAsia="Times New Roman" w:cstheme="minorHAnsi"/>
          <w:bCs/>
          <w:sz w:val="18"/>
          <w:szCs w:val="18"/>
          <w:lang w:val="pl-PL"/>
        </w:rPr>
        <w:t>enja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prostora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za</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tite</w:t>
      </w:r>
      <w:r w:rsidR="00A13DA5" w:rsidRPr="0048184E">
        <w:rPr>
          <w:rFonts w:eastAsia="Times New Roman" w:cstheme="minorHAnsi"/>
          <w:bCs/>
          <w:sz w:val="18"/>
          <w:szCs w:val="18"/>
          <w:lang w:val="sr-Latn-ME"/>
        </w:rPr>
        <w:t xml:space="preserve"> ž</w:t>
      </w:r>
      <w:r w:rsidR="00A13DA5" w:rsidRPr="006926B6">
        <w:rPr>
          <w:rFonts w:eastAsia="Times New Roman" w:cstheme="minorHAnsi"/>
          <w:bCs/>
          <w:sz w:val="18"/>
          <w:szCs w:val="18"/>
          <w:lang w:val="pl-PL"/>
        </w:rPr>
        <w:t>ivotne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sredine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poljoprivrede</w:t>
      </w:r>
      <w:r w:rsidR="00A13DA5" w:rsidRPr="0048184E">
        <w:rPr>
          <w:rFonts w:eastAsia="Times New Roman" w:cstheme="minorHAnsi"/>
          <w:bCs/>
          <w:sz w:val="18"/>
          <w:szCs w:val="18"/>
          <w:lang w:val="sr-Latn-ME"/>
        </w:rPr>
        <w:t>, š</w:t>
      </w:r>
      <w:r w:rsidR="00A13DA5" w:rsidRPr="006926B6">
        <w:rPr>
          <w:rFonts w:eastAsia="Times New Roman" w:cstheme="minorHAnsi"/>
          <w:bCs/>
          <w:sz w:val="18"/>
          <w:szCs w:val="18"/>
          <w:lang w:val="pl-PL"/>
        </w:rPr>
        <w:t>umarstva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vodoprivrede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turizma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saobra</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aja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pomorstva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telekomunikacija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energetike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industrije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preduzetni</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odnosno</w:t>
      </w:r>
      <w:r w:rsidR="00A13DA5" w:rsidRPr="0048184E">
        <w:rPr>
          <w:rFonts w:eastAsia="Times New Roman" w:cstheme="minorHAnsi"/>
          <w:bCs/>
          <w:sz w:val="18"/>
          <w:szCs w:val="18"/>
          <w:lang w:val="sr-Latn-ME"/>
        </w:rPr>
        <w:t xml:space="preserve"> mikro, </w:t>
      </w:r>
      <w:r w:rsidR="00A13DA5" w:rsidRPr="006926B6">
        <w:rPr>
          <w:rFonts w:eastAsia="Times New Roman" w:cstheme="minorHAnsi"/>
          <w:bCs/>
          <w:sz w:val="18"/>
          <w:szCs w:val="18"/>
          <w:lang w:val="pl-PL"/>
        </w:rPr>
        <w:t>malih</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srednjih</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preduze</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razvoja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prosvjete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nauke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rada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socijalnog</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staranja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javne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uprave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zdravlja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kulture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uklju</w:t>
      </w:r>
      <w:r w:rsidR="00A13DA5" w:rsidRPr="0048184E">
        <w:rPr>
          <w:rFonts w:eastAsia="Times New Roman" w:cstheme="minorHAnsi"/>
          <w:bCs/>
          <w:sz w:val="18"/>
          <w:szCs w:val="18"/>
          <w:lang w:val="sr-Latn-ME"/>
        </w:rPr>
        <w:t>č</w:t>
      </w:r>
      <w:r w:rsidR="00A13DA5" w:rsidRPr="006926B6">
        <w:rPr>
          <w:rFonts w:eastAsia="Times New Roman" w:cstheme="minorHAnsi"/>
          <w:bCs/>
          <w:sz w:val="18"/>
          <w:szCs w:val="18"/>
          <w:lang w:val="pl-PL"/>
        </w:rPr>
        <w:t>uju</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Pr>
          <w:rFonts w:eastAsia="Times New Roman" w:cstheme="minorHAnsi"/>
          <w:bCs/>
          <w:sz w:val="18"/>
          <w:szCs w:val="18"/>
          <w:lang w:val="pl-PL"/>
        </w:rPr>
        <w:t>IRF</w:t>
      </w:r>
      <w:r>
        <w:rPr>
          <w:rFonts w:eastAsia="Times New Roman" w:cstheme="minorHAnsi"/>
          <w:bCs/>
          <w:sz w:val="18"/>
          <w:szCs w:val="18"/>
          <w:lang w:val="sr-Latn-ME"/>
        </w:rPr>
        <w:t>, ZZCG, MIPA</w:t>
      </w:r>
      <w:r w:rsidR="00A13DA5" w:rsidRPr="0048184E">
        <w:rPr>
          <w:rFonts w:eastAsia="Times New Roman" w:cstheme="minorHAnsi"/>
          <w:bCs/>
          <w:sz w:val="18"/>
          <w:szCs w:val="18"/>
          <w:lang w:val="sr-Latn-ME"/>
        </w:rPr>
        <w:t>,</w:t>
      </w:r>
      <w:r w:rsidR="00A13DA5" w:rsidRPr="0048184E">
        <w:rPr>
          <w:rFonts w:eastAsia="Times New Roman" w:cstheme="minorHAnsi"/>
          <w:sz w:val="18"/>
          <w:szCs w:val="18"/>
          <w:lang w:val="sr-Latn-ME"/>
        </w:rPr>
        <w:t xml:space="preserve"> </w:t>
      </w:r>
      <w:r w:rsidR="00A13DA5" w:rsidRPr="006926B6">
        <w:rPr>
          <w:rFonts w:eastAsia="Times New Roman" w:cstheme="minorHAnsi"/>
          <w:bCs/>
          <w:sz w:val="18"/>
          <w:szCs w:val="18"/>
          <w:lang w:val="pl-PL"/>
        </w:rPr>
        <w:t>JLS</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drugi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organi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organizacije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privredna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dru</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ve</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inskom</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dr</w:t>
      </w:r>
      <w:r w:rsidR="00A13DA5" w:rsidRPr="0048184E">
        <w:rPr>
          <w:rFonts w:eastAsia="Times New Roman" w:cstheme="minorHAnsi"/>
          <w:bCs/>
          <w:sz w:val="18"/>
          <w:szCs w:val="18"/>
          <w:lang w:val="sr-Latn-ME"/>
        </w:rPr>
        <w:t>ž</w:t>
      </w:r>
      <w:r w:rsidR="00A13DA5" w:rsidRPr="006926B6">
        <w:rPr>
          <w:rFonts w:eastAsia="Times New Roman" w:cstheme="minorHAnsi"/>
          <w:bCs/>
          <w:sz w:val="18"/>
          <w:szCs w:val="18"/>
          <w:lang w:val="pl-PL"/>
        </w:rPr>
        <w:t>avnom</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vlasni</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tvu</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koja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obavljaju</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poslove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kojima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podsti</w:t>
      </w:r>
      <w:r w:rsidR="00A13DA5" w:rsidRPr="0048184E">
        <w:rPr>
          <w:rFonts w:eastAsia="Times New Roman" w:cstheme="minorHAnsi"/>
          <w:bCs/>
          <w:sz w:val="18"/>
          <w:szCs w:val="18"/>
          <w:lang w:val="sr-Latn-ME"/>
        </w:rPr>
        <w:t>č</w:t>
      </w:r>
      <w:r w:rsidR="00A13DA5" w:rsidRPr="006926B6">
        <w:rPr>
          <w:rFonts w:eastAsia="Times New Roman" w:cstheme="minorHAnsi"/>
          <w:bCs/>
          <w:sz w:val="18"/>
          <w:szCs w:val="18"/>
          <w:lang w:val="pl-PL"/>
        </w:rPr>
        <w:t>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regionalni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razvoj</w:t>
      </w:r>
      <w:r w:rsidR="00A13DA5" w:rsidRPr="0048184E">
        <w:rPr>
          <w:rFonts w:eastAsia="Times New Roman" w:cstheme="minorHAnsi"/>
          <w:bCs/>
          <w:sz w:val="18"/>
          <w:szCs w:val="18"/>
          <w:lang w:val="sr-Latn-ME"/>
        </w:rPr>
        <w:t>. Imajući u vidu</w:t>
      </w:r>
      <w:r w:rsidR="00A13DA5" w:rsidRPr="0048184E">
        <w:rPr>
          <w:rFonts w:eastAsia="Times New Roman" w:cstheme="minorHAnsi"/>
          <w:b/>
          <w:bCs/>
          <w:sz w:val="18"/>
          <w:szCs w:val="18"/>
          <w:lang w:val="sr-Latn-ME"/>
        </w:rPr>
        <w:t xml:space="preserve"> </w:t>
      </w:r>
      <w:r w:rsidR="00A13DA5" w:rsidRPr="0048184E">
        <w:rPr>
          <w:rFonts w:eastAsia="Times New Roman" w:cstheme="minorHAnsi"/>
          <w:sz w:val="18"/>
          <w:szCs w:val="18"/>
          <w:lang w:val="sr-Latn-ME"/>
        </w:rPr>
        <w:t xml:space="preserve">fragmentiranost i pojedina preklapanja nadležnosti organa državne uprave, </w:t>
      </w:r>
      <w:r>
        <w:rPr>
          <w:rFonts w:eastAsia="Times New Roman" w:cstheme="minorHAnsi"/>
          <w:sz w:val="18"/>
          <w:szCs w:val="18"/>
          <w:lang w:val="sr-Latn-ME"/>
        </w:rPr>
        <w:t>kroz novi zakonodavni okvir trebalo bi sagledati osnaživanje</w:t>
      </w:r>
      <w:r w:rsidR="00A13DA5" w:rsidRPr="0048184E">
        <w:rPr>
          <w:rFonts w:eastAsia="Times New Roman" w:cstheme="minorHAnsi"/>
          <w:sz w:val="18"/>
          <w:szCs w:val="18"/>
          <w:lang w:val="sr-Latn-ME"/>
        </w:rPr>
        <w:t xml:space="preserve"> koordinacione uloge Ministars</w:t>
      </w:r>
      <w:r w:rsidR="00F4339C" w:rsidRPr="0048184E">
        <w:rPr>
          <w:rFonts w:eastAsia="Times New Roman" w:cstheme="minorHAnsi"/>
          <w:sz w:val="18"/>
          <w:szCs w:val="18"/>
          <w:lang w:val="sr-Latn-ME"/>
        </w:rPr>
        <w:t>tva</w:t>
      </w:r>
      <w:r w:rsidR="00A13DA5" w:rsidRPr="0048184E">
        <w:rPr>
          <w:rFonts w:eastAsia="Times New Roman" w:cstheme="minorHAnsi"/>
          <w:sz w:val="18"/>
          <w:szCs w:val="18"/>
          <w:lang w:val="sr-Latn-ME"/>
        </w:rPr>
        <w:t xml:space="preserve"> kao organa državne uprave čija je nadležnost koordinacija aktivnosti u sprovođenju politike regionalnog razvoja</w:t>
      </w:r>
      <w:r w:rsidR="00FC3BF9" w:rsidRPr="0048184E">
        <w:rPr>
          <w:rFonts w:eastAsia="Times New Roman" w:cstheme="minorHAnsi"/>
          <w:sz w:val="18"/>
          <w:szCs w:val="18"/>
          <w:lang w:val="sr-Latn-ME"/>
        </w:rPr>
        <w:t xml:space="preserve">  i </w:t>
      </w:r>
      <w:r>
        <w:rPr>
          <w:rFonts w:eastAsia="Times New Roman" w:cstheme="minorHAnsi"/>
          <w:sz w:val="18"/>
          <w:szCs w:val="18"/>
          <w:lang w:val="sr-Latn-ME"/>
        </w:rPr>
        <w:t xml:space="preserve">jačanje uloge </w:t>
      </w:r>
      <w:r w:rsidR="00FC3BF9" w:rsidRPr="0048184E">
        <w:rPr>
          <w:rFonts w:eastAsia="Times New Roman" w:cstheme="minorHAnsi"/>
          <w:sz w:val="18"/>
          <w:szCs w:val="18"/>
          <w:lang w:val="sr-Latn-ME"/>
        </w:rPr>
        <w:t xml:space="preserve"> Partnerskog </w:t>
      </w:r>
      <w:r>
        <w:rPr>
          <w:rFonts w:eastAsia="Times New Roman" w:cstheme="minorHAnsi"/>
          <w:sz w:val="18"/>
          <w:szCs w:val="18"/>
          <w:lang w:val="sr-Latn-ME"/>
        </w:rPr>
        <w:t>savjeta za regionalni razvoj u č</w:t>
      </w:r>
      <w:r w:rsidR="00FC3BF9" w:rsidRPr="0048184E">
        <w:rPr>
          <w:rFonts w:eastAsia="Times New Roman" w:cstheme="minorHAnsi"/>
          <w:sz w:val="18"/>
          <w:szCs w:val="18"/>
          <w:lang w:val="sr-Latn-ME"/>
        </w:rPr>
        <w:t>ijem sastavu bi bili predstavnici svih relevantnih institucija za unapređenje politike regionalnog razvoja</w:t>
      </w:r>
      <w:r w:rsidR="00A13DA5" w:rsidRPr="0048184E">
        <w:rPr>
          <w:rFonts w:eastAsia="Times New Roman" w:cstheme="minorHAnsi"/>
          <w:sz w:val="18"/>
          <w:szCs w:val="18"/>
          <w:lang w:val="sr-Latn-ME"/>
        </w:rPr>
        <w:t>.</w:t>
      </w:r>
      <w:r w:rsidR="00A13DA5" w:rsidRPr="0048184E">
        <w:rPr>
          <w:rFonts w:eastAsia="Times New Roman" w:cstheme="minorHAnsi"/>
          <w:b/>
          <w:bCs/>
          <w:sz w:val="18"/>
          <w:szCs w:val="18"/>
          <w:lang w:val="sr-Latn-ME"/>
        </w:rPr>
        <w:t xml:space="preserve"> </w:t>
      </w:r>
    </w:p>
    <w:p w14:paraId="232EFFC6" w14:textId="77777777" w:rsidR="00A13DA5" w:rsidRPr="0048184E" w:rsidRDefault="00A13DA5" w:rsidP="0048184E">
      <w:pPr>
        <w:spacing w:after="0" w:line="240" w:lineRule="auto"/>
        <w:jc w:val="both"/>
        <w:rPr>
          <w:rFonts w:eastAsia="Times New Roman" w:cstheme="minorHAnsi"/>
          <w:b/>
          <w:bCs/>
          <w:sz w:val="18"/>
          <w:szCs w:val="18"/>
          <w:lang w:val="sr-Latn-ME"/>
        </w:rPr>
      </w:pPr>
    </w:p>
    <w:tbl>
      <w:tblPr>
        <w:tblW w:w="90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93"/>
        <w:gridCol w:w="2132"/>
        <w:gridCol w:w="1802"/>
        <w:gridCol w:w="1028"/>
        <w:gridCol w:w="1530"/>
        <w:gridCol w:w="900"/>
      </w:tblGrid>
      <w:tr w:rsidR="00A13DA5" w:rsidRPr="002A2822" w14:paraId="172F799C" w14:textId="77777777" w:rsidTr="007C047A">
        <w:trPr>
          <w:trHeight w:val="301"/>
          <w:jc w:val="center"/>
        </w:trPr>
        <w:tc>
          <w:tcPr>
            <w:tcW w:w="3825" w:type="dxa"/>
            <w:gridSpan w:val="2"/>
            <w:shd w:val="clear" w:color="auto" w:fill="D9E2F3"/>
          </w:tcPr>
          <w:p w14:paraId="5D171D14" w14:textId="77777777" w:rsidR="00A13DA5" w:rsidRPr="0048184E" w:rsidRDefault="00A13DA5" w:rsidP="0048184E">
            <w:pPr>
              <w:pStyle w:val="NoSpacing"/>
              <w:rPr>
                <w:rFonts w:asciiTheme="minorHAnsi" w:hAnsiTheme="minorHAnsi" w:cstheme="minorHAnsi"/>
                <w:b/>
                <w:sz w:val="18"/>
                <w:szCs w:val="18"/>
                <w:lang w:val="sr-Latn-ME"/>
              </w:rPr>
            </w:pPr>
            <w:r w:rsidRPr="0048184E">
              <w:rPr>
                <w:rFonts w:asciiTheme="minorHAnsi" w:hAnsiTheme="minorHAnsi" w:cstheme="minorHAnsi"/>
                <w:b/>
                <w:sz w:val="18"/>
                <w:szCs w:val="18"/>
                <w:lang w:val="sr-Latn-ME"/>
              </w:rPr>
              <w:t>Operativni cilj 1.2.</w:t>
            </w:r>
          </w:p>
        </w:tc>
        <w:tc>
          <w:tcPr>
            <w:tcW w:w="5260" w:type="dxa"/>
            <w:gridSpan w:val="4"/>
            <w:shd w:val="clear" w:color="auto" w:fill="D9E2F3"/>
          </w:tcPr>
          <w:p w14:paraId="5AC37369" w14:textId="77777777" w:rsidR="00A13DA5" w:rsidRPr="0048184E" w:rsidRDefault="00A13DA5" w:rsidP="0048184E">
            <w:pPr>
              <w:pStyle w:val="NoSpacing"/>
              <w:rPr>
                <w:rFonts w:asciiTheme="minorHAnsi" w:hAnsiTheme="minorHAnsi" w:cstheme="minorHAnsi"/>
                <w:b/>
                <w:sz w:val="18"/>
                <w:szCs w:val="18"/>
                <w:lang w:val="sr-Latn-ME"/>
              </w:rPr>
            </w:pPr>
            <w:r w:rsidRPr="0048184E">
              <w:rPr>
                <w:rFonts w:asciiTheme="minorHAnsi" w:hAnsiTheme="minorHAnsi" w:cstheme="minorHAnsi"/>
                <w:b/>
                <w:sz w:val="18"/>
                <w:szCs w:val="18"/>
                <w:lang w:val="sr-Latn-ME"/>
              </w:rPr>
              <w:t>Unaprjeđenje mehanizma koordinacije u sprovođenju politike regionalnog razvoja</w:t>
            </w:r>
          </w:p>
        </w:tc>
      </w:tr>
      <w:tr w:rsidR="00A13DA5" w:rsidRPr="0048184E" w14:paraId="39E89AB4" w14:textId="77777777" w:rsidTr="007C047A">
        <w:trPr>
          <w:trHeight w:val="386"/>
          <w:jc w:val="center"/>
        </w:trPr>
        <w:tc>
          <w:tcPr>
            <w:tcW w:w="1693" w:type="dxa"/>
            <w:shd w:val="clear" w:color="auto" w:fill="auto"/>
          </w:tcPr>
          <w:p w14:paraId="13590FD2" w14:textId="77777777" w:rsidR="00A13DA5" w:rsidRPr="0048184E" w:rsidRDefault="00A13DA5" w:rsidP="0048184E">
            <w:pPr>
              <w:spacing w:after="0" w:line="240" w:lineRule="auto"/>
              <w:rPr>
                <w:rFonts w:eastAsia="Times New Roman" w:cstheme="minorHAnsi"/>
                <w:bCs/>
                <w:sz w:val="18"/>
                <w:szCs w:val="18"/>
                <w:lang w:val="sr-Latn-ME"/>
              </w:rPr>
            </w:pPr>
            <w:r w:rsidRPr="0048184E">
              <w:rPr>
                <w:rFonts w:eastAsia="Times New Roman" w:cstheme="minorHAnsi"/>
                <w:bCs/>
                <w:sz w:val="18"/>
                <w:szCs w:val="18"/>
                <w:lang w:val="sr-Latn-ME"/>
              </w:rPr>
              <w:t>Povećana efikasnost rada Partnerskog savjeta za regionalni razvoj</w:t>
            </w:r>
          </w:p>
        </w:tc>
        <w:tc>
          <w:tcPr>
            <w:tcW w:w="2132" w:type="dxa"/>
            <w:shd w:val="clear" w:color="auto" w:fill="FFFFFF"/>
          </w:tcPr>
          <w:p w14:paraId="5AC09CF7" w14:textId="77777777" w:rsidR="00A13DA5" w:rsidRPr="0048184E" w:rsidRDefault="00A13DA5" w:rsidP="0048184E">
            <w:pPr>
              <w:pStyle w:val="NoSpacing"/>
              <w:rPr>
                <w:rFonts w:asciiTheme="minorHAnsi" w:eastAsia="Times New Roman" w:hAnsiTheme="minorHAnsi" w:cstheme="minorHAnsi"/>
                <w:bCs/>
                <w:sz w:val="18"/>
                <w:szCs w:val="18"/>
                <w:lang w:val="sr-Latn-CS"/>
              </w:rPr>
            </w:pPr>
            <w:r w:rsidRPr="0048184E">
              <w:rPr>
                <w:rFonts w:asciiTheme="minorHAnsi" w:eastAsia="Times New Roman" w:hAnsiTheme="minorHAnsi" w:cstheme="minorHAnsi"/>
                <w:bCs/>
                <w:sz w:val="18"/>
                <w:szCs w:val="18"/>
                <w:lang w:val="pl-PL"/>
              </w:rPr>
              <w:t>Broj sjednica Partnerskog savjeta za regionalni razvoj</w:t>
            </w:r>
          </w:p>
        </w:tc>
        <w:tc>
          <w:tcPr>
            <w:tcW w:w="1802" w:type="dxa"/>
            <w:shd w:val="clear" w:color="auto" w:fill="FFFFFF"/>
          </w:tcPr>
          <w:p w14:paraId="2A5299FB" w14:textId="77777777" w:rsidR="00A13DA5" w:rsidRPr="0048184E" w:rsidRDefault="00D25A55" w:rsidP="0048184E">
            <w:pPr>
              <w:spacing w:after="0" w:line="240" w:lineRule="auto"/>
              <w:rPr>
                <w:rFonts w:eastAsia="Times New Roman" w:cstheme="minorHAnsi"/>
                <w:bCs/>
                <w:sz w:val="18"/>
                <w:szCs w:val="18"/>
                <w:lang w:val="sr-Latn-ME"/>
              </w:rPr>
            </w:pPr>
            <w:r>
              <w:rPr>
                <w:rFonts w:eastAsia="Times New Roman" w:cstheme="minorHAnsi"/>
                <w:bCs/>
                <w:sz w:val="18"/>
                <w:szCs w:val="18"/>
                <w:lang w:val="sr-Latn-ME"/>
              </w:rPr>
              <w:t>MIRN</w:t>
            </w:r>
          </w:p>
        </w:tc>
        <w:tc>
          <w:tcPr>
            <w:tcW w:w="1028" w:type="dxa"/>
            <w:shd w:val="clear" w:color="auto" w:fill="FFFFFF"/>
          </w:tcPr>
          <w:p w14:paraId="3DE9FB64" w14:textId="77777777" w:rsidR="00A13DA5" w:rsidRPr="0048184E" w:rsidRDefault="00A13DA5" w:rsidP="0048184E">
            <w:pPr>
              <w:pStyle w:val="NoSpacing"/>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n/a</w:t>
            </w:r>
          </w:p>
        </w:tc>
        <w:tc>
          <w:tcPr>
            <w:tcW w:w="1530" w:type="dxa"/>
            <w:shd w:val="clear" w:color="auto" w:fill="FFFFFF"/>
          </w:tcPr>
          <w:p w14:paraId="545DF090" w14:textId="77777777" w:rsidR="00A13DA5" w:rsidRPr="00A32323" w:rsidRDefault="00A32323"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2</w:t>
            </w:r>
            <w:r w:rsidR="00A13DA5" w:rsidRPr="00A32323">
              <w:rPr>
                <w:rFonts w:asciiTheme="minorHAnsi" w:eastAsia="Times New Roman" w:hAnsiTheme="minorHAnsi" w:cstheme="minorHAnsi"/>
                <w:bCs/>
                <w:iCs/>
                <w:sz w:val="18"/>
                <w:szCs w:val="18"/>
              </w:rPr>
              <w:t xml:space="preserve"> (kumulativno)</w:t>
            </w:r>
          </w:p>
        </w:tc>
        <w:tc>
          <w:tcPr>
            <w:tcW w:w="900" w:type="dxa"/>
            <w:shd w:val="clear" w:color="auto" w:fill="FFFFFF"/>
          </w:tcPr>
          <w:p w14:paraId="32E297DC" w14:textId="77777777" w:rsidR="00A13DA5" w:rsidRPr="00A32323" w:rsidRDefault="00A32323"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4</w:t>
            </w:r>
          </w:p>
        </w:tc>
      </w:tr>
      <w:tr w:rsidR="00A13DA5" w:rsidRPr="0048184E" w14:paraId="5D610C23" w14:textId="77777777" w:rsidTr="007C047A">
        <w:trPr>
          <w:trHeight w:val="386"/>
          <w:jc w:val="center"/>
        </w:trPr>
        <w:tc>
          <w:tcPr>
            <w:tcW w:w="1693" w:type="dxa"/>
            <w:shd w:val="clear" w:color="auto" w:fill="auto"/>
          </w:tcPr>
          <w:p w14:paraId="2B83C5AE" w14:textId="77777777" w:rsidR="00A13DA5" w:rsidRPr="0048184E" w:rsidRDefault="00A13DA5" w:rsidP="0048184E">
            <w:pPr>
              <w:spacing w:after="0" w:line="240" w:lineRule="auto"/>
              <w:rPr>
                <w:rFonts w:eastAsia="Times New Roman" w:cstheme="minorHAnsi"/>
                <w:sz w:val="18"/>
                <w:szCs w:val="18"/>
                <w:lang w:val="sr-Latn-ME"/>
              </w:rPr>
            </w:pPr>
            <w:r w:rsidRPr="0048184E">
              <w:rPr>
                <w:rFonts w:eastAsia="Times New Roman" w:cstheme="minorHAnsi"/>
                <w:sz w:val="18"/>
                <w:szCs w:val="18"/>
                <w:lang w:val="sr-Latn-ME"/>
              </w:rPr>
              <w:t>Povećan stepen koordinacije politkom regionalnog razvoja</w:t>
            </w:r>
          </w:p>
        </w:tc>
        <w:tc>
          <w:tcPr>
            <w:tcW w:w="2132" w:type="dxa"/>
            <w:shd w:val="clear" w:color="auto" w:fill="FFFFFF"/>
          </w:tcPr>
          <w:p w14:paraId="79437954" w14:textId="77777777" w:rsidR="00A13DA5" w:rsidRPr="0048184E" w:rsidRDefault="00A13DA5" w:rsidP="0048184E">
            <w:pPr>
              <w:pStyle w:val="NoSpacing"/>
              <w:rPr>
                <w:rFonts w:asciiTheme="minorHAnsi" w:eastAsia="Times New Roman" w:hAnsiTheme="minorHAnsi" w:cstheme="minorHAnsi"/>
                <w:bCs/>
                <w:sz w:val="18"/>
                <w:szCs w:val="18"/>
                <w:lang w:val="sr-Latn-CS"/>
              </w:rPr>
            </w:pPr>
            <w:r w:rsidRPr="0048184E">
              <w:rPr>
                <w:rFonts w:asciiTheme="minorHAnsi" w:eastAsia="Times New Roman" w:hAnsiTheme="minorHAnsi" w:cstheme="minorHAnsi"/>
                <w:bCs/>
                <w:sz w:val="18"/>
                <w:szCs w:val="18"/>
                <w:lang w:val="hr-BA"/>
              </w:rPr>
              <w:t>Broj mišljenja Ministarstva nadležnog za regionalni razvoj na strateška dokumenta, predloge zakona i podzakonskih akata relevantnih za regionalni razvoj</w:t>
            </w:r>
          </w:p>
        </w:tc>
        <w:tc>
          <w:tcPr>
            <w:tcW w:w="1802" w:type="dxa"/>
            <w:shd w:val="clear" w:color="auto" w:fill="FFFFFF"/>
          </w:tcPr>
          <w:p w14:paraId="2C92728B" w14:textId="77777777" w:rsidR="00A13DA5" w:rsidRPr="0048184E" w:rsidRDefault="00D25A55" w:rsidP="0048184E">
            <w:pPr>
              <w:spacing w:after="0" w:line="240" w:lineRule="auto"/>
              <w:rPr>
                <w:rFonts w:eastAsia="Times New Roman" w:cstheme="minorHAnsi"/>
                <w:sz w:val="18"/>
                <w:szCs w:val="18"/>
                <w:lang w:val="sr-Latn-ME"/>
              </w:rPr>
            </w:pPr>
            <w:r>
              <w:rPr>
                <w:rFonts w:eastAsia="Times New Roman" w:cstheme="minorHAnsi"/>
                <w:sz w:val="18"/>
                <w:szCs w:val="18"/>
                <w:lang w:val="sr-Latn-ME"/>
              </w:rPr>
              <w:t>MIRN</w:t>
            </w:r>
          </w:p>
        </w:tc>
        <w:tc>
          <w:tcPr>
            <w:tcW w:w="1028" w:type="dxa"/>
            <w:shd w:val="clear" w:color="auto" w:fill="FFFFFF"/>
          </w:tcPr>
          <w:p w14:paraId="09410F0C" w14:textId="77777777" w:rsidR="00A13DA5" w:rsidRPr="0048184E" w:rsidRDefault="00A13DA5" w:rsidP="0048184E">
            <w:pPr>
              <w:pStyle w:val="NoSpacing"/>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15</w:t>
            </w:r>
          </w:p>
        </w:tc>
        <w:tc>
          <w:tcPr>
            <w:tcW w:w="1530" w:type="dxa"/>
            <w:shd w:val="clear" w:color="auto" w:fill="FFFFFF"/>
          </w:tcPr>
          <w:p w14:paraId="1FEAFCF4" w14:textId="77777777" w:rsidR="00A13DA5" w:rsidRPr="00A32323" w:rsidRDefault="00A13DA5"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18 (kumulativno)</w:t>
            </w:r>
          </w:p>
        </w:tc>
        <w:tc>
          <w:tcPr>
            <w:tcW w:w="900" w:type="dxa"/>
            <w:shd w:val="clear" w:color="auto" w:fill="FFFFFF"/>
          </w:tcPr>
          <w:p w14:paraId="14F6DBF5" w14:textId="77777777" w:rsidR="00A13DA5" w:rsidRPr="00A32323" w:rsidRDefault="00A13DA5"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20</w:t>
            </w:r>
          </w:p>
        </w:tc>
      </w:tr>
      <w:tr w:rsidR="00A13DA5" w:rsidRPr="002A2822" w14:paraId="6FE27A15" w14:textId="77777777" w:rsidTr="007C047A">
        <w:trPr>
          <w:trHeight w:val="386"/>
          <w:jc w:val="center"/>
        </w:trPr>
        <w:tc>
          <w:tcPr>
            <w:tcW w:w="1693" w:type="dxa"/>
            <w:vMerge w:val="restart"/>
            <w:tcBorders>
              <w:top w:val="single" w:sz="4" w:space="0" w:color="808080"/>
              <w:left w:val="single" w:sz="4" w:space="0" w:color="808080"/>
              <w:right w:val="single" w:sz="4" w:space="0" w:color="808080"/>
            </w:tcBorders>
            <w:shd w:val="clear" w:color="auto" w:fill="auto"/>
          </w:tcPr>
          <w:p w14:paraId="6F1B7527" w14:textId="77777777" w:rsidR="00A13DA5" w:rsidRPr="0048184E" w:rsidRDefault="00A13DA5" w:rsidP="0048184E">
            <w:pPr>
              <w:spacing w:after="0" w:line="240" w:lineRule="auto"/>
              <w:rPr>
                <w:rFonts w:eastAsia="Times New Roman" w:cstheme="minorHAnsi"/>
                <w:sz w:val="18"/>
                <w:szCs w:val="18"/>
                <w:lang w:val="sr-Latn-ME"/>
              </w:rPr>
            </w:pPr>
            <w:r w:rsidRPr="0048184E">
              <w:rPr>
                <w:rFonts w:cstheme="minorHAnsi"/>
                <w:sz w:val="18"/>
                <w:szCs w:val="18"/>
                <w:lang w:val="sr-Latn-ME"/>
              </w:rPr>
              <w:t>Potencijalni uticaj na životnu sredinu</w:t>
            </w:r>
          </w:p>
        </w:tc>
        <w:tc>
          <w:tcPr>
            <w:tcW w:w="2132" w:type="dxa"/>
            <w:tcBorders>
              <w:top w:val="single" w:sz="4" w:space="0" w:color="808080"/>
              <w:left w:val="single" w:sz="4" w:space="0" w:color="808080"/>
              <w:bottom w:val="single" w:sz="4" w:space="0" w:color="808080"/>
              <w:right w:val="single" w:sz="4" w:space="0" w:color="808080"/>
            </w:tcBorders>
            <w:shd w:val="clear" w:color="auto" w:fill="FFFFFF"/>
          </w:tcPr>
          <w:p w14:paraId="0B6A3C3A" w14:textId="77777777" w:rsidR="00A13DA5" w:rsidRPr="0048184E" w:rsidRDefault="00A13DA5" w:rsidP="0048184E">
            <w:pPr>
              <w:pStyle w:val="NoSpacing"/>
              <w:rPr>
                <w:rFonts w:asciiTheme="minorHAnsi" w:eastAsia="Times New Roman" w:hAnsiTheme="minorHAnsi" w:cstheme="minorHAnsi"/>
                <w:bCs/>
                <w:sz w:val="18"/>
                <w:szCs w:val="18"/>
                <w:lang w:val="hr-BA"/>
              </w:rPr>
            </w:pPr>
            <w:r w:rsidRPr="0048184E">
              <w:rPr>
                <w:rFonts w:asciiTheme="minorHAnsi" w:eastAsia="Times New Roman" w:hAnsiTheme="minorHAnsi" w:cstheme="minorHAnsi"/>
                <w:bCs/>
                <w:sz w:val="18"/>
                <w:szCs w:val="18"/>
                <w:lang w:val="hr-BA"/>
              </w:rPr>
              <w:t>Stanovništvo i zdravlje</w:t>
            </w:r>
          </w:p>
        </w:tc>
        <w:tc>
          <w:tcPr>
            <w:tcW w:w="1802" w:type="dxa"/>
            <w:tcBorders>
              <w:top w:val="single" w:sz="4" w:space="0" w:color="808080"/>
              <w:left w:val="single" w:sz="4" w:space="0" w:color="808080"/>
              <w:bottom w:val="single" w:sz="4" w:space="0" w:color="808080"/>
              <w:right w:val="single" w:sz="4" w:space="0" w:color="808080"/>
            </w:tcBorders>
            <w:shd w:val="clear" w:color="auto" w:fill="FFFFFF"/>
          </w:tcPr>
          <w:p w14:paraId="059535A5" w14:textId="77777777" w:rsidR="00A13DA5" w:rsidRPr="0048184E" w:rsidRDefault="00A13DA5" w:rsidP="0048184E">
            <w:pPr>
              <w:spacing w:after="0" w:line="240" w:lineRule="auto"/>
              <w:rPr>
                <w:rFonts w:eastAsia="Times New Roman" w:cstheme="minorHAnsi"/>
                <w:sz w:val="18"/>
                <w:szCs w:val="18"/>
                <w:lang w:val="sr-Latn-ME"/>
              </w:rPr>
            </w:pPr>
            <w:r w:rsidRPr="0048184E">
              <w:rPr>
                <w:rFonts w:eastAsia="Times New Roman" w:cstheme="minorHAnsi"/>
                <w:sz w:val="18"/>
                <w:szCs w:val="18"/>
                <w:lang w:val="sr-Latn-ME"/>
              </w:rPr>
              <w:t>Prirodni resursi i biodiverzitet</w:t>
            </w:r>
          </w:p>
        </w:tc>
        <w:tc>
          <w:tcPr>
            <w:tcW w:w="1028" w:type="dxa"/>
            <w:tcBorders>
              <w:top w:val="single" w:sz="4" w:space="0" w:color="808080"/>
              <w:left w:val="single" w:sz="4" w:space="0" w:color="808080"/>
              <w:bottom w:val="single" w:sz="4" w:space="0" w:color="808080"/>
              <w:right w:val="single" w:sz="4" w:space="0" w:color="808080"/>
            </w:tcBorders>
            <w:shd w:val="clear" w:color="auto" w:fill="FFFFFF"/>
          </w:tcPr>
          <w:p w14:paraId="4837B3BD" w14:textId="77777777" w:rsidR="00A13DA5" w:rsidRPr="0048184E" w:rsidRDefault="00A13DA5" w:rsidP="0048184E">
            <w:pPr>
              <w:pStyle w:val="NoSpacing"/>
              <w:rPr>
                <w:rFonts w:asciiTheme="minorHAnsi" w:eastAsia="Times New Roman" w:hAnsiTheme="minorHAnsi" w:cstheme="minorHAnsi"/>
                <w:bCs/>
                <w:iCs/>
                <w:sz w:val="18"/>
                <w:szCs w:val="18"/>
                <w:lang w:val="it-IT"/>
              </w:rPr>
            </w:pPr>
            <w:r w:rsidRPr="0048184E">
              <w:rPr>
                <w:rFonts w:asciiTheme="minorHAnsi" w:eastAsia="Times New Roman" w:hAnsiTheme="minorHAnsi" w:cstheme="minorHAnsi"/>
                <w:bCs/>
                <w:iCs/>
                <w:sz w:val="18"/>
                <w:szCs w:val="18"/>
                <w:lang w:val="it-IT"/>
              </w:rPr>
              <w:t>Materijalna dobra i kulturno nasleđe</w:t>
            </w:r>
          </w:p>
        </w:tc>
        <w:tc>
          <w:tcPr>
            <w:tcW w:w="1530" w:type="dxa"/>
            <w:tcBorders>
              <w:top w:val="single" w:sz="4" w:space="0" w:color="808080"/>
              <w:left w:val="single" w:sz="4" w:space="0" w:color="808080"/>
              <w:bottom w:val="single" w:sz="4" w:space="0" w:color="808080"/>
              <w:right w:val="single" w:sz="4" w:space="0" w:color="808080"/>
            </w:tcBorders>
            <w:shd w:val="clear" w:color="auto" w:fill="FFFFFF"/>
          </w:tcPr>
          <w:p w14:paraId="1BF7275D" w14:textId="77777777" w:rsidR="00A13DA5" w:rsidRPr="0048184E" w:rsidRDefault="00A13DA5" w:rsidP="0048184E">
            <w:pPr>
              <w:pStyle w:val="NoSpacing"/>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Proizvodni procesi i tehnologije</w:t>
            </w:r>
          </w:p>
        </w:tc>
        <w:tc>
          <w:tcPr>
            <w:tcW w:w="900" w:type="dxa"/>
            <w:tcBorders>
              <w:top w:val="single" w:sz="4" w:space="0" w:color="808080"/>
              <w:left w:val="single" w:sz="4" w:space="0" w:color="808080"/>
              <w:bottom w:val="single" w:sz="4" w:space="0" w:color="808080"/>
              <w:right w:val="single" w:sz="4" w:space="0" w:color="808080"/>
            </w:tcBorders>
            <w:shd w:val="clear" w:color="auto" w:fill="FFFFFF"/>
          </w:tcPr>
          <w:p w14:paraId="73ADDC1F" w14:textId="77777777" w:rsidR="00A13DA5" w:rsidRPr="0048184E" w:rsidRDefault="00A13DA5" w:rsidP="0048184E">
            <w:pPr>
              <w:pStyle w:val="NoSpacing"/>
              <w:rPr>
                <w:rFonts w:asciiTheme="minorHAnsi" w:eastAsia="Times New Roman" w:hAnsiTheme="minorHAnsi" w:cstheme="minorHAnsi"/>
                <w:bCs/>
                <w:iCs/>
                <w:sz w:val="18"/>
                <w:szCs w:val="18"/>
                <w:lang w:val="it-IT"/>
              </w:rPr>
            </w:pPr>
            <w:r w:rsidRPr="0048184E">
              <w:rPr>
                <w:rFonts w:asciiTheme="minorHAnsi" w:hAnsiTheme="minorHAnsi" w:cstheme="minorHAnsi"/>
                <w:sz w:val="18"/>
                <w:szCs w:val="18"/>
                <w:lang w:val="sr-Latn-ME"/>
              </w:rPr>
              <w:t>Način isporuke usluga i dobara</w:t>
            </w:r>
          </w:p>
        </w:tc>
      </w:tr>
      <w:tr w:rsidR="00A13DA5" w:rsidRPr="0048184E" w14:paraId="054A1839" w14:textId="77777777" w:rsidTr="007C047A">
        <w:trPr>
          <w:trHeight w:val="386"/>
          <w:jc w:val="center"/>
        </w:trPr>
        <w:tc>
          <w:tcPr>
            <w:tcW w:w="1693" w:type="dxa"/>
            <w:vMerge/>
            <w:tcBorders>
              <w:left w:val="single" w:sz="4" w:space="0" w:color="808080"/>
              <w:bottom w:val="single" w:sz="4" w:space="0" w:color="808080"/>
              <w:right w:val="single" w:sz="4" w:space="0" w:color="808080"/>
            </w:tcBorders>
            <w:shd w:val="clear" w:color="auto" w:fill="auto"/>
          </w:tcPr>
          <w:p w14:paraId="5E727C53" w14:textId="77777777" w:rsidR="00A13DA5" w:rsidRPr="0048184E" w:rsidRDefault="00A13DA5" w:rsidP="0048184E">
            <w:pPr>
              <w:spacing w:after="0" w:line="240" w:lineRule="auto"/>
              <w:rPr>
                <w:rFonts w:eastAsia="Times New Roman" w:cstheme="minorHAnsi"/>
                <w:sz w:val="18"/>
                <w:szCs w:val="18"/>
                <w:lang w:val="sr-Latn-ME"/>
              </w:rPr>
            </w:pPr>
          </w:p>
        </w:tc>
        <w:tc>
          <w:tcPr>
            <w:tcW w:w="2132" w:type="dxa"/>
            <w:tcBorders>
              <w:top w:val="single" w:sz="4" w:space="0" w:color="808080"/>
              <w:left w:val="single" w:sz="4" w:space="0" w:color="808080"/>
              <w:bottom w:val="single" w:sz="4" w:space="0" w:color="808080"/>
              <w:right w:val="single" w:sz="4" w:space="0" w:color="808080"/>
            </w:tcBorders>
            <w:shd w:val="clear" w:color="auto" w:fill="FFFFFF"/>
          </w:tcPr>
          <w:p w14:paraId="6918705D" w14:textId="77777777" w:rsidR="00A13DA5" w:rsidRPr="0048184E" w:rsidRDefault="00A13DA5" w:rsidP="0048184E">
            <w:pPr>
              <w:pStyle w:val="NoSpacing"/>
              <w:jc w:val="center"/>
              <w:rPr>
                <w:rFonts w:asciiTheme="minorHAnsi" w:eastAsia="Times New Roman" w:hAnsiTheme="minorHAnsi" w:cstheme="minorHAnsi"/>
                <w:bCs/>
                <w:sz w:val="18"/>
                <w:szCs w:val="18"/>
                <w:lang w:val="hr-BA"/>
              </w:rPr>
            </w:pPr>
            <w:r w:rsidRPr="0048184E">
              <w:rPr>
                <w:rFonts w:asciiTheme="minorHAnsi" w:eastAsia="Times New Roman" w:hAnsiTheme="minorHAnsi" w:cstheme="minorHAnsi"/>
                <w:bCs/>
                <w:sz w:val="18"/>
                <w:szCs w:val="18"/>
                <w:lang w:val="hr-BA"/>
              </w:rPr>
              <w:t>+</w:t>
            </w:r>
          </w:p>
        </w:tc>
        <w:tc>
          <w:tcPr>
            <w:tcW w:w="1802" w:type="dxa"/>
            <w:tcBorders>
              <w:top w:val="single" w:sz="4" w:space="0" w:color="808080"/>
              <w:left w:val="single" w:sz="4" w:space="0" w:color="808080"/>
              <w:bottom w:val="single" w:sz="4" w:space="0" w:color="808080"/>
              <w:right w:val="single" w:sz="4" w:space="0" w:color="808080"/>
            </w:tcBorders>
            <w:shd w:val="clear" w:color="auto" w:fill="FFFFFF"/>
          </w:tcPr>
          <w:p w14:paraId="699B956C" w14:textId="77777777" w:rsidR="00A13DA5" w:rsidRPr="0048184E" w:rsidRDefault="00A13DA5" w:rsidP="0048184E">
            <w:pPr>
              <w:spacing w:after="0" w:line="240" w:lineRule="auto"/>
              <w:jc w:val="center"/>
              <w:rPr>
                <w:rFonts w:eastAsia="Times New Roman" w:cstheme="minorHAnsi"/>
                <w:sz w:val="18"/>
                <w:szCs w:val="18"/>
                <w:lang w:val="sr-Latn-ME"/>
              </w:rPr>
            </w:pPr>
            <w:r w:rsidRPr="0048184E">
              <w:rPr>
                <w:rFonts w:eastAsia="Times New Roman" w:cstheme="minorHAnsi"/>
                <w:sz w:val="18"/>
                <w:szCs w:val="18"/>
                <w:lang w:val="sr-Latn-ME"/>
              </w:rPr>
              <w:t>-</w:t>
            </w:r>
          </w:p>
        </w:tc>
        <w:tc>
          <w:tcPr>
            <w:tcW w:w="1028" w:type="dxa"/>
            <w:tcBorders>
              <w:top w:val="single" w:sz="4" w:space="0" w:color="808080"/>
              <w:left w:val="single" w:sz="4" w:space="0" w:color="808080"/>
              <w:bottom w:val="single" w:sz="4" w:space="0" w:color="808080"/>
              <w:right w:val="single" w:sz="4" w:space="0" w:color="808080"/>
            </w:tcBorders>
            <w:shd w:val="clear" w:color="auto" w:fill="FFFFFF"/>
          </w:tcPr>
          <w:p w14:paraId="10C030D2" w14:textId="77777777" w:rsidR="00A13DA5" w:rsidRPr="0048184E" w:rsidRDefault="00A13DA5" w:rsidP="0048184E">
            <w:pPr>
              <w:pStyle w:val="NoSpacing"/>
              <w:jc w:val="center"/>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w:t>
            </w:r>
          </w:p>
        </w:tc>
        <w:tc>
          <w:tcPr>
            <w:tcW w:w="1530" w:type="dxa"/>
            <w:tcBorders>
              <w:top w:val="single" w:sz="4" w:space="0" w:color="808080"/>
              <w:left w:val="single" w:sz="4" w:space="0" w:color="808080"/>
              <w:bottom w:val="single" w:sz="4" w:space="0" w:color="808080"/>
              <w:right w:val="single" w:sz="4" w:space="0" w:color="808080"/>
            </w:tcBorders>
            <w:shd w:val="clear" w:color="auto" w:fill="FFFFFF"/>
          </w:tcPr>
          <w:p w14:paraId="381DA0F0" w14:textId="77777777" w:rsidR="00A13DA5" w:rsidRPr="0048184E" w:rsidRDefault="00A13DA5" w:rsidP="0048184E">
            <w:pPr>
              <w:pStyle w:val="NoSpacing"/>
              <w:jc w:val="center"/>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w:t>
            </w:r>
          </w:p>
        </w:tc>
        <w:tc>
          <w:tcPr>
            <w:tcW w:w="900" w:type="dxa"/>
            <w:tcBorders>
              <w:top w:val="single" w:sz="4" w:space="0" w:color="808080"/>
              <w:left w:val="single" w:sz="4" w:space="0" w:color="808080"/>
              <w:bottom w:val="single" w:sz="4" w:space="0" w:color="808080"/>
              <w:right w:val="single" w:sz="4" w:space="0" w:color="808080"/>
            </w:tcBorders>
            <w:shd w:val="clear" w:color="auto" w:fill="FFFFFF"/>
          </w:tcPr>
          <w:p w14:paraId="63B3D6F3" w14:textId="77777777" w:rsidR="00A13DA5" w:rsidRPr="0048184E" w:rsidRDefault="00A13DA5" w:rsidP="0048184E">
            <w:pPr>
              <w:pStyle w:val="NoSpacing"/>
              <w:jc w:val="center"/>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w:t>
            </w:r>
          </w:p>
        </w:tc>
      </w:tr>
    </w:tbl>
    <w:p w14:paraId="0690046C" w14:textId="77777777" w:rsidR="00A13DA5" w:rsidRPr="0048184E" w:rsidRDefault="00A13DA5" w:rsidP="0048184E">
      <w:pPr>
        <w:spacing w:after="0" w:line="240" w:lineRule="auto"/>
        <w:jc w:val="both"/>
        <w:rPr>
          <w:rFonts w:eastAsia="Times New Roman" w:cstheme="minorHAnsi"/>
          <w:sz w:val="18"/>
          <w:szCs w:val="18"/>
          <w:lang w:val="sr-Latn-ME"/>
        </w:rPr>
      </w:pPr>
    </w:p>
    <w:p w14:paraId="5E06622C" w14:textId="77777777" w:rsidR="00630D78" w:rsidRPr="0048184E" w:rsidRDefault="00630D78" w:rsidP="0048184E">
      <w:pPr>
        <w:pStyle w:val="NoSpacing"/>
        <w:jc w:val="both"/>
        <w:rPr>
          <w:rFonts w:asciiTheme="minorHAnsi" w:hAnsiTheme="minorHAnsi" w:cstheme="minorHAnsi"/>
          <w:sz w:val="18"/>
          <w:szCs w:val="18"/>
          <w:lang w:val="sr-Latn-ME"/>
        </w:rPr>
      </w:pPr>
    </w:p>
    <w:p w14:paraId="35F12201" w14:textId="77777777" w:rsidR="00630D78" w:rsidRPr="0048184E" w:rsidRDefault="00630D78" w:rsidP="0048184E">
      <w:pPr>
        <w:pStyle w:val="NoSpacing"/>
        <w:jc w:val="both"/>
        <w:rPr>
          <w:rFonts w:asciiTheme="minorHAnsi" w:hAnsiTheme="minorHAnsi" w:cstheme="minorHAnsi"/>
          <w:sz w:val="18"/>
          <w:szCs w:val="18"/>
          <w:lang w:val="sr-Latn-ME"/>
        </w:rPr>
      </w:pPr>
    </w:p>
    <w:p w14:paraId="7EB2490A" w14:textId="77777777" w:rsidR="00A13DA5" w:rsidRPr="00726BE7" w:rsidRDefault="00A13DA5" w:rsidP="0048184E">
      <w:pPr>
        <w:pStyle w:val="Heading2"/>
        <w:numPr>
          <w:ilvl w:val="0"/>
          <w:numId w:val="28"/>
        </w:numPr>
        <w:spacing w:before="0" w:line="240" w:lineRule="auto"/>
        <w:jc w:val="both"/>
        <w:rPr>
          <w:rFonts w:asciiTheme="minorHAnsi" w:hAnsiTheme="minorHAnsi"/>
        </w:rPr>
      </w:pPr>
      <w:bookmarkStart w:id="54" w:name="_Toc205215849"/>
      <w:r w:rsidRPr="00726BE7">
        <w:rPr>
          <w:rFonts w:asciiTheme="minorHAnsi" w:hAnsiTheme="minorHAnsi"/>
        </w:rPr>
        <w:t>STRATEŠKI CILJ 2 (SC2) – Ostvarenje održivog ekonomskog razvoja regiona kroz jačanje ljudskih potencijala i podsticanje zapošljavanja radi poboljšanja kvaliteta života</w:t>
      </w:r>
      <w:bookmarkEnd w:id="54"/>
    </w:p>
    <w:p w14:paraId="18A90C2E" w14:textId="77777777" w:rsidR="00A13DA5" w:rsidRPr="0048184E" w:rsidRDefault="00A13DA5" w:rsidP="0048184E">
      <w:pPr>
        <w:pStyle w:val="Heading2"/>
        <w:spacing w:before="0" w:line="240" w:lineRule="auto"/>
        <w:rPr>
          <w:rFonts w:asciiTheme="minorHAnsi" w:hAnsiTheme="minorHAnsi"/>
          <w:color w:val="auto"/>
          <w:sz w:val="18"/>
          <w:szCs w:val="18"/>
        </w:rPr>
      </w:pPr>
    </w:p>
    <w:p w14:paraId="28450AD1" w14:textId="77777777" w:rsidR="00A13DA5"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Strateškim ciljem SC2 biće adresirani izazovi visokog s</w:t>
      </w:r>
      <w:r w:rsidR="00DF4A39">
        <w:rPr>
          <w:rFonts w:cstheme="minorHAnsi"/>
          <w:sz w:val="18"/>
          <w:szCs w:val="18"/>
          <w:lang w:val="sr-Latn-ME"/>
        </w:rPr>
        <w:t xml:space="preserve">tepena nezaposlenosti i odliva </w:t>
      </w:r>
      <w:r w:rsidRPr="0048184E">
        <w:rPr>
          <w:rFonts w:cstheme="minorHAnsi"/>
          <w:sz w:val="18"/>
          <w:szCs w:val="18"/>
          <w:lang w:val="sr-Latn-ME"/>
        </w:rPr>
        <w:t xml:space="preserve">stanovništva iz Crne Gore. U cilju sprovođenja ovog strateškog cilja i stvaranja uslova za razvoj ljudskog kapitala, neophodno je u kontinuitetu sprovoditi aktivnosti na unaprjeđenju postojećeg strateškog okvira u oblasti </w:t>
      </w:r>
      <w:r w:rsidR="00DF4A39">
        <w:rPr>
          <w:rFonts w:cstheme="minorHAnsi"/>
          <w:sz w:val="18"/>
          <w:szCs w:val="18"/>
          <w:lang w:val="sr-Latn-ME"/>
        </w:rPr>
        <w:t xml:space="preserve">infrastrukture i </w:t>
      </w:r>
      <w:r w:rsidRPr="0048184E">
        <w:rPr>
          <w:rFonts w:cstheme="minorHAnsi"/>
          <w:sz w:val="18"/>
          <w:szCs w:val="18"/>
          <w:lang w:val="sr-Latn-ME"/>
        </w:rPr>
        <w:t xml:space="preserve">obrazovanja na nivou cijele države. Ostvarivanje rasta zaposlenosti, ulaganja u kvalitetna i sigurna radna mjesta kroz dostojanstven rad i unaprjeđenje poslovnog ambijenta, biće jedan od ključnih ciljeva politike zapošljavanja. Sa druge strane, u oblasti obrazovanja i zdravstvene zaštite, poseban fokus će biti stavljen na realizaciju aktivnosti usmjerenih ka unaprjeđenju infrastrukture. </w:t>
      </w:r>
      <w:r w:rsidR="00DF4A39">
        <w:rPr>
          <w:rFonts w:cstheme="minorHAnsi"/>
          <w:sz w:val="18"/>
          <w:szCs w:val="18"/>
          <w:lang w:val="sr-Latn-ME"/>
        </w:rPr>
        <w:t xml:space="preserve">Poseban akcenat trebao bi biti na razvoj saobraćajne infrastrukture. </w:t>
      </w:r>
    </w:p>
    <w:p w14:paraId="7BBCC00D" w14:textId="77777777" w:rsidR="00357E2D" w:rsidRPr="003C2A72" w:rsidRDefault="00357E2D" w:rsidP="00357E2D">
      <w:pPr>
        <w:pStyle w:val="NoSpacing"/>
        <w:jc w:val="both"/>
        <w:rPr>
          <w:rFonts w:asciiTheme="minorHAnsi" w:hAnsiTheme="minorHAnsi" w:cstheme="minorHAnsi"/>
          <w:sz w:val="18"/>
          <w:szCs w:val="18"/>
          <w:lang w:val="sr-Latn-ME"/>
        </w:rPr>
      </w:pPr>
    </w:p>
    <w:p w14:paraId="1320A18B" w14:textId="77777777" w:rsidR="00357E2D" w:rsidRPr="003C2A72" w:rsidRDefault="00357E2D" w:rsidP="00357E2D">
      <w:pPr>
        <w:pStyle w:val="NoSpacing"/>
        <w:jc w:val="both"/>
        <w:rPr>
          <w:rFonts w:asciiTheme="minorHAnsi" w:hAnsiTheme="minorHAnsi" w:cstheme="minorHAnsi"/>
          <w:sz w:val="18"/>
          <w:szCs w:val="18"/>
          <w:lang w:val="sr-Latn-ME"/>
        </w:rPr>
      </w:pPr>
      <w:r>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cilju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obezbje</w:t>
      </w:r>
      <w:r w:rsidRPr="003C2A72">
        <w:rPr>
          <w:rFonts w:asciiTheme="minorHAnsi" w:hAnsiTheme="minorHAnsi" w:cstheme="minorHAnsi"/>
          <w:sz w:val="18"/>
          <w:szCs w:val="18"/>
          <w:lang w:val="sr-Latn-ME"/>
        </w:rPr>
        <w:t>đ</w:t>
      </w:r>
      <w:r>
        <w:rPr>
          <w:rFonts w:asciiTheme="minorHAnsi" w:hAnsiTheme="minorHAnsi" w:cstheme="minorHAnsi"/>
          <w:sz w:val="18"/>
          <w:szCs w:val="18"/>
          <w:lang w:val="pl-PL"/>
        </w:rPr>
        <w:t>ivanja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ivog</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razvoja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bolje</w:t>
      </w:r>
      <w:r w:rsidRPr="003C2A72">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sar</w:t>
      </w:r>
      <w:r>
        <w:rPr>
          <w:rFonts w:asciiTheme="minorHAnsi" w:hAnsiTheme="minorHAnsi" w:cstheme="minorHAnsi"/>
          <w:sz w:val="18"/>
          <w:szCs w:val="18"/>
          <w:lang w:val="pl-PL"/>
        </w:rPr>
        <w:t>adnje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izme</w:t>
      </w:r>
      <w:r w:rsidRPr="003C2A72">
        <w:rPr>
          <w:rFonts w:asciiTheme="minorHAnsi" w:hAnsiTheme="minorHAnsi" w:cstheme="minorHAnsi"/>
          <w:sz w:val="18"/>
          <w:szCs w:val="18"/>
          <w:lang w:val="sr-Latn-ME"/>
        </w:rPr>
        <w:t>đ</w:t>
      </w:r>
      <w:r>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biznis</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zajednice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lok</w:t>
      </w:r>
      <w:r w:rsidR="00DF4A39">
        <w:rPr>
          <w:rFonts w:asciiTheme="minorHAnsi" w:hAnsiTheme="minorHAnsi" w:cstheme="minorHAnsi"/>
          <w:sz w:val="18"/>
          <w:szCs w:val="18"/>
          <w:lang w:val="pl-PL"/>
        </w:rPr>
        <w:t>al</w:t>
      </w:r>
      <w:r>
        <w:rPr>
          <w:rFonts w:asciiTheme="minorHAnsi" w:hAnsiTheme="minorHAnsi" w:cstheme="minorHAnsi"/>
          <w:sz w:val="18"/>
          <w:szCs w:val="18"/>
          <w:lang w:val="pl-PL"/>
        </w:rPr>
        <w:t>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samouprave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avne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uprave</w:t>
      </w:r>
      <w:r w:rsidR="00DF4A39">
        <w:rPr>
          <w:rFonts w:asciiTheme="minorHAnsi" w:hAnsiTheme="minorHAnsi" w:cstheme="minorHAnsi"/>
          <w:sz w:val="18"/>
          <w:szCs w:val="18"/>
          <w:lang w:val="sr-Latn-ME"/>
        </w:rPr>
        <w:t>,</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narednom</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periodu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trebalo</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bi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razmisliti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potencijalno</w:t>
      </w:r>
      <w:r>
        <w:rPr>
          <w:rFonts w:asciiTheme="minorHAnsi" w:hAnsiTheme="minorHAnsi" w:cstheme="minorHAnsi"/>
          <w:sz w:val="18"/>
          <w:szCs w:val="18"/>
          <w:lang w:val="pl-PL"/>
        </w:rPr>
        <w:t>j</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dislokaciji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nekih</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organa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avne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uprave</w:t>
      </w:r>
      <w:r w:rsidRPr="003C2A72">
        <w:rPr>
          <w:rFonts w:asciiTheme="minorHAnsi" w:hAnsiTheme="minorHAnsi" w:cstheme="minorHAnsi"/>
          <w:sz w:val="18"/>
          <w:szCs w:val="18"/>
          <w:lang w:val="sr-Latn-ME"/>
        </w:rPr>
        <w:t xml:space="preserve"> ( </w:t>
      </w:r>
      <w:r>
        <w:rPr>
          <w:rFonts w:asciiTheme="minorHAnsi" w:hAnsiTheme="minorHAnsi" w:cstheme="minorHAnsi"/>
          <w:sz w:val="18"/>
          <w:szCs w:val="18"/>
          <w:lang w:val="pl-PL"/>
        </w:rPr>
        <w:t>ili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otvaranje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kancelarija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organa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avne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uprave</w:t>
      </w:r>
      <w:r w:rsidR="00DF4A39">
        <w:rPr>
          <w:rFonts w:asciiTheme="minorHAnsi" w:hAnsiTheme="minorHAnsi" w:cstheme="minorHAnsi"/>
          <w:sz w:val="18"/>
          <w:szCs w:val="18"/>
          <w:lang w:val="sr-Latn-ME"/>
        </w:rPr>
        <w:t xml:space="preserve"> </w:t>
      </w:r>
      <w:r>
        <w:rPr>
          <w:rFonts w:asciiTheme="minorHAnsi" w:hAnsiTheme="minorHAnsi" w:cstheme="minorHAnsi"/>
          <w:sz w:val="18"/>
          <w:szCs w:val="18"/>
          <w:lang w:val="pl-PL"/>
        </w:rPr>
        <w:t>koje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su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klju</w:t>
      </w:r>
      <w:r w:rsidRPr="003C2A72">
        <w:rPr>
          <w:rFonts w:asciiTheme="minorHAnsi" w:hAnsiTheme="minorHAnsi" w:cstheme="minorHAnsi"/>
          <w:sz w:val="18"/>
          <w:szCs w:val="18"/>
          <w:lang w:val="sr-Latn-ME"/>
        </w:rPr>
        <w:t>č</w:t>
      </w:r>
      <w:r>
        <w:rPr>
          <w:rFonts w:asciiTheme="minorHAnsi" w:hAnsiTheme="minorHAnsi" w:cstheme="minorHAnsi"/>
          <w:sz w:val="18"/>
          <w:szCs w:val="18"/>
          <w:lang w:val="pl-PL"/>
        </w:rPr>
        <w:t>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za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regionalni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razvoj</w:t>
      </w:r>
      <w:r w:rsidRPr="003C2A72">
        <w:rPr>
          <w:rFonts w:asciiTheme="minorHAnsi" w:hAnsiTheme="minorHAnsi" w:cstheme="minorHAnsi"/>
          <w:sz w:val="18"/>
          <w:szCs w:val="18"/>
          <w:lang w:val="sr-Latn-ME"/>
        </w:rPr>
        <w:t xml:space="preserve">) </w:t>
      </w:r>
      <w:r w:rsidR="0013456F">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drugim</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gradovima</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osim</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Glavnog</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grada</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sa</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posebnim</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akcentom</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na</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Sjeverni</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region</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Ovak</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pristup</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mo</w:t>
      </w:r>
      <w:r w:rsidRPr="003C2A72">
        <w:rPr>
          <w:rFonts w:asciiTheme="minorHAnsi" w:hAnsiTheme="minorHAnsi" w:cstheme="minorHAnsi"/>
          <w:sz w:val="18"/>
          <w:szCs w:val="18"/>
          <w:lang w:val="sr-Latn-ME"/>
        </w:rPr>
        <w:t>ž</w:t>
      </w:r>
      <w:r w:rsidRPr="0048184E">
        <w:rPr>
          <w:rFonts w:asciiTheme="minorHAnsi" w:hAnsiTheme="minorHAnsi" w:cstheme="minorHAnsi"/>
          <w:sz w:val="18"/>
          <w:szCs w:val="18"/>
          <w:lang w:val="pl-PL"/>
        </w:rPr>
        <w:t>e</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imati</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multiplikativni</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efekat</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smislu</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podsticanja</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lokalne</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potra</w:t>
      </w:r>
      <w:r w:rsidRPr="003C2A72">
        <w:rPr>
          <w:rFonts w:asciiTheme="minorHAnsi" w:hAnsiTheme="minorHAnsi" w:cstheme="minorHAnsi"/>
          <w:sz w:val="18"/>
          <w:szCs w:val="18"/>
          <w:lang w:val="sr-Latn-ME"/>
        </w:rPr>
        <w:t>ž</w:t>
      </w:r>
      <w:r w:rsidRPr="0048184E">
        <w:rPr>
          <w:rFonts w:asciiTheme="minorHAnsi" w:hAnsiTheme="minorHAnsi" w:cstheme="minorHAnsi"/>
          <w:sz w:val="18"/>
          <w:szCs w:val="18"/>
          <w:lang w:val="pl-PL"/>
        </w:rPr>
        <w:t>nje</w:t>
      </w:r>
      <w:r w:rsidRPr="003C2A72">
        <w:rPr>
          <w:rFonts w:asciiTheme="minorHAnsi" w:hAnsiTheme="minorHAnsi" w:cstheme="minorHAnsi"/>
          <w:sz w:val="18"/>
          <w:szCs w:val="18"/>
          <w:lang w:val="sr-Latn-ME"/>
        </w:rPr>
        <w:t xml:space="preserve">. </w:t>
      </w:r>
    </w:p>
    <w:p w14:paraId="65E21DD9" w14:textId="77777777" w:rsidR="00357E2D" w:rsidRPr="003C2A72" w:rsidRDefault="00357E2D" w:rsidP="00357E2D">
      <w:pPr>
        <w:pStyle w:val="NoSpacing"/>
        <w:jc w:val="both"/>
        <w:rPr>
          <w:rFonts w:asciiTheme="minorHAnsi" w:hAnsiTheme="minorHAnsi" w:cstheme="minorHAnsi"/>
          <w:sz w:val="18"/>
          <w:szCs w:val="18"/>
          <w:lang w:val="sr-Latn-ME"/>
        </w:rPr>
      </w:pPr>
    </w:p>
    <w:p w14:paraId="2E9FEB32" w14:textId="77777777" w:rsidR="00357E2D" w:rsidRPr="00357E2D" w:rsidRDefault="00357E2D" w:rsidP="00357E2D">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i/>
          <w:sz w:val="18"/>
          <w:szCs w:val="18"/>
          <w:lang w:val="sr-Latn-ME"/>
        </w:rPr>
      </w:pPr>
      <w:r w:rsidRPr="00357E2D">
        <w:rPr>
          <w:rFonts w:asciiTheme="minorHAnsi" w:hAnsiTheme="minorHAnsi" w:cstheme="minorHAnsi"/>
          <w:i/>
          <w:sz w:val="18"/>
          <w:szCs w:val="18"/>
          <w:lang w:val="pl-PL"/>
        </w:rPr>
        <w:t>Zakon</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Slu</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beni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list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br</w:t>
      </w:r>
      <w:r w:rsidRPr="003C2A72">
        <w:rPr>
          <w:rFonts w:asciiTheme="minorHAnsi" w:hAnsiTheme="minorHAnsi" w:cstheme="minorHAnsi"/>
          <w:i/>
          <w:sz w:val="18"/>
          <w:szCs w:val="18"/>
          <w:lang w:val="sr-Latn-ME"/>
        </w:rPr>
        <w:t xml:space="preserve">. 51/17) </w:t>
      </w:r>
      <w:r w:rsidRPr="00357E2D">
        <w:rPr>
          <w:rFonts w:asciiTheme="minorHAnsi" w:hAnsiTheme="minorHAnsi" w:cstheme="minorHAnsi"/>
          <w:i/>
          <w:sz w:val="18"/>
          <w:szCs w:val="18"/>
          <w:lang w:val="pl-PL"/>
        </w:rPr>
        <w:t>propisuje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je</w:t>
      </w:r>
      <w:r w:rsidRPr="003C2A72">
        <w:rPr>
          <w:rFonts w:asciiTheme="minorHAnsi" w:hAnsiTheme="minorHAnsi" w:cstheme="minorHAnsi"/>
          <w:i/>
          <w:sz w:val="18"/>
          <w:szCs w:val="18"/>
          <w:lang w:val="sr-Latn-ME"/>
        </w:rPr>
        <w:t xml:space="preserve"> </w:t>
      </w:r>
      <w:r w:rsidR="00111DC0">
        <w:rPr>
          <w:rFonts w:asciiTheme="minorHAnsi" w:hAnsiTheme="minorHAnsi" w:cstheme="minorHAnsi"/>
          <w:i/>
          <w:sz w:val="18"/>
          <w:szCs w:val="18"/>
          <w:lang w:val="pl-PL"/>
        </w:rPr>
        <w:t>u</w:t>
      </w:r>
      <w:r w:rsidR="00111DC0" w:rsidRPr="003C2A72">
        <w:rPr>
          <w:rFonts w:asciiTheme="minorHAnsi" w:hAnsiTheme="minorHAnsi" w:cstheme="minorHAnsi"/>
          <w:i/>
          <w:sz w:val="18"/>
          <w:szCs w:val="18"/>
          <w:lang w:val="sr-Latn-ME"/>
        </w:rPr>
        <w:t xml:space="preserve"> </w:t>
      </w:r>
      <w:r w:rsidR="00111DC0">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rezidencija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predsjednika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kao</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sjedi</w:t>
      </w:r>
      <w:r w:rsidRPr="003C2A72">
        <w:rPr>
          <w:rFonts w:asciiTheme="minorHAnsi" w:hAnsiTheme="minorHAnsi" w:cstheme="minorHAnsi"/>
          <w:i/>
          <w:sz w:val="18"/>
          <w:szCs w:val="18"/>
          <w:lang w:val="sr-Latn-ME"/>
        </w:rPr>
        <w:t>š</w:t>
      </w:r>
      <w:r w:rsidRPr="00357E2D">
        <w:rPr>
          <w:rFonts w:asciiTheme="minorHAnsi" w:hAnsiTheme="minorHAnsi" w:cstheme="minorHAnsi"/>
          <w:i/>
          <w:sz w:val="18"/>
          <w:szCs w:val="18"/>
          <w:lang w:val="pl-PL"/>
        </w:rPr>
        <w:t>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Ustavnog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suda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ministarstva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nadle</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nog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za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vanjske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poslove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ministarstva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nadle</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nog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za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kulturu</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Tako</w:t>
      </w:r>
      <w:r w:rsidRPr="003C2A72">
        <w:rPr>
          <w:rFonts w:asciiTheme="minorHAnsi" w:hAnsiTheme="minorHAnsi" w:cstheme="minorHAnsi"/>
          <w:i/>
          <w:sz w:val="18"/>
          <w:szCs w:val="18"/>
          <w:lang w:val="sr-Latn-ME"/>
        </w:rPr>
        <w:t>đ</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propisuje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Vlada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mo</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odrediti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sjedi</w:t>
      </w:r>
      <w:r w:rsidRPr="003C2A72">
        <w:rPr>
          <w:rFonts w:asciiTheme="minorHAnsi" w:hAnsiTheme="minorHAnsi" w:cstheme="minorHAnsi"/>
          <w:i/>
          <w:sz w:val="18"/>
          <w:szCs w:val="18"/>
          <w:lang w:val="sr-Latn-ME"/>
        </w:rPr>
        <w:t>š</w:t>
      </w:r>
      <w:r w:rsidRPr="00357E2D">
        <w:rPr>
          <w:rFonts w:asciiTheme="minorHAnsi" w:hAnsiTheme="minorHAnsi" w:cstheme="minorHAnsi"/>
          <w:i/>
          <w:sz w:val="18"/>
          <w:szCs w:val="18"/>
          <w:lang w:val="pl-PL"/>
        </w:rPr>
        <w:t>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odre</w:t>
      </w:r>
      <w:r w:rsidRPr="003C2A72">
        <w:rPr>
          <w:rFonts w:asciiTheme="minorHAnsi" w:hAnsiTheme="minorHAnsi" w:cstheme="minorHAnsi"/>
          <w:i/>
          <w:sz w:val="18"/>
          <w:szCs w:val="18"/>
          <w:lang w:val="sr-Latn-ME"/>
        </w:rPr>
        <w:t>đ</w:t>
      </w:r>
      <w:r w:rsidRPr="00357E2D">
        <w:rPr>
          <w:rFonts w:asciiTheme="minorHAnsi" w:hAnsiTheme="minorHAnsi" w:cstheme="minorHAnsi"/>
          <w:i/>
          <w:sz w:val="18"/>
          <w:szCs w:val="18"/>
          <w:lang w:val="pl-PL"/>
        </w:rPr>
        <w:t>enih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organa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dr</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avne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uprave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javnih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ustanova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koje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osnovala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bude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ć</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sjedi</w:t>
      </w:r>
      <w:r w:rsidRPr="003C2A72">
        <w:rPr>
          <w:rFonts w:asciiTheme="minorHAnsi" w:hAnsiTheme="minorHAnsi" w:cstheme="minorHAnsi"/>
          <w:i/>
          <w:sz w:val="18"/>
          <w:szCs w:val="18"/>
          <w:lang w:val="sr-Latn-ME"/>
        </w:rPr>
        <w:t>š</w:t>
      </w:r>
      <w:r w:rsidRPr="00357E2D">
        <w:rPr>
          <w:rFonts w:asciiTheme="minorHAnsi" w:hAnsiTheme="minorHAnsi" w:cstheme="minorHAnsi"/>
          <w:i/>
          <w:sz w:val="18"/>
          <w:szCs w:val="18"/>
          <w:lang w:val="pl-PL"/>
        </w:rPr>
        <w:t>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Univerziteta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iz</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oblasti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umjetnosti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Muzi</w:t>
      </w:r>
      <w:r w:rsidRPr="003C2A72">
        <w:rPr>
          <w:rFonts w:asciiTheme="minorHAnsi" w:hAnsiTheme="minorHAnsi" w:cstheme="minorHAnsi"/>
          <w:i/>
          <w:sz w:val="18"/>
          <w:szCs w:val="18"/>
          <w:lang w:val="sr-Latn-ME"/>
        </w:rPr>
        <w:t>č</w:t>
      </w:r>
      <w:r w:rsidRPr="00357E2D">
        <w:rPr>
          <w:rFonts w:asciiTheme="minorHAnsi" w:hAnsiTheme="minorHAnsi" w:cstheme="minorHAnsi"/>
          <w:i/>
          <w:sz w:val="18"/>
          <w:szCs w:val="18"/>
          <w:lang w:val="pl-PL"/>
        </w:rPr>
        <w:t>ka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akademija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likovnih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umjetnosti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dramskih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umjetnosti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Istorijskog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instituta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za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crnogorski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jezik</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knji</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evnost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tako</w:t>
      </w:r>
      <w:r w:rsidRPr="003C2A72">
        <w:rPr>
          <w:rFonts w:asciiTheme="minorHAnsi" w:hAnsiTheme="minorHAnsi" w:cstheme="minorHAnsi"/>
          <w:i/>
          <w:sz w:val="18"/>
          <w:szCs w:val="18"/>
          <w:lang w:val="sr-Latn-ME"/>
        </w:rPr>
        <w:t>đ</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biti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Pored toga, propisuje da se prvo zasjedanje redovnih zasjedanja Skupštine održava u Prijestonici</w:t>
      </w:r>
    </w:p>
    <w:p w14:paraId="480E9D14" w14:textId="77777777" w:rsidR="00A13DA5" w:rsidRPr="0048184E" w:rsidRDefault="00A13DA5" w:rsidP="0048184E">
      <w:pPr>
        <w:pStyle w:val="NoSpacing"/>
        <w:jc w:val="both"/>
        <w:rPr>
          <w:rFonts w:asciiTheme="minorHAnsi" w:hAnsiTheme="minorHAnsi" w:cstheme="minorHAnsi"/>
          <w:sz w:val="18"/>
          <w:szCs w:val="18"/>
          <w:lang w:val="sr-Latn-ME"/>
        </w:rPr>
      </w:pPr>
    </w:p>
    <w:p w14:paraId="73ACDFC7" w14:textId="77777777" w:rsidR="00B04540" w:rsidRPr="004E4DE6" w:rsidRDefault="00DF4A39" w:rsidP="0048184E">
      <w:pPr>
        <w:pStyle w:val="NoSpacing"/>
        <w:jc w:val="both"/>
        <w:rPr>
          <w:rFonts w:asciiTheme="minorHAnsi" w:hAnsiTheme="minorHAnsi" w:cstheme="minorHAnsi"/>
          <w:bCs/>
          <w:sz w:val="18"/>
          <w:szCs w:val="18"/>
          <w:lang w:val="hr-BA"/>
        </w:rPr>
      </w:pPr>
      <w:r w:rsidRPr="004E4DE6">
        <w:rPr>
          <w:rFonts w:asciiTheme="minorHAnsi" w:hAnsiTheme="minorHAnsi" w:cstheme="minorHAnsi"/>
          <w:sz w:val="18"/>
          <w:szCs w:val="18"/>
          <w:lang w:val="hr-BA"/>
        </w:rPr>
        <w:t xml:space="preserve">Realizacija gore navedenog imala bi značajno pozitivan efekat u dostizanju SC2, </w:t>
      </w:r>
      <w:r w:rsidR="00A13DA5" w:rsidRPr="004E4DE6">
        <w:rPr>
          <w:rFonts w:asciiTheme="minorHAnsi" w:hAnsiTheme="minorHAnsi" w:cstheme="minorHAnsi"/>
          <w:sz w:val="18"/>
          <w:szCs w:val="18"/>
          <w:lang w:val="hr-BA"/>
        </w:rPr>
        <w:t xml:space="preserve">indikatori u 2027. godini treba da pokažu </w:t>
      </w:r>
      <w:r w:rsidR="00A13DA5" w:rsidRPr="004E4DE6">
        <w:rPr>
          <w:rFonts w:asciiTheme="minorHAnsi" w:hAnsiTheme="minorHAnsi" w:cstheme="minorHAnsi"/>
          <w:bCs/>
          <w:sz w:val="18"/>
          <w:szCs w:val="18"/>
          <w:lang w:val="hr-BA"/>
        </w:rPr>
        <w:t xml:space="preserve">da će </w:t>
      </w:r>
      <w:r w:rsidR="00A13DA5" w:rsidRPr="004E4DE6">
        <w:rPr>
          <w:rFonts w:asciiTheme="minorHAnsi" w:hAnsiTheme="minorHAnsi" w:cstheme="minorHAnsi"/>
          <w:b/>
          <w:bCs/>
          <w:sz w:val="18"/>
          <w:szCs w:val="18"/>
          <w:lang w:val="hr-BA"/>
        </w:rPr>
        <w:t xml:space="preserve">stopa rizika od siromaštva biti smanjena </w:t>
      </w:r>
      <w:r w:rsidR="00B04540" w:rsidRPr="004E4DE6">
        <w:rPr>
          <w:rFonts w:asciiTheme="minorHAnsi" w:hAnsiTheme="minorHAnsi" w:cstheme="minorHAnsi"/>
          <w:b/>
          <w:bCs/>
          <w:sz w:val="18"/>
          <w:szCs w:val="18"/>
          <w:lang w:val="hr-BA"/>
        </w:rPr>
        <w:t>u svim regionima</w:t>
      </w:r>
      <w:r w:rsidR="00A13DA5" w:rsidRPr="004E4DE6">
        <w:rPr>
          <w:rFonts w:asciiTheme="minorHAnsi" w:hAnsiTheme="minorHAnsi" w:cstheme="minorHAnsi"/>
          <w:bCs/>
          <w:sz w:val="18"/>
          <w:szCs w:val="18"/>
          <w:lang w:val="hr-BA"/>
        </w:rPr>
        <w:t>, u odnosu na početnu godinu praćenja. To će, izme</w:t>
      </w:r>
      <w:r w:rsidR="00A13DA5" w:rsidRPr="004E4DE6">
        <w:rPr>
          <w:rFonts w:asciiTheme="minorHAnsi" w:hAnsiTheme="minorHAnsi" w:cstheme="minorHAnsi"/>
          <w:bCs/>
          <w:sz w:val="18"/>
          <w:szCs w:val="18"/>
          <w:lang w:val="sr-Latn-ME"/>
        </w:rPr>
        <w:t>đ</w:t>
      </w:r>
      <w:r w:rsidR="00A13DA5" w:rsidRPr="004E4DE6">
        <w:rPr>
          <w:rFonts w:asciiTheme="minorHAnsi" w:hAnsiTheme="minorHAnsi" w:cstheme="minorHAnsi"/>
          <w:bCs/>
          <w:sz w:val="18"/>
          <w:szCs w:val="18"/>
          <w:lang w:val="hr-BA"/>
        </w:rPr>
        <w:t xml:space="preserve">u ostalog, uticati na dalje ostvarenje pozitivnog prirodnog priraštaja u Središnjem i Primorskom regionu dok će u Sjevernom regionu uticati na smanjenje </w:t>
      </w:r>
      <w:r w:rsidRPr="004E4DE6">
        <w:rPr>
          <w:rFonts w:asciiTheme="minorHAnsi" w:hAnsiTheme="minorHAnsi" w:cstheme="minorHAnsi"/>
          <w:bCs/>
          <w:sz w:val="18"/>
          <w:szCs w:val="18"/>
          <w:lang w:val="hr-BA"/>
        </w:rPr>
        <w:t>negativnog prirodnog priraštaja</w:t>
      </w:r>
      <w:r w:rsidR="00A13DA5" w:rsidRPr="004E4DE6">
        <w:rPr>
          <w:rFonts w:asciiTheme="minorHAnsi" w:hAnsiTheme="minorHAnsi" w:cstheme="minorHAnsi"/>
          <w:bCs/>
          <w:sz w:val="18"/>
          <w:szCs w:val="18"/>
          <w:lang w:val="hr-BA"/>
        </w:rPr>
        <w:t xml:space="preserve"> u odnosu na početnu godinu praćenja.</w:t>
      </w:r>
    </w:p>
    <w:p w14:paraId="4A11DB7D"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29"/>
        <w:gridCol w:w="1570"/>
        <w:gridCol w:w="1602"/>
        <w:gridCol w:w="1604"/>
        <w:gridCol w:w="1698"/>
      </w:tblGrid>
      <w:tr w:rsidR="0048184E" w:rsidRPr="0048184E" w14:paraId="74C3ABD3" w14:textId="77777777" w:rsidTr="00723D39">
        <w:tc>
          <w:tcPr>
            <w:tcW w:w="1435" w:type="dxa"/>
            <w:shd w:val="clear" w:color="auto" w:fill="D9E2F3"/>
          </w:tcPr>
          <w:p w14:paraId="2A1E308A"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Uticaj</w:t>
            </w:r>
          </w:p>
        </w:tc>
        <w:tc>
          <w:tcPr>
            <w:tcW w:w="1167" w:type="dxa"/>
            <w:shd w:val="clear" w:color="auto" w:fill="D9E2F3"/>
          </w:tcPr>
          <w:p w14:paraId="6338E7B6"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Indikator uticaja</w:t>
            </w:r>
          </w:p>
        </w:tc>
        <w:tc>
          <w:tcPr>
            <w:tcW w:w="1700" w:type="dxa"/>
            <w:shd w:val="clear" w:color="auto" w:fill="D9E2F3"/>
          </w:tcPr>
          <w:p w14:paraId="191E1932"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Izvor</w:t>
            </w:r>
          </w:p>
        </w:tc>
        <w:tc>
          <w:tcPr>
            <w:tcW w:w="1719" w:type="dxa"/>
            <w:shd w:val="clear" w:color="auto" w:fill="D9E2F3"/>
          </w:tcPr>
          <w:p w14:paraId="32B9521B"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Početna vrijednost 2022.</w:t>
            </w:r>
          </w:p>
        </w:tc>
        <w:tc>
          <w:tcPr>
            <w:tcW w:w="1727" w:type="dxa"/>
            <w:shd w:val="clear" w:color="auto" w:fill="D9E2F3"/>
          </w:tcPr>
          <w:p w14:paraId="0A8F9F77"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Ciljna vrijednost 2025.</w:t>
            </w:r>
          </w:p>
        </w:tc>
        <w:tc>
          <w:tcPr>
            <w:tcW w:w="1828" w:type="dxa"/>
            <w:shd w:val="clear" w:color="auto" w:fill="D9E2F3"/>
          </w:tcPr>
          <w:p w14:paraId="42E560E9"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Ciljna vrijednost 2027.</w:t>
            </w:r>
          </w:p>
        </w:tc>
      </w:tr>
      <w:tr w:rsidR="0048184E" w:rsidRPr="0048184E" w14:paraId="7FA6D12A" w14:textId="77777777" w:rsidTr="00C259DB">
        <w:tc>
          <w:tcPr>
            <w:tcW w:w="1435" w:type="dxa"/>
          </w:tcPr>
          <w:p w14:paraId="11A3AE0C"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Smanjen nivo  siromaštva </w:t>
            </w:r>
          </w:p>
        </w:tc>
        <w:tc>
          <w:tcPr>
            <w:tcW w:w="1167" w:type="dxa"/>
            <w:shd w:val="clear" w:color="auto" w:fill="auto"/>
          </w:tcPr>
          <w:p w14:paraId="4F58C78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Stopa rizika od siromašta (%)</w:t>
            </w:r>
          </w:p>
        </w:tc>
        <w:tc>
          <w:tcPr>
            <w:tcW w:w="1700" w:type="dxa"/>
            <w:shd w:val="clear" w:color="auto" w:fill="auto"/>
          </w:tcPr>
          <w:p w14:paraId="1BEB05E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Monstat,</w:t>
            </w:r>
          </w:p>
          <w:p w14:paraId="224DEE19"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Anketa o dohotku i uslovima života</w:t>
            </w:r>
          </w:p>
        </w:tc>
        <w:tc>
          <w:tcPr>
            <w:tcW w:w="1719" w:type="dxa"/>
            <w:shd w:val="clear" w:color="auto" w:fill="auto"/>
          </w:tcPr>
          <w:p w14:paraId="22B3E8A3"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 40,8 (2021.)</w:t>
            </w:r>
          </w:p>
          <w:p w14:paraId="6AF0677D"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14,7 (2021.)</w:t>
            </w:r>
          </w:p>
          <w:p w14:paraId="23BF220B"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10,5</w:t>
            </w:r>
          </w:p>
          <w:p w14:paraId="7689CEBE" w14:textId="77777777" w:rsidR="00A13DA5" w:rsidRPr="004E4DE6" w:rsidRDefault="00A13DA5" w:rsidP="0048184E">
            <w:pPr>
              <w:pStyle w:val="NoSpacing"/>
              <w:rPr>
                <w:rFonts w:asciiTheme="minorHAnsi" w:hAnsiTheme="minorHAnsi" w:cstheme="minorHAnsi"/>
                <w:sz w:val="16"/>
                <w:szCs w:val="16"/>
                <w:lang w:val="sr-Latn-ME"/>
              </w:rPr>
            </w:pPr>
          </w:p>
        </w:tc>
        <w:tc>
          <w:tcPr>
            <w:tcW w:w="1727" w:type="dxa"/>
            <w:shd w:val="clear" w:color="auto" w:fill="auto"/>
          </w:tcPr>
          <w:p w14:paraId="1FCD4B8E" w14:textId="1B95168B" w:rsidR="00A13DA5" w:rsidRPr="00C259DB" w:rsidRDefault="00C259DB"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Sjeverni region: 29</w:t>
            </w:r>
          </w:p>
          <w:p w14:paraId="21D85C3B"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Središnji region:13</w:t>
            </w:r>
          </w:p>
          <w:p w14:paraId="04570E84"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Primorski region: 8,5</w:t>
            </w:r>
          </w:p>
          <w:p w14:paraId="59B7C605" w14:textId="42DEBC7B" w:rsidR="00E40971" w:rsidRPr="00C259DB" w:rsidRDefault="00E40971" w:rsidP="0048184E">
            <w:pPr>
              <w:pStyle w:val="NoSpacing"/>
              <w:rPr>
                <w:rFonts w:asciiTheme="minorHAnsi" w:hAnsiTheme="minorHAnsi" w:cstheme="minorHAnsi"/>
                <w:sz w:val="16"/>
                <w:szCs w:val="16"/>
                <w:lang w:val="hr-BA"/>
              </w:rPr>
            </w:pPr>
          </w:p>
        </w:tc>
        <w:tc>
          <w:tcPr>
            <w:tcW w:w="1828" w:type="dxa"/>
            <w:shd w:val="clear" w:color="auto" w:fill="auto"/>
          </w:tcPr>
          <w:p w14:paraId="7A34A327" w14:textId="5EB499F8" w:rsidR="00A13DA5" w:rsidRPr="00C259DB" w:rsidRDefault="00C259DB"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Sjeverni region: 27</w:t>
            </w:r>
          </w:p>
          <w:p w14:paraId="5063FA3D"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Središnji region:11</w:t>
            </w:r>
          </w:p>
          <w:p w14:paraId="2683E5BB"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Primorski region: 7,7</w:t>
            </w:r>
          </w:p>
          <w:p w14:paraId="2D10FC2B" w14:textId="77777777" w:rsidR="00A13DA5" w:rsidRPr="00C259DB" w:rsidRDefault="00A13DA5" w:rsidP="0048184E">
            <w:pPr>
              <w:pStyle w:val="NoSpacing"/>
              <w:rPr>
                <w:rFonts w:asciiTheme="minorHAnsi" w:hAnsiTheme="minorHAnsi" w:cstheme="minorHAnsi"/>
                <w:sz w:val="16"/>
                <w:szCs w:val="16"/>
                <w:lang w:val="hr-BA"/>
              </w:rPr>
            </w:pPr>
          </w:p>
        </w:tc>
      </w:tr>
      <w:tr w:rsidR="0048184E" w:rsidRPr="0048184E" w14:paraId="5A1225A2" w14:textId="77777777" w:rsidTr="00723D39">
        <w:tc>
          <w:tcPr>
            <w:tcW w:w="1435" w:type="dxa"/>
          </w:tcPr>
          <w:p w14:paraId="3DB32667"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Usporen negativni prirodni priraštaj (Sjeverni region)/Povećan prirodni priraštaj (Središnji, Primorski region)</w:t>
            </w:r>
          </w:p>
        </w:tc>
        <w:tc>
          <w:tcPr>
            <w:tcW w:w="1167" w:type="dxa"/>
            <w:shd w:val="clear" w:color="auto" w:fill="auto"/>
          </w:tcPr>
          <w:p w14:paraId="1CD517DC"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Prirodni priraštaj, broj lica</w:t>
            </w:r>
          </w:p>
        </w:tc>
        <w:tc>
          <w:tcPr>
            <w:tcW w:w="1700" w:type="dxa"/>
            <w:shd w:val="clear" w:color="auto" w:fill="auto"/>
          </w:tcPr>
          <w:p w14:paraId="36010F9D"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Monstat</w:t>
            </w:r>
          </w:p>
        </w:tc>
        <w:tc>
          <w:tcPr>
            <w:tcW w:w="1719" w:type="dxa"/>
            <w:shd w:val="clear" w:color="auto" w:fill="auto"/>
          </w:tcPr>
          <w:p w14:paraId="61C0D8D1"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Sjeverni region:</w:t>
            </w:r>
          </w:p>
          <w:p w14:paraId="3E4AC183"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 xml:space="preserve"> -679 lica (2021.) </w:t>
            </w:r>
          </w:p>
          <w:p w14:paraId="54EE9488"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Središnji region: 367 (2020.)</w:t>
            </w:r>
          </w:p>
          <w:p w14:paraId="5FC50C5B"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Primorski region: 116 lica (2020)</w:t>
            </w:r>
          </w:p>
        </w:tc>
        <w:tc>
          <w:tcPr>
            <w:tcW w:w="1727" w:type="dxa"/>
          </w:tcPr>
          <w:p w14:paraId="2577EEEE"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0515DB3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-563 lica</w:t>
            </w:r>
          </w:p>
          <w:p w14:paraId="3287435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385 lica</w:t>
            </w:r>
          </w:p>
          <w:p w14:paraId="0A2E43B6"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120 lica</w:t>
            </w:r>
          </w:p>
        </w:tc>
        <w:tc>
          <w:tcPr>
            <w:tcW w:w="1828" w:type="dxa"/>
            <w:shd w:val="clear" w:color="auto" w:fill="auto"/>
          </w:tcPr>
          <w:p w14:paraId="2BE842F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085D806E"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-478 lica (smanjenje negativnog priraštaja za 30%)</w:t>
            </w:r>
          </w:p>
          <w:p w14:paraId="0614C41F"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region:420 (rast za 14% u odnosu na baznu godinu.)</w:t>
            </w:r>
          </w:p>
          <w:p w14:paraId="65B489AA"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Primorski region: 120  </w:t>
            </w:r>
          </w:p>
        </w:tc>
      </w:tr>
      <w:tr w:rsidR="0048184E" w:rsidRPr="0048184E" w14:paraId="1D3D5CA5" w14:textId="77777777" w:rsidTr="00723D39">
        <w:tc>
          <w:tcPr>
            <w:tcW w:w="1435" w:type="dxa"/>
          </w:tcPr>
          <w:p w14:paraId="053AA0C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Usporen odliv stanovništva (Sjeverni region) /Sporiji priliv stanovništva (Središnji i Primorski region)</w:t>
            </w:r>
          </w:p>
        </w:tc>
        <w:tc>
          <w:tcPr>
            <w:tcW w:w="1167" w:type="dxa"/>
            <w:shd w:val="clear" w:color="auto" w:fill="auto"/>
          </w:tcPr>
          <w:p w14:paraId="3535CAFB"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Migracioni saldo, broj lica</w:t>
            </w:r>
          </w:p>
        </w:tc>
        <w:tc>
          <w:tcPr>
            <w:tcW w:w="1700" w:type="dxa"/>
            <w:shd w:val="clear" w:color="auto" w:fill="auto"/>
          </w:tcPr>
          <w:p w14:paraId="6BB8C1DE"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Monstat</w:t>
            </w:r>
          </w:p>
        </w:tc>
        <w:tc>
          <w:tcPr>
            <w:tcW w:w="1719" w:type="dxa"/>
            <w:shd w:val="clear" w:color="auto" w:fill="auto"/>
          </w:tcPr>
          <w:p w14:paraId="29F254D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50AC9072"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-1267 (2021.) lica</w:t>
            </w:r>
          </w:p>
          <w:p w14:paraId="072E39F0"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region:745 lica</w:t>
            </w:r>
          </w:p>
          <w:p w14:paraId="13715B78"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522 lica (2021.)</w:t>
            </w:r>
          </w:p>
        </w:tc>
        <w:tc>
          <w:tcPr>
            <w:tcW w:w="1727" w:type="dxa"/>
          </w:tcPr>
          <w:p w14:paraId="7ECED5AB"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5FE80179"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-1035 lica</w:t>
            </w:r>
          </w:p>
          <w:p w14:paraId="628D5EA4"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630 lica</w:t>
            </w:r>
          </w:p>
          <w:p w14:paraId="647491B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470 lica</w:t>
            </w:r>
          </w:p>
        </w:tc>
        <w:tc>
          <w:tcPr>
            <w:tcW w:w="1828" w:type="dxa"/>
            <w:shd w:val="clear" w:color="auto" w:fill="auto"/>
          </w:tcPr>
          <w:p w14:paraId="67062484"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 -760 (smanjenje negativnog salda za 40% u odnosu na 2021.)</w:t>
            </w:r>
          </w:p>
          <w:p w14:paraId="71B3C766"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610 (smanjen pozitivan saldo za 18%)</w:t>
            </w:r>
          </w:p>
          <w:p w14:paraId="18F58007"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450 lica</w:t>
            </w:r>
          </w:p>
        </w:tc>
      </w:tr>
      <w:tr w:rsidR="00A13DA5" w:rsidRPr="002A2822" w14:paraId="0EEEE786" w14:textId="77777777" w:rsidTr="00723D39">
        <w:tc>
          <w:tcPr>
            <w:tcW w:w="9576" w:type="dxa"/>
            <w:gridSpan w:val="6"/>
            <w:shd w:val="clear" w:color="auto" w:fill="D9E2F3"/>
          </w:tcPr>
          <w:p w14:paraId="5617E016"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U OKVIRU STRATEŠKOG CILJA 2 DEFINISANI SU SLJEDEĆI OPERATIVNI CILJEVI (OC):</w:t>
            </w:r>
          </w:p>
          <w:p w14:paraId="6CFC8408" w14:textId="77777777" w:rsidR="00A13DA5" w:rsidRPr="004E4DE6" w:rsidRDefault="00A13DA5" w:rsidP="0048184E">
            <w:pPr>
              <w:pStyle w:val="NoSpacing"/>
              <w:rPr>
                <w:rFonts w:asciiTheme="minorHAnsi" w:hAnsiTheme="minorHAnsi" w:cstheme="minorHAnsi"/>
                <w:b/>
                <w:sz w:val="16"/>
                <w:szCs w:val="16"/>
                <w:u w:val="single"/>
                <w:lang w:val="hr-BA"/>
              </w:rPr>
            </w:pPr>
            <w:r w:rsidRPr="004E4DE6">
              <w:rPr>
                <w:rFonts w:asciiTheme="minorHAnsi" w:hAnsiTheme="minorHAnsi" w:cstheme="minorHAnsi"/>
                <w:b/>
                <w:sz w:val="16"/>
                <w:szCs w:val="16"/>
                <w:u w:val="single"/>
                <w:lang w:val="hr-BA"/>
              </w:rPr>
              <w:t>Inkluzivni rast</w:t>
            </w:r>
          </w:p>
          <w:p w14:paraId="2E621128"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OC 2.1.</w:t>
            </w:r>
            <w:r w:rsidRPr="004E4DE6">
              <w:rPr>
                <w:rFonts w:asciiTheme="minorHAnsi" w:hAnsiTheme="minorHAnsi" w:cstheme="minorHAnsi"/>
                <w:i/>
                <w:iCs/>
                <w:sz w:val="16"/>
                <w:szCs w:val="16"/>
                <w:lang w:val="sr-Latn-ME"/>
              </w:rPr>
              <w:t xml:space="preserve"> </w:t>
            </w:r>
            <w:r w:rsidRPr="004E4DE6">
              <w:rPr>
                <w:rFonts w:asciiTheme="minorHAnsi" w:hAnsiTheme="minorHAnsi" w:cstheme="minorHAnsi"/>
                <w:sz w:val="16"/>
                <w:szCs w:val="16"/>
                <w:lang w:val="sr-Latn-ME"/>
              </w:rPr>
              <w:t xml:space="preserve">Unaprjeđenje ljudskog kapitala kroz poboljšanje kvaliteta obrazovanja, zdravstvene i socijalne zaštite </w:t>
            </w:r>
          </w:p>
          <w:p w14:paraId="0338F4E4"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 xml:space="preserve">OC 2.2. Povećanje stope zaposlenosti i smanjenje neformalne zaposlenosti </w:t>
            </w:r>
          </w:p>
          <w:p w14:paraId="3B177BA3"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lastRenderedPageBreak/>
              <w:t xml:space="preserve">OC 2.3. Povećanje efikasnosti i učinkovitosti populacione politike </w:t>
            </w:r>
          </w:p>
        </w:tc>
      </w:tr>
    </w:tbl>
    <w:p w14:paraId="7E34B8D9" w14:textId="77777777" w:rsidR="00A13DA5" w:rsidRPr="0048184E" w:rsidRDefault="00A13DA5" w:rsidP="0048184E">
      <w:pPr>
        <w:pStyle w:val="NoSpacing"/>
        <w:rPr>
          <w:rFonts w:asciiTheme="minorHAnsi" w:hAnsiTheme="minorHAnsi" w:cstheme="minorHAnsi"/>
          <w:b/>
          <w:sz w:val="18"/>
          <w:szCs w:val="18"/>
          <w:lang w:val="sr-Latn-ME"/>
        </w:rPr>
      </w:pPr>
    </w:p>
    <w:p w14:paraId="47A44D60" w14:textId="77777777" w:rsidR="00A13DA5" w:rsidRPr="00726BE7" w:rsidRDefault="00A13DA5" w:rsidP="0048184E">
      <w:pPr>
        <w:pStyle w:val="Heading21"/>
        <w:numPr>
          <w:ilvl w:val="1"/>
          <w:numId w:val="28"/>
        </w:numPr>
        <w:spacing w:before="0"/>
        <w:rPr>
          <w:color w:val="4472C4" w:themeColor="accent5"/>
          <w:szCs w:val="22"/>
          <w:lang w:val="sr-Latn-ME"/>
        </w:rPr>
      </w:pPr>
      <w:bookmarkStart w:id="55" w:name="_Toc205215850"/>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2.1. </w:t>
      </w:r>
      <w:r w:rsidRPr="00726BE7">
        <w:rPr>
          <w:color w:val="4472C4" w:themeColor="accent5"/>
          <w:szCs w:val="22"/>
        </w:rPr>
        <w:t>Unaprje</w:t>
      </w:r>
      <w:r w:rsidRPr="00726BE7">
        <w:rPr>
          <w:color w:val="4472C4" w:themeColor="accent5"/>
          <w:szCs w:val="22"/>
          <w:lang w:val="sr-Latn-ME"/>
        </w:rPr>
        <w:t>đ</w:t>
      </w:r>
      <w:r w:rsidRPr="00726BE7">
        <w:rPr>
          <w:color w:val="4472C4" w:themeColor="accent5"/>
          <w:szCs w:val="22"/>
        </w:rPr>
        <w:t>enje</w:t>
      </w:r>
      <w:r w:rsidRPr="00726BE7">
        <w:rPr>
          <w:color w:val="4472C4" w:themeColor="accent5"/>
          <w:szCs w:val="22"/>
          <w:lang w:val="sr-Latn-ME"/>
        </w:rPr>
        <w:t xml:space="preserve"> </w:t>
      </w:r>
      <w:r w:rsidRPr="00726BE7">
        <w:rPr>
          <w:color w:val="4472C4" w:themeColor="accent5"/>
          <w:szCs w:val="22"/>
        </w:rPr>
        <w:t>ljudskog</w:t>
      </w:r>
      <w:r w:rsidRPr="00726BE7">
        <w:rPr>
          <w:color w:val="4472C4" w:themeColor="accent5"/>
          <w:szCs w:val="22"/>
          <w:lang w:val="sr-Latn-ME"/>
        </w:rPr>
        <w:t xml:space="preserve"> </w:t>
      </w:r>
      <w:r w:rsidRPr="00726BE7">
        <w:rPr>
          <w:color w:val="4472C4" w:themeColor="accent5"/>
          <w:szCs w:val="22"/>
        </w:rPr>
        <w:t>kapitala</w:t>
      </w:r>
      <w:r w:rsidRPr="00726BE7">
        <w:rPr>
          <w:color w:val="4472C4" w:themeColor="accent5"/>
          <w:szCs w:val="22"/>
          <w:lang w:val="sr-Latn-ME"/>
        </w:rPr>
        <w:t xml:space="preserve"> </w:t>
      </w:r>
      <w:r w:rsidRPr="00726BE7">
        <w:rPr>
          <w:color w:val="4472C4" w:themeColor="accent5"/>
          <w:szCs w:val="22"/>
        </w:rPr>
        <w:t>kroz</w:t>
      </w:r>
      <w:r w:rsidRPr="00726BE7">
        <w:rPr>
          <w:color w:val="4472C4" w:themeColor="accent5"/>
          <w:szCs w:val="22"/>
          <w:lang w:val="sr-Latn-ME"/>
        </w:rPr>
        <w:t xml:space="preserve"> </w:t>
      </w:r>
      <w:r w:rsidRPr="00726BE7">
        <w:rPr>
          <w:color w:val="4472C4" w:themeColor="accent5"/>
          <w:szCs w:val="22"/>
        </w:rPr>
        <w:t>pobolj</w:t>
      </w:r>
      <w:r w:rsidRPr="00726BE7">
        <w:rPr>
          <w:color w:val="4472C4" w:themeColor="accent5"/>
          <w:szCs w:val="22"/>
          <w:lang w:val="sr-Latn-ME"/>
        </w:rPr>
        <w:t>š</w:t>
      </w:r>
      <w:r w:rsidRPr="00726BE7">
        <w:rPr>
          <w:color w:val="4472C4" w:themeColor="accent5"/>
          <w:szCs w:val="22"/>
        </w:rPr>
        <w:t>anje</w:t>
      </w:r>
      <w:r w:rsidRPr="00726BE7">
        <w:rPr>
          <w:color w:val="4472C4" w:themeColor="accent5"/>
          <w:szCs w:val="22"/>
          <w:lang w:val="sr-Latn-ME"/>
        </w:rPr>
        <w:t xml:space="preserve"> </w:t>
      </w:r>
      <w:r w:rsidRPr="00726BE7">
        <w:rPr>
          <w:color w:val="4472C4" w:themeColor="accent5"/>
          <w:szCs w:val="22"/>
        </w:rPr>
        <w:t>kvaliteta</w:t>
      </w:r>
      <w:r w:rsidRPr="00726BE7">
        <w:rPr>
          <w:color w:val="4472C4" w:themeColor="accent5"/>
          <w:szCs w:val="22"/>
          <w:lang w:val="sr-Latn-ME"/>
        </w:rPr>
        <w:t xml:space="preserve"> </w:t>
      </w:r>
      <w:r w:rsidRPr="00726BE7">
        <w:rPr>
          <w:color w:val="4472C4" w:themeColor="accent5"/>
          <w:szCs w:val="22"/>
        </w:rPr>
        <w:t>obrazovanja</w:t>
      </w:r>
      <w:r w:rsidRPr="00726BE7">
        <w:rPr>
          <w:color w:val="4472C4" w:themeColor="accent5"/>
          <w:szCs w:val="22"/>
          <w:lang w:val="sr-Latn-ME"/>
        </w:rPr>
        <w:t xml:space="preserve">, </w:t>
      </w:r>
      <w:r w:rsidRPr="00726BE7">
        <w:rPr>
          <w:color w:val="4472C4" w:themeColor="accent5"/>
          <w:szCs w:val="22"/>
        </w:rPr>
        <w:t>zdravstvene</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socijalne</w:t>
      </w:r>
      <w:r w:rsidRPr="00726BE7">
        <w:rPr>
          <w:color w:val="4472C4" w:themeColor="accent5"/>
          <w:szCs w:val="22"/>
          <w:lang w:val="sr-Latn-ME"/>
        </w:rPr>
        <w:t xml:space="preserve"> </w:t>
      </w:r>
      <w:r w:rsidRPr="00726BE7">
        <w:rPr>
          <w:color w:val="4472C4" w:themeColor="accent5"/>
          <w:szCs w:val="22"/>
        </w:rPr>
        <w:t>za</w:t>
      </w:r>
      <w:r w:rsidRPr="00726BE7">
        <w:rPr>
          <w:color w:val="4472C4" w:themeColor="accent5"/>
          <w:szCs w:val="22"/>
          <w:lang w:val="sr-Latn-ME"/>
        </w:rPr>
        <w:t>š</w:t>
      </w:r>
      <w:r w:rsidRPr="00726BE7">
        <w:rPr>
          <w:color w:val="4472C4" w:themeColor="accent5"/>
          <w:szCs w:val="22"/>
        </w:rPr>
        <w:t>tite</w:t>
      </w:r>
      <w:bookmarkEnd w:id="55"/>
      <w:r w:rsidRPr="00726BE7">
        <w:rPr>
          <w:color w:val="4472C4" w:themeColor="accent5"/>
          <w:szCs w:val="22"/>
          <w:lang w:val="sr-Latn-ME"/>
        </w:rPr>
        <w:t xml:space="preserve"> </w:t>
      </w:r>
    </w:p>
    <w:p w14:paraId="05392F20" w14:textId="77777777" w:rsidR="00A13DA5" w:rsidRPr="00726BE7" w:rsidRDefault="00A13DA5" w:rsidP="0048184E">
      <w:pPr>
        <w:pStyle w:val="NoSpacing"/>
        <w:ind w:left="720"/>
        <w:rPr>
          <w:rFonts w:asciiTheme="minorHAnsi" w:hAnsiTheme="minorHAnsi" w:cstheme="minorHAnsi"/>
          <w:b/>
          <w:color w:val="4472C4" w:themeColor="accent5"/>
          <w:lang w:val="sr-Latn-ME"/>
        </w:rPr>
      </w:pPr>
    </w:p>
    <w:p w14:paraId="7DD18A88"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cstheme="minorHAnsi"/>
          <w:sz w:val="18"/>
          <w:szCs w:val="18"/>
          <w:lang w:val="hr-BA"/>
        </w:rPr>
        <w:t xml:space="preserve">Imajući u vidu ključne izazove u sektoru obrazovanja Crne Gore, fokus daljih aktivnosti na realizaciji OC 2.1. treba da bude na jačanju infrastrukture na svim nivoima obrazovanja, unaprjeđenju </w:t>
      </w:r>
      <w:r w:rsidR="00640894">
        <w:rPr>
          <w:rFonts w:cstheme="minorHAnsi"/>
          <w:sz w:val="18"/>
          <w:szCs w:val="18"/>
          <w:lang w:val="hr-BA"/>
        </w:rPr>
        <w:t>ishoda učenja kao i daljem prof</w:t>
      </w:r>
      <w:r w:rsidRPr="0048184E">
        <w:rPr>
          <w:rFonts w:cstheme="minorHAnsi"/>
          <w:sz w:val="18"/>
          <w:szCs w:val="18"/>
          <w:lang w:val="hr-BA"/>
        </w:rPr>
        <w:t>esionalnom usavršavanju nastavnog kadra.  Istovremeno neophodno je sprovoditi aktivnosti na podizanju svijesti o značaju ranog razvoja i obuhvata djece predškolskim vaspitanjem i obrazovanjem posebno na sjeveru Crne Gore.</w:t>
      </w:r>
      <w:r w:rsidRPr="0048184E">
        <w:rPr>
          <w:rFonts w:eastAsia="Times New Roman" w:cstheme="minorHAnsi"/>
          <w:sz w:val="18"/>
          <w:szCs w:val="18"/>
          <w:lang w:val="sr-Latn-ME"/>
        </w:rPr>
        <w:t> </w:t>
      </w:r>
    </w:p>
    <w:p w14:paraId="6ABC6E2D" w14:textId="77777777" w:rsidR="00A13DA5" w:rsidRPr="0048184E" w:rsidRDefault="00A13DA5" w:rsidP="0048184E">
      <w:pPr>
        <w:spacing w:after="0" w:line="240" w:lineRule="auto"/>
        <w:jc w:val="both"/>
        <w:rPr>
          <w:rFonts w:eastAsia="Times New Roman" w:cstheme="minorHAnsi"/>
          <w:sz w:val="18"/>
          <w:szCs w:val="18"/>
          <w:lang w:val="sr-Latn-ME"/>
        </w:rPr>
      </w:pPr>
    </w:p>
    <w:p w14:paraId="59DBAE68" w14:textId="77777777" w:rsidR="00A13DA5" w:rsidRPr="0048184E" w:rsidRDefault="00A13DA5" w:rsidP="0048184E">
      <w:pPr>
        <w:pStyle w:val="NoSpacing"/>
        <w:jc w:val="both"/>
        <w:rPr>
          <w:rFonts w:asciiTheme="minorHAnsi" w:hAnsiTheme="minorHAnsi" w:cstheme="minorHAnsi"/>
          <w:sz w:val="18"/>
          <w:szCs w:val="18"/>
          <w:lang w:val="it-IT"/>
        </w:rPr>
      </w:pPr>
      <w:r w:rsidRPr="0048184E">
        <w:rPr>
          <w:rFonts w:asciiTheme="minorHAnsi" w:hAnsiTheme="minorHAnsi" w:cstheme="minorHAnsi"/>
          <w:sz w:val="18"/>
          <w:szCs w:val="18"/>
        </w:rPr>
        <w:t>Imaju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vidu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region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karakteri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najve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rizik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siroma</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najve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izazov</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predstavlja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nastavak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porodica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najni</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prihodima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razloga</w:t>
      </w:r>
      <w:r w:rsidRPr="0048184E">
        <w:rPr>
          <w:rFonts w:asciiTheme="minorHAnsi" w:hAnsiTheme="minorHAnsi" w:cstheme="minorHAnsi"/>
          <w:sz w:val="18"/>
          <w:szCs w:val="18"/>
          <w:lang w:val="sr-Latn-ME"/>
        </w:rPr>
        <w:t xml:space="preserve"> u </w:t>
      </w:r>
      <w:r w:rsidRPr="0048184E">
        <w:rPr>
          <w:rFonts w:asciiTheme="minorHAnsi" w:hAnsiTheme="minorHAnsi" w:cstheme="minorHAnsi"/>
          <w:sz w:val="18"/>
          <w:szCs w:val="18"/>
        </w:rPr>
        <w:t>okviru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pred</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kolskog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treba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nastaviti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trend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upisane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pred</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kolsko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pristupa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obezbijediti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optimalan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nastavniku</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ci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vaspita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icama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svim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vaspitno</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obrazovnim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jedinicama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JLS</w:t>
      </w:r>
      <w:r w:rsidRPr="0048184E">
        <w:rPr>
          <w:rFonts w:asciiTheme="minorHAnsi" w:hAnsiTheme="minorHAnsi" w:cstheme="minorHAnsi"/>
          <w:sz w:val="18"/>
          <w:szCs w:val="18"/>
          <w:lang w:val="sr-Latn-ME"/>
        </w:rPr>
        <w:t xml:space="preserve">. Uzimajući u obzir </w:t>
      </w:r>
      <w:r w:rsidRPr="0048184E">
        <w:rPr>
          <w:rFonts w:asciiTheme="minorHAnsi" w:hAnsiTheme="minorHAnsi" w:cstheme="minorHAnsi"/>
          <w:sz w:val="18"/>
          <w:szCs w:val="18"/>
        </w:rPr>
        <w:t>demografske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karakteristike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Gore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taj</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racio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nizak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sjeveru</w:t>
      </w:r>
      <w:r w:rsidRPr="0048184E">
        <w:rPr>
          <w:rFonts w:asciiTheme="minorHAnsi" w:hAnsiTheme="minorHAnsi" w:cstheme="minorHAnsi"/>
          <w:sz w:val="18"/>
          <w:szCs w:val="18"/>
          <w:lang w:val="sr-Latn-ME"/>
        </w:rPr>
        <w:t>, š</w:t>
      </w:r>
      <w:r w:rsidRPr="0048184E">
        <w:rPr>
          <w:rFonts w:asciiTheme="minorHAnsi" w:hAnsiTheme="minorHAnsi" w:cstheme="minorHAnsi"/>
          <w:sz w:val="18"/>
          <w:szCs w:val="18"/>
        </w:rPr>
        <w:t>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zahtijeva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mapiranje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ukupne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infrastrukture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dalja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usavr</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avanja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prekvalifikacije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nastavnika</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mogu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realokacije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nastavni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kadra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mjesta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brojem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enika</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sprije</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ilo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napu</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pitanju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siroma</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porodica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narednom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periodu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prepoznata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revidiranja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mjera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socijalne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finansijske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podr</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poput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stipendija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studentskih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kredita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osiguralo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nadokna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ivanje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gubitaka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porodi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prihoda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ukoliko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dijete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nastavi</w:t>
      </w:r>
      <w:r w:rsidRPr="0048184E">
        <w:rPr>
          <w:rFonts w:asciiTheme="minorHAnsi" w:hAnsiTheme="minorHAnsi" w:cstheme="minorHAnsi"/>
          <w:sz w:val="18"/>
          <w:szCs w:val="18"/>
          <w:lang w:val="sr-Latn-ME"/>
        </w:rPr>
        <w:t xml:space="preserve"> š</w:t>
      </w:r>
      <w:r w:rsidRPr="0048184E">
        <w:rPr>
          <w:rFonts w:asciiTheme="minorHAnsi" w:hAnsiTheme="minorHAnsi" w:cstheme="minorHAnsi"/>
          <w:sz w:val="18"/>
          <w:szCs w:val="18"/>
        </w:rPr>
        <w:t>kolovanje</w:t>
      </w:r>
      <w:r w:rsidRPr="0048184E">
        <w:rPr>
          <w:rFonts w:asciiTheme="minorHAnsi" w:hAnsiTheme="minorHAnsi" w:cstheme="minorHAnsi"/>
          <w:sz w:val="18"/>
          <w:szCs w:val="18"/>
          <w:lang w:val="sr-Latn-ME"/>
        </w:rPr>
        <w:t xml:space="preserve">. </w:t>
      </w:r>
    </w:p>
    <w:p w14:paraId="5BBEA17F" w14:textId="77777777" w:rsidR="00A13DA5" w:rsidRPr="0048184E" w:rsidRDefault="00A13DA5" w:rsidP="0048184E">
      <w:pPr>
        <w:pStyle w:val="NoSpacing"/>
        <w:jc w:val="both"/>
        <w:rPr>
          <w:rFonts w:asciiTheme="minorHAnsi" w:eastAsia="Times New Roman" w:hAnsiTheme="minorHAnsi" w:cstheme="minorHAnsi"/>
          <w:sz w:val="18"/>
          <w:szCs w:val="18"/>
          <w:lang w:val="it-IT"/>
        </w:rPr>
      </w:pPr>
      <w:r w:rsidRPr="0048184E">
        <w:rPr>
          <w:rFonts w:asciiTheme="minorHAnsi" w:eastAsia="Times New Roman" w:hAnsiTheme="minorHAnsi" w:cstheme="minorHAnsi"/>
          <w:sz w:val="18"/>
          <w:szCs w:val="18"/>
          <w:lang w:val="sr-Latn-ME"/>
        </w:rPr>
        <w:t>Takođe, budući da se broj učenika/ca upisanih u sr</w:t>
      </w:r>
      <w:r w:rsidR="00640894">
        <w:rPr>
          <w:rFonts w:asciiTheme="minorHAnsi" w:eastAsia="Times New Roman" w:hAnsiTheme="minorHAnsi" w:cstheme="minorHAnsi"/>
          <w:sz w:val="18"/>
          <w:szCs w:val="18"/>
          <w:lang w:val="sr-Latn-ME"/>
        </w:rPr>
        <w:t>ednje škole smanjuje posebno u S</w:t>
      </w:r>
      <w:r w:rsidRPr="0048184E">
        <w:rPr>
          <w:rFonts w:asciiTheme="minorHAnsi" w:eastAsia="Times New Roman" w:hAnsiTheme="minorHAnsi" w:cstheme="minorHAnsi"/>
          <w:sz w:val="18"/>
          <w:szCs w:val="18"/>
          <w:lang w:val="sr-Latn-ME"/>
        </w:rPr>
        <w:t xml:space="preserve">jevernom regionu, neophodno je sagledati načine kako </w:t>
      </w:r>
      <w:bookmarkStart w:id="56" w:name="_Hlk126140367"/>
      <w:r w:rsidRPr="0048184E">
        <w:rPr>
          <w:rFonts w:asciiTheme="minorHAnsi" w:eastAsia="Times New Roman" w:hAnsiTheme="minorHAnsi" w:cstheme="minorHAnsi"/>
          <w:sz w:val="18"/>
          <w:szCs w:val="18"/>
          <w:lang w:val="it-IT"/>
        </w:rPr>
        <w:t xml:space="preserve">obrazovnu ponudu prilagoditi potrebama lokalne sredine i planiranih pravaca razvoja pojedinih djelatnosti, kao i interesovanja učenika/ca, kako bi se na taj način smanjile migracije stanovništva. Posebnu pažnju potrebno je posvetiti ponudi vannastavnih aktivnosti. Posebno je značajno proširiti obrazovnu ponudu za odrasle kao i ranjive grupe i podsticati cjeloživotno učenje kako bi se stvorila mogućnost kako njihovog zapošljavanja tako i bržeg odgovora na zahtjeve tržišta rada. </w:t>
      </w:r>
    </w:p>
    <w:p w14:paraId="3B467D8C" w14:textId="77777777" w:rsidR="00A13DA5" w:rsidRPr="0048184E" w:rsidRDefault="00A13DA5" w:rsidP="0048184E">
      <w:pPr>
        <w:pStyle w:val="NoSpacing"/>
        <w:jc w:val="both"/>
        <w:rPr>
          <w:rFonts w:asciiTheme="minorHAnsi" w:eastAsia="Times New Roman" w:hAnsiTheme="minorHAnsi" w:cstheme="minorHAnsi"/>
          <w:sz w:val="18"/>
          <w:szCs w:val="18"/>
          <w:lang w:val="hr-BA"/>
        </w:rPr>
      </w:pPr>
      <w:r w:rsidRPr="0048184E">
        <w:rPr>
          <w:rFonts w:asciiTheme="minorHAnsi" w:eastAsia="Times New Roman" w:hAnsiTheme="minorHAnsi" w:cstheme="minorHAnsi"/>
          <w:sz w:val="18"/>
          <w:szCs w:val="18"/>
          <w:lang w:val="it-IT"/>
        </w:rPr>
        <w:t xml:space="preserve">Dodatno, na nivou zemlje u cjelini, potrebno je nastaviti sa ulaganjima u opremanje laboratorija za praktičnu nastavu iz prirodnih nauka, poboljšati saradnju između škola i realnog sektora, popularisati izučavanje stranih jezika i unaprjeđenje digitalne pismenosti, stvoriti pretpostavke za uvođenje nastave na engleskom jeziku, IB programa kao i na unaprjeđenju kvaliteta nastave, odnosno njenih ishoda na svim nivoima obrazovanja. Posebno je značajno unaprjeđenje kvaliteta nastave u osnovnoj školi što se, između ostalog, može pratiti kroz rezultate PISA testiranja iz matematičke i jezičke pismenosti kao i iz prirodnih nauka. Potrebno je u kontinuitetu raditi na predviđanju potreba za vještinama kako bi se i </w:t>
      </w:r>
      <w:r w:rsidRPr="0048184E">
        <w:rPr>
          <w:rFonts w:asciiTheme="minorHAnsi" w:eastAsia="Times New Roman" w:hAnsiTheme="minorHAnsi" w:cstheme="minorHAnsi"/>
          <w:sz w:val="18"/>
          <w:szCs w:val="18"/>
          <w:lang w:val="hr-BA"/>
        </w:rPr>
        <w:t>time doprinijelo većoj usklađenosti stečenih znanja i vještina u srednjem i visokom obrazovanju sa potrebama tržišta rada u svim regionima, uvažavajući njihove specifičnosti. Na primjer, za primorski region značajno je podsticanje razvoja plave ekonomije i diverzifikacije turizma.</w:t>
      </w:r>
    </w:p>
    <w:bookmarkEnd w:id="56"/>
    <w:p w14:paraId="1A4B39BB"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eastAsia="Times New Roman" w:cstheme="minorHAnsi"/>
          <w:sz w:val="18"/>
          <w:szCs w:val="18"/>
          <w:lang w:val="sr-Latn-ME"/>
        </w:rPr>
        <w:t xml:space="preserve">Sjeverni region karakteriše nizak nivo djece u predškolskim ustanovama, Središnji region karakteriše povećanje broja djece upisane u rano i predškolsko obrazovanje, kao i u pojedine osnovne škole. S tim u vezi, u Središnjem regionu, neophodno je sprovesti procjene infrastrukturnih ograničenja i normiranje veličine vaspitno-obrazovnih grupa kako bi se osigurala maksimalna efikasnost u korišćenju resursa, a takav sistem bio bi od najveće koristi za učenike/ce. Ujedno, neophodno je u kontinuitetu sprovoditi aktivnosti usmjerene ka smanjenju opterećenja nastavnika/ca osnovnih škola (posebno u Podgorici, gdje je velika koncentracija, odnosno odnos broja nastavnika/ca i broja djece veći od 1:15). </w:t>
      </w:r>
    </w:p>
    <w:p w14:paraId="52F2748D"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Kako Primorski region karakteriše </w:t>
      </w:r>
      <w:r w:rsidRPr="0048184E">
        <w:rPr>
          <w:rFonts w:asciiTheme="minorHAnsi" w:hAnsiTheme="minorHAnsi" w:cstheme="minorHAnsi"/>
          <w:sz w:val="18"/>
          <w:szCs w:val="18"/>
        </w:rPr>
        <w:t>nedostatak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specijalizovane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radne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snage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posebno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izra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ena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tokom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trajanja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turisti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sezone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narednom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periodu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intezivirati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aktivnosti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oblasti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omogu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ilo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š</w:t>
      </w:r>
      <w:r w:rsidRPr="0048184E">
        <w:rPr>
          <w:rFonts w:asciiTheme="minorHAnsi" w:hAnsiTheme="minorHAnsi" w:cstheme="minorHAnsi"/>
          <w:sz w:val="18"/>
          <w:szCs w:val="18"/>
        </w:rPr>
        <w:t>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nezaposelnih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ovog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regiona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odgovoriti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Primorju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tokom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sezone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kasnije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kroz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podsticanje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mobilnosti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ovom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trenutku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niska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kroz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mogu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nost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prekvalfikacije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dokvalifikacije</w:t>
      </w:r>
      <w:r w:rsidRPr="0048184E">
        <w:rPr>
          <w:rFonts w:asciiTheme="minorHAnsi" w:hAnsiTheme="minorHAnsi" w:cstheme="minorHAnsi"/>
          <w:sz w:val="18"/>
          <w:szCs w:val="18"/>
          <w:lang w:val="sr-Latn-ME"/>
        </w:rPr>
        <w:t>.</w:t>
      </w:r>
    </w:p>
    <w:p w14:paraId="3A6E3936"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sz w:val="18"/>
          <w:szCs w:val="18"/>
          <w:lang w:val="hr-BA"/>
        </w:rPr>
        <w:t>Takođe, jačanje infrastrukture u oblasti zdravstva i socijalne zaštite u na nivou zemlje u cijelini, zajedno sa poboljšanjima u sektoru obrazovanja treba da doprinesu daljem poboljšanju ljudskog kapitala.</w:t>
      </w:r>
    </w:p>
    <w:p w14:paraId="3195AD5A" w14:textId="77777777" w:rsidR="00673A74" w:rsidRPr="0048184E" w:rsidRDefault="00673A74" w:rsidP="0048184E">
      <w:pPr>
        <w:pStyle w:val="NoSpacing"/>
        <w:jc w:val="both"/>
        <w:rPr>
          <w:rFonts w:asciiTheme="minorHAnsi" w:hAnsiTheme="minorHAnsi" w:cstheme="minorHAnsi"/>
          <w:sz w:val="18"/>
          <w:szCs w:val="18"/>
          <w:lang w:val="hr-BA"/>
        </w:rPr>
      </w:pPr>
    </w:p>
    <w:p w14:paraId="56281C47" w14:textId="77777777" w:rsidR="007E34F0" w:rsidRDefault="00673A74" w:rsidP="0048184E">
      <w:pPr>
        <w:pStyle w:val="NoSpacing"/>
        <w:jc w:val="both"/>
        <w:rPr>
          <w:rFonts w:asciiTheme="minorHAnsi" w:hAnsiTheme="minorHAnsi" w:cstheme="minorHAnsi"/>
          <w:sz w:val="18"/>
          <w:szCs w:val="18"/>
          <w:lang w:val="pl-PL"/>
        </w:rPr>
      </w:pPr>
      <w:r w:rsidRPr="0048184E">
        <w:rPr>
          <w:rFonts w:asciiTheme="minorHAnsi" w:hAnsiTheme="minorHAnsi" w:cstheme="minorHAnsi"/>
          <w:sz w:val="18"/>
          <w:szCs w:val="18"/>
          <w:lang w:val="hr-BA"/>
        </w:rPr>
        <w:t xml:space="preserve">U ovom kontekstu trebalo bi unaprijediti i politiku stanovanja (pristupačno stanovanje) koja predstavlja značajan faktor regionalnog razvoja, ali i pitanje zaustavljanja migracija. Zato je veoma važno povezati aktivnosti ovog strateškog dokumenta sa politikom stanovanja i </w:t>
      </w:r>
      <w:r w:rsidR="007E34F0" w:rsidRPr="0048184E">
        <w:rPr>
          <w:rFonts w:asciiTheme="minorHAnsi" w:hAnsiTheme="minorHAnsi" w:cstheme="minorHAnsi"/>
          <w:sz w:val="18"/>
          <w:szCs w:val="18"/>
          <w:lang w:val="hr-BA"/>
        </w:rPr>
        <w:t xml:space="preserve">osigurati da Nacionalni stambeni fond (kako je predviđeno novim Zakonom o stambenoj podršci) služi i kao institucija regionalnog razvoja. </w:t>
      </w:r>
      <w:r w:rsidR="007E34F0" w:rsidRPr="0048184E">
        <w:rPr>
          <w:rFonts w:asciiTheme="minorHAnsi" w:hAnsiTheme="minorHAnsi" w:cstheme="minorHAnsi"/>
          <w:sz w:val="18"/>
          <w:szCs w:val="18"/>
          <w:lang w:val="pl-PL"/>
        </w:rPr>
        <w:t>Novi stambeni projekti mogu privući</w:t>
      </w:r>
      <w:r w:rsidR="00640894">
        <w:rPr>
          <w:rFonts w:asciiTheme="minorHAnsi" w:hAnsiTheme="minorHAnsi" w:cstheme="minorHAnsi"/>
          <w:sz w:val="18"/>
          <w:szCs w:val="18"/>
          <w:lang w:val="pl-PL"/>
        </w:rPr>
        <w:t xml:space="preserve"> mlađe ljude, porodice i zaposlene</w:t>
      </w:r>
      <w:r w:rsidR="007E34F0" w:rsidRPr="0048184E">
        <w:rPr>
          <w:rFonts w:asciiTheme="minorHAnsi" w:hAnsiTheme="minorHAnsi" w:cstheme="minorHAnsi"/>
          <w:sz w:val="18"/>
          <w:szCs w:val="18"/>
          <w:lang w:val="pl-PL"/>
        </w:rPr>
        <w:t>, pomažući u preokretanju trenda depopulacije i ekonomsko</w:t>
      </w:r>
      <w:r w:rsidRPr="0048184E">
        <w:rPr>
          <w:rFonts w:asciiTheme="minorHAnsi" w:hAnsiTheme="minorHAnsi" w:cstheme="minorHAnsi"/>
          <w:sz w:val="18"/>
          <w:szCs w:val="18"/>
          <w:lang w:val="pl-PL"/>
        </w:rPr>
        <w:t xml:space="preserve">g pada. Ovo je posebno važno u Sjevernoj regiji, zato bi trebalo definisati </w:t>
      </w:r>
      <w:r w:rsidR="007E34F0" w:rsidRPr="0048184E">
        <w:rPr>
          <w:rFonts w:asciiTheme="minorHAnsi" w:hAnsiTheme="minorHAnsi" w:cstheme="minorHAnsi"/>
          <w:sz w:val="18"/>
          <w:szCs w:val="18"/>
          <w:lang w:val="pl-PL"/>
        </w:rPr>
        <w:t xml:space="preserve">određeni udio novih stambenih investicija </w:t>
      </w:r>
      <w:r w:rsidRPr="0048184E">
        <w:rPr>
          <w:rFonts w:asciiTheme="minorHAnsi" w:hAnsiTheme="minorHAnsi" w:cstheme="minorHAnsi"/>
          <w:sz w:val="18"/>
          <w:szCs w:val="18"/>
          <w:lang w:val="pl-PL"/>
        </w:rPr>
        <w:t xml:space="preserve">upravo u </w:t>
      </w:r>
      <w:r w:rsidR="007E34F0" w:rsidRPr="0048184E">
        <w:rPr>
          <w:rFonts w:asciiTheme="minorHAnsi" w:hAnsiTheme="minorHAnsi" w:cstheme="minorHAnsi"/>
          <w:sz w:val="18"/>
          <w:szCs w:val="18"/>
          <w:lang w:val="pl-PL"/>
        </w:rPr>
        <w:t xml:space="preserve">opštinama </w:t>
      </w:r>
      <w:r w:rsidRPr="0048184E">
        <w:rPr>
          <w:rFonts w:asciiTheme="minorHAnsi" w:hAnsiTheme="minorHAnsi" w:cstheme="minorHAnsi"/>
          <w:sz w:val="18"/>
          <w:szCs w:val="18"/>
          <w:lang w:val="pl-PL"/>
        </w:rPr>
        <w:t xml:space="preserve">u </w:t>
      </w:r>
      <w:r w:rsidR="007E34F0" w:rsidRPr="0048184E">
        <w:rPr>
          <w:rFonts w:asciiTheme="minorHAnsi" w:hAnsiTheme="minorHAnsi" w:cstheme="minorHAnsi"/>
          <w:sz w:val="18"/>
          <w:szCs w:val="18"/>
          <w:lang w:val="pl-PL"/>
        </w:rPr>
        <w:t xml:space="preserve">kojima je potrebna razvojna pomoć u skladu sa </w:t>
      </w:r>
      <w:r w:rsidRPr="0048184E">
        <w:rPr>
          <w:rFonts w:asciiTheme="minorHAnsi" w:hAnsiTheme="minorHAnsi" w:cstheme="minorHAnsi"/>
          <w:sz w:val="18"/>
          <w:szCs w:val="18"/>
          <w:lang w:val="pl-PL"/>
        </w:rPr>
        <w:t xml:space="preserve">politikom regionalnog razvoja. </w:t>
      </w:r>
    </w:p>
    <w:p w14:paraId="5BD1ADAD" w14:textId="77777777" w:rsidR="008500FB" w:rsidRDefault="008500FB" w:rsidP="0048184E">
      <w:pPr>
        <w:pStyle w:val="NoSpacing"/>
        <w:jc w:val="both"/>
        <w:rPr>
          <w:rFonts w:asciiTheme="minorHAnsi" w:hAnsiTheme="minorHAnsi" w:cstheme="minorHAnsi"/>
          <w:sz w:val="18"/>
          <w:szCs w:val="18"/>
          <w:lang w:val="pl-PL"/>
        </w:rPr>
      </w:pPr>
    </w:p>
    <w:p w14:paraId="1600B68B" w14:textId="77777777" w:rsidR="008500FB" w:rsidRDefault="008500FB" w:rsidP="0048184E">
      <w:pPr>
        <w:pStyle w:val="NoSpacing"/>
        <w:jc w:val="both"/>
        <w:rPr>
          <w:rFonts w:asciiTheme="minorHAnsi" w:hAnsiTheme="minorHAnsi" w:cstheme="minorHAnsi"/>
          <w:sz w:val="18"/>
          <w:szCs w:val="18"/>
          <w:lang w:val="pl-PL"/>
        </w:rPr>
      </w:pPr>
    </w:p>
    <w:p w14:paraId="3467AD2A" w14:textId="77777777" w:rsidR="008500FB" w:rsidRDefault="008500FB" w:rsidP="0048184E">
      <w:pPr>
        <w:pStyle w:val="NoSpacing"/>
        <w:jc w:val="both"/>
        <w:rPr>
          <w:rFonts w:asciiTheme="minorHAnsi" w:hAnsiTheme="minorHAnsi" w:cstheme="minorHAnsi"/>
          <w:sz w:val="18"/>
          <w:szCs w:val="18"/>
          <w:lang w:val="pl-PL"/>
        </w:rPr>
      </w:pPr>
    </w:p>
    <w:p w14:paraId="086B06B8" w14:textId="77777777" w:rsidR="008500FB" w:rsidRDefault="008500FB" w:rsidP="0048184E">
      <w:pPr>
        <w:pStyle w:val="NoSpacing"/>
        <w:jc w:val="both"/>
        <w:rPr>
          <w:rFonts w:asciiTheme="minorHAnsi" w:hAnsiTheme="minorHAnsi" w:cstheme="minorHAnsi"/>
          <w:sz w:val="18"/>
          <w:szCs w:val="18"/>
          <w:lang w:val="pl-PL"/>
        </w:rPr>
      </w:pPr>
    </w:p>
    <w:p w14:paraId="0CED67E3" w14:textId="77777777" w:rsidR="008500FB" w:rsidRDefault="008500FB" w:rsidP="0048184E">
      <w:pPr>
        <w:pStyle w:val="NoSpacing"/>
        <w:jc w:val="both"/>
        <w:rPr>
          <w:rFonts w:asciiTheme="minorHAnsi" w:hAnsiTheme="minorHAnsi" w:cstheme="minorHAnsi"/>
          <w:sz w:val="18"/>
          <w:szCs w:val="18"/>
          <w:lang w:val="pl-PL"/>
        </w:rPr>
      </w:pPr>
    </w:p>
    <w:p w14:paraId="0AB714EF" w14:textId="77777777" w:rsidR="008500FB" w:rsidRDefault="008500FB" w:rsidP="0048184E">
      <w:pPr>
        <w:pStyle w:val="NoSpacing"/>
        <w:jc w:val="both"/>
        <w:rPr>
          <w:rFonts w:asciiTheme="minorHAnsi" w:hAnsiTheme="minorHAnsi" w:cstheme="minorHAnsi"/>
          <w:sz w:val="18"/>
          <w:szCs w:val="18"/>
          <w:lang w:val="pl-PL"/>
        </w:rPr>
      </w:pPr>
    </w:p>
    <w:p w14:paraId="2CAAC168" w14:textId="77777777" w:rsidR="008500FB" w:rsidRDefault="008500FB" w:rsidP="0048184E">
      <w:pPr>
        <w:pStyle w:val="NoSpacing"/>
        <w:jc w:val="both"/>
        <w:rPr>
          <w:rFonts w:asciiTheme="minorHAnsi" w:hAnsiTheme="minorHAnsi" w:cstheme="minorHAnsi"/>
          <w:sz w:val="18"/>
          <w:szCs w:val="18"/>
          <w:lang w:val="pl-PL"/>
        </w:rPr>
      </w:pPr>
    </w:p>
    <w:p w14:paraId="2DCA8F8B" w14:textId="77777777" w:rsidR="008500FB" w:rsidRPr="0048184E" w:rsidRDefault="008500FB" w:rsidP="0048184E">
      <w:pPr>
        <w:pStyle w:val="NoSpacing"/>
        <w:jc w:val="both"/>
        <w:rPr>
          <w:rFonts w:asciiTheme="minorHAnsi" w:hAnsiTheme="minorHAnsi" w:cstheme="minorHAnsi"/>
          <w:sz w:val="18"/>
          <w:szCs w:val="18"/>
          <w:lang w:val="pl-PL"/>
        </w:rPr>
      </w:pPr>
    </w:p>
    <w:p w14:paraId="4EF19C64" w14:textId="77777777" w:rsidR="00A13DA5" w:rsidRPr="0048184E" w:rsidRDefault="00A13DA5" w:rsidP="0048184E">
      <w:pPr>
        <w:pStyle w:val="NoSpacing"/>
        <w:jc w:val="both"/>
        <w:rPr>
          <w:rFonts w:asciiTheme="minorHAnsi" w:hAnsiTheme="minorHAnsi" w:cstheme="minorHAnsi"/>
          <w:sz w:val="18"/>
          <w:szCs w:val="18"/>
          <w:lang w:val="hr-BA"/>
        </w:rPr>
      </w:pPr>
    </w:p>
    <w:tbl>
      <w:tblPr>
        <w:tblW w:w="90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04"/>
        <w:gridCol w:w="2135"/>
        <w:gridCol w:w="1386"/>
        <w:gridCol w:w="1080"/>
        <w:gridCol w:w="1620"/>
        <w:gridCol w:w="1260"/>
      </w:tblGrid>
      <w:tr w:rsidR="00A13DA5" w:rsidRPr="002A2822" w14:paraId="4F25E4E6" w14:textId="77777777" w:rsidTr="004E4DE6">
        <w:trPr>
          <w:trHeight w:val="209"/>
          <w:jc w:val="center"/>
        </w:trPr>
        <w:tc>
          <w:tcPr>
            <w:tcW w:w="3739" w:type="dxa"/>
            <w:gridSpan w:val="2"/>
            <w:shd w:val="clear" w:color="auto" w:fill="D9E2F3"/>
          </w:tcPr>
          <w:p w14:paraId="26097A74" w14:textId="77777777" w:rsidR="00A13DA5" w:rsidRPr="004E4DE6" w:rsidRDefault="00A13DA5" w:rsidP="0048184E">
            <w:pPr>
              <w:pStyle w:val="NoSpacing"/>
              <w:rPr>
                <w:rFonts w:asciiTheme="minorHAnsi" w:hAnsiTheme="minorHAnsi" w:cstheme="minorHAnsi"/>
                <w:b/>
                <w:sz w:val="16"/>
                <w:szCs w:val="16"/>
                <w:lang w:val="sr-Latn-ME"/>
              </w:rPr>
            </w:pPr>
            <w:r w:rsidRPr="004E4DE6">
              <w:rPr>
                <w:rFonts w:asciiTheme="minorHAnsi" w:hAnsiTheme="minorHAnsi" w:cstheme="minorHAnsi"/>
                <w:b/>
                <w:sz w:val="16"/>
                <w:szCs w:val="16"/>
                <w:lang w:val="sr-Latn-ME"/>
              </w:rPr>
              <w:t>Operativni cilj 2.1.</w:t>
            </w:r>
          </w:p>
        </w:tc>
        <w:tc>
          <w:tcPr>
            <w:tcW w:w="5346" w:type="dxa"/>
            <w:gridSpan w:val="4"/>
            <w:shd w:val="clear" w:color="auto" w:fill="D9E2F3"/>
          </w:tcPr>
          <w:p w14:paraId="54AB6A9D" w14:textId="77777777" w:rsidR="00A13DA5" w:rsidRPr="004E4DE6" w:rsidRDefault="00A13DA5" w:rsidP="0048184E">
            <w:pPr>
              <w:pStyle w:val="NoSpacing"/>
              <w:rPr>
                <w:rFonts w:asciiTheme="minorHAnsi" w:hAnsiTheme="minorHAnsi" w:cstheme="minorHAnsi"/>
                <w:b/>
                <w:sz w:val="16"/>
                <w:szCs w:val="16"/>
                <w:lang w:val="sr-Latn-ME"/>
              </w:rPr>
            </w:pPr>
            <w:r w:rsidRPr="004E4DE6">
              <w:rPr>
                <w:rFonts w:asciiTheme="minorHAnsi" w:hAnsiTheme="minorHAnsi" w:cstheme="minorHAnsi"/>
                <w:b/>
                <w:sz w:val="16"/>
                <w:szCs w:val="16"/>
                <w:lang w:val="sr-Latn-ME"/>
              </w:rPr>
              <w:t>Unaprjeđenje ljudskog kapitala kroz poboljšanje kvaliteta obrazovanja, zdravstvene i socijalne zaštite</w:t>
            </w:r>
          </w:p>
        </w:tc>
      </w:tr>
      <w:tr w:rsidR="00A13DA5" w:rsidRPr="0048184E" w14:paraId="43B90693" w14:textId="77777777" w:rsidTr="004E4DE6">
        <w:trPr>
          <w:trHeight w:val="386"/>
          <w:jc w:val="center"/>
        </w:trPr>
        <w:tc>
          <w:tcPr>
            <w:tcW w:w="1604" w:type="dxa"/>
            <w:shd w:val="clear" w:color="auto" w:fill="auto"/>
          </w:tcPr>
          <w:p w14:paraId="7BCB198D"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bCs/>
                <w:sz w:val="16"/>
                <w:szCs w:val="16"/>
                <w:lang w:val="sr-Latn-ME"/>
              </w:rPr>
              <w:t>Povećan nivo ljudskog kapitala na nivou regiona</w:t>
            </w:r>
          </w:p>
        </w:tc>
        <w:tc>
          <w:tcPr>
            <w:tcW w:w="2135" w:type="dxa"/>
            <w:shd w:val="clear" w:color="auto" w:fill="auto"/>
          </w:tcPr>
          <w:p w14:paraId="39A039CC" w14:textId="77777777" w:rsidR="00A13DA5" w:rsidRPr="004E4DE6" w:rsidRDefault="00A13DA5" w:rsidP="0048184E">
            <w:pPr>
              <w:pStyle w:val="NoSpacing"/>
              <w:rPr>
                <w:rFonts w:asciiTheme="minorHAnsi" w:eastAsia="Times New Roman" w:hAnsiTheme="minorHAnsi" w:cstheme="minorHAnsi"/>
                <w:bCs/>
                <w:sz w:val="16"/>
                <w:szCs w:val="16"/>
                <w:lang w:val="pl-PL"/>
              </w:rPr>
            </w:pPr>
            <w:r w:rsidRPr="004E4DE6">
              <w:rPr>
                <w:rFonts w:asciiTheme="minorHAnsi" w:eastAsia="Times New Roman" w:hAnsiTheme="minorHAnsi" w:cstheme="minorHAnsi"/>
                <w:bCs/>
                <w:sz w:val="16"/>
                <w:szCs w:val="16"/>
                <w:lang w:val="pl-PL"/>
              </w:rPr>
              <w:t>Indeks ljudskog kapitala za Crnu Goru, rang</w:t>
            </w:r>
          </w:p>
        </w:tc>
        <w:tc>
          <w:tcPr>
            <w:tcW w:w="1386" w:type="dxa"/>
            <w:shd w:val="clear" w:color="auto" w:fill="FFFFFF"/>
          </w:tcPr>
          <w:p w14:paraId="52D61F73" w14:textId="77777777" w:rsidR="00A13DA5" w:rsidRPr="004E4DE6" w:rsidRDefault="00D25A5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SB</w:t>
            </w:r>
          </w:p>
        </w:tc>
        <w:tc>
          <w:tcPr>
            <w:tcW w:w="1080" w:type="dxa"/>
            <w:shd w:val="clear" w:color="auto" w:fill="auto"/>
          </w:tcPr>
          <w:p w14:paraId="7B815E88"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0.63 (2020.)</w:t>
            </w:r>
            <w:r w:rsidRPr="004E4DE6">
              <w:rPr>
                <w:rStyle w:val="FootnoteReference"/>
                <w:rFonts w:asciiTheme="minorHAnsi" w:hAnsiTheme="minorHAnsi" w:cstheme="minorHAnsi"/>
                <w:sz w:val="16"/>
                <w:szCs w:val="16"/>
                <w:lang w:val="sr-Latn-ME"/>
              </w:rPr>
              <w:footnoteReference w:id="54"/>
            </w:r>
          </w:p>
        </w:tc>
        <w:tc>
          <w:tcPr>
            <w:tcW w:w="1620" w:type="dxa"/>
            <w:shd w:val="clear" w:color="auto" w:fill="auto"/>
          </w:tcPr>
          <w:p w14:paraId="2D148CDB" w14:textId="77777777" w:rsidR="00A13DA5" w:rsidRPr="008805BE" w:rsidRDefault="00A13DA5" w:rsidP="0048184E">
            <w:pPr>
              <w:pStyle w:val="NoSpacing"/>
              <w:rPr>
                <w:rFonts w:asciiTheme="minorHAnsi" w:hAnsiTheme="minorHAnsi" w:cstheme="minorHAnsi"/>
                <w:sz w:val="16"/>
                <w:szCs w:val="16"/>
                <w:lang w:val="sr-Latn-ME"/>
              </w:rPr>
            </w:pPr>
            <w:r w:rsidRPr="008805BE">
              <w:rPr>
                <w:rFonts w:asciiTheme="minorHAnsi" w:hAnsiTheme="minorHAnsi" w:cstheme="minorHAnsi"/>
                <w:sz w:val="16"/>
                <w:szCs w:val="16"/>
                <w:lang w:val="sr-Latn-ME"/>
              </w:rPr>
              <w:t>0.64</w:t>
            </w:r>
          </w:p>
        </w:tc>
        <w:tc>
          <w:tcPr>
            <w:tcW w:w="1260" w:type="dxa"/>
            <w:shd w:val="clear" w:color="auto" w:fill="auto"/>
          </w:tcPr>
          <w:p w14:paraId="086C745F" w14:textId="77777777" w:rsidR="00A13DA5" w:rsidRPr="008805BE" w:rsidRDefault="00A13DA5" w:rsidP="0048184E">
            <w:pPr>
              <w:pStyle w:val="NoSpacing"/>
              <w:rPr>
                <w:rFonts w:asciiTheme="minorHAnsi" w:hAnsiTheme="minorHAnsi" w:cstheme="minorHAnsi"/>
                <w:sz w:val="16"/>
                <w:szCs w:val="16"/>
                <w:lang w:val="sr-Latn-ME"/>
              </w:rPr>
            </w:pPr>
            <w:r w:rsidRPr="008805BE">
              <w:rPr>
                <w:rFonts w:asciiTheme="minorHAnsi" w:hAnsiTheme="minorHAnsi" w:cstheme="minorHAnsi"/>
                <w:sz w:val="16"/>
                <w:szCs w:val="16"/>
                <w:lang w:val="sr-Latn-ME"/>
              </w:rPr>
              <w:t>0.65</w:t>
            </w:r>
          </w:p>
        </w:tc>
      </w:tr>
      <w:tr w:rsidR="00A13DA5" w:rsidRPr="00940D35" w14:paraId="29948A9E" w14:textId="77777777" w:rsidTr="004E4DE6">
        <w:trPr>
          <w:trHeight w:val="386"/>
          <w:jc w:val="center"/>
        </w:trPr>
        <w:tc>
          <w:tcPr>
            <w:tcW w:w="1604" w:type="dxa"/>
            <w:shd w:val="clear" w:color="auto" w:fill="auto"/>
          </w:tcPr>
          <w:p w14:paraId="2C3E19BC"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bCs/>
                <w:sz w:val="16"/>
                <w:szCs w:val="16"/>
                <w:lang w:val="sr-Latn-ME"/>
              </w:rPr>
              <w:t>Povećan kvalitet obrazovanja</w:t>
            </w:r>
          </w:p>
        </w:tc>
        <w:tc>
          <w:tcPr>
            <w:tcW w:w="2135" w:type="dxa"/>
            <w:shd w:val="clear" w:color="auto" w:fill="auto"/>
          </w:tcPr>
          <w:p w14:paraId="656DFD16" w14:textId="77777777" w:rsidR="00A13DA5" w:rsidRPr="004E4DE6" w:rsidRDefault="00A13DA5" w:rsidP="0048184E">
            <w:pPr>
              <w:pStyle w:val="NoSpacing"/>
              <w:rPr>
                <w:rFonts w:asciiTheme="minorHAnsi" w:eastAsia="Times New Roman" w:hAnsiTheme="minorHAnsi" w:cstheme="minorHAnsi"/>
                <w:bCs/>
                <w:sz w:val="16"/>
                <w:szCs w:val="16"/>
                <w:lang w:val="pl-PL"/>
              </w:rPr>
            </w:pPr>
            <w:r w:rsidRPr="004E4DE6">
              <w:rPr>
                <w:rFonts w:asciiTheme="minorHAnsi" w:eastAsia="Times New Roman" w:hAnsiTheme="minorHAnsi" w:cstheme="minorHAnsi"/>
                <w:bCs/>
                <w:sz w:val="16"/>
                <w:szCs w:val="16"/>
                <w:lang w:val="pl-PL"/>
              </w:rPr>
              <w:t xml:space="preserve">Kvalitet obrazovanja, PISA test rang </w:t>
            </w:r>
          </w:p>
        </w:tc>
        <w:tc>
          <w:tcPr>
            <w:tcW w:w="1386" w:type="dxa"/>
            <w:shd w:val="clear" w:color="auto" w:fill="FFFFFF"/>
          </w:tcPr>
          <w:p w14:paraId="4793333F"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MP</w:t>
            </w:r>
            <w:r w:rsidR="00D25A55" w:rsidRPr="004E4DE6">
              <w:rPr>
                <w:rFonts w:asciiTheme="minorHAnsi" w:hAnsiTheme="minorHAnsi" w:cstheme="minorHAnsi"/>
                <w:sz w:val="16"/>
                <w:szCs w:val="16"/>
                <w:lang w:val="sr-Latn-ME"/>
              </w:rPr>
              <w:t>NI</w:t>
            </w:r>
          </w:p>
        </w:tc>
        <w:tc>
          <w:tcPr>
            <w:tcW w:w="1080" w:type="dxa"/>
            <w:shd w:val="clear" w:color="auto" w:fill="auto"/>
          </w:tcPr>
          <w:p w14:paraId="7521D432"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Sva tri regiona: 52.(2018.)</w:t>
            </w:r>
          </w:p>
        </w:tc>
        <w:tc>
          <w:tcPr>
            <w:tcW w:w="1620" w:type="dxa"/>
            <w:shd w:val="clear" w:color="auto" w:fill="auto"/>
          </w:tcPr>
          <w:p w14:paraId="2DD679FA" w14:textId="77777777" w:rsidR="00A13DA5" w:rsidRPr="008805BE" w:rsidRDefault="00A13DA5" w:rsidP="0048184E">
            <w:pPr>
              <w:pStyle w:val="NoSpacing"/>
              <w:rPr>
                <w:rFonts w:asciiTheme="minorHAnsi" w:hAnsiTheme="minorHAnsi" w:cstheme="minorHAnsi"/>
                <w:sz w:val="16"/>
                <w:szCs w:val="16"/>
                <w:lang w:val="sr-Latn-ME"/>
              </w:rPr>
            </w:pPr>
            <w:r w:rsidRPr="008805BE">
              <w:rPr>
                <w:rFonts w:asciiTheme="minorHAnsi" w:hAnsiTheme="minorHAnsi" w:cstheme="minorHAnsi"/>
                <w:sz w:val="16"/>
                <w:szCs w:val="16"/>
                <w:lang w:val="sr-Latn-ME"/>
              </w:rPr>
              <w:t>Sva tri regiona: 50.</w:t>
            </w:r>
          </w:p>
          <w:p w14:paraId="18123062" w14:textId="5E0BC70B" w:rsidR="00940D35" w:rsidRPr="008805BE" w:rsidRDefault="00940D35" w:rsidP="0048184E">
            <w:pPr>
              <w:pStyle w:val="NoSpacing"/>
              <w:rPr>
                <w:rFonts w:asciiTheme="minorHAnsi" w:hAnsiTheme="minorHAnsi" w:cstheme="minorHAnsi"/>
                <w:sz w:val="16"/>
                <w:szCs w:val="16"/>
                <w:lang w:val="sr-Latn-ME"/>
              </w:rPr>
            </w:pPr>
          </w:p>
        </w:tc>
        <w:tc>
          <w:tcPr>
            <w:tcW w:w="1260" w:type="dxa"/>
            <w:shd w:val="clear" w:color="auto" w:fill="auto"/>
          </w:tcPr>
          <w:p w14:paraId="0CD6DACC" w14:textId="77777777" w:rsidR="00A13DA5" w:rsidRPr="008805BE" w:rsidRDefault="00A13DA5" w:rsidP="0048184E">
            <w:pPr>
              <w:pStyle w:val="NoSpacing"/>
              <w:rPr>
                <w:rFonts w:asciiTheme="minorHAnsi" w:hAnsiTheme="minorHAnsi" w:cstheme="minorHAnsi"/>
                <w:sz w:val="16"/>
                <w:szCs w:val="16"/>
                <w:lang w:val="pl-PL"/>
              </w:rPr>
            </w:pPr>
            <w:r w:rsidRPr="008805BE">
              <w:rPr>
                <w:rFonts w:asciiTheme="minorHAnsi" w:hAnsiTheme="minorHAnsi" w:cstheme="minorHAnsi"/>
                <w:sz w:val="16"/>
                <w:szCs w:val="16"/>
                <w:lang w:val="sr-Latn-ME"/>
              </w:rPr>
              <w:t>Sva tri regiona: 48.</w:t>
            </w:r>
          </w:p>
        </w:tc>
      </w:tr>
      <w:tr w:rsidR="00A13DA5" w:rsidRPr="002A2822" w14:paraId="62055179" w14:textId="77777777" w:rsidTr="004E4DE6">
        <w:trPr>
          <w:trHeight w:val="386"/>
          <w:jc w:val="center"/>
        </w:trPr>
        <w:tc>
          <w:tcPr>
            <w:tcW w:w="1604" w:type="dxa"/>
            <w:vMerge w:val="restart"/>
            <w:tcBorders>
              <w:top w:val="single" w:sz="4" w:space="0" w:color="808080"/>
              <w:left w:val="single" w:sz="4" w:space="0" w:color="808080"/>
              <w:right w:val="single" w:sz="4" w:space="0" w:color="808080"/>
            </w:tcBorders>
            <w:shd w:val="clear" w:color="auto" w:fill="auto"/>
          </w:tcPr>
          <w:p w14:paraId="4296A651"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28773FE1" w14:textId="77777777" w:rsidR="00A13DA5" w:rsidRPr="004E4DE6" w:rsidRDefault="00A13DA5" w:rsidP="0048184E">
            <w:pPr>
              <w:pStyle w:val="NoSpacing"/>
              <w:rPr>
                <w:rFonts w:asciiTheme="minorHAnsi" w:eastAsia="Times New Roman" w:hAnsiTheme="minorHAnsi" w:cstheme="minorHAnsi"/>
                <w:bCs/>
                <w:sz w:val="16"/>
                <w:szCs w:val="16"/>
                <w:lang w:val="pl-PL"/>
              </w:rPr>
            </w:pPr>
            <w:r w:rsidRPr="004E4DE6">
              <w:rPr>
                <w:rFonts w:asciiTheme="minorHAnsi" w:eastAsia="Times New Roman" w:hAnsiTheme="minorHAnsi" w:cstheme="minorHAnsi"/>
                <w:bCs/>
                <w:sz w:val="16"/>
                <w:szCs w:val="16"/>
                <w:lang w:val="pl-PL"/>
              </w:rPr>
              <w:t>Stanovništvo i zdravlje</w:t>
            </w:r>
          </w:p>
        </w:tc>
        <w:tc>
          <w:tcPr>
            <w:tcW w:w="1386" w:type="dxa"/>
            <w:tcBorders>
              <w:top w:val="single" w:sz="4" w:space="0" w:color="808080"/>
              <w:left w:val="single" w:sz="4" w:space="0" w:color="808080"/>
              <w:bottom w:val="single" w:sz="4" w:space="0" w:color="808080"/>
              <w:right w:val="single" w:sz="4" w:space="0" w:color="808080"/>
            </w:tcBorders>
            <w:shd w:val="clear" w:color="auto" w:fill="auto"/>
          </w:tcPr>
          <w:p w14:paraId="01DA5509"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Prirodni resursi i biodiverzitet</w:t>
            </w:r>
          </w:p>
        </w:tc>
        <w:tc>
          <w:tcPr>
            <w:tcW w:w="1080" w:type="dxa"/>
            <w:tcBorders>
              <w:top w:val="single" w:sz="4" w:space="0" w:color="808080"/>
              <w:left w:val="single" w:sz="4" w:space="0" w:color="808080"/>
              <w:bottom w:val="single" w:sz="4" w:space="0" w:color="808080"/>
              <w:right w:val="single" w:sz="4" w:space="0" w:color="808080"/>
            </w:tcBorders>
            <w:shd w:val="clear" w:color="auto" w:fill="auto"/>
          </w:tcPr>
          <w:p w14:paraId="2FFCF9E3"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Materijalna dobra i kulturno nasleđe</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170B351D"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Proizvodni procesi i tehnologije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24015422"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Način isporuke usluga i dobara</w:t>
            </w:r>
          </w:p>
        </w:tc>
      </w:tr>
      <w:tr w:rsidR="00A13DA5" w:rsidRPr="0048184E" w14:paraId="2E83C4E9" w14:textId="77777777" w:rsidTr="004E4DE6">
        <w:trPr>
          <w:trHeight w:val="386"/>
          <w:jc w:val="center"/>
        </w:trPr>
        <w:tc>
          <w:tcPr>
            <w:tcW w:w="1604" w:type="dxa"/>
            <w:vMerge/>
            <w:tcBorders>
              <w:left w:val="single" w:sz="4" w:space="0" w:color="808080"/>
              <w:bottom w:val="single" w:sz="4" w:space="0" w:color="808080"/>
              <w:right w:val="single" w:sz="4" w:space="0" w:color="808080"/>
            </w:tcBorders>
            <w:shd w:val="clear" w:color="auto" w:fill="auto"/>
          </w:tcPr>
          <w:p w14:paraId="011386D9" w14:textId="77777777" w:rsidR="00A13DA5" w:rsidRPr="004E4DE6"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auto"/>
              <w:right w:val="single" w:sz="4" w:space="0" w:color="808080"/>
            </w:tcBorders>
            <w:shd w:val="clear" w:color="auto" w:fill="auto"/>
          </w:tcPr>
          <w:p w14:paraId="6528D7EB" w14:textId="77777777" w:rsidR="00A13DA5" w:rsidRPr="004E4DE6" w:rsidRDefault="00A13DA5" w:rsidP="0048184E">
            <w:pPr>
              <w:pStyle w:val="NoSpacing"/>
              <w:jc w:val="center"/>
              <w:rPr>
                <w:rFonts w:asciiTheme="minorHAnsi" w:eastAsia="Times New Roman" w:hAnsiTheme="minorHAnsi" w:cstheme="minorHAnsi"/>
                <w:bCs/>
                <w:sz w:val="16"/>
                <w:szCs w:val="16"/>
                <w:lang w:val="en-GB"/>
              </w:rPr>
            </w:pPr>
            <w:r w:rsidRPr="004E4DE6">
              <w:rPr>
                <w:rFonts w:asciiTheme="minorHAnsi" w:eastAsia="Times New Roman" w:hAnsiTheme="minorHAnsi" w:cstheme="minorHAnsi"/>
                <w:bCs/>
                <w:sz w:val="16"/>
                <w:szCs w:val="16"/>
                <w:lang w:val="en-GB"/>
              </w:rPr>
              <w:t>+</w:t>
            </w:r>
          </w:p>
        </w:tc>
        <w:tc>
          <w:tcPr>
            <w:tcW w:w="1386" w:type="dxa"/>
            <w:tcBorders>
              <w:top w:val="single" w:sz="4" w:space="0" w:color="808080"/>
              <w:left w:val="single" w:sz="4" w:space="0" w:color="808080"/>
              <w:bottom w:val="single" w:sz="4" w:space="0" w:color="auto"/>
              <w:right w:val="single" w:sz="4" w:space="0" w:color="808080"/>
            </w:tcBorders>
            <w:shd w:val="clear" w:color="auto" w:fill="auto"/>
          </w:tcPr>
          <w:p w14:paraId="6AF04F33"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c>
          <w:tcPr>
            <w:tcW w:w="1080" w:type="dxa"/>
            <w:tcBorders>
              <w:top w:val="single" w:sz="4" w:space="0" w:color="808080"/>
              <w:left w:val="single" w:sz="4" w:space="0" w:color="808080"/>
              <w:bottom w:val="single" w:sz="4" w:space="0" w:color="auto"/>
              <w:right w:val="single" w:sz="4" w:space="0" w:color="808080"/>
            </w:tcBorders>
            <w:shd w:val="clear" w:color="auto" w:fill="auto"/>
          </w:tcPr>
          <w:p w14:paraId="201B545C"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c>
          <w:tcPr>
            <w:tcW w:w="1620" w:type="dxa"/>
            <w:tcBorders>
              <w:top w:val="single" w:sz="4" w:space="0" w:color="808080"/>
              <w:left w:val="single" w:sz="4" w:space="0" w:color="808080"/>
              <w:bottom w:val="single" w:sz="4" w:space="0" w:color="auto"/>
              <w:right w:val="single" w:sz="4" w:space="0" w:color="808080"/>
            </w:tcBorders>
            <w:shd w:val="clear" w:color="auto" w:fill="auto"/>
          </w:tcPr>
          <w:p w14:paraId="53801893"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c>
          <w:tcPr>
            <w:tcW w:w="1260" w:type="dxa"/>
            <w:tcBorders>
              <w:top w:val="single" w:sz="4" w:space="0" w:color="808080"/>
              <w:left w:val="single" w:sz="4" w:space="0" w:color="808080"/>
              <w:bottom w:val="single" w:sz="4" w:space="0" w:color="auto"/>
              <w:right w:val="single" w:sz="4" w:space="0" w:color="808080"/>
            </w:tcBorders>
            <w:shd w:val="clear" w:color="auto" w:fill="auto"/>
          </w:tcPr>
          <w:p w14:paraId="743BA05B"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r>
    </w:tbl>
    <w:p w14:paraId="1025F03F" w14:textId="77777777" w:rsidR="008926EF" w:rsidRPr="0048184E" w:rsidRDefault="008926EF" w:rsidP="0048184E">
      <w:pPr>
        <w:pStyle w:val="NoSpacing"/>
        <w:ind w:left="360"/>
        <w:rPr>
          <w:rFonts w:asciiTheme="minorHAnsi" w:hAnsiTheme="minorHAnsi" w:cstheme="minorHAnsi"/>
          <w:b/>
          <w:sz w:val="18"/>
          <w:szCs w:val="18"/>
          <w:lang w:val="sr-Latn-ME"/>
        </w:rPr>
      </w:pPr>
    </w:p>
    <w:p w14:paraId="1A7E4CF2" w14:textId="77777777" w:rsidR="00A13DA5" w:rsidRPr="00726BE7" w:rsidRDefault="00A13DA5" w:rsidP="0048184E">
      <w:pPr>
        <w:pStyle w:val="Heading21"/>
        <w:numPr>
          <w:ilvl w:val="1"/>
          <w:numId w:val="28"/>
        </w:numPr>
        <w:spacing w:before="0"/>
        <w:rPr>
          <w:color w:val="4472C4" w:themeColor="accent5"/>
          <w:szCs w:val="22"/>
          <w:lang w:val="sr-Latn-ME"/>
        </w:rPr>
      </w:pPr>
      <w:bookmarkStart w:id="57" w:name="_Toc205215851"/>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2.2. </w:t>
      </w:r>
      <w:r w:rsidRPr="00726BE7">
        <w:rPr>
          <w:color w:val="4472C4" w:themeColor="accent5"/>
          <w:szCs w:val="22"/>
        </w:rPr>
        <w:t>Pove</w:t>
      </w:r>
      <w:r w:rsidRPr="00726BE7">
        <w:rPr>
          <w:color w:val="4472C4" w:themeColor="accent5"/>
          <w:szCs w:val="22"/>
          <w:lang w:val="sr-Latn-ME"/>
        </w:rPr>
        <w:t>ć</w:t>
      </w:r>
      <w:r w:rsidRPr="00726BE7">
        <w:rPr>
          <w:color w:val="4472C4" w:themeColor="accent5"/>
          <w:szCs w:val="22"/>
        </w:rPr>
        <w:t>anje</w:t>
      </w:r>
      <w:r w:rsidRPr="00726BE7">
        <w:rPr>
          <w:color w:val="4472C4" w:themeColor="accent5"/>
          <w:szCs w:val="22"/>
          <w:lang w:val="sr-Latn-ME"/>
        </w:rPr>
        <w:t xml:space="preserve"> </w:t>
      </w:r>
      <w:r w:rsidRPr="00726BE7">
        <w:rPr>
          <w:color w:val="4472C4" w:themeColor="accent5"/>
          <w:szCs w:val="22"/>
        </w:rPr>
        <w:t>stope</w:t>
      </w:r>
      <w:r w:rsidRPr="00726BE7">
        <w:rPr>
          <w:color w:val="4472C4" w:themeColor="accent5"/>
          <w:szCs w:val="22"/>
          <w:lang w:val="sr-Latn-ME"/>
        </w:rPr>
        <w:t xml:space="preserve"> </w:t>
      </w:r>
      <w:r w:rsidRPr="00726BE7">
        <w:rPr>
          <w:color w:val="4472C4" w:themeColor="accent5"/>
          <w:szCs w:val="22"/>
        </w:rPr>
        <w:t>zaposlenosti</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smanjenje</w:t>
      </w:r>
      <w:r w:rsidRPr="00726BE7">
        <w:rPr>
          <w:color w:val="4472C4" w:themeColor="accent5"/>
          <w:szCs w:val="22"/>
          <w:lang w:val="sr-Latn-ME"/>
        </w:rPr>
        <w:t xml:space="preserve"> </w:t>
      </w:r>
      <w:r w:rsidRPr="00726BE7">
        <w:rPr>
          <w:color w:val="4472C4" w:themeColor="accent5"/>
          <w:szCs w:val="22"/>
        </w:rPr>
        <w:t>neformalne</w:t>
      </w:r>
      <w:r w:rsidRPr="00726BE7">
        <w:rPr>
          <w:color w:val="4472C4" w:themeColor="accent5"/>
          <w:szCs w:val="22"/>
          <w:lang w:val="sr-Latn-ME"/>
        </w:rPr>
        <w:t xml:space="preserve"> </w:t>
      </w:r>
      <w:r w:rsidRPr="00726BE7">
        <w:rPr>
          <w:color w:val="4472C4" w:themeColor="accent5"/>
          <w:szCs w:val="22"/>
        </w:rPr>
        <w:t>zaposlenosti</w:t>
      </w:r>
      <w:bookmarkEnd w:id="57"/>
    </w:p>
    <w:p w14:paraId="7A5AB242" w14:textId="77777777" w:rsidR="00A13DA5" w:rsidRPr="00726BE7" w:rsidRDefault="00A13DA5" w:rsidP="0048184E">
      <w:pPr>
        <w:pStyle w:val="Heading21"/>
        <w:spacing w:before="0"/>
        <w:rPr>
          <w:color w:val="4472C4" w:themeColor="accent5"/>
          <w:szCs w:val="22"/>
          <w:lang w:val="sr-Latn-ME"/>
        </w:rPr>
      </w:pPr>
    </w:p>
    <w:p w14:paraId="04757FB9" w14:textId="77777777" w:rsidR="00F81906" w:rsidRDefault="00A13DA5" w:rsidP="00916426">
      <w:pPr>
        <w:pStyle w:val="FootnoteText"/>
        <w:jc w:val="both"/>
        <w:rPr>
          <w:rFonts w:asciiTheme="minorHAnsi" w:hAnsiTheme="minorHAnsi" w:cstheme="minorHAnsi"/>
          <w:sz w:val="18"/>
          <w:szCs w:val="18"/>
          <w:lang w:val="hr-BA"/>
        </w:rPr>
      </w:pPr>
      <w:r w:rsidRPr="0048184E">
        <w:rPr>
          <w:rFonts w:asciiTheme="minorHAnsi" w:hAnsiTheme="minorHAnsi" w:cstheme="minorHAnsi"/>
          <w:sz w:val="18"/>
          <w:szCs w:val="18"/>
          <w:lang w:val="sr-Latn-ME"/>
        </w:rPr>
        <w:t xml:space="preserve">Za realizaciju OC 2.2. </w:t>
      </w:r>
      <w:bookmarkStart w:id="58" w:name="_Hlk127449452"/>
      <w:r w:rsidRPr="0048184E">
        <w:rPr>
          <w:rFonts w:asciiTheme="minorHAnsi" w:hAnsiTheme="minorHAnsi" w:cstheme="minorHAnsi"/>
          <w:sz w:val="18"/>
          <w:szCs w:val="18"/>
          <w:lang w:val="sr-Latn-ME"/>
        </w:rPr>
        <w:t xml:space="preserve">u narednom periodu </w:t>
      </w:r>
      <w:r w:rsidR="00F81906">
        <w:rPr>
          <w:rFonts w:asciiTheme="minorHAnsi" w:hAnsiTheme="minorHAnsi" w:cstheme="minorHAnsi"/>
          <w:sz w:val="18"/>
          <w:szCs w:val="18"/>
          <w:lang w:val="sr-Latn-ME"/>
        </w:rPr>
        <w:t xml:space="preserve">doprinijeće sprovedena reforma </w:t>
      </w:r>
      <w:r w:rsidRPr="0048184E">
        <w:rPr>
          <w:rFonts w:asciiTheme="minorHAnsi" w:hAnsiTheme="minorHAnsi" w:cstheme="minorHAnsi"/>
          <w:sz w:val="18"/>
          <w:szCs w:val="18"/>
          <w:lang w:val="hr-BA"/>
        </w:rPr>
        <w:t>oporezivanja rada, posebno za rezidente Sjevernog regiona koji imaju izdrž</w:t>
      </w:r>
      <w:r w:rsidR="00F81906">
        <w:rPr>
          <w:rFonts w:asciiTheme="minorHAnsi" w:hAnsiTheme="minorHAnsi" w:cstheme="minorHAnsi"/>
          <w:sz w:val="18"/>
          <w:szCs w:val="18"/>
          <w:lang w:val="hr-BA"/>
        </w:rPr>
        <w:t>avane članove porodice, čime se kreiraju</w:t>
      </w:r>
      <w:r w:rsidRPr="0048184E">
        <w:rPr>
          <w:rFonts w:asciiTheme="minorHAnsi" w:hAnsiTheme="minorHAnsi" w:cstheme="minorHAnsi"/>
          <w:sz w:val="18"/>
          <w:szCs w:val="18"/>
          <w:lang w:val="hr-BA"/>
        </w:rPr>
        <w:t xml:space="preserve"> dodatni podsticaji u pogledu isplativnosti rada i uključivanja na formalno tržište rada, kao i veća podrška p</w:t>
      </w:r>
      <w:r w:rsidR="00F81906">
        <w:rPr>
          <w:rFonts w:asciiTheme="minorHAnsi" w:hAnsiTheme="minorHAnsi" w:cstheme="minorHAnsi"/>
          <w:sz w:val="18"/>
          <w:szCs w:val="18"/>
          <w:lang w:val="hr-BA"/>
        </w:rPr>
        <w:t xml:space="preserve">orodicama sa više članova. </w:t>
      </w:r>
      <w:r w:rsidR="00F81906" w:rsidRPr="00F81906">
        <w:rPr>
          <w:rFonts w:cstheme="minorHAnsi"/>
          <w:sz w:val="18"/>
          <w:szCs w:val="18"/>
          <w:lang w:val="sr-Latn-ME"/>
        </w:rPr>
        <w:t>Sprovedena poreska reforma koja je obuhvatila smanjenje poreskog opterećenja na rad Crna Gora je postala jedna od država sa najnižim poreskim opterećenjem na rad. Kada je u pitanju prosječna zarada poresko opterećenje iznosi 16,2% dok u slučaju minimalne zarade 11,1% (600 eura) i 13,5% (800 eura). Poresko opterećenje na rad dovodi se u direktnu vezu sa stopom nezaposlenosti, kao i postojanjem neformalne zaposlenosti, pa samim tim ova reforma pozitivno utiče na eliminisanje neformalne ekonomije u Crnoj Gori</w:t>
      </w:r>
      <w:r w:rsidR="00F81906" w:rsidRPr="00F81906">
        <w:rPr>
          <w:rStyle w:val="FootnoteReference"/>
          <w:rFonts w:cstheme="minorHAnsi"/>
          <w:sz w:val="18"/>
          <w:szCs w:val="18"/>
          <w:lang w:val="sr-Latn-ME"/>
        </w:rPr>
        <w:footnoteReference w:id="55"/>
      </w:r>
      <w:r w:rsidR="00F81906" w:rsidRPr="00F81906">
        <w:rPr>
          <w:rFonts w:cstheme="minorHAnsi"/>
          <w:sz w:val="18"/>
          <w:szCs w:val="18"/>
          <w:lang w:val="sr-Latn-ME"/>
        </w:rPr>
        <w:t>.</w:t>
      </w:r>
    </w:p>
    <w:p w14:paraId="2AB1857F" w14:textId="77777777" w:rsidR="00A13DA5" w:rsidRDefault="00F81906" w:rsidP="0048184E">
      <w:pPr>
        <w:pStyle w:val="NoSpacing"/>
        <w:jc w:val="both"/>
        <w:rPr>
          <w:rFonts w:asciiTheme="minorHAnsi" w:eastAsia="Times New Roman" w:hAnsiTheme="minorHAnsi" w:cstheme="minorHAnsi"/>
          <w:sz w:val="18"/>
          <w:szCs w:val="18"/>
          <w:lang w:val="hr-BA"/>
        </w:rPr>
      </w:pPr>
      <w:r>
        <w:rPr>
          <w:rFonts w:asciiTheme="minorHAnsi" w:hAnsiTheme="minorHAnsi" w:cstheme="minorHAnsi"/>
          <w:sz w:val="18"/>
          <w:szCs w:val="18"/>
          <w:lang w:val="hr-BA"/>
        </w:rPr>
        <w:t xml:space="preserve">To je </w:t>
      </w:r>
      <w:r w:rsidR="00A13DA5" w:rsidRPr="0048184E">
        <w:rPr>
          <w:rFonts w:asciiTheme="minorHAnsi" w:hAnsiTheme="minorHAnsi" w:cstheme="minorHAnsi"/>
          <w:sz w:val="18"/>
          <w:szCs w:val="18"/>
          <w:lang w:val="hr-BA"/>
        </w:rPr>
        <w:t xml:space="preserve"> doprinijelo i formalizaciji neformalne zaposlenosti. Dodatno, kroz subvencije i kreditnu podršku razvoju MMSP će se stvarati dalje pretpostavke za otvaranje novih radnih mjesta. U okviru ovog operativnog cilja, prepoznata je neophodnost nastavka implementacije lokalnih strategija zapošljavanja, jačanja informatičke pismenosti nezaposlenih i unaprijediti aktivne mjere politike zapošljavanja, poput onih koje se odnose na obrazovanje i osposobljavanje odraslih, podsticaje za zapošljavanje, podsticaje za preduzetništvo itd.</w:t>
      </w:r>
      <w:r w:rsidR="00A13DA5" w:rsidRPr="0048184E">
        <w:rPr>
          <w:rFonts w:asciiTheme="minorHAnsi" w:eastAsia="Times New Roman" w:hAnsiTheme="minorHAnsi" w:cstheme="minorHAnsi"/>
          <w:sz w:val="18"/>
          <w:szCs w:val="18"/>
          <w:lang w:val="hr-BA"/>
        </w:rPr>
        <w:t xml:space="preserve"> Kao što je identifikovano u analizi stanja, poseban set mjera je neophodno definisati u cilju povećanja zaposlenosti mladih i žena.</w:t>
      </w:r>
    </w:p>
    <w:p w14:paraId="775B0FD5" w14:textId="77777777" w:rsidR="00F81906" w:rsidRPr="0048184E" w:rsidRDefault="00F81906" w:rsidP="0048184E">
      <w:pPr>
        <w:pStyle w:val="NoSpacing"/>
        <w:jc w:val="both"/>
        <w:rPr>
          <w:rFonts w:asciiTheme="minorHAnsi" w:eastAsia="Times New Roman" w:hAnsiTheme="minorHAnsi" w:cstheme="minorHAnsi"/>
          <w:sz w:val="18"/>
          <w:szCs w:val="18"/>
          <w:lang w:val="hr-BA"/>
        </w:rPr>
      </w:pPr>
    </w:p>
    <w:p w14:paraId="7B7B4F25"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U vezi </w:t>
      </w:r>
      <w:r w:rsidR="003510B1" w:rsidRPr="0048184E">
        <w:rPr>
          <w:rFonts w:asciiTheme="minorHAnsi" w:hAnsiTheme="minorHAnsi" w:cstheme="minorHAnsi"/>
          <w:sz w:val="18"/>
          <w:szCs w:val="18"/>
          <w:lang w:val="sr-Latn-ME"/>
        </w:rPr>
        <w:t>sa navedenim, u toku je i implementacija Programa kojim su definisane</w:t>
      </w:r>
      <w:r w:rsidRPr="0048184E">
        <w:rPr>
          <w:rFonts w:asciiTheme="minorHAnsi" w:hAnsiTheme="minorHAnsi" w:cstheme="minorHAnsi"/>
          <w:sz w:val="18"/>
          <w:szCs w:val="18"/>
          <w:lang w:val="sr-Latn-ME"/>
        </w:rPr>
        <w:t xml:space="preserve"> mjere za suzbijanje neformalne ekonomije u Crnoj Gori za period od 2024. do 2026., a sve u cilju nastavka aktivnosti na planu suzbijanja neformalne ekonomije. U planu je takođe uspostavljanje potpune elektronske registracije preduzeća</w:t>
      </w:r>
      <w:r w:rsidR="003510B1" w:rsidRPr="0048184E">
        <w:rPr>
          <w:rStyle w:val="FootnoteReference"/>
          <w:rFonts w:asciiTheme="minorHAnsi" w:hAnsiTheme="minorHAnsi" w:cstheme="minorHAnsi"/>
          <w:sz w:val="18"/>
          <w:szCs w:val="18"/>
          <w:lang w:val="sr-Latn-ME"/>
        </w:rPr>
        <w:footnoteReference w:id="56"/>
      </w:r>
      <w:r w:rsidRPr="0048184E">
        <w:rPr>
          <w:rFonts w:asciiTheme="minorHAnsi" w:hAnsiTheme="minorHAnsi" w:cstheme="minorHAnsi"/>
          <w:sz w:val="18"/>
          <w:szCs w:val="18"/>
          <w:lang w:val="sr-Latn-ME"/>
        </w:rPr>
        <w:t>, čime bi se stvorilo transparentnije okruženje i veće mogućnosti za uticaj na smanjenje sive ekonomije, kroz bržu i lakšu dostupnost podataka. Smanjenjem učešća neformalne ekonomije kao procenta BDP-a, ostvariće se dugoročan uticaj na konkurentnost.</w:t>
      </w:r>
    </w:p>
    <w:p w14:paraId="44982684"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bCs/>
          <w:sz w:val="18"/>
          <w:szCs w:val="18"/>
          <w:lang w:val="sr-Latn-ME"/>
        </w:rPr>
        <w:t xml:space="preserve">Imajući u vidu navedeno, naredni period treba da karakterišu izmjene </w:t>
      </w:r>
      <w:bookmarkEnd w:id="58"/>
      <w:r w:rsidRPr="0048184E">
        <w:rPr>
          <w:rFonts w:asciiTheme="minorHAnsi" w:hAnsiTheme="minorHAnsi" w:cstheme="minorHAnsi"/>
          <w:bCs/>
          <w:sz w:val="18"/>
          <w:szCs w:val="18"/>
          <w:lang w:val="sr-Latn-ME"/>
        </w:rPr>
        <w:t>socijalne politike, sa ciljem efikasnije i pravednije raspodjele pomoći, odnosno njihovog boljeg targetiranja  prema stanovništvu sa najvećom izloženošću riziku od siromaštva, kako bi se smanjila stopa rizika od siromaštva</w:t>
      </w:r>
      <w:r w:rsidRPr="0048184E">
        <w:rPr>
          <w:rFonts w:asciiTheme="minorHAnsi" w:hAnsiTheme="minorHAnsi" w:cstheme="minorHAnsi"/>
          <w:sz w:val="18"/>
          <w:szCs w:val="18"/>
          <w:lang w:val="hr-BA"/>
        </w:rPr>
        <w:t xml:space="preserve">. </w:t>
      </w:r>
    </w:p>
    <w:p w14:paraId="1C0A7B55" w14:textId="77777777" w:rsidR="00A13DA5" w:rsidRPr="0048184E" w:rsidRDefault="00A13DA5" w:rsidP="0048184E">
      <w:pPr>
        <w:pStyle w:val="NoSpacing"/>
        <w:jc w:val="both"/>
        <w:rPr>
          <w:rFonts w:asciiTheme="minorHAnsi" w:hAnsiTheme="minorHAnsi" w:cstheme="minorHAnsi"/>
          <w:sz w:val="18"/>
          <w:szCs w:val="18"/>
          <w:lang w:val="hr-BA"/>
        </w:rPr>
      </w:pPr>
    </w:p>
    <w:tbl>
      <w:tblPr>
        <w:tblW w:w="90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80"/>
        <w:gridCol w:w="1404"/>
        <w:gridCol w:w="1116"/>
        <w:gridCol w:w="1710"/>
        <w:gridCol w:w="1620"/>
        <w:gridCol w:w="1260"/>
      </w:tblGrid>
      <w:tr w:rsidR="00A13DA5" w:rsidRPr="002A2822" w14:paraId="2DF141CB" w14:textId="77777777" w:rsidTr="008500FB">
        <w:trPr>
          <w:trHeight w:val="191"/>
          <w:jc w:val="center"/>
        </w:trPr>
        <w:tc>
          <w:tcPr>
            <w:tcW w:w="3384" w:type="dxa"/>
            <w:gridSpan w:val="2"/>
            <w:shd w:val="clear" w:color="auto" w:fill="D9E2F3"/>
          </w:tcPr>
          <w:p w14:paraId="592A3C80" w14:textId="77777777" w:rsidR="00A13DA5" w:rsidRPr="008500FB" w:rsidRDefault="00A13DA5" w:rsidP="0048184E">
            <w:pPr>
              <w:pStyle w:val="NoSpacing"/>
              <w:rPr>
                <w:rFonts w:asciiTheme="minorHAnsi" w:hAnsiTheme="minorHAnsi" w:cstheme="minorHAnsi"/>
                <w:b/>
                <w:sz w:val="16"/>
                <w:szCs w:val="16"/>
                <w:lang w:val="sr-Latn-ME"/>
              </w:rPr>
            </w:pPr>
            <w:r w:rsidRPr="008500FB">
              <w:rPr>
                <w:rFonts w:asciiTheme="minorHAnsi" w:hAnsiTheme="minorHAnsi" w:cstheme="minorHAnsi"/>
                <w:b/>
                <w:sz w:val="16"/>
                <w:szCs w:val="16"/>
                <w:lang w:val="sr-Latn-ME"/>
              </w:rPr>
              <w:t>Operativni cilj 2.2.</w:t>
            </w:r>
          </w:p>
        </w:tc>
        <w:tc>
          <w:tcPr>
            <w:tcW w:w="5706" w:type="dxa"/>
            <w:gridSpan w:val="4"/>
            <w:shd w:val="clear" w:color="auto" w:fill="D9E2F3"/>
          </w:tcPr>
          <w:p w14:paraId="445FE56C" w14:textId="77777777" w:rsidR="00A13DA5" w:rsidRPr="008500FB" w:rsidRDefault="00A13DA5" w:rsidP="0048184E">
            <w:pPr>
              <w:pStyle w:val="NoSpacing"/>
              <w:rPr>
                <w:rFonts w:asciiTheme="minorHAnsi" w:hAnsiTheme="minorHAnsi" w:cstheme="minorHAnsi"/>
                <w:b/>
                <w:sz w:val="16"/>
                <w:szCs w:val="16"/>
                <w:lang w:val="sr-Latn-ME"/>
              </w:rPr>
            </w:pPr>
            <w:r w:rsidRPr="008500FB">
              <w:rPr>
                <w:rFonts w:asciiTheme="minorHAnsi" w:hAnsiTheme="minorHAnsi" w:cstheme="minorHAnsi"/>
                <w:b/>
                <w:sz w:val="16"/>
                <w:szCs w:val="16"/>
                <w:lang w:val="sr-Latn-CS"/>
              </w:rPr>
              <w:t>Povećanje stope zaposlenosti i smanjenje neformalne zaposlenosti</w:t>
            </w:r>
          </w:p>
        </w:tc>
      </w:tr>
      <w:tr w:rsidR="00A13DA5" w:rsidRPr="0048184E" w14:paraId="353E487D" w14:textId="77777777" w:rsidTr="008500FB">
        <w:trPr>
          <w:trHeight w:val="386"/>
          <w:jc w:val="center"/>
        </w:trPr>
        <w:tc>
          <w:tcPr>
            <w:tcW w:w="1980" w:type="dxa"/>
            <w:shd w:val="clear" w:color="auto" w:fill="auto"/>
          </w:tcPr>
          <w:p w14:paraId="1B75CF42"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sz w:val="16"/>
                <w:szCs w:val="16"/>
                <w:lang w:val="sr-Latn-ME"/>
              </w:rPr>
              <w:t>Smanjena nezaposlenosti na nivou regiona</w:t>
            </w:r>
          </w:p>
        </w:tc>
        <w:tc>
          <w:tcPr>
            <w:tcW w:w="1404" w:type="dxa"/>
            <w:shd w:val="clear" w:color="auto" w:fill="FFFFFF"/>
          </w:tcPr>
          <w:p w14:paraId="119CC789" w14:textId="77777777" w:rsidR="00A13DA5" w:rsidRPr="008500FB" w:rsidRDefault="00A13DA5" w:rsidP="0048184E">
            <w:pPr>
              <w:pStyle w:val="NoSpacing"/>
              <w:rPr>
                <w:rFonts w:asciiTheme="minorHAnsi" w:hAnsiTheme="minorHAnsi" w:cstheme="minorHAnsi"/>
                <w:sz w:val="16"/>
                <w:szCs w:val="16"/>
              </w:rPr>
            </w:pPr>
            <w:r w:rsidRPr="008500FB">
              <w:rPr>
                <w:rFonts w:asciiTheme="minorHAnsi" w:eastAsia="Times New Roman" w:hAnsiTheme="minorHAnsi" w:cstheme="minorHAnsi"/>
                <w:sz w:val="16"/>
                <w:szCs w:val="16"/>
              </w:rPr>
              <w:t>Stopa nezaposlenosti %</w:t>
            </w:r>
          </w:p>
        </w:tc>
        <w:tc>
          <w:tcPr>
            <w:tcW w:w="1116" w:type="dxa"/>
            <w:shd w:val="clear" w:color="auto" w:fill="FFFFFF"/>
          </w:tcPr>
          <w:p w14:paraId="469F7ADB"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sz w:val="16"/>
                <w:szCs w:val="16"/>
                <w:lang w:val="sr-Latn-ME"/>
              </w:rPr>
              <w:t>Monstat, ARS</w:t>
            </w:r>
          </w:p>
        </w:tc>
        <w:tc>
          <w:tcPr>
            <w:tcW w:w="1710" w:type="dxa"/>
            <w:shd w:val="clear" w:color="auto" w:fill="FFFFFF"/>
          </w:tcPr>
          <w:p w14:paraId="6F390437" w14:textId="271CD251" w:rsidR="00A13DA5" w:rsidRPr="00E05B74" w:rsidRDefault="00A13DA5" w:rsidP="0048184E">
            <w:pPr>
              <w:pStyle w:val="NoSpacing"/>
              <w:rPr>
                <w:rFonts w:asciiTheme="minorHAnsi" w:eastAsia="Times New Roman" w:hAnsiTheme="minorHAnsi" w:cstheme="minorHAnsi"/>
                <w:sz w:val="16"/>
                <w:szCs w:val="16"/>
              </w:rPr>
            </w:pPr>
            <w:r w:rsidRPr="00E05B74">
              <w:rPr>
                <w:rFonts w:asciiTheme="minorHAnsi" w:eastAsia="Times New Roman" w:hAnsiTheme="minorHAnsi" w:cstheme="minorHAnsi"/>
                <w:sz w:val="16"/>
                <w:szCs w:val="16"/>
              </w:rPr>
              <w:t>Sjeverni region: 32,9</w:t>
            </w:r>
            <w:r w:rsidR="00E05B74" w:rsidRPr="00E05B74">
              <w:rPr>
                <w:rFonts w:asciiTheme="minorHAnsi" w:eastAsia="Times New Roman" w:hAnsiTheme="minorHAnsi" w:cstheme="minorHAnsi"/>
                <w:sz w:val="16"/>
                <w:szCs w:val="16"/>
              </w:rPr>
              <w:t xml:space="preserve"> </w:t>
            </w:r>
          </w:p>
          <w:p w14:paraId="796397F4" w14:textId="07F1972A"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11,1 (2021.)</w:t>
            </w:r>
          </w:p>
          <w:p w14:paraId="7CC97415" w14:textId="34BBCD99"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 xml:space="preserve">Primorski region: 5,1 </w:t>
            </w:r>
            <w:r w:rsidR="009F6851" w:rsidRPr="00E05B74">
              <w:rPr>
                <w:rFonts w:asciiTheme="minorHAnsi" w:hAnsiTheme="minorHAnsi" w:cstheme="minorHAnsi"/>
                <w:sz w:val="16"/>
                <w:szCs w:val="16"/>
              </w:rPr>
              <w:t xml:space="preserve"> </w:t>
            </w:r>
            <w:r w:rsidRPr="00E05B74">
              <w:rPr>
                <w:rFonts w:asciiTheme="minorHAnsi" w:hAnsiTheme="minorHAnsi" w:cstheme="minorHAnsi"/>
                <w:sz w:val="16"/>
                <w:szCs w:val="16"/>
              </w:rPr>
              <w:t>(2021.)</w:t>
            </w:r>
          </w:p>
        </w:tc>
        <w:tc>
          <w:tcPr>
            <w:tcW w:w="1620" w:type="dxa"/>
            <w:shd w:val="clear" w:color="auto" w:fill="auto"/>
          </w:tcPr>
          <w:p w14:paraId="577740FD" w14:textId="4D1B93B6" w:rsidR="00A13DA5" w:rsidRPr="00E05B74" w:rsidRDefault="008805BE" w:rsidP="0048184E">
            <w:pPr>
              <w:pStyle w:val="NoSpacing"/>
              <w:rPr>
                <w:rFonts w:asciiTheme="minorHAnsi" w:eastAsia="Times New Roman" w:hAnsiTheme="minorHAnsi" w:cstheme="minorHAnsi"/>
                <w:sz w:val="16"/>
                <w:szCs w:val="16"/>
                <w:lang w:val="pl-PL"/>
              </w:rPr>
            </w:pPr>
            <w:r w:rsidRPr="00E05B74">
              <w:rPr>
                <w:rFonts w:asciiTheme="minorHAnsi" w:eastAsia="Times New Roman" w:hAnsiTheme="minorHAnsi" w:cstheme="minorHAnsi"/>
                <w:sz w:val="16"/>
                <w:szCs w:val="16"/>
                <w:lang w:val="pl-PL"/>
              </w:rPr>
              <w:t xml:space="preserve">Sjeverni region: 23 </w:t>
            </w:r>
          </w:p>
          <w:p w14:paraId="15051164" w14:textId="4B2BB4EE" w:rsidR="00A13DA5" w:rsidRPr="00E05B74" w:rsidRDefault="008805BE" w:rsidP="0048184E">
            <w:pPr>
              <w:pStyle w:val="NoSpacing"/>
              <w:rPr>
                <w:rFonts w:asciiTheme="minorHAnsi" w:hAnsiTheme="minorHAnsi" w:cstheme="minorHAnsi"/>
                <w:sz w:val="16"/>
                <w:szCs w:val="16"/>
                <w:lang w:val="pl-PL"/>
              </w:rPr>
            </w:pPr>
            <w:r w:rsidRPr="00E05B74">
              <w:rPr>
                <w:rFonts w:asciiTheme="minorHAnsi" w:hAnsiTheme="minorHAnsi" w:cstheme="minorHAnsi"/>
                <w:sz w:val="16"/>
                <w:szCs w:val="16"/>
                <w:lang w:val="pl-PL"/>
              </w:rPr>
              <w:t xml:space="preserve">Središnji region: 7 </w:t>
            </w:r>
          </w:p>
          <w:p w14:paraId="7E78D6E2" w14:textId="104FDB68" w:rsidR="00A13DA5" w:rsidRPr="00E05B74" w:rsidRDefault="008805BE"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Primorski region: 2</w:t>
            </w:r>
            <w:r w:rsidR="009F6851" w:rsidRPr="00E05B74">
              <w:rPr>
                <w:rFonts w:asciiTheme="minorHAnsi" w:hAnsiTheme="minorHAnsi" w:cstheme="minorHAnsi"/>
                <w:sz w:val="16"/>
                <w:szCs w:val="16"/>
              </w:rPr>
              <w:t xml:space="preserve"> </w:t>
            </w:r>
          </w:p>
        </w:tc>
        <w:tc>
          <w:tcPr>
            <w:tcW w:w="1260" w:type="dxa"/>
            <w:shd w:val="clear" w:color="auto" w:fill="auto"/>
          </w:tcPr>
          <w:p w14:paraId="7CD886B9" w14:textId="015517FA" w:rsidR="00A13DA5" w:rsidRPr="00E05B74" w:rsidRDefault="00A13DA5" w:rsidP="0048184E">
            <w:pPr>
              <w:pStyle w:val="NoSpacing"/>
              <w:rPr>
                <w:rFonts w:asciiTheme="minorHAnsi" w:eastAsia="Times New Roman" w:hAnsiTheme="minorHAnsi" w:cstheme="minorHAnsi"/>
                <w:sz w:val="16"/>
                <w:szCs w:val="16"/>
              </w:rPr>
            </w:pPr>
            <w:r w:rsidRPr="00E05B74">
              <w:rPr>
                <w:rFonts w:asciiTheme="minorHAnsi" w:eastAsia="Times New Roman" w:hAnsiTheme="minorHAnsi" w:cstheme="minorHAnsi"/>
                <w:sz w:val="16"/>
                <w:szCs w:val="16"/>
              </w:rPr>
              <w:t>Sjeve</w:t>
            </w:r>
            <w:r w:rsidR="008805BE" w:rsidRPr="00E05B74">
              <w:rPr>
                <w:rFonts w:asciiTheme="minorHAnsi" w:eastAsia="Times New Roman" w:hAnsiTheme="minorHAnsi" w:cstheme="minorHAnsi"/>
                <w:sz w:val="16"/>
                <w:szCs w:val="16"/>
              </w:rPr>
              <w:t>rni region: 20</w:t>
            </w:r>
          </w:p>
          <w:p w14:paraId="19B55355" w14:textId="5C8536B9" w:rsidR="00A13DA5" w:rsidRPr="00E05B74" w:rsidRDefault="008805BE"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5</w:t>
            </w:r>
          </w:p>
          <w:p w14:paraId="5C4A9B8D" w14:textId="59AEE518" w:rsidR="00A13DA5" w:rsidRPr="00E05B74" w:rsidRDefault="008805BE"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Primorski region: 2</w:t>
            </w:r>
          </w:p>
        </w:tc>
      </w:tr>
      <w:tr w:rsidR="009F6851" w:rsidRPr="009F6851" w14:paraId="53343DEB" w14:textId="77777777" w:rsidTr="008500FB">
        <w:trPr>
          <w:trHeight w:val="386"/>
          <w:jc w:val="center"/>
        </w:trPr>
        <w:tc>
          <w:tcPr>
            <w:tcW w:w="1980" w:type="dxa"/>
            <w:shd w:val="clear" w:color="auto" w:fill="auto"/>
          </w:tcPr>
          <w:p w14:paraId="316FBC34"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bCs/>
                <w:sz w:val="16"/>
                <w:szCs w:val="16"/>
                <w:lang w:val="sr-Latn-ME"/>
              </w:rPr>
              <w:t>Povećana zaposlenosti na nivou regiona</w:t>
            </w:r>
          </w:p>
        </w:tc>
        <w:tc>
          <w:tcPr>
            <w:tcW w:w="1404" w:type="dxa"/>
            <w:shd w:val="clear" w:color="auto" w:fill="FFFFFF"/>
          </w:tcPr>
          <w:p w14:paraId="2693D3BC" w14:textId="77777777" w:rsidR="00A13DA5" w:rsidRPr="008500FB" w:rsidRDefault="00A13DA5" w:rsidP="0048184E">
            <w:pPr>
              <w:pStyle w:val="NoSpacing"/>
              <w:rPr>
                <w:rFonts w:asciiTheme="minorHAnsi" w:hAnsiTheme="minorHAnsi" w:cstheme="minorHAnsi"/>
                <w:sz w:val="16"/>
                <w:szCs w:val="16"/>
              </w:rPr>
            </w:pPr>
            <w:r w:rsidRPr="008500FB">
              <w:rPr>
                <w:rFonts w:asciiTheme="minorHAnsi" w:eastAsia="Times New Roman" w:hAnsiTheme="minorHAnsi" w:cstheme="minorHAnsi"/>
                <w:bCs/>
                <w:sz w:val="16"/>
                <w:szCs w:val="16"/>
              </w:rPr>
              <w:t>Stopa zaposlenosti %</w:t>
            </w:r>
          </w:p>
        </w:tc>
        <w:tc>
          <w:tcPr>
            <w:tcW w:w="1116" w:type="dxa"/>
            <w:shd w:val="clear" w:color="auto" w:fill="FFFFFF"/>
          </w:tcPr>
          <w:p w14:paraId="102E99A8"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sz w:val="16"/>
                <w:szCs w:val="16"/>
                <w:lang w:val="sr-Latn-ME"/>
              </w:rPr>
              <w:t>Monstat, ARS</w:t>
            </w:r>
          </w:p>
        </w:tc>
        <w:tc>
          <w:tcPr>
            <w:tcW w:w="1710" w:type="dxa"/>
            <w:shd w:val="clear" w:color="auto" w:fill="FFFFFF"/>
          </w:tcPr>
          <w:p w14:paraId="66C98B02" w14:textId="77777777" w:rsidR="00A13DA5" w:rsidRPr="00E05B74" w:rsidRDefault="00A13DA5" w:rsidP="0048184E">
            <w:pPr>
              <w:pStyle w:val="NoSpacing"/>
              <w:rPr>
                <w:rFonts w:asciiTheme="minorHAnsi" w:eastAsia="Times New Roman" w:hAnsiTheme="minorHAnsi" w:cstheme="minorHAnsi"/>
                <w:bCs/>
                <w:sz w:val="16"/>
                <w:szCs w:val="16"/>
              </w:rPr>
            </w:pPr>
            <w:r w:rsidRPr="00E05B74">
              <w:rPr>
                <w:rFonts w:asciiTheme="minorHAnsi" w:eastAsia="Times New Roman" w:hAnsiTheme="minorHAnsi" w:cstheme="minorHAnsi"/>
                <w:bCs/>
                <w:sz w:val="16"/>
                <w:szCs w:val="16"/>
              </w:rPr>
              <w:t>Sjeverni region: 32</w:t>
            </w:r>
          </w:p>
          <w:p w14:paraId="5CE6C8C8" w14:textId="77777777"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40,8 (2021.)</w:t>
            </w:r>
          </w:p>
          <w:p w14:paraId="1CB18091" w14:textId="77777777"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 xml:space="preserve">Primorski region: 40,8 (2021.) </w:t>
            </w:r>
          </w:p>
        </w:tc>
        <w:tc>
          <w:tcPr>
            <w:tcW w:w="1620" w:type="dxa"/>
            <w:shd w:val="clear" w:color="auto" w:fill="auto"/>
          </w:tcPr>
          <w:p w14:paraId="609E0155" w14:textId="13978D20" w:rsidR="00A13DA5" w:rsidRPr="00E05B74" w:rsidRDefault="00E05B74" w:rsidP="0048184E">
            <w:pPr>
              <w:pStyle w:val="NoSpacing"/>
              <w:rPr>
                <w:rFonts w:asciiTheme="minorHAnsi" w:eastAsia="Times New Roman" w:hAnsiTheme="minorHAnsi" w:cstheme="minorHAnsi"/>
                <w:bCs/>
                <w:sz w:val="16"/>
                <w:szCs w:val="16"/>
                <w:lang w:val="pl-PL"/>
              </w:rPr>
            </w:pPr>
            <w:r w:rsidRPr="00E05B74">
              <w:rPr>
                <w:rFonts w:asciiTheme="minorHAnsi" w:eastAsia="Times New Roman" w:hAnsiTheme="minorHAnsi" w:cstheme="minorHAnsi"/>
                <w:bCs/>
                <w:sz w:val="16"/>
                <w:szCs w:val="16"/>
                <w:lang w:val="pl-PL"/>
              </w:rPr>
              <w:t>Sjeverni region: 45</w:t>
            </w:r>
            <w:r>
              <w:rPr>
                <w:rFonts w:asciiTheme="minorHAnsi" w:eastAsia="Times New Roman" w:hAnsiTheme="minorHAnsi" w:cstheme="minorHAnsi"/>
                <w:bCs/>
                <w:sz w:val="16"/>
                <w:szCs w:val="16"/>
                <w:lang w:val="pl-PL"/>
              </w:rPr>
              <w:t xml:space="preserve"> </w:t>
            </w:r>
          </w:p>
          <w:p w14:paraId="28A5FEBC" w14:textId="41CF4612" w:rsidR="00A13DA5" w:rsidRPr="00E05B74" w:rsidRDefault="00A13DA5" w:rsidP="0048184E">
            <w:pPr>
              <w:pStyle w:val="NoSpacing"/>
              <w:rPr>
                <w:rFonts w:asciiTheme="minorHAnsi" w:hAnsiTheme="minorHAnsi" w:cstheme="minorHAnsi"/>
                <w:sz w:val="16"/>
                <w:szCs w:val="16"/>
                <w:lang w:val="pl-PL"/>
              </w:rPr>
            </w:pPr>
            <w:r w:rsidRPr="00E05B74">
              <w:rPr>
                <w:rFonts w:asciiTheme="minorHAnsi" w:hAnsiTheme="minorHAnsi" w:cstheme="minorHAnsi"/>
                <w:sz w:val="16"/>
                <w:szCs w:val="16"/>
                <w:lang w:val="pl-PL"/>
              </w:rPr>
              <w:t>Središn</w:t>
            </w:r>
            <w:r w:rsidR="00E05B74" w:rsidRPr="00E05B74">
              <w:rPr>
                <w:rFonts w:asciiTheme="minorHAnsi" w:hAnsiTheme="minorHAnsi" w:cstheme="minorHAnsi"/>
                <w:sz w:val="16"/>
                <w:szCs w:val="16"/>
                <w:lang w:val="pl-PL"/>
              </w:rPr>
              <w:t>ji region: 65</w:t>
            </w:r>
          </w:p>
          <w:p w14:paraId="032A3882" w14:textId="21745FB6" w:rsidR="00A13DA5" w:rsidRPr="00E05B74" w:rsidRDefault="00E05B74"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 xml:space="preserve">Primorski region: 62 </w:t>
            </w:r>
          </w:p>
        </w:tc>
        <w:tc>
          <w:tcPr>
            <w:tcW w:w="1260" w:type="dxa"/>
            <w:shd w:val="clear" w:color="auto" w:fill="auto"/>
          </w:tcPr>
          <w:p w14:paraId="05C68E46" w14:textId="6713A90D" w:rsidR="00A13DA5" w:rsidRPr="00E05B74" w:rsidRDefault="00E05B74" w:rsidP="0048184E">
            <w:pPr>
              <w:pStyle w:val="NoSpacing"/>
              <w:rPr>
                <w:rFonts w:asciiTheme="minorHAnsi" w:eastAsia="Times New Roman" w:hAnsiTheme="minorHAnsi" w:cstheme="minorHAnsi"/>
                <w:bCs/>
                <w:sz w:val="16"/>
                <w:szCs w:val="16"/>
              </w:rPr>
            </w:pPr>
            <w:r w:rsidRPr="00E05B74">
              <w:rPr>
                <w:rFonts w:asciiTheme="minorHAnsi" w:eastAsia="Times New Roman" w:hAnsiTheme="minorHAnsi" w:cstheme="minorHAnsi"/>
                <w:bCs/>
                <w:sz w:val="16"/>
                <w:szCs w:val="16"/>
              </w:rPr>
              <w:t>Sjeverni region: 47</w:t>
            </w:r>
          </w:p>
          <w:p w14:paraId="2D4CCC01" w14:textId="00F32BFD" w:rsidR="00A13DA5" w:rsidRPr="00E05B74" w:rsidRDefault="00E05B74"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67</w:t>
            </w:r>
          </w:p>
          <w:p w14:paraId="763B1226" w14:textId="69C98CD7" w:rsidR="00A13DA5" w:rsidRPr="00E05B74" w:rsidRDefault="00E05B74"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Primorski region:64</w:t>
            </w:r>
          </w:p>
        </w:tc>
      </w:tr>
      <w:tr w:rsidR="00A13DA5" w:rsidRPr="002A2822" w14:paraId="116C9158" w14:textId="77777777" w:rsidTr="008500FB">
        <w:trPr>
          <w:trHeight w:val="274"/>
          <w:jc w:val="center"/>
        </w:trPr>
        <w:tc>
          <w:tcPr>
            <w:tcW w:w="1980" w:type="dxa"/>
            <w:vMerge w:val="restart"/>
            <w:tcBorders>
              <w:top w:val="single" w:sz="4" w:space="0" w:color="808080"/>
              <w:left w:val="single" w:sz="4" w:space="0" w:color="808080"/>
              <w:right w:val="single" w:sz="4" w:space="0" w:color="808080"/>
            </w:tcBorders>
            <w:shd w:val="clear" w:color="auto" w:fill="auto"/>
          </w:tcPr>
          <w:p w14:paraId="16383737" w14:textId="77777777" w:rsidR="00A13DA5" w:rsidRPr="00916426" w:rsidRDefault="00A13DA5" w:rsidP="0048184E">
            <w:pPr>
              <w:pStyle w:val="NoSpacing"/>
              <w:rPr>
                <w:rFonts w:asciiTheme="minorHAnsi" w:hAnsiTheme="minorHAnsi" w:cstheme="minorHAnsi"/>
                <w:sz w:val="16"/>
                <w:szCs w:val="16"/>
                <w:lang w:val="sr-Latn-ME"/>
              </w:rPr>
            </w:pPr>
            <w:r w:rsidRPr="00916426">
              <w:rPr>
                <w:rFonts w:asciiTheme="minorHAnsi" w:hAnsiTheme="minorHAnsi" w:cstheme="minorHAnsi"/>
                <w:sz w:val="16"/>
                <w:szCs w:val="16"/>
                <w:lang w:val="sr-Latn-ME"/>
              </w:rPr>
              <w:t>Potencijalni uticaj na životnu sredinu</w:t>
            </w:r>
          </w:p>
        </w:tc>
        <w:tc>
          <w:tcPr>
            <w:tcW w:w="1404" w:type="dxa"/>
            <w:tcBorders>
              <w:top w:val="single" w:sz="4" w:space="0" w:color="808080"/>
              <w:left w:val="single" w:sz="4" w:space="0" w:color="808080"/>
              <w:bottom w:val="single" w:sz="4" w:space="0" w:color="808080"/>
              <w:right w:val="single" w:sz="4" w:space="0" w:color="808080"/>
            </w:tcBorders>
            <w:shd w:val="clear" w:color="auto" w:fill="FFFFFF"/>
          </w:tcPr>
          <w:p w14:paraId="05AB0077" w14:textId="77777777" w:rsidR="00A13DA5" w:rsidRPr="00916426" w:rsidRDefault="00A13DA5" w:rsidP="0048184E">
            <w:pPr>
              <w:pStyle w:val="NoSpacing"/>
              <w:rPr>
                <w:rFonts w:asciiTheme="minorHAnsi" w:eastAsia="Times New Roman" w:hAnsiTheme="minorHAnsi" w:cstheme="minorHAnsi"/>
                <w:sz w:val="16"/>
                <w:szCs w:val="16"/>
              </w:rPr>
            </w:pPr>
            <w:r w:rsidRPr="00916426">
              <w:rPr>
                <w:rFonts w:asciiTheme="minorHAnsi" w:eastAsia="Times New Roman" w:hAnsiTheme="minorHAnsi" w:cstheme="minorHAnsi"/>
                <w:sz w:val="16"/>
                <w:szCs w:val="16"/>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0C3D93A6" w14:textId="77777777" w:rsidR="00A13DA5" w:rsidRPr="00916426" w:rsidRDefault="00A13DA5" w:rsidP="0048184E">
            <w:pPr>
              <w:pStyle w:val="NoSpacing"/>
              <w:rPr>
                <w:rFonts w:asciiTheme="minorHAnsi" w:hAnsiTheme="minorHAnsi" w:cstheme="minorHAnsi"/>
                <w:sz w:val="16"/>
                <w:szCs w:val="16"/>
                <w:lang w:val="sr-Latn-ME"/>
              </w:rPr>
            </w:pPr>
            <w:r w:rsidRPr="00916426">
              <w:rPr>
                <w:rFonts w:asciiTheme="minorHAnsi" w:hAnsiTheme="minorHAnsi" w:cstheme="minorHAnsi"/>
                <w:sz w:val="16"/>
                <w:szCs w:val="16"/>
                <w:lang w:val="sr-Latn-ME"/>
              </w:rPr>
              <w:t>Prirodni resursi i biodiverzitet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3156068C" w14:textId="77777777" w:rsidR="00A13DA5" w:rsidRPr="00916426" w:rsidRDefault="00A13DA5" w:rsidP="0048184E">
            <w:pPr>
              <w:pStyle w:val="NoSpacing"/>
              <w:rPr>
                <w:rFonts w:asciiTheme="minorHAnsi" w:eastAsia="Times New Roman" w:hAnsiTheme="minorHAnsi" w:cstheme="minorHAnsi"/>
                <w:sz w:val="16"/>
                <w:szCs w:val="16"/>
                <w:lang w:val="it-IT"/>
              </w:rPr>
            </w:pPr>
            <w:r w:rsidRPr="00916426">
              <w:rPr>
                <w:rFonts w:asciiTheme="minorHAnsi" w:eastAsia="Times New Roman" w:hAnsiTheme="minorHAnsi" w:cstheme="minorHAnsi"/>
                <w:sz w:val="16"/>
                <w:szCs w:val="16"/>
                <w:lang w:val="it-IT"/>
              </w:rPr>
              <w:t>Materijalna dobra i kulturno nasleđe</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C45E806" w14:textId="77777777" w:rsidR="00A13DA5" w:rsidRPr="00916426" w:rsidRDefault="00A13DA5" w:rsidP="0048184E">
            <w:pPr>
              <w:pStyle w:val="NoSpacing"/>
              <w:rPr>
                <w:rFonts w:asciiTheme="minorHAnsi" w:eastAsia="Times New Roman" w:hAnsiTheme="minorHAnsi" w:cstheme="minorHAnsi"/>
                <w:sz w:val="16"/>
                <w:szCs w:val="16"/>
              </w:rPr>
            </w:pPr>
            <w:r w:rsidRPr="00916426">
              <w:rPr>
                <w:rFonts w:asciiTheme="minorHAnsi" w:eastAsia="Times New Roman" w:hAnsiTheme="minorHAnsi" w:cstheme="minorHAnsi"/>
                <w:sz w:val="16"/>
                <w:szCs w:val="16"/>
              </w:rPr>
              <w:t>Proizvodni procesi i tehnologije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0E30CBE" w14:textId="77777777" w:rsidR="00A13DA5" w:rsidRPr="00916426" w:rsidRDefault="00A13DA5" w:rsidP="0048184E">
            <w:pPr>
              <w:pStyle w:val="NoSpacing"/>
              <w:rPr>
                <w:rFonts w:asciiTheme="minorHAnsi" w:eastAsia="Times New Roman" w:hAnsiTheme="minorHAnsi" w:cstheme="minorHAnsi"/>
                <w:sz w:val="16"/>
                <w:szCs w:val="16"/>
                <w:lang w:val="it-IT"/>
              </w:rPr>
            </w:pPr>
            <w:r w:rsidRPr="00916426">
              <w:rPr>
                <w:rFonts w:asciiTheme="minorHAnsi" w:hAnsiTheme="minorHAnsi" w:cstheme="minorHAnsi"/>
                <w:sz w:val="16"/>
                <w:szCs w:val="16"/>
                <w:lang w:val="sr-Latn-ME"/>
              </w:rPr>
              <w:t>Način isporuke usluga i dobara</w:t>
            </w:r>
          </w:p>
        </w:tc>
      </w:tr>
      <w:tr w:rsidR="00A13DA5" w:rsidRPr="0048184E" w14:paraId="0D76FEBA" w14:textId="77777777" w:rsidTr="008500FB">
        <w:trPr>
          <w:trHeight w:val="274"/>
          <w:jc w:val="center"/>
        </w:trPr>
        <w:tc>
          <w:tcPr>
            <w:tcW w:w="1980" w:type="dxa"/>
            <w:vMerge/>
            <w:tcBorders>
              <w:left w:val="single" w:sz="4" w:space="0" w:color="808080"/>
              <w:bottom w:val="single" w:sz="4" w:space="0" w:color="808080"/>
              <w:right w:val="single" w:sz="4" w:space="0" w:color="808080"/>
            </w:tcBorders>
            <w:shd w:val="clear" w:color="auto" w:fill="auto"/>
          </w:tcPr>
          <w:p w14:paraId="0D1098EA" w14:textId="77777777" w:rsidR="00A13DA5" w:rsidRPr="0048184E" w:rsidRDefault="00A13DA5" w:rsidP="0048184E">
            <w:pPr>
              <w:pStyle w:val="NoSpacing"/>
              <w:rPr>
                <w:rFonts w:asciiTheme="minorHAnsi" w:hAnsiTheme="minorHAnsi" w:cstheme="minorHAnsi"/>
                <w:sz w:val="18"/>
                <w:szCs w:val="18"/>
                <w:lang w:val="sr-Latn-ME"/>
              </w:rPr>
            </w:pPr>
          </w:p>
        </w:tc>
        <w:tc>
          <w:tcPr>
            <w:tcW w:w="1404" w:type="dxa"/>
            <w:tcBorders>
              <w:top w:val="single" w:sz="4" w:space="0" w:color="808080"/>
              <w:left w:val="single" w:sz="4" w:space="0" w:color="808080"/>
              <w:bottom w:val="single" w:sz="4" w:space="0" w:color="808080"/>
              <w:right w:val="single" w:sz="4" w:space="0" w:color="808080"/>
            </w:tcBorders>
            <w:shd w:val="clear" w:color="auto" w:fill="FFFFFF"/>
          </w:tcPr>
          <w:p w14:paraId="50C70879"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7E9CDE06" w14:textId="77777777" w:rsidR="00A13DA5" w:rsidRPr="0048184E" w:rsidRDefault="00A13DA5" w:rsidP="0048184E">
            <w:pPr>
              <w:pStyle w:val="NoSpacing"/>
              <w:jc w:val="center"/>
              <w:rPr>
                <w:rFonts w:asciiTheme="minorHAnsi" w:hAnsiTheme="minorHAnsi" w:cstheme="minorHAnsi"/>
                <w:sz w:val="18"/>
                <w:szCs w:val="18"/>
                <w:lang w:val="sr-Latn-ME"/>
              </w:rPr>
            </w:pPr>
            <w:r w:rsidRPr="0048184E">
              <w:rPr>
                <w:rFonts w:asciiTheme="minorHAnsi" w:hAnsiTheme="minorHAnsi" w:cstheme="minorHAnsi"/>
                <w:sz w:val="18"/>
                <w:szCs w:val="18"/>
                <w:lang w:val="sr-Latn-ME"/>
              </w:rPr>
              <w: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62FE84BD"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9372A8A"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467CED8"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r>
    </w:tbl>
    <w:p w14:paraId="2916D946" w14:textId="77777777" w:rsidR="008926EF" w:rsidRPr="0048184E" w:rsidRDefault="008926EF" w:rsidP="0048184E">
      <w:pPr>
        <w:pStyle w:val="NoSpacing"/>
        <w:rPr>
          <w:rFonts w:asciiTheme="minorHAnsi" w:hAnsiTheme="minorHAnsi" w:cstheme="minorHAnsi"/>
          <w:b/>
          <w:sz w:val="18"/>
          <w:szCs w:val="18"/>
          <w:lang w:val="sr-Latn-ME"/>
        </w:rPr>
      </w:pPr>
    </w:p>
    <w:p w14:paraId="6C9A12A4" w14:textId="77777777" w:rsidR="00A13DA5" w:rsidRPr="00726BE7" w:rsidRDefault="00A13DA5" w:rsidP="0048184E">
      <w:pPr>
        <w:pStyle w:val="Heading21"/>
        <w:numPr>
          <w:ilvl w:val="1"/>
          <w:numId w:val="28"/>
        </w:numPr>
        <w:spacing w:before="0"/>
        <w:rPr>
          <w:color w:val="4472C4" w:themeColor="accent5"/>
          <w:szCs w:val="22"/>
          <w:lang w:val="sr-Latn-ME"/>
        </w:rPr>
      </w:pPr>
      <w:bookmarkStart w:id="59" w:name="_Toc205215852"/>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2.3. </w:t>
      </w:r>
      <w:r w:rsidRPr="00726BE7">
        <w:rPr>
          <w:color w:val="4472C4" w:themeColor="accent5"/>
          <w:szCs w:val="22"/>
        </w:rPr>
        <w:t>Pove</w:t>
      </w:r>
      <w:r w:rsidRPr="00726BE7">
        <w:rPr>
          <w:color w:val="4472C4" w:themeColor="accent5"/>
          <w:szCs w:val="22"/>
          <w:lang w:val="sr-Latn-ME"/>
        </w:rPr>
        <w:t>ć</w:t>
      </w:r>
      <w:r w:rsidRPr="00726BE7">
        <w:rPr>
          <w:color w:val="4472C4" w:themeColor="accent5"/>
          <w:szCs w:val="22"/>
        </w:rPr>
        <w:t>anje</w:t>
      </w:r>
      <w:r w:rsidRPr="00726BE7">
        <w:rPr>
          <w:color w:val="4472C4" w:themeColor="accent5"/>
          <w:szCs w:val="22"/>
          <w:lang w:val="sr-Latn-ME"/>
        </w:rPr>
        <w:t xml:space="preserve"> </w:t>
      </w:r>
      <w:r w:rsidRPr="00726BE7">
        <w:rPr>
          <w:color w:val="4472C4" w:themeColor="accent5"/>
          <w:szCs w:val="22"/>
        </w:rPr>
        <w:t>efikasnosti</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u</w:t>
      </w:r>
      <w:r w:rsidRPr="00726BE7">
        <w:rPr>
          <w:color w:val="4472C4" w:themeColor="accent5"/>
          <w:szCs w:val="22"/>
          <w:lang w:val="sr-Latn-ME"/>
        </w:rPr>
        <w:t>č</w:t>
      </w:r>
      <w:r w:rsidRPr="00726BE7">
        <w:rPr>
          <w:color w:val="4472C4" w:themeColor="accent5"/>
          <w:szCs w:val="22"/>
        </w:rPr>
        <w:t>inkovitosti</w:t>
      </w:r>
      <w:r w:rsidRPr="00726BE7">
        <w:rPr>
          <w:color w:val="4472C4" w:themeColor="accent5"/>
          <w:szCs w:val="22"/>
          <w:lang w:val="sr-Latn-ME"/>
        </w:rPr>
        <w:t xml:space="preserve"> </w:t>
      </w:r>
      <w:r w:rsidRPr="00726BE7">
        <w:rPr>
          <w:color w:val="4472C4" w:themeColor="accent5"/>
          <w:szCs w:val="22"/>
        </w:rPr>
        <w:t>populacione</w:t>
      </w:r>
      <w:r w:rsidRPr="00726BE7">
        <w:rPr>
          <w:color w:val="4472C4" w:themeColor="accent5"/>
          <w:szCs w:val="22"/>
          <w:lang w:val="sr-Latn-ME"/>
        </w:rPr>
        <w:t xml:space="preserve"> </w:t>
      </w:r>
      <w:r w:rsidRPr="00726BE7">
        <w:rPr>
          <w:color w:val="4472C4" w:themeColor="accent5"/>
          <w:szCs w:val="22"/>
        </w:rPr>
        <w:t>politike</w:t>
      </w:r>
      <w:bookmarkEnd w:id="59"/>
    </w:p>
    <w:p w14:paraId="6DCA10F7" w14:textId="77777777" w:rsidR="00A13DA5" w:rsidRPr="00726BE7" w:rsidRDefault="00A13DA5" w:rsidP="0048184E">
      <w:pPr>
        <w:pStyle w:val="Heading21"/>
        <w:spacing w:before="0"/>
        <w:rPr>
          <w:color w:val="4472C4" w:themeColor="accent5"/>
          <w:szCs w:val="22"/>
          <w:lang w:val="sr-Latn-ME"/>
        </w:rPr>
      </w:pPr>
    </w:p>
    <w:p w14:paraId="7BF9C971"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sz w:val="18"/>
          <w:szCs w:val="18"/>
          <w:lang w:val="hr-BA"/>
        </w:rPr>
        <w:t>Sjeverni region karakteriše</w:t>
      </w:r>
      <w:r w:rsidR="00F81906">
        <w:rPr>
          <w:rFonts w:asciiTheme="minorHAnsi" w:hAnsiTheme="minorHAnsi" w:cstheme="minorHAnsi"/>
          <w:sz w:val="18"/>
          <w:szCs w:val="18"/>
          <w:lang w:val="hr-BA"/>
        </w:rPr>
        <w:t xml:space="preserve"> negativan prirodni priraštaj i</w:t>
      </w:r>
      <w:r w:rsidRPr="0048184E">
        <w:rPr>
          <w:rFonts w:asciiTheme="minorHAnsi" w:hAnsiTheme="minorHAnsi" w:cstheme="minorHAnsi"/>
          <w:sz w:val="18"/>
          <w:szCs w:val="18"/>
          <w:lang w:val="hr-BA"/>
        </w:rPr>
        <w:t xml:space="preserve"> starenje stanovništva, odnosno veće učešće starijih generacija, i manje učešće mladih u ukupnoj populaciji. Kako su uzrok toga smanjena stopa fertiliteta, i povećana stopa mortaliteta, kao i migracije, prepoznata je neophodnost za donošenje strateškog okvira za pronatalitetnu populacionu politiku, sa posebnim mjerama i aktivnostima za Sjeverni region. Naime, navedeni strateški okvir treba da predloži i zakonski i institucionalni okvir za proaktivniju populacionu politiku. Da bi se zaustavio negativan prirodni priraštaj na Sjeveru, kao i negativan migracioni saldo, poželjno je kombinovati mjere politike obrazovanja, socijalne i zdravstvene zaštite, sa paketom mjera u oblasti poreske politike i unaprjeđenja poslovnog ambijenta, podsticaja za otvaranje novih radnih mjesta, dodatnih subvencija i poreskih olakšica za porodice sa djecom na Sjeveru, i sl. U tom kontekstu su sve mjere sa subvencijama za poršku MMSP i poljoprivrednicima na Sjeveru, u funkciji ublažavanja migracija stanovništva i pozitivnog prirodnog priraštaja na Sjeveru. Dosadašnje poreske olakšice koje uključuju nižu poresku stopu poreza na osnovnu nepokretnosti u većini JLS Sjevera, kao i poreski odbitak po članu domaćinstva na prvu stečenu nepokretnost domaćinstva, su mjere koje se jednako primjenjuju na čitavoj teritoriji zemlje. Stoga je neophodno da JLS na Sjeveru sagledaju mogućnosti revidiranja poreske stope na osnovnu nepokretnost.</w:t>
      </w:r>
    </w:p>
    <w:p w14:paraId="38B1DBAD" w14:textId="77777777" w:rsidR="00A13DA5" w:rsidRPr="0048184E" w:rsidRDefault="00A13DA5" w:rsidP="0048184E">
      <w:pPr>
        <w:pStyle w:val="NoSpacing"/>
        <w:jc w:val="both"/>
        <w:rPr>
          <w:rFonts w:asciiTheme="minorHAnsi" w:hAnsiTheme="minorHAnsi" w:cstheme="minorHAnsi"/>
          <w:sz w:val="18"/>
          <w:szCs w:val="18"/>
          <w:lang w:val="hr-BA"/>
        </w:rPr>
      </w:pPr>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393"/>
        <w:gridCol w:w="2134"/>
        <w:gridCol w:w="1153"/>
        <w:gridCol w:w="1710"/>
        <w:gridCol w:w="1260"/>
        <w:gridCol w:w="1350"/>
      </w:tblGrid>
      <w:tr w:rsidR="00A13DA5" w:rsidRPr="002A2822" w14:paraId="0A8C7042" w14:textId="77777777" w:rsidTr="000E0C08">
        <w:trPr>
          <w:trHeight w:val="386"/>
        </w:trPr>
        <w:tc>
          <w:tcPr>
            <w:tcW w:w="3527" w:type="dxa"/>
            <w:gridSpan w:val="2"/>
            <w:shd w:val="clear" w:color="auto" w:fill="D9E2F3"/>
          </w:tcPr>
          <w:p w14:paraId="1A455DC8" w14:textId="77777777" w:rsidR="00A13DA5" w:rsidRPr="000E0C08" w:rsidRDefault="00A13DA5" w:rsidP="0048184E">
            <w:pPr>
              <w:pStyle w:val="NoSpacing"/>
              <w:rPr>
                <w:rFonts w:asciiTheme="minorHAnsi" w:hAnsiTheme="minorHAnsi" w:cstheme="minorHAnsi"/>
                <w:b/>
                <w:sz w:val="16"/>
                <w:szCs w:val="16"/>
                <w:lang w:val="sr-Latn-ME"/>
              </w:rPr>
            </w:pPr>
            <w:r w:rsidRPr="000E0C08">
              <w:rPr>
                <w:rFonts w:asciiTheme="minorHAnsi" w:hAnsiTheme="minorHAnsi" w:cstheme="minorHAnsi"/>
                <w:b/>
                <w:sz w:val="16"/>
                <w:szCs w:val="16"/>
                <w:lang w:val="sr-Latn-ME"/>
              </w:rPr>
              <w:t>Operativni cilj 2.3.</w:t>
            </w:r>
          </w:p>
        </w:tc>
        <w:tc>
          <w:tcPr>
            <w:tcW w:w="5473" w:type="dxa"/>
            <w:gridSpan w:val="4"/>
            <w:shd w:val="clear" w:color="auto" w:fill="D9E2F3"/>
          </w:tcPr>
          <w:p w14:paraId="722B84A4" w14:textId="77777777" w:rsidR="00A13DA5" w:rsidRPr="000E0C08" w:rsidRDefault="00A13DA5" w:rsidP="0048184E">
            <w:pPr>
              <w:pStyle w:val="NoSpacing"/>
              <w:rPr>
                <w:rFonts w:asciiTheme="minorHAnsi" w:hAnsiTheme="minorHAnsi" w:cstheme="minorHAnsi"/>
                <w:b/>
                <w:sz w:val="16"/>
                <w:szCs w:val="16"/>
                <w:lang w:val="sr-Latn-ME"/>
              </w:rPr>
            </w:pPr>
            <w:r w:rsidRPr="000E0C08">
              <w:rPr>
                <w:rFonts w:asciiTheme="minorHAnsi" w:hAnsiTheme="minorHAnsi" w:cstheme="minorHAnsi"/>
                <w:b/>
                <w:sz w:val="16"/>
                <w:szCs w:val="16"/>
                <w:lang w:val="hr-BA"/>
              </w:rPr>
              <w:t>Povećanje efikasnosti i učinkovitosti populacione politike</w:t>
            </w:r>
          </w:p>
        </w:tc>
      </w:tr>
      <w:tr w:rsidR="00A13DA5" w:rsidRPr="0048184E" w14:paraId="1887572D" w14:textId="77777777" w:rsidTr="000E0C08">
        <w:trPr>
          <w:trHeight w:val="386"/>
        </w:trPr>
        <w:tc>
          <w:tcPr>
            <w:tcW w:w="1393" w:type="dxa"/>
            <w:shd w:val="clear" w:color="auto" w:fill="auto"/>
          </w:tcPr>
          <w:p w14:paraId="48BB3E03" w14:textId="77777777" w:rsidR="00A13DA5" w:rsidRPr="000E0C08" w:rsidRDefault="00A13DA5" w:rsidP="0048184E">
            <w:pPr>
              <w:pStyle w:val="NoSpacing"/>
              <w:rPr>
                <w:rFonts w:asciiTheme="minorHAnsi" w:hAnsiTheme="minorHAnsi" w:cstheme="minorHAnsi"/>
                <w:sz w:val="16"/>
                <w:szCs w:val="16"/>
                <w:lang w:val="sr-Latn-ME"/>
              </w:rPr>
            </w:pPr>
            <w:bookmarkStart w:id="60" w:name="_Hlk138044764"/>
            <w:r w:rsidRPr="000E0C08">
              <w:rPr>
                <w:rFonts w:asciiTheme="minorHAnsi" w:hAnsiTheme="minorHAnsi" w:cstheme="minorHAnsi"/>
                <w:sz w:val="16"/>
                <w:szCs w:val="16"/>
                <w:lang w:val="sr-Latn-ME"/>
              </w:rPr>
              <w:t>Povećan broj stanovnika do 15 godina starosti</w:t>
            </w:r>
          </w:p>
        </w:tc>
        <w:tc>
          <w:tcPr>
            <w:tcW w:w="2134" w:type="dxa"/>
            <w:shd w:val="clear" w:color="auto" w:fill="auto"/>
          </w:tcPr>
          <w:p w14:paraId="5246CF1B"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Učešće mlađih od 15 godina u ukupnom stanovništvu (%)</w:t>
            </w:r>
          </w:p>
        </w:tc>
        <w:tc>
          <w:tcPr>
            <w:tcW w:w="1153" w:type="dxa"/>
            <w:shd w:val="clear" w:color="auto" w:fill="FFFFFF"/>
          </w:tcPr>
          <w:p w14:paraId="01842CBC"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Monstat, ARS</w:t>
            </w:r>
          </w:p>
        </w:tc>
        <w:tc>
          <w:tcPr>
            <w:tcW w:w="1710" w:type="dxa"/>
            <w:shd w:val="clear" w:color="auto" w:fill="auto"/>
          </w:tcPr>
          <w:p w14:paraId="46B4C751"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Sjeverni region: 19,4</w:t>
            </w:r>
          </w:p>
          <w:p w14:paraId="204F4FE9"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Središnji region: 18,7</w:t>
            </w:r>
          </w:p>
          <w:p w14:paraId="1DB968A6"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Primorski region: 16,8</w:t>
            </w:r>
          </w:p>
        </w:tc>
        <w:tc>
          <w:tcPr>
            <w:tcW w:w="1260" w:type="dxa"/>
            <w:shd w:val="clear" w:color="auto" w:fill="auto"/>
          </w:tcPr>
          <w:p w14:paraId="6CF07B53"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Sjeverni region: 19,6</w:t>
            </w:r>
          </w:p>
          <w:p w14:paraId="60B802E1"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Središnji region: 19</w:t>
            </w:r>
          </w:p>
          <w:p w14:paraId="0E5368F4"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Primorski region: 17,1</w:t>
            </w:r>
          </w:p>
        </w:tc>
        <w:tc>
          <w:tcPr>
            <w:tcW w:w="1350" w:type="dxa"/>
            <w:shd w:val="clear" w:color="auto" w:fill="auto"/>
          </w:tcPr>
          <w:p w14:paraId="30EE0BBE"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Sjeverni region: 19,8</w:t>
            </w:r>
          </w:p>
          <w:p w14:paraId="37454D38"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Središnji region: 19,2</w:t>
            </w:r>
          </w:p>
          <w:p w14:paraId="78B024F9"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Primorski region: 17,4</w:t>
            </w:r>
          </w:p>
        </w:tc>
      </w:tr>
      <w:tr w:rsidR="00A13DA5" w:rsidRPr="0048184E" w14:paraId="41F7108B" w14:textId="77777777" w:rsidTr="000E0C08">
        <w:trPr>
          <w:trHeight w:val="386"/>
        </w:trPr>
        <w:tc>
          <w:tcPr>
            <w:tcW w:w="1393" w:type="dxa"/>
            <w:shd w:val="clear" w:color="auto" w:fill="auto"/>
          </w:tcPr>
          <w:p w14:paraId="1B28106C"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Povećana zaposlenost mladih</w:t>
            </w:r>
          </w:p>
        </w:tc>
        <w:tc>
          <w:tcPr>
            <w:tcW w:w="2134" w:type="dxa"/>
            <w:shd w:val="clear" w:color="auto" w:fill="auto"/>
          </w:tcPr>
          <w:p w14:paraId="6B0AC61D" w14:textId="77777777" w:rsidR="00A13DA5" w:rsidRPr="000E0C08" w:rsidRDefault="00A13DA5" w:rsidP="0048184E">
            <w:pPr>
              <w:pStyle w:val="NoSpacing"/>
              <w:rPr>
                <w:rFonts w:asciiTheme="minorHAnsi" w:hAnsiTheme="minorHAnsi" w:cstheme="minorHAnsi"/>
                <w:bCs/>
                <w:iCs/>
                <w:sz w:val="16"/>
                <w:szCs w:val="16"/>
                <w:lang w:val="hr-BA"/>
              </w:rPr>
            </w:pPr>
            <w:r w:rsidRPr="000E0C08">
              <w:rPr>
                <w:rFonts w:asciiTheme="minorHAnsi" w:hAnsiTheme="minorHAnsi" w:cstheme="minorHAnsi"/>
                <w:bCs/>
                <w:iCs/>
                <w:sz w:val="16"/>
                <w:szCs w:val="16"/>
                <w:lang w:val="hr-BA"/>
              </w:rPr>
              <w:t>% zaposlenih starosti 15-24 godine u Crnoj Gori</w:t>
            </w:r>
          </w:p>
        </w:tc>
        <w:tc>
          <w:tcPr>
            <w:tcW w:w="1153" w:type="dxa"/>
            <w:shd w:val="clear" w:color="auto" w:fill="FFFFFF"/>
          </w:tcPr>
          <w:p w14:paraId="175F404C"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Monstat, ARS</w:t>
            </w:r>
          </w:p>
        </w:tc>
        <w:tc>
          <w:tcPr>
            <w:tcW w:w="1710" w:type="dxa"/>
            <w:shd w:val="clear" w:color="auto" w:fill="auto"/>
          </w:tcPr>
          <w:p w14:paraId="3C325D88"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9,4</w:t>
            </w:r>
          </w:p>
        </w:tc>
        <w:tc>
          <w:tcPr>
            <w:tcW w:w="1260" w:type="dxa"/>
            <w:shd w:val="clear" w:color="auto" w:fill="auto"/>
          </w:tcPr>
          <w:p w14:paraId="733AED8A" w14:textId="5BF992E2" w:rsidR="00A13DA5" w:rsidRPr="00B61449" w:rsidRDefault="00B61449" w:rsidP="0048184E">
            <w:pPr>
              <w:pStyle w:val="NoSpacing"/>
              <w:rPr>
                <w:rFonts w:asciiTheme="minorHAnsi" w:hAnsiTheme="minorHAnsi" w:cstheme="minorHAnsi"/>
                <w:sz w:val="16"/>
                <w:szCs w:val="16"/>
                <w:lang w:val="sr-Latn-ME"/>
              </w:rPr>
            </w:pPr>
            <w:r w:rsidRPr="00B61449">
              <w:rPr>
                <w:rFonts w:asciiTheme="minorHAnsi" w:hAnsiTheme="minorHAnsi" w:cstheme="minorHAnsi"/>
                <w:sz w:val="16"/>
                <w:szCs w:val="16"/>
                <w:lang w:val="sr-Latn-ME"/>
              </w:rPr>
              <w:t xml:space="preserve">12 </w:t>
            </w:r>
          </w:p>
        </w:tc>
        <w:tc>
          <w:tcPr>
            <w:tcW w:w="1350" w:type="dxa"/>
            <w:shd w:val="clear" w:color="auto" w:fill="auto"/>
          </w:tcPr>
          <w:p w14:paraId="36B7BDBF" w14:textId="34D147F8" w:rsidR="00A13DA5" w:rsidRPr="00B61449" w:rsidRDefault="00B61449" w:rsidP="0048184E">
            <w:pPr>
              <w:pStyle w:val="NoSpacing"/>
              <w:rPr>
                <w:rFonts w:asciiTheme="minorHAnsi" w:hAnsiTheme="minorHAnsi" w:cstheme="minorHAnsi"/>
                <w:sz w:val="16"/>
                <w:szCs w:val="16"/>
                <w:lang w:val="sr-Latn-ME"/>
              </w:rPr>
            </w:pPr>
            <w:r w:rsidRPr="00B61449">
              <w:rPr>
                <w:rFonts w:asciiTheme="minorHAnsi" w:hAnsiTheme="minorHAnsi" w:cstheme="minorHAnsi"/>
                <w:sz w:val="16"/>
                <w:szCs w:val="16"/>
                <w:lang w:val="sr-Latn-ME"/>
              </w:rPr>
              <w:t>13</w:t>
            </w:r>
          </w:p>
        </w:tc>
      </w:tr>
      <w:bookmarkEnd w:id="60"/>
      <w:tr w:rsidR="00A13DA5" w:rsidRPr="002A2822" w14:paraId="3B527850" w14:textId="77777777" w:rsidTr="000E0C08">
        <w:trPr>
          <w:trHeight w:val="274"/>
        </w:trPr>
        <w:tc>
          <w:tcPr>
            <w:tcW w:w="1393" w:type="dxa"/>
            <w:vMerge w:val="restart"/>
            <w:tcBorders>
              <w:top w:val="single" w:sz="4" w:space="0" w:color="808080"/>
              <w:left w:val="single" w:sz="4" w:space="0" w:color="808080"/>
              <w:right w:val="single" w:sz="4" w:space="0" w:color="808080"/>
            </w:tcBorders>
            <w:shd w:val="clear" w:color="auto" w:fill="auto"/>
          </w:tcPr>
          <w:p w14:paraId="3E427B43"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Potencijalni uticaj na životnu sredinu</w:t>
            </w:r>
          </w:p>
        </w:tc>
        <w:tc>
          <w:tcPr>
            <w:tcW w:w="2134" w:type="dxa"/>
            <w:tcBorders>
              <w:top w:val="single" w:sz="4" w:space="0" w:color="808080"/>
              <w:left w:val="single" w:sz="4" w:space="0" w:color="808080"/>
              <w:bottom w:val="single" w:sz="4" w:space="0" w:color="808080"/>
              <w:right w:val="single" w:sz="4" w:space="0" w:color="808080"/>
            </w:tcBorders>
            <w:shd w:val="clear" w:color="auto" w:fill="FFFFFF"/>
          </w:tcPr>
          <w:p w14:paraId="177FA038" w14:textId="77777777" w:rsidR="00A13DA5" w:rsidRPr="000E0C08" w:rsidRDefault="00A13DA5" w:rsidP="0048184E">
            <w:pPr>
              <w:pStyle w:val="NoSpacing"/>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Stanovništvo i zdravlje</w:t>
            </w:r>
          </w:p>
        </w:tc>
        <w:tc>
          <w:tcPr>
            <w:tcW w:w="1153" w:type="dxa"/>
            <w:tcBorders>
              <w:top w:val="single" w:sz="4" w:space="0" w:color="808080"/>
              <w:left w:val="single" w:sz="4" w:space="0" w:color="808080"/>
              <w:bottom w:val="single" w:sz="4" w:space="0" w:color="808080"/>
              <w:right w:val="single" w:sz="4" w:space="0" w:color="808080"/>
            </w:tcBorders>
            <w:shd w:val="clear" w:color="auto" w:fill="FFFFFF"/>
          </w:tcPr>
          <w:p w14:paraId="163246E2"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Prirodni resursi i biodiverzitet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21D60AF8" w14:textId="77777777" w:rsidR="00A13DA5" w:rsidRPr="000E0C08" w:rsidRDefault="00A13DA5" w:rsidP="0048184E">
            <w:pPr>
              <w:pStyle w:val="NoSpacing"/>
              <w:rPr>
                <w:rFonts w:asciiTheme="minorHAnsi" w:eastAsia="Times New Roman" w:hAnsiTheme="minorHAnsi" w:cstheme="minorHAnsi"/>
                <w:sz w:val="16"/>
                <w:szCs w:val="16"/>
                <w:lang w:val="it-IT"/>
              </w:rPr>
            </w:pPr>
            <w:r w:rsidRPr="000E0C08">
              <w:rPr>
                <w:rFonts w:asciiTheme="minorHAnsi" w:eastAsia="Times New Roman" w:hAnsiTheme="minorHAnsi" w:cstheme="minorHAnsi"/>
                <w:sz w:val="16"/>
                <w:szCs w:val="16"/>
                <w:lang w:val="it-IT"/>
              </w:rPr>
              <w:t>Materijalna dobra i kulturno nasleđe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2B6F8EC8" w14:textId="77777777" w:rsidR="00A13DA5" w:rsidRPr="000E0C08" w:rsidRDefault="00A13DA5" w:rsidP="0048184E">
            <w:pPr>
              <w:pStyle w:val="NoSpacing"/>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Proizvodni procesi i tehnologije</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71C55B74" w14:textId="77777777" w:rsidR="00A13DA5" w:rsidRPr="000E0C08" w:rsidRDefault="00A13DA5" w:rsidP="0048184E">
            <w:pPr>
              <w:pStyle w:val="NoSpacing"/>
              <w:rPr>
                <w:rFonts w:asciiTheme="minorHAnsi" w:eastAsia="Times New Roman" w:hAnsiTheme="minorHAnsi" w:cstheme="minorHAnsi"/>
                <w:sz w:val="16"/>
                <w:szCs w:val="16"/>
                <w:lang w:val="it-IT"/>
              </w:rPr>
            </w:pPr>
            <w:r w:rsidRPr="000E0C08">
              <w:rPr>
                <w:rFonts w:asciiTheme="minorHAnsi" w:hAnsiTheme="minorHAnsi" w:cstheme="minorHAnsi"/>
                <w:sz w:val="16"/>
                <w:szCs w:val="16"/>
                <w:lang w:val="sr-Latn-ME"/>
              </w:rPr>
              <w:t>Način isporuke usluga i dobara</w:t>
            </w:r>
          </w:p>
        </w:tc>
      </w:tr>
      <w:tr w:rsidR="00A13DA5" w:rsidRPr="0048184E" w14:paraId="315F737A" w14:textId="77777777" w:rsidTr="000E0C08">
        <w:trPr>
          <w:trHeight w:val="274"/>
        </w:trPr>
        <w:tc>
          <w:tcPr>
            <w:tcW w:w="1393" w:type="dxa"/>
            <w:vMerge/>
            <w:tcBorders>
              <w:left w:val="single" w:sz="4" w:space="0" w:color="808080"/>
              <w:bottom w:val="single" w:sz="4" w:space="0" w:color="808080"/>
              <w:right w:val="single" w:sz="4" w:space="0" w:color="808080"/>
            </w:tcBorders>
            <w:shd w:val="clear" w:color="auto" w:fill="auto"/>
          </w:tcPr>
          <w:p w14:paraId="65DE629C" w14:textId="77777777" w:rsidR="00A13DA5" w:rsidRPr="000E0C08" w:rsidRDefault="00A13DA5" w:rsidP="0048184E">
            <w:pPr>
              <w:pStyle w:val="NoSpacing"/>
              <w:rPr>
                <w:rFonts w:asciiTheme="minorHAnsi" w:hAnsiTheme="minorHAnsi" w:cstheme="minorHAnsi"/>
                <w:sz w:val="16"/>
                <w:szCs w:val="16"/>
                <w:lang w:val="sr-Latn-ME"/>
              </w:rPr>
            </w:pPr>
          </w:p>
        </w:tc>
        <w:tc>
          <w:tcPr>
            <w:tcW w:w="2134" w:type="dxa"/>
            <w:tcBorders>
              <w:top w:val="single" w:sz="4" w:space="0" w:color="808080"/>
              <w:left w:val="single" w:sz="4" w:space="0" w:color="808080"/>
              <w:bottom w:val="single" w:sz="4" w:space="0" w:color="808080"/>
              <w:right w:val="single" w:sz="4" w:space="0" w:color="808080"/>
            </w:tcBorders>
            <w:shd w:val="clear" w:color="auto" w:fill="FFFFFF"/>
          </w:tcPr>
          <w:p w14:paraId="1F79FACD"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c>
          <w:tcPr>
            <w:tcW w:w="1153" w:type="dxa"/>
            <w:tcBorders>
              <w:top w:val="single" w:sz="4" w:space="0" w:color="808080"/>
              <w:left w:val="single" w:sz="4" w:space="0" w:color="808080"/>
              <w:bottom w:val="single" w:sz="4" w:space="0" w:color="808080"/>
              <w:right w:val="single" w:sz="4" w:space="0" w:color="808080"/>
            </w:tcBorders>
            <w:shd w:val="clear" w:color="auto" w:fill="FFFFFF"/>
          </w:tcPr>
          <w:p w14:paraId="2597552E" w14:textId="77777777" w:rsidR="00A13DA5" w:rsidRPr="000E0C08" w:rsidRDefault="00A13DA5" w:rsidP="0048184E">
            <w:pPr>
              <w:pStyle w:val="NoSpacing"/>
              <w:jc w:val="center"/>
              <w:rPr>
                <w:rFonts w:asciiTheme="minorHAnsi" w:hAnsiTheme="minorHAnsi" w:cstheme="minorHAnsi"/>
                <w:sz w:val="16"/>
                <w:szCs w:val="16"/>
                <w:lang w:val="sr-Latn-ME"/>
              </w:rPr>
            </w:pPr>
            <w:r w:rsidRPr="000E0C08">
              <w:rPr>
                <w:rFonts w:asciiTheme="minorHAnsi" w:hAnsiTheme="minorHAnsi" w:cstheme="minorHAnsi"/>
                <w:sz w:val="16"/>
                <w:szCs w:val="16"/>
                <w:lang w:val="sr-Latn-ME"/>
              </w:rPr>
              <w: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39AB7CDC"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02E1D1C7"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2C396835"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r>
    </w:tbl>
    <w:p w14:paraId="35DDDEF8" w14:textId="77777777" w:rsidR="00A13DA5" w:rsidRPr="0048184E" w:rsidRDefault="00A13DA5" w:rsidP="0048184E">
      <w:pPr>
        <w:pStyle w:val="NoSpacing"/>
        <w:jc w:val="both"/>
        <w:rPr>
          <w:rFonts w:asciiTheme="minorHAnsi" w:hAnsiTheme="minorHAnsi" w:cstheme="minorHAnsi"/>
          <w:b/>
          <w:sz w:val="18"/>
          <w:szCs w:val="18"/>
          <w:lang w:val="sr-Latn-ME"/>
        </w:rPr>
      </w:pPr>
    </w:p>
    <w:p w14:paraId="1BBFAD28" w14:textId="77777777" w:rsidR="00A13DA5" w:rsidRPr="0048184E" w:rsidRDefault="00A13DA5" w:rsidP="0048184E">
      <w:pPr>
        <w:pStyle w:val="NoSpacing"/>
        <w:jc w:val="both"/>
        <w:rPr>
          <w:rFonts w:asciiTheme="minorHAnsi" w:hAnsiTheme="minorHAnsi" w:cstheme="minorHAnsi"/>
          <w:b/>
          <w:sz w:val="18"/>
          <w:szCs w:val="18"/>
          <w:lang w:val="sr-Latn-ME"/>
        </w:rPr>
      </w:pPr>
    </w:p>
    <w:p w14:paraId="2362A1F0" w14:textId="77777777" w:rsidR="00A13DA5" w:rsidRPr="00726BE7" w:rsidRDefault="00A13DA5" w:rsidP="0048184E">
      <w:pPr>
        <w:pStyle w:val="Heading2"/>
        <w:numPr>
          <w:ilvl w:val="0"/>
          <w:numId w:val="28"/>
        </w:numPr>
        <w:spacing w:before="0" w:line="240" w:lineRule="auto"/>
        <w:jc w:val="both"/>
        <w:rPr>
          <w:rFonts w:asciiTheme="minorHAnsi" w:hAnsiTheme="minorHAnsi"/>
        </w:rPr>
      </w:pPr>
      <w:bookmarkStart w:id="61" w:name="_Toc205215853"/>
      <w:r w:rsidRPr="00726BE7">
        <w:rPr>
          <w:rFonts w:asciiTheme="minorHAnsi" w:hAnsiTheme="minorHAnsi"/>
        </w:rPr>
        <w:t>STRATEŠKI CILJ 3 (SC3) - Povećanje konkurentnosti regiona zasnovano na unaprjeđenju infrastrukture, poboljšanju poslovnog ambijenta i razvoj prioritetnih sektora i sektora sa potencijalom rasta</w:t>
      </w:r>
      <w:bookmarkEnd w:id="61"/>
    </w:p>
    <w:p w14:paraId="19EB35D4" w14:textId="77777777" w:rsidR="00A13DA5" w:rsidRPr="00726BE7" w:rsidRDefault="00A13DA5" w:rsidP="0048184E">
      <w:pPr>
        <w:pStyle w:val="NoSpacing"/>
        <w:jc w:val="both"/>
        <w:rPr>
          <w:rFonts w:asciiTheme="minorHAnsi" w:hAnsiTheme="minorHAnsi" w:cstheme="minorHAnsi"/>
          <w:b/>
          <w:color w:val="4472C4" w:themeColor="accent5"/>
          <w:sz w:val="26"/>
          <w:szCs w:val="26"/>
          <w:lang w:val="sr-Latn-ME"/>
        </w:rPr>
      </w:pPr>
    </w:p>
    <w:p w14:paraId="6F7CBDFC" w14:textId="77777777" w:rsidR="00A13DA5" w:rsidRPr="00F81906" w:rsidRDefault="00A13DA5" w:rsidP="00F81906">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Na osnovu analize trenutnog stanja i definisanih ključnih problema i izazova u razvoju </w:t>
      </w:r>
      <w:r w:rsidR="007665E1" w:rsidRPr="0048184E">
        <w:rPr>
          <w:rFonts w:asciiTheme="minorHAnsi" w:hAnsiTheme="minorHAnsi" w:cstheme="minorHAnsi"/>
          <w:sz w:val="18"/>
          <w:szCs w:val="18"/>
          <w:lang w:val="sr-Latn-ME"/>
        </w:rPr>
        <w:t>regiona tokom primjene</w:t>
      </w:r>
      <w:r w:rsidRPr="0048184E">
        <w:rPr>
          <w:rFonts w:asciiTheme="minorHAnsi" w:hAnsiTheme="minorHAnsi" w:cstheme="minorHAnsi"/>
          <w:sz w:val="18"/>
          <w:szCs w:val="18"/>
          <w:lang w:val="sr-Latn-ME"/>
        </w:rPr>
        <w:t xml:space="preserve"> SRR</w:t>
      </w:r>
      <w:r w:rsidR="007665E1"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moguće je zaključiti da posebno najveće opštine Središnjeg regiona, karakteriše veći stepen razvijenosti i veći stepen konkurentnosti n</w:t>
      </w:r>
      <w:r w:rsidR="00F81906">
        <w:rPr>
          <w:rFonts w:asciiTheme="minorHAnsi" w:hAnsiTheme="minorHAnsi" w:cstheme="minorHAnsi"/>
          <w:sz w:val="18"/>
          <w:szCs w:val="18"/>
          <w:lang w:val="sr-Latn-ME"/>
        </w:rPr>
        <w:t xml:space="preserve">ego konkretno opštine Sjevera.  </w:t>
      </w:r>
      <w:r w:rsidRPr="0048184E">
        <w:rPr>
          <w:rFonts w:cstheme="minorHAnsi"/>
          <w:sz w:val="18"/>
          <w:szCs w:val="18"/>
          <w:lang w:val="sr-Latn-ME"/>
        </w:rPr>
        <w:t xml:space="preserve">Iz ovog razloga, prepoznata je neophodnost za dalje unaprjeđenje putne i željezničke infrastrukture, što predstavlja jedan od ključnih preduslova ubrzanijeg razvoja regiona. </w:t>
      </w:r>
    </w:p>
    <w:p w14:paraId="1F9160B0"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Dodatno, jedan od ciljeva za naredni period implementacije SRR podrazumijeva dalje jačanje poslovne infrastrukture i raspoloživost različitih servisa koji su neophodni MMSP i preduzetnicima za osnivanje i funkcionisanje preduzeća. Navedeno će dalje doprinijeti i većoj automatizaciji u poslovanju, digitalizaciji u preduzeću kako bi se ojačali njihovi interni kapaciteti. U tome će od posebnog značaja biti podrška u vidu dodatnih poreskih olakšica i subvencija za otpočinjanje biznisa, modernizaciju proizvodnje, odnosno daljeg poboljšanja regulatornog okvira za veću konkurentnost privrede. Navedeno je posebno važno imajući u vidu da Crna Gora takođe raspolaže značajnim resursima za razvoj poljoprivrede, ribarstva i njihovo povezivanje sa turizmom, kao i značajnim potencijalima u oblasti kulture za povećanje dodate vrijednosti u turizmu. </w:t>
      </w:r>
    </w:p>
    <w:p w14:paraId="27370865"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Budući da konkretno Središnji region karakteriše postojanje nekadašnjih velikih industrijskih preduzeća u zemlji, prisutan je i niz specifičnosti i izazova za dalji razvoj u skladu sa ciljevima industrijske politike, odnosno dalje jačanje infrastrukture, koja će biti osnov za privlačenje investicija.</w:t>
      </w:r>
    </w:p>
    <w:p w14:paraId="0549D6F9" w14:textId="77777777" w:rsidR="00A13DA5" w:rsidRPr="0048184E" w:rsidRDefault="00A13DA5" w:rsidP="0048184E">
      <w:pPr>
        <w:pStyle w:val="NoSpacing"/>
        <w:jc w:val="both"/>
        <w:rPr>
          <w:rFonts w:asciiTheme="minorHAnsi" w:hAnsiTheme="minorHAnsi" w:cstheme="minorHAnsi"/>
          <w:sz w:val="18"/>
          <w:szCs w:val="18"/>
          <w:lang w:val="sr-Latn-ME"/>
        </w:rPr>
      </w:pPr>
    </w:p>
    <w:p w14:paraId="7CC8BE7C"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Jedan od izazova u zaštiti životne sredine je takođe zagađenost vazduha, pa je sprovođenje dodatnih mjera u tom pravcu prepoznato kao neophodnost na nivou cijele zemlje. Shodno tome, potrebno je preduzeti dalje mjere na rješavanju pitanja upravljanja otpadom i prečišćavanje otpadnih voda, kao i sprovođenju daljih refomi energetskog tržišta, koje će u velikoj mjeri zavisiti od povećanja proizvodnje iz obnovljivih izvora energije. </w:t>
      </w:r>
    </w:p>
    <w:p w14:paraId="3C408572" w14:textId="77777777" w:rsidR="00A13DA5" w:rsidRPr="0048184E" w:rsidRDefault="00A13DA5" w:rsidP="0048184E">
      <w:pPr>
        <w:pStyle w:val="NoSpacing"/>
        <w:jc w:val="both"/>
        <w:rPr>
          <w:rFonts w:asciiTheme="minorHAnsi" w:hAnsiTheme="minorHAnsi" w:cstheme="minorHAnsi"/>
          <w:sz w:val="18"/>
          <w:szCs w:val="18"/>
          <w:lang w:val="sr-Latn-ME"/>
        </w:rPr>
      </w:pPr>
    </w:p>
    <w:p w14:paraId="124C3D8F" w14:textId="77777777" w:rsidR="00C83896" w:rsidRPr="00EC22C7" w:rsidRDefault="00A13DA5" w:rsidP="00C83896">
      <w:pPr>
        <w:spacing w:after="120" w:line="240" w:lineRule="auto"/>
        <w:jc w:val="both"/>
        <w:rPr>
          <w:rFonts w:ascii="Calibri" w:eastAsia="Calibri" w:hAnsi="Calibri" w:cs="Calibri"/>
          <w:bCs/>
          <w:color w:val="000000"/>
          <w:sz w:val="18"/>
          <w:szCs w:val="18"/>
          <w:lang w:val="sr-Latn-CS" w:eastAsia="hr-HR"/>
        </w:rPr>
      </w:pPr>
      <w:r w:rsidRPr="00C83896">
        <w:rPr>
          <w:rFonts w:cstheme="minorHAnsi"/>
          <w:sz w:val="18"/>
          <w:szCs w:val="18"/>
          <w:lang w:val="sr-Latn-ME"/>
        </w:rPr>
        <w:t xml:space="preserve">Sjeverni region raspolaže ogromnim prirodnim resursima pogodnim za razvoj turizma koji su važni za povećanje konkurentnosti ovog regiona. </w:t>
      </w:r>
      <w:r w:rsidR="00C83896" w:rsidRPr="00C83896">
        <w:rPr>
          <w:rFonts w:ascii="Calibri" w:eastAsia="Calibri" w:hAnsi="Calibri" w:cs="Times New Roman"/>
          <w:sz w:val="18"/>
          <w:szCs w:val="18"/>
          <w:lang w:eastAsia="hr-HR"/>
        </w:rPr>
        <w:t>Sjeverni</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region</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je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destinacija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visokog</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nivoa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kvaliteta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do</w:t>
      </w:r>
      <w:r w:rsidR="00C83896" w:rsidRPr="00C83896">
        <w:rPr>
          <w:rFonts w:ascii="Calibri" w:eastAsia="Calibri" w:hAnsi="Calibri" w:cs="Times New Roman"/>
          <w:sz w:val="18"/>
          <w:szCs w:val="18"/>
          <w:lang w:val="sr-Latn-ME" w:eastAsia="hr-HR"/>
        </w:rPr>
        <w:t>ž</w:t>
      </w:r>
      <w:r w:rsidR="00C83896" w:rsidRPr="00C83896">
        <w:rPr>
          <w:rFonts w:ascii="Calibri" w:eastAsia="Calibri" w:hAnsi="Calibri" w:cs="Times New Roman"/>
          <w:sz w:val="18"/>
          <w:szCs w:val="18"/>
          <w:lang w:eastAsia="hr-HR"/>
        </w:rPr>
        <w:t>ivljaja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prirode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i</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ruralnog</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ambijenta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lastRenderedPageBreak/>
        <w:t>Crne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Gore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dostupnog</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tokom</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cijele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godine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kroz</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bogatstvo</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odr</w:t>
      </w:r>
      <w:r w:rsidR="00C83896" w:rsidRPr="00C83896">
        <w:rPr>
          <w:rFonts w:ascii="Calibri" w:eastAsia="Calibri" w:hAnsi="Calibri" w:cs="Times New Roman"/>
          <w:sz w:val="18"/>
          <w:szCs w:val="18"/>
          <w:lang w:val="sr-Latn-ME" w:eastAsia="hr-HR"/>
        </w:rPr>
        <w:t>ž</w:t>
      </w:r>
      <w:r w:rsidR="00C83896" w:rsidRPr="00C83896">
        <w:rPr>
          <w:rFonts w:ascii="Calibri" w:eastAsia="Calibri" w:hAnsi="Calibri" w:cs="Times New Roman"/>
          <w:sz w:val="18"/>
          <w:szCs w:val="18"/>
          <w:lang w:eastAsia="hr-HR"/>
        </w:rPr>
        <w:t>ivih</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turiti</w:t>
      </w:r>
      <w:r w:rsidR="00C83896" w:rsidRPr="00C83896">
        <w:rPr>
          <w:rFonts w:ascii="Calibri" w:eastAsia="Calibri" w:hAnsi="Calibri" w:cs="Times New Roman"/>
          <w:sz w:val="18"/>
          <w:szCs w:val="18"/>
          <w:lang w:val="sr-Latn-ME" w:eastAsia="hr-HR"/>
        </w:rPr>
        <w:t>č</w:t>
      </w:r>
      <w:r w:rsidR="00C83896" w:rsidRPr="00C83896">
        <w:rPr>
          <w:rFonts w:ascii="Calibri" w:eastAsia="Calibri" w:hAnsi="Calibri" w:cs="Times New Roman"/>
          <w:sz w:val="18"/>
          <w:szCs w:val="18"/>
          <w:lang w:eastAsia="hr-HR"/>
        </w:rPr>
        <w:t>kih</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proizvoda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i</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iskustava</w:t>
      </w:r>
      <w:r w:rsidR="00C83896" w:rsidRPr="00C83896">
        <w:rPr>
          <w:rStyle w:val="FootnoteReference"/>
          <w:rFonts w:ascii="Calibri" w:eastAsia="Calibri" w:hAnsi="Calibri" w:cs="Times New Roman"/>
          <w:sz w:val="18"/>
          <w:szCs w:val="18"/>
          <w:lang w:eastAsia="hr-HR"/>
        </w:rPr>
        <w:footnoteReference w:id="57"/>
      </w:r>
      <w:r w:rsidR="00C83896" w:rsidRPr="00C83896">
        <w:rPr>
          <w:rFonts w:eastAsia="Calibri" w:cs="Calibri Light"/>
          <w:sz w:val="18"/>
          <w:szCs w:val="18"/>
          <w:lang w:val="sr-Latn-ME"/>
        </w:rPr>
        <w:t xml:space="preserve">. </w:t>
      </w:r>
      <w:r w:rsidR="003C6BBC" w:rsidRPr="00C83896">
        <w:rPr>
          <w:rFonts w:eastAsia="Calibri" w:cs="Calibri Light"/>
          <w:sz w:val="18"/>
          <w:szCs w:val="18"/>
          <w:lang w:val="pl-PL"/>
        </w:rPr>
        <w:t>U</w:t>
      </w:r>
      <w:r w:rsidR="003C6BBC" w:rsidRPr="00C83896">
        <w:rPr>
          <w:rFonts w:eastAsia="Calibri" w:cs="Calibri Light"/>
          <w:sz w:val="18"/>
          <w:szCs w:val="18"/>
          <w:lang w:val="sr-Latn-ME"/>
        </w:rPr>
        <w:t xml:space="preserve"> </w:t>
      </w:r>
      <w:r w:rsidR="003C6BBC" w:rsidRPr="00C83896">
        <w:rPr>
          <w:rFonts w:eastAsia="Calibri" w:cs="Calibri Light"/>
          <w:sz w:val="18"/>
          <w:szCs w:val="18"/>
          <w:lang w:val="pl-PL"/>
        </w:rPr>
        <w:t>skladu</w:t>
      </w:r>
      <w:r w:rsidR="003C6BBC" w:rsidRPr="00C83896">
        <w:rPr>
          <w:rFonts w:eastAsia="Calibri" w:cs="Calibri Light"/>
          <w:sz w:val="18"/>
          <w:szCs w:val="18"/>
          <w:lang w:val="sr-Latn-ME"/>
        </w:rPr>
        <w:t xml:space="preserve"> </w:t>
      </w:r>
      <w:r w:rsidR="003C6BBC" w:rsidRPr="0048184E">
        <w:rPr>
          <w:rFonts w:eastAsia="Calibri" w:cs="Calibri Light"/>
          <w:sz w:val="18"/>
          <w:szCs w:val="18"/>
          <w:lang w:val="pl-PL"/>
        </w:rPr>
        <w:t>sa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Strategijom</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razvoja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turizma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Crne</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Gore</w:t>
      </w:r>
      <w:r w:rsidR="003C6BBC" w:rsidRPr="0048184E">
        <w:rPr>
          <w:rFonts w:eastAsia="Calibri" w:cs="Calibri Light"/>
          <w:sz w:val="18"/>
          <w:szCs w:val="18"/>
          <w:lang w:val="sr-Latn-ME"/>
        </w:rPr>
        <w:t xml:space="preserve"> 2022-2025. </w:t>
      </w:r>
      <w:r w:rsidR="003C6BBC" w:rsidRPr="0048184E">
        <w:rPr>
          <w:rFonts w:eastAsia="Calibri" w:cs="Calibri Light"/>
          <w:sz w:val="18"/>
          <w:szCs w:val="18"/>
          <w:lang w:val="pl-PL"/>
        </w:rPr>
        <w:t>godine</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nastavljen</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je</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trend</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na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planu</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daljeg</w:t>
      </w:r>
      <w:r w:rsidR="003C6BBC" w:rsidRPr="0048184E">
        <w:rPr>
          <w:rFonts w:eastAsia="Calibri" w:cs="Calibri Light"/>
          <w:sz w:val="18"/>
          <w:szCs w:val="18"/>
          <w:lang w:val="sr-Latn-ME"/>
        </w:rPr>
        <w:t xml:space="preserve"> </w:t>
      </w:r>
      <w:bookmarkStart w:id="62" w:name="_Hlk193374521"/>
      <w:r w:rsidR="003C6BBC" w:rsidRPr="0048184E">
        <w:rPr>
          <w:rFonts w:eastAsia="Calibri" w:cs="Calibri Light"/>
          <w:sz w:val="18"/>
          <w:szCs w:val="18"/>
          <w:lang w:val="pl-PL"/>
        </w:rPr>
        <w:t>odr</w:t>
      </w:r>
      <w:r w:rsidR="003C6BBC" w:rsidRPr="0048184E">
        <w:rPr>
          <w:rFonts w:eastAsia="Calibri" w:cs="Calibri Light"/>
          <w:sz w:val="18"/>
          <w:szCs w:val="18"/>
          <w:lang w:val="sr-Latn-ME"/>
        </w:rPr>
        <w:t>ž</w:t>
      </w:r>
      <w:r w:rsidR="003C6BBC" w:rsidRPr="0048184E">
        <w:rPr>
          <w:rFonts w:eastAsia="Calibri" w:cs="Calibri Light"/>
          <w:sz w:val="18"/>
          <w:szCs w:val="18"/>
          <w:lang w:val="pl-PL"/>
        </w:rPr>
        <w:t>ivog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razvoja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zelenog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digitalnog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i</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otpornog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turizma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u</w:t>
      </w:r>
      <w:r w:rsidR="003C6BBC" w:rsidRPr="0048184E">
        <w:rPr>
          <w:rFonts w:eastAsia="Calibri" w:cs="Calibri Light"/>
          <w:sz w:val="18"/>
          <w:szCs w:val="18"/>
          <w:lang w:val="sr-Latn-ME"/>
        </w:rPr>
        <w:t xml:space="preserve"> 2024. </w:t>
      </w:r>
      <w:r w:rsidR="003C6BBC" w:rsidRPr="0048184E">
        <w:rPr>
          <w:rFonts w:eastAsia="Calibri" w:cs="Calibri Light"/>
          <w:sz w:val="18"/>
          <w:szCs w:val="18"/>
          <w:lang w:val="pl-PL"/>
        </w:rPr>
        <w:t>i</w:t>
      </w:r>
      <w:r w:rsidR="003C6BBC" w:rsidRPr="0048184E">
        <w:rPr>
          <w:rFonts w:eastAsia="Calibri" w:cs="Calibri Light"/>
          <w:sz w:val="18"/>
          <w:szCs w:val="18"/>
          <w:lang w:val="sr-Latn-ME"/>
        </w:rPr>
        <w:t xml:space="preserve"> 2025. </w:t>
      </w:r>
      <w:r w:rsidR="003C6BBC" w:rsidRPr="0048184E">
        <w:rPr>
          <w:rFonts w:eastAsia="Calibri" w:cs="Calibri Light"/>
          <w:sz w:val="18"/>
          <w:szCs w:val="18"/>
          <w:lang w:val="pl-PL"/>
        </w:rPr>
        <w:t>godini</w:t>
      </w:r>
      <w:bookmarkEnd w:id="62"/>
      <w:r w:rsidR="003C6BBC" w:rsidRPr="0048184E">
        <w:rPr>
          <w:rFonts w:eastAsia="Calibri" w:cs="Calibri Light"/>
          <w:sz w:val="18"/>
          <w:szCs w:val="18"/>
          <w:lang w:val="sr-Latn-ME"/>
        </w:rPr>
        <w:t xml:space="preserve">. </w:t>
      </w:r>
      <w:r w:rsidR="003C6BBC" w:rsidRPr="0048184E">
        <w:rPr>
          <w:rFonts w:eastAsia="Calibri" w:cs="Calibri Light"/>
          <w:sz w:val="18"/>
          <w:szCs w:val="18"/>
        </w:rPr>
        <w:t>Klju</w:t>
      </w:r>
      <w:r w:rsidR="003C6BBC" w:rsidRPr="0048184E">
        <w:rPr>
          <w:rFonts w:eastAsia="Calibri" w:cs="Calibri Light"/>
          <w:sz w:val="18"/>
          <w:szCs w:val="18"/>
          <w:lang w:val="sr-Latn-ME"/>
        </w:rPr>
        <w:t>č</w:t>
      </w:r>
      <w:r w:rsidR="003C6BBC" w:rsidRPr="0048184E">
        <w:rPr>
          <w:rFonts w:eastAsia="Calibri" w:cs="Calibri Light"/>
          <w:sz w:val="18"/>
          <w:szCs w:val="18"/>
        </w:rPr>
        <w:t>ni</w:t>
      </w:r>
      <w:r w:rsidR="003C6BBC" w:rsidRPr="0048184E">
        <w:rPr>
          <w:rFonts w:eastAsia="Calibri" w:cs="Calibri Light"/>
          <w:sz w:val="18"/>
          <w:szCs w:val="18"/>
          <w:lang w:val="sr-Latn-ME"/>
        </w:rPr>
        <w:t xml:space="preserve"> </w:t>
      </w:r>
      <w:r w:rsidR="003C6BBC" w:rsidRPr="0048184E">
        <w:rPr>
          <w:rFonts w:eastAsia="Calibri" w:cs="Calibri Light"/>
          <w:sz w:val="18"/>
          <w:szCs w:val="18"/>
        </w:rPr>
        <w:t>ciljevi</w:t>
      </w:r>
      <w:r w:rsidR="003C6BBC" w:rsidRPr="0048184E">
        <w:rPr>
          <w:rFonts w:eastAsia="Calibri" w:cs="Calibri Light"/>
          <w:sz w:val="18"/>
          <w:szCs w:val="18"/>
          <w:lang w:val="sr-Latn-ME"/>
        </w:rPr>
        <w:t xml:space="preserve"> </w:t>
      </w:r>
      <w:r w:rsidR="003C6BBC" w:rsidRPr="0048184E">
        <w:rPr>
          <w:rFonts w:eastAsia="Calibri" w:cs="Calibri Light"/>
          <w:sz w:val="18"/>
          <w:szCs w:val="18"/>
        </w:rPr>
        <w:t>u</w:t>
      </w:r>
      <w:r w:rsidR="003C6BBC" w:rsidRPr="0048184E">
        <w:rPr>
          <w:rFonts w:eastAsia="Calibri" w:cs="Calibri Light"/>
          <w:sz w:val="18"/>
          <w:szCs w:val="18"/>
          <w:lang w:val="sr-Latn-ME"/>
        </w:rPr>
        <w:t xml:space="preserve"> </w:t>
      </w:r>
      <w:r w:rsidR="003C6BBC" w:rsidRPr="0048184E">
        <w:rPr>
          <w:rFonts w:eastAsia="Calibri" w:cs="Calibri Light"/>
          <w:sz w:val="18"/>
          <w:szCs w:val="18"/>
        </w:rPr>
        <w:t>turizmu</w:t>
      </w:r>
      <w:r w:rsidR="003C6BBC" w:rsidRPr="0048184E">
        <w:rPr>
          <w:rFonts w:eastAsia="Calibri" w:cs="Calibri Light"/>
          <w:sz w:val="18"/>
          <w:szCs w:val="18"/>
          <w:lang w:val="sr-Latn-ME"/>
        </w:rPr>
        <w:t xml:space="preserve"> </w:t>
      </w:r>
      <w:r w:rsidR="003C6BBC" w:rsidRPr="0048184E">
        <w:rPr>
          <w:rFonts w:eastAsia="Calibri" w:cs="Calibri Light"/>
          <w:sz w:val="18"/>
          <w:szCs w:val="18"/>
        </w:rPr>
        <w:t>se</w:t>
      </w:r>
      <w:r w:rsidR="003C6BBC" w:rsidRPr="0048184E">
        <w:rPr>
          <w:rFonts w:eastAsia="Calibri" w:cs="Calibri Light"/>
          <w:sz w:val="18"/>
          <w:szCs w:val="18"/>
          <w:lang w:val="sr-Latn-ME"/>
        </w:rPr>
        <w:t xml:space="preserve"> </w:t>
      </w:r>
      <w:r w:rsidR="003C6BBC" w:rsidRPr="0048184E">
        <w:rPr>
          <w:rFonts w:eastAsia="Calibri" w:cs="Calibri Light"/>
          <w:sz w:val="18"/>
          <w:szCs w:val="18"/>
        </w:rPr>
        <w:t>odnose</w:t>
      </w:r>
      <w:r w:rsidR="003C6BBC" w:rsidRPr="0048184E">
        <w:rPr>
          <w:rFonts w:eastAsia="Calibri" w:cs="Calibri Light"/>
          <w:sz w:val="18"/>
          <w:szCs w:val="18"/>
          <w:lang w:val="sr-Latn-ME"/>
        </w:rPr>
        <w:t xml:space="preserve"> </w:t>
      </w:r>
      <w:r w:rsidR="003C6BBC" w:rsidRPr="0048184E">
        <w:rPr>
          <w:rFonts w:eastAsia="Calibri" w:cs="Calibri Light"/>
          <w:sz w:val="18"/>
          <w:szCs w:val="18"/>
        </w:rPr>
        <w:t>na</w:t>
      </w:r>
      <w:r w:rsidR="003C6BBC" w:rsidRPr="0048184E">
        <w:rPr>
          <w:rFonts w:eastAsia="Calibri" w:cs="Calibri Light"/>
          <w:sz w:val="18"/>
          <w:szCs w:val="18"/>
          <w:lang w:val="sr-Latn-ME"/>
        </w:rPr>
        <w:t xml:space="preserve"> </w:t>
      </w:r>
      <w:r w:rsidR="003C6BBC" w:rsidRPr="0048184E">
        <w:rPr>
          <w:rFonts w:eastAsia="Calibri" w:cs="Calibri Light"/>
          <w:sz w:val="18"/>
          <w:szCs w:val="18"/>
        </w:rPr>
        <w:t>efikasnije</w:t>
      </w:r>
      <w:r w:rsidR="003C6BBC" w:rsidRPr="0048184E">
        <w:rPr>
          <w:rFonts w:eastAsia="Calibri" w:cs="Calibri Light"/>
          <w:sz w:val="18"/>
          <w:szCs w:val="18"/>
          <w:lang w:val="sr-Latn-ME"/>
        </w:rPr>
        <w:t xml:space="preserve"> </w:t>
      </w:r>
      <w:r w:rsidR="003C6BBC" w:rsidRPr="0048184E">
        <w:rPr>
          <w:rFonts w:eastAsia="Calibri" w:cs="Calibri Light"/>
          <w:sz w:val="18"/>
          <w:szCs w:val="18"/>
        </w:rPr>
        <w:t>rje</w:t>
      </w:r>
      <w:r w:rsidR="003C6BBC" w:rsidRPr="0048184E">
        <w:rPr>
          <w:rFonts w:eastAsia="Calibri" w:cs="Calibri Light"/>
          <w:sz w:val="18"/>
          <w:szCs w:val="18"/>
          <w:lang w:val="sr-Latn-ME"/>
        </w:rPr>
        <w:t>š</w:t>
      </w:r>
      <w:r w:rsidR="003C6BBC" w:rsidRPr="0048184E">
        <w:rPr>
          <w:rFonts w:eastAsia="Calibri" w:cs="Calibri Light"/>
          <w:sz w:val="18"/>
          <w:szCs w:val="18"/>
        </w:rPr>
        <w:t>avanje</w:t>
      </w:r>
      <w:r w:rsidR="003C6BBC" w:rsidRPr="0048184E">
        <w:rPr>
          <w:rFonts w:eastAsia="Calibri" w:cs="Calibri Light"/>
          <w:sz w:val="18"/>
          <w:szCs w:val="18"/>
          <w:lang w:val="sr-Latn-ME"/>
        </w:rPr>
        <w:t xml:space="preserve"> </w:t>
      </w:r>
      <w:r w:rsidR="003C6BBC" w:rsidRPr="0048184E">
        <w:rPr>
          <w:rFonts w:eastAsia="Calibri" w:cs="Calibri Light"/>
          <w:sz w:val="18"/>
          <w:szCs w:val="18"/>
        </w:rPr>
        <w:t>izazova</w:t>
      </w:r>
      <w:r w:rsidR="003C6BBC" w:rsidRPr="0048184E">
        <w:rPr>
          <w:rFonts w:eastAsia="Calibri" w:cs="Calibri Light"/>
          <w:sz w:val="18"/>
          <w:szCs w:val="18"/>
          <w:lang w:val="sr-Latn-ME"/>
        </w:rPr>
        <w:t xml:space="preserve">, </w:t>
      </w:r>
      <w:r w:rsidR="003C6BBC" w:rsidRPr="0048184E">
        <w:rPr>
          <w:rFonts w:eastAsia="Calibri" w:cs="Calibri Light"/>
          <w:sz w:val="18"/>
          <w:szCs w:val="18"/>
        </w:rPr>
        <w:t>prvenstveno</w:t>
      </w:r>
      <w:r w:rsidR="003C6BBC" w:rsidRPr="0048184E">
        <w:rPr>
          <w:rFonts w:eastAsia="Calibri" w:cs="Calibri Light"/>
          <w:sz w:val="18"/>
          <w:szCs w:val="18"/>
          <w:lang w:val="sr-Latn-ME"/>
        </w:rPr>
        <w:t xml:space="preserve"> </w:t>
      </w:r>
      <w:r w:rsidR="003C6BBC" w:rsidRPr="0048184E">
        <w:rPr>
          <w:rFonts w:eastAsia="Calibri" w:cs="Calibri Light"/>
          <w:sz w:val="18"/>
          <w:szCs w:val="18"/>
        </w:rPr>
        <w:t>u</w:t>
      </w:r>
      <w:r w:rsidR="003C6BBC" w:rsidRPr="0048184E">
        <w:rPr>
          <w:rFonts w:eastAsia="Calibri" w:cs="Calibri Light"/>
          <w:sz w:val="18"/>
          <w:szCs w:val="18"/>
          <w:lang w:val="sr-Latn-ME"/>
        </w:rPr>
        <w:t xml:space="preserve"> </w:t>
      </w:r>
      <w:r w:rsidR="003C6BBC" w:rsidRPr="0048184E">
        <w:rPr>
          <w:rFonts w:eastAsia="Calibri" w:cs="Calibri Light"/>
          <w:sz w:val="18"/>
          <w:szCs w:val="18"/>
        </w:rPr>
        <w:t>pravcu</w:t>
      </w:r>
      <w:r w:rsidR="003C6BBC" w:rsidRPr="0048184E">
        <w:rPr>
          <w:rFonts w:eastAsia="Calibri" w:cs="Calibri Light"/>
          <w:sz w:val="18"/>
          <w:szCs w:val="18"/>
          <w:lang w:val="sr-Latn-ME"/>
        </w:rPr>
        <w:t xml:space="preserve"> </w:t>
      </w:r>
      <w:r w:rsidR="003C6BBC" w:rsidRPr="0048184E">
        <w:rPr>
          <w:rFonts w:eastAsia="Calibri" w:cs="Calibri Light"/>
          <w:sz w:val="18"/>
          <w:szCs w:val="18"/>
        </w:rPr>
        <w:t>smanjenja</w:t>
      </w:r>
      <w:r w:rsidR="003C6BBC" w:rsidRPr="0048184E">
        <w:rPr>
          <w:rFonts w:eastAsia="Calibri" w:cs="Calibri Light"/>
          <w:sz w:val="18"/>
          <w:szCs w:val="18"/>
          <w:lang w:val="sr-Latn-ME"/>
        </w:rPr>
        <w:t xml:space="preserve"> </w:t>
      </w:r>
      <w:r w:rsidR="003C6BBC" w:rsidRPr="0048184E">
        <w:rPr>
          <w:rFonts w:eastAsia="Calibri" w:cs="Calibri Light"/>
          <w:sz w:val="18"/>
          <w:szCs w:val="18"/>
        </w:rPr>
        <w:t>sezonalnosti</w:t>
      </w:r>
      <w:r w:rsidR="003C6BBC" w:rsidRPr="0048184E">
        <w:rPr>
          <w:rFonts w:eastAsia="Calibri" w:cs="Calibri Light"/>
          <w:sz w:val="18"/>
          <w:szCs w:val="18"/>
          <w:lang w:val="sr-Latn-ME"/>
        </w:rPr>
        <w:t xml:space="preserve"> </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pobolj</w:t>
      </w:r>
      <w:r w:rsidR="003C6BBC" w:rsidRPr="0048184E">
        <w:rPr>
          <w:rFonts w:eastAsia="Calibri" w:cs="Calibri Light"/>
          <w:sz w:val="18"/>
          <w:szCs w:val="18"/>
          <w:lang w:val="sr-Latn-ME"/>
        </w:rPr>
        <w:t>š</w:t>
      </w:r>
      <w:r w:rsidR="003C6BBC" w:rsidRPr="0048184E">
        <w:rPr>
          <w:rFonts w:eastAsia="Calibri" w:cs="Calibri Light"/>
          <w:sz w:val="18"/>
          <w:szCs w:val="18"/>
        </w:rPr>
        <w:t>anju</w:t>
      </w:r>
      <w:r w:rsidR="003C6BBC" w:rsidRPr="0048184E">
        <w:rPr>
          <w:rFonts w:eastAsia="Calibri" w:cs="Calibri Light"/>
          <w:sz w:val="18"/>
          <w:szCs w:val="18"/>
          <w:lang w:val="sr-Latn-ME"/>
        </w:rPr>
        <w:t xml:space="preserve"> </w:t>
      </w:r>
      <w:r w:rsidR="003C6BBC" w:rsidRPr="0048184E">
        <w:rPr>
          <w:rFonts w:eastAsia="Calibri" w:cs="Calibri Light"/>
          <w:sz w:val="18"/>
          <w:szCs w:val="18"/>
        </w:rPr>
        <w:t>turisti</w:t>
      </w:r>
      <w:r w:rsidR="003C6BBC" w:rsidRPr="0048184E">
        <w:rPr>
          <w:rFonts w:eastAsia="Calibri" w:cs="Calibri Light"/>
          <w:sz w:val="18"/>
          <w:szCs w:val="18"/>
          <w:lang w:val="sr-Latn-ME"/>
        </w:rPr>
        <w:t>č</w:t>
      </w:r>
      <w:r w:rsidR="003C6BBC" w:rsidRPr="0048184E">
        <w:rPr>
          <w:rFonts w:eastAsia="Calibri" w:cs="Calibri Light"/>
          <w:sz w:val="18"/>
          <w:szCs w:val="18"/>
        </w:rPr>
        <w:t>ke</w:t>
      </w:r>
      <w:r w:rsidR="003C6BBC" w:rsidRPr="0048184E">
        <w:rPr>
          <w:rFonts w:eastAsia="Calibri" w:cs="Calibri Light"/>
          <w:sz w:val="18"/>
          <w:szCs w:val="18"/>
          <w:lang w:val="sr-Latn-ME"/>
        </w:rPr>
        <w:t xml:space="preserve"> </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prate</w:t>
      </w:r>
      <w:r w:rsidR="003C6BBC" w:rsidRPr="0048184E">
        <w:rPr>
          <w:rFonts w:eastAsia="Calibri" w:cs="Calibri Light"/>
          <w:sz w:val="18"/>
          <w:szCs w:val="18"/>
          <w:lang w:val="sr-Latn-ME"/>
        </w:rPr>
        <w:t>ć</w:t>
      </w:r>
      <w:r w:rsidR="003C6BBC" w:rsidRPr="0048184E">
        <w:rPr>
          <w:rFonts w:eastAsia="Calibri" w:cs="Calibri Light"/>
          <w:sz w:val="18"/>
          <w:szCs w:val="18"/>
        </w:rPr>
        <w:t>e</w:t>
      </w:r>
      <w:r w:rsidR="003C6BBC" w:rsidRPr="0048184E">
        <w:rPr>
          <w:rFonts w:eastAsia="Calibri" w:cs="Calibri Light"/>
          <w:sz w:val="18"/>
          <w:szCs w:val="18"/>
          <w:lang w:val="sr-Latn-ME"/>
        </w:rPr>
        <w:t xml:space="preserve"> </w:t>
      </w:r>
      <w:r w:rsidR="003C6BBC" w:rsidRPr="0048184E">
        <w:rPr>
          <w:rFonts w:eastAsia="Calibri" w:cs="Calibri Light"/>
          <w:sz w:val="18"/>
          <w:szCs w:val="18"/>
        </w:rPr>
        <w:t>infrastrukture</w:t>
      </w:r>
      <w:r w:rsidR="003C6BBC" w:rsidRPr="0048184E">
        <w:rPr>
          <w:rFonts w:eastAsia="Calibri" w:cs="Calibri Light"/>
          <w:sz w:val="18"/>
          <w:szCs w:val="18"/>
          <w:lang w:val="sr-Latn-ME"/>
        </w:rPr>
        <w:t>, č</w:t>
      </w:r>
      <w:r w:rsidR="003C6BBC" w:rsidRPr="0048184E">
        <w:rPr>
          <w:rFonts w:eastAsia="Calibri" w:cs="Calibri Light"/>
          <w:sz w:val="18"/>
          <w:szCs w:val="18"/>
        </w:rPr>
        <w:t>ime</w:t>
      </w:r>
      <w:r w:rsidR="003C6BBC" w:rsidRPr="0048184E">
        <w:rPr>
          <w:rFonts w:eastAsia="Calibri" w:cs="Calibri Light"/>
          <w:sz w:val="18"/>
          <w:szCs w:val="18"/>
          <w:lang w:val="sr-Latn-ME"/>
        </w:rPr>
        <w:t xml:space="preserve"> </w:t>
      </w:r>
      <w:r w:rsidR="003C6BBC" w:rsidRPr="0048184E">
        <w:rPr>
          <w:rFonts w:eastAsia="Calibri" w:cs="Calibri Light"/>
          <w:sz w:val="18"/>
          <w:szCs w:val="18"/>
        </w:rPr>
        <w:t>se</w:t>
      </w:r>
      <w:r w:rsidR="003C6BBC" w:rsidRPr="0048184E">
        <w:rPr>
          <w:rFonts w:eastAsia="Calibri" w:cs="Calibri Light"/>
          <w:sz w:val="18"/>
          <w:szCs w:val="18"/>
          <w:lang w:val="sr-Latn-ME"/>
        </w:rPr>
        <w:t xml:space="preserve"> </w:t>
      </w:r>
      <w:r w:rsidR="003C6BBC" w:rsidRPr="0048184E">
        <w:rPr>
          <w:rFonts w:eastAsia="Calibri" w:cs="Calibri Light"/>
          <w:sz w:val="18"/>
          <w:szCs w:val="18"/>
        </w:rPr>
        <w:t>stvaraju</w:t>
      </w:r>
      <w:r w:rsidR="003C6BBC" w:rsidRPr="0048184E">
        <w:rPr>
          <w:rFonts w:eastAsia="Calibri" w:cs="Calibri Light"/>
          <w:sz w:val="18"/>
          <w:szCs w:val="18"/>
          <w:lang w:val="sr-Latn-ME"/>
        </w:rPr>
        <w:t xml:space="preserve"> </w:t>
      </w:r>
      <w:r w:rsidR="003C6BBC" w:rsidRPr="0048184E">
        <w:rPr>
          <w:rFonts w:eastAsia="Calibri" w:cs="Calibri Light"/>
          <w:sz w:val="18"/>
          <w:szCs w:val="18"/>
        </w:rPr>
        <w:t>preduslovi</w:t>
      </w:r>
      <w:r w:rsidR="003C6BBC" w:rsidRPr="0048184E">
        <w:rPr>
          <w:rFonts w:eastAsia="Calibri" w:cs="Calibri Light"/>
          <w:sz w:val="18"/>
          <w:szCs w:val="18"/>
          <w:lang w:val="sr-Latn-ME"/>
        </w:rPr>
        <w:t xml:space="preserve"> </w:t>
      </w:r>
      <w:r w:rsidR="003C6BBC" w:rsidRPr="0048184E">
        <w:rPr>
          <w:rFonts w:eastAsia="Calibri" w:cs="Calibri Light"/>
          <w:sz w:val="18"/>
          <w:szCs w:val="18"/>
        </w:rPr>
        <w:t>za</w:t>
      </w:r>
      <w:r w:rsidR="003C6BBC" w:rsidRPr="0048184E">
        <w:rPr>
          <w:rFonts w:eastAsia="Calibri" w:cs="Calibri Light"/>
          <w:sz w:val="18"/>
          <w:szCs w:val="18"/>
          <w:lang w:val="sr-Latn-ME"/>
        </w:rPr>
        <w:t xml:space="preserve"> </w:t>
      </w:r>
      <w:r w:rsidR="003C6BBC" w:rsidRPr="0048184E">
        <w:rPr>
          <w:rFonts w:eastAsia="Calibri" w:cs="Calibri Light"/>
          <w:sz w:val="18"/>
          <w:szCs w:val="18"/>
        </w:rPr>
        <w:t>nova</w:t>
      </w:r>
      <w:r w:rsidR="003C6BBC" w:rsidRPr="0048184E">
        <w:rPr>
          <w:rFonts w:eastAsia="Calibri" w:cs="Calibri Light"/>
          <w:sz w:val="18"/>
          <w:szCs w:val="18"/>
          <w:lang w:val="sr-Latn-ME"/>
        </w:rPr>
        <w:t xml:space="preserve"> </w:t>
      </w:r>
      <w:r w:rsidR="003C6BBC" w:rsidRPr="0048184E">
        <w:rPr>
          <w:rFonts w:eastAsia="Calibri" w:cs="Calibri Light"/>
          <w:sz w:val="18"/>
          <w:szCs w:val="18"/>
        </w:rPr>
        <w:t>radna</w:t>
      </w:r>
      <w:r w:rsidR="003C6BBC" w:rsidRPr="0048184E">
        <w:rPr>
          <w:rFonts w:eastAsia="Calibri" w:cs="Calibri Light"/>
          <w:sz w:val="18"/>
          <w:szCs w:val="18"/>
          <w:lang w:val="sr-Latn-ME"/>
        </w:rPr>
        <w:t xml:space="preserve"> </w:t>
      </w:r>
      <w:r w:rsidR="003C6BBC" w:rsidRPr="0048184E">
        <w:rPr>
          <w:rFonts w:eastAsia="Calibri" w:cs="Calibri Light"/>
          <w:sz w:val="18"/>
          <w:szCs w:val="18"/>
        </w:rPr>
        <w:t>mjesta</w:t>
      </w:r>
      <w:r w:rsidR="003C6BBC" w:rsidRPr="0048184E">
        <w:rPr>
          <w:rFonts w:eastAsia="Calibri" w:cs="Calibri Light"/>
          <w:sz w:val="18"/>
          <w:szCs w:val="18"/>
          <w:lang w:val="sr-Latn-ME"/>
        </w:rPr>
        <w:t xml:space="preserve"> </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br</w:t>
      </w:r>
      <w:r w:rsidR="003C6BBC" w:rsidRPr="0048184E">
        <w:rPr>
          <w:rFonts w:eastAsia="Calibri" w:cs="Calibri Light"/>
          <w:sz w:val="18"/>
          <w:szCs w:val="18"/>
          <w:lang w:val="sr-Latn-ME"/>
        </w:rPr>
        <w:t>ž</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razvoj</w:t>
      </w:r>
      <w:r w:rsidR="003C6BBC" w:rsidRPr="0048184E">
        <w:rPr>
          <w:rFonts w:eastAsia="Calibri" w:cs="Calibri Light"/>
          <w:sz w:val="18"/>
          <w:szCs w:val="18"/>
          <w:lang w:val="sr-Latn-ME"/>
        </w:rPr>
        <w:t xml:space="preserve"> </w:t>
      </w:r>
      <w:r w:rsidR="003C6BBC" w:rsidRPr="0048184E">
        <w:rPr>
          <w:rFonts w:eastAsia="Calibri" w:cs="Calibri Light"/>
          <w:sz w:val="18"/>
          <w:szCs w:val="18"/>
        </w:rPr>
        <w:t>manje</w:t>
      </w:r>
      <w:r w:rsidR="003C6BBC" w:rsidRPr="0048184E">
        <w:rPr>
          <w:rFonts w:eastAsia="Calibri" w:cs="Calibri Light"/>
          <w:sz w:val="18"/>
          <w:szCs w:val="18"/>
          <w:lang w:val="sr-Latn-ME"/>
        </w:rPr>
        <w:t xml:space="preserve"> </w:t>
      </w:r>
      <w:r w:rsidR="003C6BBC" w:rsidRPr="0048184E">
        <w:rPr>
          <w:rFonts w:eastAsia="Calibri" w:cs="Calibri Light"/>
          <w:sz w:val="18"/>
          <w:szCs w:val="18"/>
        </w:rPr>
        <w:t>razvijenih</w:t>
      </w:r>
      <w:r w:rsidR="003C6BBC" w:rsidRPr="0048184E">
        <w:rPr>
          <w:rFonts w:eastAsia="Calibri" w:cs="Calibri Light"/>
          <w:sz w:val="18"/>
          <w:szCs w:val="18"/>
          <w:lang w:val="sr-Latn-ME"/>
        </w:rPr>
        <w:t xml:space="preserve"> </w:t>
      </w:r>
      <w:r w:rsidR="003C6BBC" w:rsidRPr="0048184E">
        <w:rPr>
          <w:rFonts w:eastAsia="Calibri" w:cs="Calibri Light"/>
          <w:sz w:val="18"/>
          <w:szCs w:val="18"/>
        </w:rPr>
        <w:t>podru</w:t>
      </w:r>
      <w:r w:rsidR="003C6BBC" w:rsidRPr="0048184E">
        <w:rPr>
          <w:rFonts w:eastAsia="Calibri" w:cs="Calibri Light"/>
          <w:sz w:val="18"/>
          <w:szCs w:val="18"/>
          <w:lang w:val="sr-Latn-ME"/>
        </w:rPr>
        <w:t>č</w:t>
      </w:r>
      <w:r w:rsidR="003C6BBC" w:rsidRPr="0048184E">
        <w:rPr>
          <w:rFonts w:eastAsia="Calibri" w:cs="Calibri Light"/>
          <w:sz w:val="18"/>
          <w:szCs w:val="18"/>
        </w:rPr>
        <w:t>ja</w:t>
      </w:r>
      <w:r w:rsidR="003C6BBC" w:rsidRPr="0048184E">
        <w:rPr>
          <w:rFonts w:eastAsia="Calibri" w:cs="Calibri Light"/>
          <w:sz w:val="18"/>
          <w:szCs w:val="18"/>
          <w:lang w:val="sr-Latn-ME"/>
        </w:rPr>
        <w:t xml:space="preserve"> </w:t>
      </w:r>
      <w:r w:rsidR="003C6BBC" w:rsidRPr="0048184E">
        <w:rPr>
          <w:rFonts w:eastAsia="Calibri" w:cs="Calibri Light"/>
          <w:sz w:val="18"/>
          <w:szCs w:val="18"/>
        </w:rPr>
        <w:t>u</w:t>
      </w:r>
      <w:r w:rsidR="003C6BBC" w:rsidRPr="0048184E">
        <w:rPr>
          <w:rFonts w:eastAsia="Calibri" w:cs="Calibri Light"/>
          <w:sz w:val="18"/>
          <w:szCs w:val="18"/>
          <w:lang w:val="sr-Latn-ME"/>
        </w:rPr>
        <w:t xml:space="preserve"> </w:t>
      </w:r>
      <w:r w:rsidR="003C6BBC" w:rsidRPr="0048184E">
        <w:rPr>
          <w:rFonts w:eastAsia="Calibri" w:cs="Calibri Light"/>
          <w:sz w:val="18"/>
          <w:szCs w:val="18"/>
        </w:rPr>
        <w:t>Crnoj</w:t>
      </w:r>
      <w:r w:rsidR="003C6BBC" w:rsidRPr="0048184E">
        <w:rPr>
          <w:rFonts w:eastAsia="Calibri" w:cs="Calibri Light"/>
          <w:sz w:val="18"/>
          <w:szCs w:val="18"/>
          <w:lang w:val="sr-Latn-ME"/>
        </w:rPr>
        <w:t xml:space="preserve"> </w:t>
      </w:r>
      <w:r w:rsidR="003C6BBC" w:rsidRPr="0048184E">
        <w:rPr>
          <w:rFonts w:eastAsia="Calibri" w:cs="Calibri Light"/>
          <w:sz w:val="18"/>
          <w:szCs w:val="18"/>
        </w:rPr>
        <w:t>Gori</w:t>
      </w:r>
      <w:r w:rsidR="00F81906">
        <w:rPr>
          <w:rFonts w:eastAsia="Calibri" w:cs="Calibri Light"/>
          <w:sz w:val="18"/>
          <w:szCs w:val="18"/>
          <w:lang w:val="sr-Latn-ME"/>
        </w:rPr>
        <w:t xml:space="preserve">. </w:t>
      </w:r>
      <w:r w:rsidR="003C6BBC" w:rsidRPr="0048184E">
        <w:rPr>
          <w:rFonts w:eastAsia="Calibri" w:cs="Calibri Light"/>
          <w:sz w:val="18"/>
          <w:szCs w:val="18"/>
          <w:lang w:val="sr-Latn-CS"/>
        </w:rPr>
        <w:t>Program podsticajnih mjera u oblasti turizma za 2024. godinu sadržao je pet mjera podrške i to: Podrška organizovanju manifestacija/festivala; Unaprjeđenje ponude i podizanje kvaliteta usluga u ruralnom turizmu; Razvoj održivih turističkih proizvoda i usluga koji obogaćuju turističku ponudu u kulturnom, sportsko- rekreativnom i avanturističkom turizmu; Podrška za razvoj MICE turizma i Podrška za unaprjeđenje organizovanih avionskih dolazaka putem zajedničke marketing kampanje sa turoperatorima. Ukupna sredstva projektovana Programom podsticajnih mjera u oblasti turizma za 2024. godinu iznosila su 1.060.293,42 milina eura.</w:t>
      </w:r>
      <w:r w:rsidR="00C83896">
        <w:rPr>
          <w:rFonts w:eastAsia="Calibri" w:cs="Calibri Light"/>
          <w:sz w:val="18"/>
          <w:szCs w:val="18"/>
          <w:lang w:val="sr-Latn-CS"/>
        </w:rPr>
        <w:t xml:space="preserve"> </w:t>
      </w:r>
      <w:r w:rsidR="00C83896" w:rsidRPr="00EC22C7">
        <w:rPr>
          <w:rFonts w:ascii="Calibri" w:eastAsia="Calibri" w:hAnsi="Calibri" w:cs="Calibri"/>
          <w:b/>
          <w:bCs/>
          <w:color w:val="000000"/>
          <w:sz w:val="18"/>
          <w:szCs w:val="18"/>
          <w:lang w:val="pl-PL" w:eastAsia="hr-HR"/>
        </w:rPr>
        <w:t>Turisti</w:t>
      </w:r>
      <w:r w:rsidR="00C83896" w:rsidRPr="00EC22C7">
        <w:rPr>
          <w:rFonts w:ascii="Calibri" w:eastAsia="Calibri" w:hAnsi="Calibri" w:cs="Calibri"/>
          <w:b/>
          <w:bCs/>
          <w:color w:val="000000"/>
          <w:sz w:val="18"/>
          <w:szCs w:val="18"/>
          <w:lang w:val="sr-Latn-CS" w:eastAsia="hr-HR"/>
        </w:rPr>
        <w:t>č</w:t>
      </w:r>
      <w:r w:rsidR="00C83896" w:rsidRPr="00EC22C7">
        <w:rPr>
          <w:rFonts w:ascii="Calibri" w:eastAsia="Calibri" w:hAnsi="Calibri" w:cs="Calibri"/>
          <w:b/>
          <w:bCs/>
          <w:color w:val="000000"/>
          <w:sz w:val="18"/>
          <w:szCs w:val="18"/>
          <w:lang w:val="pl-PL" w:eastAsia="hr-HR"/>
        </w:rPr>
        <w:t>ki</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klaster</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Bjelasica</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Komovi</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i</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Prokletije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planinska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turisti</w:t>
      </w:r>
      <w:r w:rsidR="00C83896" w:rsidRPr="00EC22C7">
        <w:rPr>
          <w:rFonts w:ascii="Calibri" w:eastAsia="Calibri" w:hAnsi="Calibri" w:cs="Calibri"/>
          <w:bCs/>
          <w:color w:val="000000"/>
          <w:sz w:val="18"/>
          <w:szCs w:val="18"/>
          <w:lang w:val="sr-Latn-CS" w:eastAsia="hr-HR"/>
        </w:rPr>
        <w:t>č</w:t>
      </w:r>
      <w:r w:rsidR="00C83896" w:rsidRPr="00EC22C7">
        <w:rPr>
          <w:rFonts w:ascii="Calibri" w:eastAsia="Calibri" w:hAnsi="Calibri" w:cs="Calibri"/>
          <w:bCs/>
          <w:color w:val="000000"/>
          <w:sz w:val="18"/>
          <w:szCs w:val="18"/>
          <w:lang w:val="pl-PL" w:eastAsia="hr-HR"/>
        </w:rPr>
        <w:t>ka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destinacija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sa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turisti</w:t>
      </w:r>
      <w:r w:rsidR="00C83896" w:rsidRPr="00EC22C7">
        <w:rPr>
          <w:rFonts w:ascii="Calibri" w:eastAsia="Calibri" w:hAnsi="Calibri" w:cs="Calibri"/>
          <w:bCs/>
          <w:color w:val="000000"/>
          <w:sz w:val="18"/>
          <w:szCs w:val="18"/>
          <w:lang w:val="sr-Latn-CS" w:eastAsia="hr-HR"/>
        </w:rPr>
        <w:t>č</w:t>
      </w:r>
      <w:r w:rsidR="00C83896" w:rsidRPr="00EC22C7">
        <w:rPr>
          <w:rFonts w:ascii="Calibri" w:eastAsia="Calibri" w:hAnsi="Calibri" w:cs="Calibri"/>
          <w:bCs/>
          <w:color w:val="000000"/>
          <w:sz w:val="18"/>
          <w:szCs w:val="18"/>
          <w:lang w:val="pl-PL" w:eastAsia="hr-HR"/>
        </w:rPr>
        <w:t>kom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ponudom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baziranom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na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ski</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i</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ruralnom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turizmu</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kao</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okosnicom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koja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povezuje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ovo</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podru</w:t>
      </w:r>
      <w:r w:rsidR="00C83896" w:rsidRPr="00EC22C7">
        <w:rPr>
          <w:rFonts w:ascii="Calibri" w:eastAsia="Calibri" w:hAnsi="Calibri" w:cs="Calibri"/>
          <w:bCs/>
          <w:color w:val="000000"/>
          <w:sz w:val="18"/>
          <w:szCs w:val="18"/>
          <w:lang w:val="sr-Latn-CS" w:eastAsia="hr-HR"/>
        </w:rPr>
        <w:t>č</w:t>
      </w:r>
      <w:r w:rsidR="00C83896" w:rsidRPr="00EC22C7">
        <w:rPr>
          <w:rFonts w:ascii="Calibri" w:eastAsia="Calibri" w:hAnsi="Calibri" w:cs="Calibri"/>
          <w:bCs/>
          <w:color w:val="000000"/>
          <w:sz w:val="18"/>
          <w:szCs w:val="18"/>
          <w:lang w:val="pl-PL" w:eastAsia="hr-HR"/>
        </w:rPr>
        <w:t>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u</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jedinstven</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sistem</w:t>
      </w:r>
      <w:r w:rsidR="00EC22C7">
        <w:rPr>
          <w:rFonts w:ascii="Calibri" w:eastAsia="Calibri" w:hAnsi="Calibri" w:cs="Calibri"/>
          <w:bCs/>
          <w:color w:val="000000"/>
          <w:sz w:val="18"/>
          <w:szCs w:val="18"/>
          <w:lang w:val="sr-Latn-CS" w:eastAsia="hr-HR"/>
        </w:rPr>
        <w:t>, u tom kontekstu posebno je važno</w:t>
      </w:r>
      <w:r w:rsidR="00C83896" w:rsidRPr="00EC22C7">
        <w:rPr>
          <w:rFonts w:ascii="Calibri" w:eastAsia="Calibri" w:hAnsi="Calibri" w:cs="Calibri"/>
          <w:bCs/>
          <w:color w:val="000000"/>
          <w:sz w:val="18"/>
          <w:szCs w:val="18"/>
          <w:lang w:val="sr-Latn-CS" w:eastAsia="hr-HR"/>
        </w:rPr>
        <w:t xml:space="preserve"> završiti započete radove na infrastrukturnim projektima kao što su: skijalište Žarski, Cmiljača, Hajla i Štedim, </w:t>
      </w:r>
      <w:r w:rsidR="00EC22C7" w:rsidRPr="00EC22C7">
        <w:rPr>
          <w:rFonts w:ascii="Calibri" w:eastAsia="Calibri" w:hAnsi="Calibri" w:cs="Calibri"/>
          <w:bCs/>
          <w:color w:val="000000"/>
          <w:sz w:val="18"/>
          <w:szCs w:val="18"/>
          <w:lang w:val="sr-Latn-CS" w:eastAsia="hr-HR"/>
        </w:rPr>
        <w:t>Đalovića pećina i dr.</w:t>
      </w:r>
      <w:r w:rsidR="00C83896" w:rsidRPr="00EC22C7">
        <w:rPr>
          <w:rFonts w:ascii="Calibri" w:eastAsia="Calibri" w:hAnsi="Calibri" w:cs="Calibri"/>
          <w:bCs/>
          <w:color w:val="000000"/>
          <w:sz w:val="18"/>
          <w:szCs w:val="18"/>
          <w:lang w:val="sr-Latn-CS" w:eastAsia="hr-HR"/>
        </w:rPr>
        <w:t xml:space="preserve"> </w:t>
      </w:r>
    </w:p>
    <w:p w14:paraId="11E253F2" w14:textId="77777777" w:rsidR="00A13DA5" w:rsidRPr="00F81906" w:rsidRDefault="00A13DA5" w:rsidP="00C83896">
      <w:pPr>
        <w:spacing w:after="0" w:line="240" w:lineRule="auto"/>
        <w:jc w:val="both"/>
        <w:rPr>
          <w:rFonts w:eastAsia="Calibri" w:cs="Calibri Light"/>
          <w:sz w:val="18"/>
          <w:szCs w:val="18"/>
          <w:lang w:val="sr-Latn-ME"/>
        </w:rPr>
      </w:pPr>
      <w:r w:rsidRPr="0048184E">
        <w:rPr>
          <w:rFonts w:cstheme="minorHAnsi"/>
          <w:sz w:val="18"/>
          <w:szCs w:val="18"/>
          <w:lang w:val="sr-Latn-ME"/>
        </w:rPr>
        <w:t>Takođe, iako je Primorski region prepoznat kao najrazvijeniji i najkonkurentiji region Crne Gore (u turističkom sektoru Crne Gore, 95% turističkog prometa (noćenja i prihoda) ostvaruje se u Primorskom regionu), prepoznata je potreba za dodatno unaprjeđenje fizičke infrastrukture i u ovom regionu, što će takođe doprinijeti konkurentnosti regiona, kao i diverzifikaciji turističkog proizvoda.</w:t>
      </w:r>
    </w:p>
    <w:p w14:paraId="32BB18D9" w14:textId="77777777" w:rsidR="00E94F0E" w:rsidRPr="00C83896" w:rsidRDefault="00E94F0E" w:rsidP="0048184E">
      <w:pPr>
        <w:spacing w:after="0" w:line="240" w:lineRule="auto"/>
        <w:jc w:val="both"/>
        <w:rPr>
          <w:rFonts w:cstheme="minorHAnsi"/>
          <w:b/>
          <w:sz w:val="18"/>
          <w:szCs w:val="18"/>
          <w:lang w:val="sr-Latn-CS"/>
        </w:rPr>
      </w:pPr>
    </w:p>
    <w:p w14:paraId="4EB4FD92" w14:textId="77777777" w:rsidR="00A13DA5" w:rsidRDefault="00F916FC" w:rsidP="0048184E">
      <w:pPr>
        <w:spacing w:after="0" w:line="240" w:lineRule="auto"/>
        <w:jc w:val="both"/>
        <w:rPr>
          <w:rFonts w:cstheme="minorHAnsi"/>
          <w:sz w:val="18"/>
          <w:szCs w:val="18"/>
          <w:lang w:val="sr-Latn-ME"/>
        </w:rPr>
      </w:pPr>
      <w:r w:rsidRPr="00B94135">
        <w:rPr>
          <w:rFonts w:cstheme="minorHAnsi"/>
          <w:sz w:val="18"/>
          <w:szCs w:val="18"/>
          <w:lang w:val="pl-PL"/>
        </w:rPr>
        <w:t>Veliki</w:t>
      </w:r>
      <w:r w:rsidRPr="00B94135">
        <w:rPr>
          <w:rFonts w:cstheme="minorHAnsi"/>
          <w:sz w:val="18"/>
          <w:szCs w:val="18"/>
          <w:lang w:val="sr-Latn-ME"/>
        </w:rPr>
        <w:t xml:space="preserve"> </w:t>
      </w:r>
      <w:r w:rsidRPr="00B94135">
        <w:rPr>
          <w:rFonts w:cstheme="minorHAnsi"/>
          <w:sz w:val="18"/>
          <w:szCs w:val="18"/>
          <w:lang w:val="pl-PL"/>
        </w:rPr>
        <w:t>izazov</w:t>
      </w:r>
      <w:r w:rsidRPr="00B94135">
        <w:rPr>
          <w:rFonts w:cstheme="minorHAnsi"/>
          <w:sz w:val="18"/>
          <w:szCs w:val="18"/>
          <w:lang w:val="sr-Latn-ME"/>
        </w:rPr>
        <w:t xml:space="preserve"> </w:t>
      </w:r>
      <w:r w:rsidRPr="00B94135">
        <w:rPr>
          <w:rFonts w:cstheme="minorHAnsi"/>
          <w:sz w:val="18"/>
          <w:szCs w:val="18"/>
          <w:lang w:val="pl-PL"/>
        </w:rPr>
        <w:t>prilikom</w:t>
      </w:r>
      <w:r w:rsidRPr="00B94135">
        <w:rPr>
          <w:rFonts w:cstheme="minorHAnsi"/>
          <w:sz w:val="18"/>
          <w:szCs w:val="18"/>
          <w:lang w:val="sr-Latn-ME"/>
        </w:rPr>
        <w:t xml:space="preserve"> </w:t>
      </w:r>
      <w:r w:rsidRPr="00B94135">
        <w:rPr>
          <w:rFonts w:cstheme="minorHAnsi"/>
          <w:sz w:val="18"/>
          <w:szCs w:val="18"/>
          <w:lang w:val="pl-PL"/>
        </w:rPr>
        <w:t>kreiranja</w:t>
      </w:r>
      <w:r w:rsidRPr="00B94135">
        <w:rPr>
          <w:rFonts w:cstheme="minorHAnsi"/>
          <w:sz w:val="18"/>
          <w:szCs w:val="18"/>
          <w:lang w:val="sr-Latn-ME"/>
        </w:rPr>
        <w:t xml:space="preserve"> </w:t>
      </w:r>
      <w:r w:rsidRPr="00B94135">
        <w:rPr>
          <w:rFonts w:cstheme="minorHAnsi"/>
          <w:sz w:val="18"/>
          <w:szCs w:val="18"/>
          <w:lang w:val="pl-PL"/>
        </w:rPr>
        <w:t>ali</w:t>
      </w:r>
      <w:r w:rsidRPr="00B94135">
        <w:rPr>
          <w:rFonts w:cstheme="minorHAnsi"/>
          <w:sz w:val="18"/>
          <w:szCs w:val="18"/>
          <w:lang w:val="sr-Latn-ME"/>
        </w:rPr>
        <w:t xml:space="preserve"> </w:t>
      </w:r>
      <w:r w:rsidRPr="00B94135">
        <w:rPr>
          <w:rFonts w:cstheme="minorHAnsi"/>
          <w:sz w:val="18"/>
          <w:szCs w:val="18"/>
          <w:lang w:val="pl-PL"/>
        </w:rPr>
        <w:t>i</w:t>
      </w:r>
      <w:r w:rsidRPr="00B94135">
        <w:rPr>
          <w:rFonts w:cstheme="minorHAnsi"/>
          <w:sz w:val="18"/>
          <w:szCs w:val="18"/>
          <w:lang w:val="sr-Latn-ME"/>
        </w:rPr>
        <w:t xml:space="preserve"> </w:t>
      </w:r>
      <w:r w:rsidRPr="00B94135">
        <w:rPr>
          <w:rFonts w:cstheme="minorHAnsi"/>
          <w:sz w:val="18"/>
          <w:szCs w:val="18"/>
          <w:lang w:val="pl-PL"/>
        </w:rPr>
        <w:t>pra</w:t>
      </w:r>
      <w:r w:rsidRPr="00B94135">
        <w:rPr>
          <w:rFonts w:cstheme="minorHAnsi"/>
          <w:sz w:val="18"/>
          <w:szCs w:val="18"/>
          <w:lang w:val="sr-Latn-ME"/>
        </w:rPr>
        <w:t>ć</w:t>
      </w:r>
      <w:r w:rsidRPr="00B94135">
        <w:rPr>
          <w:rFonts w:cstheme="minorHAnsi"/>
          <w:sz w:val="18"/>
          <w:szCs w:val="18"/>
          <w:lang w:val="pl-PL"/>
        </w:rPr>
        <w:t>enja</w:t>
      </w:r>
      <w:r w:rsidRPr="00B94135">
        <w:rPr>
          <w:rFonts w:cstheme="minorHAnsi"/>
          <w:sz w:val="18"/>
          <w:szCs w:val="18"/>
          <w:lang w:val="sr-Latn-ME"/>
        </w:rPr>
        <w:t xml:space="preserve"> </w:t>
      </w:r>
      <w:r w:rsidRPr="00B94135">
        <w:rPr>
          <w:rFonts w:cstheme="minorHAnsi"/>
          <w:sz w:val="18"/>
          <w:szCs w:val="18"/>
          <w:lang w:val="pl-PL"/>
        </w:rPr>
        <w:t>politika</w:t>
      </w:r>
      <w:r w:rsidRPr="00B94135">
        <w:rPr>
          <w:rFonts w:cstheme="minorHAnsi"/>
          <w:sz w:val="18"/>
          <w:szCs w:val="18"/>
          <w:lang w:val="sr-Latn-ME"/>
        </w:rPr>
        <w:t xml:space="preserve"> </w:t>
      </w:r>
      <w:r w:rsidRPr="00B94135">
        <w:rPr>
          <w:rFonts w:cstheme="minorHAnsi"/>
          <w:sz w:val="18"/>
          <w:szCs w:val="18"/>
          <w:lang w:val="pl-PL"/>
        </w:rPr>
        <w:t>koje</w:t>
      </w:r>
      <w:r w:rsidRPr="00B94135">
        <w:rPr>
          <w:rFonts w:cstheme="minorHAnsi"/>
          <w:sz w:val="18"/>
          <w:szCs w:val="18"/>
          <w:lang w:val="sr-Latn-ME"/>
        </w:rPr>
        <w:t xml:space="preserve"> </w:t>
      </w:r>
      <w:r w:rsidRPr="00B94135">
        <w:rPr>
          <w:rFonts w:cstheme="minorHAnsi"/>
          <w:sz w:val="18"/>
          <w:szCs w:val="18"/>
          <w:lang w:val="pl-PL"/>
        </w:rPr>
        <w:t>se</w:t>
      </w:r>
      <w:r w:rsidRPr="00B94135">
        <w:rPr>
          <w:rFonts w:cstheme="minorHAnsi"/>
          <w:sz w:val="18"/>
          <w:szCs w:val="18"/>
          <w:lang w:val="sr-Latn-ME"/>
        </w:rPr>
        <w:t xml:space="preserve"> </w:t>
      </w:r>
      <w:r w:rsidRPr="00B94135">
        <w:rPr>
          <w:rFonts w:cstheme="minorHAnsi"/>
          <w:sz w:val="18"/>
          <w:szCs w:val="18"/>
          <w:lang w:val="pl-PL"/>
        </w:rPr>
        <w:t>odnose</w:t>
      </w:r>
      <w:r w:rsidRPr="00B94135">
        <w:rPr>
          <w:rFonts w:cstheme="minorHAnsi"/>
          <w:sz w:val="18"/>
          <w:szCs w:val="18"/>
          <w:lang w:val="sr-Latn-ME"/>
        </w:rPr>
        <w:t xml:space="preserve"> </w:t>
      </w:r>
      <w:r w:rsidRPr="00B94135">
        <w:rPr>
          <w:rFonts w:cstheme="minorHAnsi"/>
          <w:sz w:val="18"/>
          <w:szCs w:val="18"/>
          <w:lang w:val="pl-PL"/>
        </w:rPr>
        <w:t>na</w:t>
      </w:r>
      <w:r w:rsidRPr="00B94135">
        <w:rPr>
          <w:rFonts w:cstheme="minorHAnsi"/>
          <w:sz w:val="18"/>
          <w:szCs w:val="18"/>
          <w:lang w:val="sr-Latn-ME"/>
        </w:rPr>
        <w:t xml:space="preserve"> </w:t>
      </w:r>
      <w:r w:rsidRPr="00B94135">
        <w:rPr>
          <w:rFonts w:cstheme="minorHAnsi"/>
          <w:sz w:val="18"/>
          <w:szCs w:val="18"/>
          <w:lang w:val="pl-PL"/>
        </w:rPr>
        <w:t>regionalni</w:t>
      </w:r>
      <w:r w:rsidRPr="00B94135">
        <w:rPr>
          <w:rFonts w:cstheme="minorHAnsi"/>
          <w:sz w:val="18"/>
          <w:szCs w:val="18"/>
          <w:lang w:val="sr-Latn-ME"/>
        </w:rPr>
        <w:t xml:space="preserve"> </w:t>
      </w:r>
      <w:r w:rsidRPr="00B94135">
        <w:rPr>
          <w:rFonts w:cstheme="minorHAnsi"/>
          <w:sz w:val="18"/>
          <w:szCs w:val="18"/>
          <w:lang w:val="pl-PL"/>
        </w:rPr>
        <w:t>razvoj</w:t>
      </w:r>
      <w:r w:rsidRPr="00B94135">
        <w:rPr>
          <w:rFonts w:cstheme="minorHAnsi"/>
          <w:sz w:val="18"/>
          <w:szCs w:val="18"/>
          <w:lang w:val="sr-Latn-ME"/>
        </w:rPr>
        <w:t xml:space="preserve"> </w:t>
      </w:r>
      <w:r w:rsidRPr="00B94135">
        <w:rPr>
          <w:rFonts w:cstheme="minorHAnsi"/>
          <w:sz w:val="18"/>
          <w:szCs w:val="18"/>
          <w:lang w:val="pl-PL"/>
        </w:rPr>
        <w:t>predstavlja</w:t>
      </w:r>
      <w:r w:rsidRPr="00B94135">
        <w:rPr>
          <w:rFonts w:cstheme="minorHAnsi"/>
          <w:sz w:val="18"/>
          <w:szCs w:val="18"/>
          <w:lang w:val="sr-Latn-ME"/>
        </w:rPr>
        <w:t xml:space="preserve"> </w:t>
      </w:r>
      <w:r w:rsidRPr="0048184E">
        <w:rPr>
          <w:rFonts w:cstheme="minorHAnsi"/>
          <w:b/>
          <w:sz w:val="18"/>
          <w:szCs w:val="18"/>
          <w:lang w:val="pl-PL"/>
        </w:rPr>
        <w:t>nepostojanje</w:t>
      </w:r>
      <w:r w:rsidRPr="0048184E">
        <w:rPr>
          <w:rFonts w:cstheme="minorHAnsi"/>
          <w:b/>
          <w:sz w:val="18"/>
          <w:szCs w:val="18"/>
          <w:lang w:val="sr-Latn-ME"/>
        </w:rPr>
        <w:t xml:space="preserve"> </w:t>
      </w:r>
      <w:r w:rsidRPr="0048184E">
        <w:rPr>
          <w:rFonts w:cstheme="minorHAnsi"/>
          <w:b/>
          <w:sz w:val="18"/>
          <w:szCs w:val="18"/>
          <w:lang w:val="pl-PL"/>
        </w:rPr>
        <w:t>podataka</w:t>
      </w:r>
      <w:r w:rsidRPr="0048184E">
        <w:rPr>
          <w:rFonts w:cstheme="minorHAnsi"/>
          <w:b/>
          <w:sz w:val="18"/>
          <w:szCs w:val="18"/>
          <w:lang w:val="sr-Latn-ME"/>
        </w:rPr>
        <w:t xml:space="preserve"> </w:t>
      </w:r>
      <w:r w:rsidRPr="0048184E">
        <w:rPr>
          <w:rFonts w:cstheme="minorHAnsi"/>
          <w:b/>
          <w:sz w:val="18"/>
          <w:szCs w:val="18"/>
          <w:lang w:val="pl-PL"/>
        </w:rPr>
        <w:t>po</w:t>
      </w:r>
      <w:r w:rsidRPr="0048184E">
        <w:rPr>
          <w:rFonts w:cstheme="minorHAnsi"/>
          <w:b/>
          <w:sz w:val="18"/>
          <w:szCs w:val="18"/>
          <w:lang w:val="sr-Latn-ME"/>
        </w:rPr>
        <w:t xml:space="preserve"> </w:t>
      </w:r>
      <w:r w:rsidRPr="0048184E">
        <w:rPr>
          <w:rFonts w:cstheme="minorHAnsi"/>
          <w:b/>
          <w:sz w:val="18"/>
          <w:szCs w:val="18"/>
          <w:lang w:val="pl-PL"/>
        </w:rPr>
        <w:t>regionima</w:t>
      </w:r>
      <w:r w:rsidRPr="0048184E">
        <w:rPr>
          <w:rFonts w:cstheme="minorHAnsi"/>
          <w:b/>
          <w:sz w:val="18"/>
          <w:szCs w:val="18"/>
          <w:lang w:val="sr-Latn-ME"/>
        </w:rPr>
        <w:t xml:space="preserve"> </w:t>
      </w:r>
      <w:r w:rsidRPr="00B94135">
        <w:rPr>
          <w:rFonts w:cstheme="minorHAnsi"/>
          <w:sz w:val="18"/>
          <w:szCs w:val="18"/>
          <w:lang w:val="pl-PL"/>
        </w:rPr>
        <w:t>koje</w:t>
      </w:r>
      <w:r w:rsidRPr="00B94135">
        <w:rPr>
          <w:rFonts w:cstheme="minorHAnsi"/>
          <w:sz w:val="18"/>
          <w:szCs w:val="18"/>
          <w:lang w:val="sr-Latn-ME"/>
        </w:rPr>
        <w:t xml:space="preserve"> </w:t>
      </w:r>
      <w:r w:rsidRPr="00B94135">
        <w:rPr>
          <w:rFonts w:cstheme="minorHAnsi"/>
          <w:sz w:val="18"/>
          <w:szCs w:val="18"/>
          <w:lang w:val="pl-PL"/>
        </w:rPr>
        <w:t>bi</w:t>
      </w:r>
      <w:r w:rsidRPr="00B94135">
        <w:rPr>
          <w:rFonts w:cstheme="minorHAnsi"/>
          <w:sz w:val="18"/>
          <w:szCs w:val="18"/>
          <w:lang w:val="sr-Latn-ME"/>
        </w:rPr>
        <w:t xml:space="preserve"> </w:t>
      </w:r>
      <w:r w:rsidRPr="00B94135">
        <w:rPr>
          <w:rFonts w:cstheme="minorHAnsi"/>
          <w:sz w:val="18"/>
          <w:szCs w:val="18"/>
          <w:lang w:val="pl-PL"/>
        </w:rPr>
        <w:t>trebalo</w:t>
      </w:r>
      <w:r w:rsidRPr="00B94135">
        <w:rPr>
          <w:rFonts w:cstheme="minorHAnsi"/>
          <w:sz w:val="18"/>
          <w:szCs w:val="18"/>
          <w:lang w:val="sr-Latn-ME"/>
        </w:rPr>
        <w:t xml:space="preserve"> </w:t>
      </w:r>
      <w:r w:rsidRPr="00B94135">
        <w:rPr>
          <w:rFonts w:cstheme="minorHAnsi"/>
          <w:sz w:val="18"/>
          <w:szCs w:val="18"/>
          <w:lang w:val="pl-PL"/>
        </w:rPr>
        <w:t>da</w:t>
      </w:r>
      <w:r w:rsidRPr="00B94135">
        <w:rPr>
          <w:rFonts w:cstheme="minorHAnsi"/>
          <w:sz w:val="18"/>
          <w:szCs w:val="18"/>
          <w:lang w:val="sr-Latn-ME"/>
        </w:rPr>
        <w:t xml:space="preserve"> proizvodi i </w:t>
      </w:r>
      <w:r w:rsidRPr="00B94135">
        <w:rPr>
          <w:rFonts w:cstheme="minorHAnsi"/>
          <w:sz w:val="18"/>
          <w:szCs w:val="18"/>
          <w:lang w:val="pl-PL"/>
        </w:rPr>
        <w:t>objavljuje</w:t>
      </w:r>
      <w:r w:rsidRPr="00B94135">
        <w:rPr>
          <w:rFonts w:cstheme="minorHAnsi"/>
          <w:sz w:val="18"/>
          <w:szCs w:val="18"/>
          <w:lang w:val="sr-Latn-ME"/>
        </w:rPr>
        <w:t xml:space="preserve"> </w:t>
      </w:r>
      <w:r w:rsidRPr="00B94135">
        <w:rPr>
          <w:rFonts w:cstheme="minorHAnsi"/>
          <w:sz w:val="18"/>
          <w:szCs w:val="18"/>
          <w:lang w:val="pl-PL"/>
        </w:rPr>
        <w:t>MONSTAT</w:t>
      </w:r>
      <w:r w:rsidRPr="00B94135">
        <w:rPr>
          <w:rFonts w:cstheme="minorHAnsi"/>
          <w:sz w:val="18"/>
          <w:szCs w:val="18"/>
          <w:lang w:val="sr-Latn-ME"/>
        </w:rPr>
        <w:t xml:space="preserve">, </w:t>
      </w:r>
      <w:r w:rsidRPr="00B94135">
        <w:rPr>
          <w:rFonts w:cstheme="minorHAnsi"/>
          <w:sz w:val="18"/>
          <w:szCs w:val="18"/>
          <w:lang w:val="pl-PL"/>
        </w:rPr>
        <w:t>kao</w:t>
      </w:r>
      <w:r w:rsidRPr="00B94135">
        <w:rPr>
          <w:rFonts w:cstheme="minorHAnsi"/>
          <w:sz w:val="18"/>
          <w:szCs w:val="18"/>
          <w:lang w:val="sr-Latn-ME"/>
        </w:rPr>
        <w:t xml:space="preserve"> </w:t>
      </w:r>
      <w:r w:rsidRPr="00B94135">
        <w:rPr>
          <w:rFonts w:cstheme="minorHAnsi"/>
          <w:sz w:val="18"/>
          <w:szCs w:val="18"/>
          <w:lang w:val="pl-PL"/>
        </w:rPr>
        <w:t>npr.</w:t>
      </w:r>
      <w:r w:rsidRPr="00B94135">
        <w:rPr>
          <w:rFonts w:cstheme="minorHAnsi"/>
          <w:sz w:val="18"/>
          <w:szCs w:val="18"/>
          <w:lang w:val="sr-Latn-ME"/>
        </w:rPr>
        <w:t xml:space="preserve">  </w:t>
      </w:r>
      <w:r w:rsidR="007E34F0" w:rsidRPr="00B94135">
        <w:rPr>
          <w:rFonts w:cstheme="minorHAnsi"/>
          <w:sz w:val="18"/>
          <w:szCs w:val="18"/>
          <w:lang w:val="pl-PL"/>
        </w:rPr>
        <w:t>podatke</w:t>
      </w:r>
      <w:r w:rsidR="007E34F0" w:rsidRPr="00B94135">
        <w:rPr>
          <w:rFonts w:cstheme="minorHAnsi"/>
          <w:sz w:val="18"/>
          <w:szCs w:val="18"/>
          <w:lang w:val="sr-Latn-ME"/>
        </w:rPr>
        <w:t xml:space="preserve"> </w:t>
      </w:r>
      <w:r w:rsidR="007E34F0" w:rsidRPr="00B94135">
        <w:rPr>
          <w:rFonts w:cstheme="minorHAnsi"/>
          <w:sz w:val="18"/>
          <w:szCs w:val="18"/>
          <w:lang w:val="pl-PL"/>
        </w:rPr>
        <w:t>o</w:t>
      </w:r>
      <w:r w:rsidR="007E34F0" w:rsidRPr="00B94135">
        <w:rPr>
          <w:rFonts w:cstheme="minorHAnsi"/>
          <w:sz w:val="18"/>
          <w:szCs w:val="18"/>
          <w:lang w:val="sr-Latn-ME"/>
        </w:rPr>
        <w:t xml:space="preserve"> </w:t>
      </w:r>
      <w:r w:rsidR="007E34F0" w:rsidRPr="00B94135">
        <w:rPr>
          <w:rFonts w:cstheme="minorHAnsi"/>
          <w:sz w:val="18"/>
          <w:szCs w:val="18"/>
          <w:lang w:val="pl-PL"/>
        </w:rPr>
        <w:t>BDP</w:t>
      </w:r>
      <w:r w:rsidR="007E34F0" w:rsidRPr="00B94135">
        <w:rPr>
          <w:rFonts w:cstheme="minorHAnsi"/>
          <w:sz w:val="18"/>
          <w:szCs w:val="18"/>
          <w:lang w:val="sr-Latn-ME"/>
        </w:rPr>
        <w:t>-</w:t>
      </w:r>
      <w:r w:rsidR="007E34F0" w:rsidRPr="00B94135">
        <w:rPr>
          <w:rFonts w:cstheme="minorHAnsi"/>
          <w:sz w:val="18"/>
          <w:szCs w:val="18"/>
          <w:lang w:val="pl-PL"/>
        </w:rPr>
        <w:t>u</w:t>
      </w:r>
      <w:r w:rsidR="007E34F0" w:rsidRPr="00B94135">
        <w:rPr>
          <w:rFonts w:cstheme="minorHAnsi"/>
          <w:sz w:val="18"/>
          <w:szCs w:val="18"/>
          <w:lang w:val="sr-Latn-ME"/>
        </w:rPr>
        <w:t xml:space="preserve">, </w:t>
      </w:r>
      <w:r w:rsidR="007E34F0" w:rsidRPr="00B94135">
        <w:rPr>
          <w:rFonts w:cstheme="minorHAnsi"/>
          <w:sz w:val="18"/>
          <w:szCs w:val="18"/>
          <w:lang w:val="pl-PL"/>
        </w:rPr>
        <w:t>prihodima</w:t>
      </w:r>
      <w:r w:rsidR="007E34F0" w:rsidRPr="00B94135">
        <w:rPr>
          <w:rFonts w:cstheme="minorHAnsi"/>
          <w:sz w:val="18"/>
          <w:szCs w:val="18"/>
          <w:lang w:val="sr-Latn-ME"/>
        </w:rPr>
        <w:t xml:space="preserve"> </w:t>
      </w:r>
      <w:r w:rsidR="007E34F0" w:rsidRPr="00B94135">
        <w:rPr>
          <w:rFonts w:cstheme="minorHAnsi"/>
          <w:sz w:val="18"/>
          <w:szCs w:val="18"/>
          <w:lang w:val="pl-PL"/>
        </w:rPr>
        <w:t>i</w:t>
      </w:r>
      <w:r w:rsidR="007E34F0" w:rsidRPr="00B94135">
        <w:rPr>
          <w:rFonts w:cstheme="minorHAnsi"/>
          <w:sz w:val="18"/>
          <w:szCs w:val="18"/>
          <w:lang w:val="sr-Latn-ME"/>
        </w:rPr>
        <w:t xml:space="preserve"> </w:t>
      </w:r>
      <w:r w:rsidR="007E34F0" w:rsidRPr="00B94135">
        <w:rPr>
          <w:rFonts w:cstheme="minorHAnsi"/>
          <w:sz w:val="18"/>
          <w:szCs w:val="18"/>
          <w:lang w:val="pl-PL"/>
        </w:rPr>
        <w:t>tr</w:t>
      </w:r>
      <w:r w:rsidR="007E34F0" w:rsidRPr="00B94135">
        <w:rPr>
          <w:rFonts w:cstheme="minorHAnsi"/>
          <w:sz w:val="18"/>
          <w:szCs w:val="18"/>
          <w:lang w:val="sr-Latn-ME"/>
        </w:rPr>
        <w:t>ž</w:t>
      </w:r>
      <w:r w:rsidR="007E34F0" w:rsidRPr="00B94135">
        <w:rPr>
          <w:rFonts w:cstheme="minorHAnsi"/>
          <w:sz w:val="18"/>
          <w:szCs w:val="18"/>
          <w:lang w:val="pl-PL"/>
        </w:rPr>
        <w:t>i</w:t>
      </w:r>
      <w:r w:rsidR="007E34F0" w:rsidRPr="00B94135">
        <w:rPr>
          <w:rFonts w:cstheme="minorHAnsi"/>
          <w:sz w:val="18"/>
          <w:szCs w:val="18"/>
          <w:lang w:val="sr-Latn-ME"/>
        </w:rPr>
        <w:t>š</w:t>
      </w:r>
      <w:r w:rsidR="007E34F0" w:rsidRPr="00B94135">
        <w:rPr>
          <w:rFonts w:cstheme="minorHAnsi"/>
          <w:sz w:val="18"/>
          <w:szCs w:val="18"/>
          <w:lang w:val="pl-PL"/>
        </w:rPr>
        <w:t>tima</w:t>
      </w:r>
      <w:r w:rsidR="007E34F0" w:rsidRPr="00B94135">
        <w:rPr>
          <w:rFonts w:cstheme="minorHAnsi"/>
          <w:sz w:val="18"/>
          <w:szCs w:val="18"/>
          <w:lang w:val="sr-Latn-ME"/>
        </w:rPr>
        <w:t xml:space="preserve"> </w:t>
      </w:r>
      <w:r w:rsidR="007E34F0" w:rsidRPr="00B94135">
        <w:rPr>
          <w:rFonts w:cstheme="minorHAnsi"/>
          <w:sz w:val="18"/>
          <w:szCs w:val="18"/>
          <w:lang w:val="pl-PL"/>
        </w:rPr>
        <w:t>nekretnina</w:t>
      </w:r>
      <w:r w:rsidR="007E34F0" w:rsidRPr="00B94135">
        <w:rPr>
          <w:rFonts w:cstheme="minorHAnsi"/>
          <w:sz w:val="18"/>
          <w:szCs w:val="18"/>
          <w:lang w:val="sr-Latn-ME"/>
        </w:rPr>
        <w:t xml:space="preserve"> </w:t>
      </w:r>
      <w:r w:rsidR="007E34F0" w:rsidRPr="00B94135">
        <w:rPr>
          <w:rFonts w:cstheme="minorHAnsi"/>
          <w:sz w:val="18"/>
          <w:szCs w:val="18"/>
          <w:lang w:val="pl-PL"/>
        </w:rPr>
        <w:t>na</w:t>
      </w:r>
      <w:r w:rsidR="007E34F0" w:rsidRPr="00B94135">
        <w:rPr>
          <w:rFonts w:cstheme="minorHAnsi"/>
          <w:sz w:val="18"/>
          <w:szCs w:val="18"/>
          <w:lang w:val="sr-Latn-ME"/>
        </w:rPr>
        <w:t xml:space="preserve"> </w:t>
      </w:r>
      <w:r w:rsidR="007E34F0" w:rsidRPr="00B94135">
        <w:rPr>
          <w:rFonts w:cstheme="minorHAnsi"/>
          <w:sz w:val="18"/>
          <w:szCs w:val="18"/>
          <w:lang w:val="pl-PL"/>
        </w:rPr>
        <w:t>nivou</w:t>
      </w:r>
      <w:r w:rsidR="007E34F0" w:rsidRPr="00B94135">
        <w:rPr>
          <w:rFonts w:cstheme="minorHAnsi"/>
          <w:sz w:val="18"/>
          <w:szCs w:val="18"/>
          <w:lang w:val="sr-Latn-ME"/>
        </w:rPr>
        <w:t xml:space="preserve"> </w:t>
      </w:r>
      <w:r w:rsidR="007E34F0" w:rsidRPr="00B94135">
        <w:rPr>
          <w:rFonts w:cstheme="minorHAnsi"/>
          <w:sz w:val="18"/>
          <w:szCs w:val="18"/>
          <w:lang w:val="pl-PL"/>
        </w:rPr>
        <w:t>op</w:t>
      </w:r>
      <w:r w:rsidR="007E34F0" w:rsidRPr="00B94135">
        <w:rPr>
          <w:rFonts w:cstheme="minorHAnsi"/>
          <w:sz w:val="18"/>
          <w:szCs w:val="18"/>
          <w:lang w:val="sr-Latn-ME"/>
        </w:rPr>
        <w:t>š</w:t>
      </w:r>
      <w:r w:rsidR="007E34F0" w:rsidRPr="00B94135">
        <w:rPr>
          <w:rFonts w:cstheme="minorHAnsi"/>
          <w:sz w:val="18"/>
          <w:szCs w:val="18"/>
          <w:lang w:val="pl-PL"/>
        </w:rPr>
        <w:t>tina</w:t>
      </w:r>
      <w:r w:rsidRPr="00B94135">
        <w:rPr>
          <w:rFonts w:cstheme="minorHAnsi"/>
          <w:sz w:val="18"/>
          <w:szCs w:val="18"/>
          <w:lang w:val="pl-PL"/>
        </w:rPr>
        <w:t xml:space="preserve"> itd.</w:t>
      </w:r>
      <w:r w:rsidRPr="0048184E">
        <w:rPr>
          <w:rFonts w:cstheme="minorHAnsi"/>
          <w:b/>
          <w:sz w:val="18"/>
          <w:szCs w:val="18"/>
          <w:lang w:val="sr-Latn-ME"/>
        </w:rPr>
        <w:t xml:space="preserve"> </w:t>
      </w:r>
      <w:r w:rsidRPr="0048184E">
        <w:rPr>
          <w:rFonts w:cstheme="minorHAnsi"/>
          <w:sz w:val="18"/>
          <w:szCs w:val="18"/>
          <w:lang w:val="pl-PL"/>
        </w:rPr>
        <w:t>Odsustvo</w:t>
      </w:r>
      <w:r w:rsidRPr="0048184E">
        <w:rPr>
          <w:rFonts w:cstheme="minorHAnsi"/>
          <w:sz w:val="18"/>
          <w:szCs w:val="18"/>
          <w:lang w:val="sr-Latn-ME"/>
        </w:rPr>
        <w:t xml:space="preserve"> </w:t>
      </w:r>
      <w:r w:rsidRPr="0048184E">
        <w:rPr>
          <w:rFonts w:cstheme="minorHAnsi"/>
          <w:sz w:val="18"/>
          <w:szCs w:val="18"/>
          <w:lang w:val="pl-PL"/>
        </w:rPr>
        <w:t>ovakvih</w:t>
      </w:r>
      <w:r w:rsidR="007E34F0" w:rsidRPr="0048184E">
        <w:rPr>
          <w:rFonts w:cstheme="minorHAnsi"/>
          <w:sz w:val="18"/>
          <w:szCs w:val="18"/>
          <w:lang w:val="sr-Latn-ME"/>
        </w:rPr>
        <w:t xml:space="preserve"> </w:t>
      </w:r>
      <w:r w:rsidR="007E34F0" w:rsidRPr="0048184E">
        <w:rPr>
          <w:rFonts w:cstheme="minorHAnsi"/>
          <w:sz w:val="18"/>
          <w:szCs w:val="18"/>
          <w:lang w:val="pl-PL"/>
        </w:rPr>
        <w:t>podataka</w:t>
      </w:r>
      <w:r w:rsidR="007E34F0" w:rsidRPr="0048184E">
        <w:rPr>
          <w:rFonts w:cstheme="minorHAnsi"/>
          <w:sz w:val="18"/>
          <w:szCs w:val="18"/>
          <w:lang w:val="sr-Latn-ME"/>
        </w:rPr>
        <w:t xml:space="preserve"> č</w:t>
      </w:r>
      <w:r w:rsidR="007E34F0" w:rsidRPr="0048184E">
        <w:rPr>
          <w:rFonts w:cstheme="minorHAnsi"/>
          <w:sz w:val="18"/>
          <w:szCs w:val="18"/>
          <w:lang w:val="pl-PL"/>
        </w:rPr>
        <w:t>ini</w:t>
      </w:r>
      <w:r w:rsidR="007E34F0" w:rsidRPr="0048184E">
        <w:rPr>
          <w:rFonts w:cstheme="minorHAnsi"/>
          <w:sz w:val="18"/>
          <w:szCs w:val="18"/>
          <w:lang w:val="sr-Latn-ME"/>
        </w:rPr>
        <w:t xml:space="preserve"> </w:t>
      </w:r>
      <w:r w:rsidRPr="0048184E">
        <w:rPr>
          <w:rFonts w:cstheme="minorHAnsi"/>
          <w:sz w:val="18"/>
          <w:szCs w:val="18"/>
          <w:lang w:val="pl-PL"/>
        </w:rPr>
        <w:t>analize</w:t>
      </w:r>
      <w:r w:rsidR="007E34F0" w:rsidRPr="0048184E">
        <w:rPr>
          <w:rFonts w:cstheme="minorHAnsi"/>
          <w:sz w:val="18"/>
          <w:szCs w:val="18"/>
          <w:lang w:val="sr-Latn-ME"/>
        </w:rPr>
        <w:t xml:space="preserve"> </w:t>
      </w:r>
      <w:r w:rsidRPr="0048184E">
        <w:rPr>
          <w:rFonts w:cstheme="minorHAnsi"/>
          <w:sz w:val="18"/>
          <w:szCs w:val="18"/>
          <w:lang w:val="pl-PL"/>
        </w:rPr>
        <w:t>regionalnog</w:t>
      </w:r>
      <w:r w:rsidR="007E34F0" w:rsidRPr="0048184E">
        <w:rPr>
          <w:rFonts w:cstheme="minorHAnsi"/>
          <w:sz w:val="18"/>
          <w:szCs w:val="18"/>
          <w:lang w:val="sr-Latn-ME"/>
        </w:rPr>
        <w:t xml:space="preserve"> </w:t>
      </w:r>
      <w:r w:rsidR="007E34F0" w:rsidRPr="0048184E">
        <w:rPr>
          <w:rFonts w:cstheme="minorHAnsi"/>
          <w:sz w:val="18"/>
          <w:szCs w:val="18"/>
          <w:lang w:val="pl-PL"/>
        </w:rPr>
        <w:t>razvoja</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posljedi</w:t>
      </w:r>
      <w:r w:rsidR="007E34F0" w:rsidRPr="0048184E">
        <w:rPr>
          <w:rFonts w:cstheme="minorHAnsi"/>
          <w:sz w:val="18"/>
          <w:szCs w:val="18"/>
          <w:lang w:val="sr-Latn-ME"/>
        </w:rPr>
        <w:t>č</w:t>
      </w:r>
      <w:r w:rsidR="007E34F0" w:rsidRPr="0048184E">
        <w:rPr>
          <w:rFonts w:cstheme="minorHAnsi"/>
          <w:sz w:val="18"/>
          <w:szCs w:val="18"/>
          <w:lang w:val="pl-PL"/>
        </w:rPr>
        <w:t>no</w:t>
      </w:r>
      <w:r w:rsidR="007E34F0" w:rsidRPr="0048184E">
        <w:rPr>
          <w:rFonts w:cstheme="minorHAnsi"/>
          <w:sz w:val="18"/>
          <w:szCs w:val="18"/>
          <w:lang w:val="sr-Latn-ME"/>
        </w:rPr>
        <w:t xml:space="preserve">, </w:t>
      </w:r>
      <w:r w:rsidR="007E34F0" w:rsidRPr="0048184E">
        <w:rPr>
          <w:rFonts w:cstheme="minorHAnsi"/>
          <w:sz w:val="18"/>
          <w:szCs w:val="18"/>
          <w:lang w:val="pl-PL"/>
        </w:rPr>
        <w:t>pru</w:t>
      </w:r>
      <w:r w:rsidR="007E34F0" w:rsidRPr="0048184E">
        <w:rPr>
          <w:rFonts w:cstheme="minorHAnsi"/>
          <w:sz w:val="18"/>
          <w:szCs w:val="18"/>
          <w:lang w:val="sr-Latn-ME"/>
        </w:rPr>
        <w:t>ž</w:t>
      </w:r>
      <w:r w:rsidR="007E34F0" w:rsidRPr="0048184E">
        <w:rPr>
          <w:rFonts w:cstheme="minorHAnsi"/>
          <w:sz w:val="18"/>
          <w:szCs w:val="18"/>
          <w:lang w:val="pl-PL"/>
        </w:rPr>
        <w:t>anje</w:t>
      </w:r>
      <w:r w:rsidR="007E34F0" w:rsidRPr="0048184E">
        <w:rPr>
          <w:rFonts w:cstheme="minorHAnsi"/>
          <w:sz w:val="18"/>
          <w:szCs w:val="18"/>
          <w:lang w:val="sr-Latn-ME"/>
        </w:rPr>
        <w:t xml:space="preserve"> </w:t>
      </w:r>
      <w:r w:rsidR="007E34F0" w:rsidRPr="0048184E">
        <w:rPr>
          <w:rFonts w:cstheme="minorHAnsi"/>
          <w:sz w:val="18"/>
          <w:szCs w:val="18"/>
          <w:lang w:val="pl-PL"/>
        </w:rPr>
        <w:t>rje</w:t>
      </w:r>
      <w:r w:rsidR="007E34F0" w:rsidRPr="0048184E">
        <w:rPr>
          <w:rFonts w:cstheme="minorHAnsi"/>
          <w:sz w:val="18"/>
          <w:szCs w:val="18"/>
          <w:lang w:val="sr-Latn-ME"/>
        </w:rPr>
        <w:t>š</w:t>
      </w:r>
      <w:r w:rsidR="007E34F0" w:rsidRPr="0048184E">
        <w:rPr>
          <w:rFonts w:cstheme="minorHAnsi"/>
          <w:sz w:val="18"/>
          <w:szCs w:val="18"/>
          <w:lang w:val="pl-PL"/>
        </w:rPr>
        <w:t>enja</w:t>
      </w:r>
      <w:r w:rsidR="007E34F0" w:rsidRPr="0048184E">
        <w:rPr>
          <w:rFonts w:cstheme="minorHAnsi"/>
          <w:sz w:val="18"/>
          <w:szCs w:val="18"/>
          <w:lang w:val="sr-Latn-ME"/>
        </w:rPr>
        <w:t xml:space="preserve"> </w:t>
      </w:r>
      <w:r w:rsidR="007E34F0" w:rsidRPr="0048184E">
        <w:rPr>
          <w:rFonts w:cstheme="minorHAnsi"/>
          <w:sz w:val="18"/>
          <w:szCs w:val="18"/>
          <w:lang w:val="pl-PL"/>
        </w:rPr>
        <w:t>za</w:t>
      </w:r>
      <w:r w:rsidR="007E34F0" w:rsidRPr="0048184E">
        <w:rPr>
          <w:rFonts w:cstheme="minorHAnsi"/>
          <w:sz w:val="18"/>
          <w:szCs w:val="18"/>
          <w:lang w:val="sr-Latn-ME"/>
        </w:rPr>
        <w:t xml:space="preserve"> </w:t>
      </w:r>
      <w:r w:rsidR="007E34F0" w:rsidRPr="0048184E">
        <w:rPr>
          <w:rFonts w:cstheme="minorHAnsi"/>
          <w:sz w:val="18"/>
          <w:szCs w:val="18"/>
          <w:lang w:val="pl-PL"/>
        </w:rPr>
        <w:t>rje</w:t>
      </w:r>
      <w:r w:rsidR="007E34F0" w:rsidRPr="0048184E">
        <w:rPr>
          <w:rFonts w:cstheme="minorHAnsi"/>
          <w:sz w:val="18"/>
          <w:szCs w:val="18"/>
          <w:lang w:val="sr-Latn-ME"/>
        </w:rPr>
        <w:t>š</w:t>
      </w:r>
      <w:r w:rsidR="007E34F0" w:rsidRPr="0048184E">
        <w:rPr>
          <w:rFonts w:cstheme="minorHAnsi"/>
          <w:sz w:val="18"/>
          <w:szCs w:val="18"/>
          <w:lang w:val="pl-PL"/>
        </w:rPr>
        <w:t>avanje</w:t>
      </w:r>
      <w:r w:rsidR="007E34F0" w:rsidRPr="0048184E">
        <w:rPr>
          <w:rFonts w:cstheme="minorHAnsi"/>
          <w:sz w:val="18"/>
          <w:szCs w:val="18"/>
          <w:lang w:val="sr-Latn-ME"/>
        </w:rPr>
        <w:t xml:space="preserve"> </w:t>
      </w:r>
      <w:r w:rsidR="007E34F0" w:rsidRPr="0048184E">
        <w:rPr>
          <w:rFonts w:cstheme="minorHAnsi"/>
          <w:sz w:val="18"/>
          <w:szCs w:val="18"/>
          <w:lang w:val="pl-PL"/>
        </w:rPr>
        <w:t>teritorijalnih</w:t>
      </w:r>
      <w:r w:rsidR="007E34F0" w:rsidRPr="0048184E">
        <w:rPr>
          <w:rFonts w:cstheme="minorHAnsi"/>
          <w:sz w:val="18"/>
          <w:szCs w:val="18"/>
          <w:lang w:val="sr-Latn-ME"/>
        </w:rPr>
        <w:t xml:space="preserve"> </w:t>
      </w:r>
      <w:r w:rsidR="007E34F0" w:rsidRPr="0048184E">
        <w:rPr>
          <w:rFonts w:cstheme="minorHAnsi"/>
          <w:sz w:val="18"/>
          <w:szCs w:val="18"/>
          <w:lang w:val="pl-PL"/>
        </w:rPr>
        <w:t>dispariteta</w:t>
      </w:r>
      <w:r w:rsidR="007E34F0" w:rsidRPr="0048184E">
        <w:rPr>
          <w:rFonts w:cstheme="minorHAnsi"/>
          <w:sz w:val="18"/>
          <w:szCs w:val="18"/>
          <w:lang w:val="sr-Latn-ME"/>
        </w:rPr>
        <w:t xml:space="preserve"> </w:t>
      </w:r>
      <w:r w:rsidR="007E34F0" w:rsidRPr="0048184E">
        <w:rPr>
          <w:rFonts w:cstheme="minorHAnsi"/>
          <w:sz w:val="18"/>
          <w:szCs w:val="18"/>
          <w:lang w:val="pl-PL"/>
        </w:rPr>
        <w:t>manje</w:t>
      </w:r>
      <w:r w:rsidR="007E34F0" w:rsidRPr="0048184E">
        <w:rPr>
          <w:rFonts w:cstheme="minorHAnsi"/>
          <w:sz w:val="18"/>
          <w:szCs w:val="18"/>
          <w:lang w:val="sr-Latn-ME"/>
        </w:rPr>
        <w:t xml:space="preserve"> </w:t>
      </w:r>
      <w:r w:rsidR="007E34F0" w:rsidRPr="0048184E">
        <w:rPr>
          <w:rFonts w:cstheme="minorHAnsi"/>
          <w:sz w:val="18"/>
          <w:szCs w:val="18"/>
          <w:lang w:val="pl-PL"/>
        </w:rPr>
        <w:t>sistemati</w:t>
      </w:r>
      <w:r w:rsidR="007E34F0" w:rsidRPr="0048184E">
        <w:rPr>
          <w:rFonts w:cstheme="minorHAnsi"/>
          <w:sz w:val="18"/>
          <w:szCs w:val="18"/>
          <w:lang w:val="sr-Latn-ME"/>
        </w:rPr>
        <w:t>č</w:t>
      </w:r>
      <w:r w:rsidR="007E34F0" w:rsidRPr="0048184E">
        <w:rPr>
          <w:rFonts w:cstheme="minorHAnsi"/>
          <w:sz w:val="18"/>
          <w:szCs w:val="18"/>
          <w:lang w:val="pl-PL"/>
        </w:rPr>
        <w:t>nom</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transparentnom</w:t>
      </w:r>
      <w:r w:rsidRPr="0048184E">
        <w:rPr>
          <w:rStyle w:val="FootnoteReference"/>
          <w:rFonts w:cstheme="minorHAnsi"/>
          <w:sz w:val="18"/>
          <w:szCs w:val="18"/>
          <w:lang w:val="pl-PL"/>
        </w:rPr>
        <w:footnoteReference w:id="58"/>
      </w:r>
      <w:r w:rsidR="007E34F0" w:rsidRPr="0048184E">
        <w:rPr>
          <w:rFonts w:cstheme="minorHAnsi"/>
          <w:sz w:val="18"/>
          <w:szCs w:val="18"/>
          <w:lang w:val="sr-Latn-ME"/>
        </w:rPr>
        <w:t xml:space="preserve">. </w:t>
      </w:r>
      <w:r w:rsidR="007E34F0" w:rsidRPr="0048184E">
        <w:rPr>
          <w:rFonts w:cstheme="minorHAnsi"/>
          <w:sz w:val="18"/>
          <w:szCs w:val="18"/>
          <w:lang w:val="pl-PL"/>
        </w:rPr>
        <w:t>Vladi</w:t>
      </w:r>
      <w:r w:rsidR="007E34F0" w:rsidRPr="0048184E">
        <w:rPr>
          <w:rFonts w:cstheme="minorHAnsi"/>
          <w:sz w:val="18"/>
          <w:szCs w:val="18"/>
          <w:lang w:val="sr-Latn-ME"/>
        </w:rPr>
        <w:t xml:space="preserve"> </w:t>
      </w:r>
      <w:r w:rsidR="007E34F0" w:rsidRPr="0048184E">
        <w:rPr>
          <w:rFonts w:cstheme="minorHAnsi"/>
          <w:sz w:val="18"/>
          <w:szCs w:val="18"/>
          <w:lang w:val="pl-PL"/>
        </w:rPr>
        <w:t>se</w:t>
      </w:r>
      <w:r w:rsidR="007E34F0" w:rsidRPr="0048184E">
        <w:rPr>
          <w:rFonts w:cstheme="minorHAnsi"/>
          <w:sz w:val="18"/>
          <w:szCs w:val="18"/>
          <w:lang w:val="sr-Latn-ME"/>
        </w:rPr>
        <w:t xml:space="preserve"> </w:t>
      </w:r>
      <w:r w:rsidR="007E34F0" w:rsidRPr="0048184E">
        <w:rPr>
          <w:rFonts w:cstheme="minorHAnsi"/>
          <w:sz w:val="18"/>
          <w:szCs w:val="18"/>
          <w:lang w:val="pl-PL"/>
        </w:rPr>
        <w:t>preporu</w:t>
      </w:r>
      <w:r w:rsidR="007E34F0" w:rsidRPr="0048184E">
        <w:rPr>
          <w:rFonts w:cstheme="minorHAnsi"/>
          <w:sz w:val="18"/>
          <w:szCs w:val="18"/>
          <w:lang w:val="sr-Latn-ME"/>
        </w:rPr>
        <w:t>č</w:t>
      </w:r>
      <w:r w:rsidR="007E34F0" w:rsidRPr="0048184E">
        <w:rPr>
          <w:rFonts w:cstheme="minorHAnsi"/>
          <w:sz w:val="18"/>
          <w:szCs w:val="18"/>
          <w:lang w:val="pl-PL"/>
        </w:rPr>
        <w:t>uje</w:t>
      </w:r>
      <w:r w:rsidR="007E34F0" w:rsidRPr="0048184E">
        <w:rPr>
          <w:rFonts w:cstheme="minorHAnsi"/>
          <w:sz w:val="18"/>
          <w:szCs w:val="18"/>
          <w:lang w:val="sr-Latn-ME"/>
        </w:rPr>
        <w:t xml:space="preserve"> </w:t>
      </w:r>
      <w:r w:rsidR="007E34F0" w:rsidRPr="0048184E">
        <w:rPr>
          <w:rFonts w:cstheme="minorHAnsi"/>
          <w:sz w:val="18"/>
          <w:szCs w:val="18"/>
          <w:lang w:val="pl-PL"/>
        </w:rPr>
        <w:t>da</w:t>
      </w:r>
      <w:r w:rsidR="007E34F0" w:rsidRPr="0048184E">
        <w:rPr>
          <w:rFonts w:cstheme="minorHAnsi"/>
          <w:sz w:val="18"/>
          <w:szCs w:val="18"/>
          <w:lang w:val="sr-Latn-ME"/>
        </w:rPr>
        <w:t xml:space="preserve"> </w:t>
      </w:r>
      <w:r w:rsidR="007E34F0" w:rsidRPr="0048184E">
        <w:rPr>
          <w:rFonts w:cstheme="minorHAnsi"/>
          <w:sz w:val="18"/>
          <w:szCs w:val="18"/>
          <w:lang w:val="pl-PL"/>
        </w:rPr>
        <w:t>preispita</w:t>
      </w:r>
      <w:r w:rsidR="007E34F0" w:rsidRPr="0048184E">
        <w:rPr>
          <w:rFonts w:cstheme="minorHAnsi"/>
          <w:sz w:val="18"/>
          <w:szCs w:val="18"/>
          <w:lang w:val="sr-Latn-ME"/>
        </w:rPr>
        <w:t xml:space="preserve"> </w:t>
      </w:r>
      <w:r w:rsidR="007E34F0" w:rsidRPr="0048184E">
        <w:rPr>
          <w:rFonts w:cstheme="minorHAnsi"/>
          <w:sz w:val="18"/>
          <w:szCs w:val="18"/>
          <w:lang w:val="pl-PL"/>
        </w:rPr>
        <w:t>stanje</w:t>
      </w:r>
      <w:r w:rsidR="007E34F0" w:rsidRPr="0048184E">
        <w:rPr>
          <w:rFonts w:cstheme="minorHAnsi"/>
          <w:sz w:val="18"/>
          <w:szCs w:val="18"/>
          <w:lang w:val="sr-Latn-ME"/>
        </w:rPr>
        <w:t xml:space="preserve"> </w:t>
      </w:r>
      <w:r w:rsidR="007E34F0" w:rsidRPr="0048184E">
        <w:rPr>
          <w:rFonts w:cstheme="minorHAnsi"/>
          <w:sz w:val="18"/>
          <w:szCs w:val="18"/>
          <w:lang w:val="pl-PL"/>
        </w:rPr>
        <w:t>statistike</w:t>
      </w:r>
      <w:r w:rsidR="007E34F0" w:rsidRPr="0048184E">
        <w:rPr>
          <w:rFonts w:cstheme="minorHAnsi"/>
          <w:sz w:val="18"/>
          <w:szCs w:val="18"/>
          <w:lang w:val="sr-Latn-ME"/>
        </w:rPr>
        <w:t xml:space="preserve"> </w:t>
      </w:r>
      <w:r w:rsidR="007E34F0" w:rsidRPr="0048184E">
        <w:rPr>
          <w:rFonts w:cstheme="minorHAnsi"/>
          <w:sz w:val="18"/>
          <w:szCs w:val="18"/>
          <w:lang w:val="pl-PL"/>
        </w:rPr>
        <w:t>na</w:t>
      </w:r>
      <w:r w:rsidR="007E34F0" w:rsidRPr="0048184E">
        <w:rPr>
          <w:rFonts w:cstheme="minorHAnsi"/>
          <w:sz w:val="18"/>
          <w:szCs w:val="18"/>
          <w:lang w:val="sr-Latn-ME"/>
        </w:rPr>
        <w:t xml:space="preserve"> </w:t>
      </w:r>
      <w:r w:rsidR="007E34F0" w:rsidRPr="0048184E">
        <w:rPr>
          <w:rFonts w:cstheme="minorHAnsi"/>
          <w:sz w:val="18"/>
          <w:szCs w:val="18"/>
          <w:lang w:val="pl-PL"/>
        </w:rPr>
        <w:t>lokalnom</w:t>
      </w:r>
      <w:r w:rsidR="007E34F0" w:rsidRPr="0048184E">
        <w:rPr>
          <w:rFonts w:cstheme="minorHAnsi"/>
          <w:sz w:val="18"/>
          <w:szCs w:val="18"/>
          <w:lang w:val="sr-Latn-ME"/>
        </w:rPr>
        <w:t xml:space="preserve"> </w:t>
      </w:r>
      <w:r w:rsidR="007E34F0" w:rsidRPr="0048184E">
        <w:rPr>
          <w:rFonts w:cstheme="minorHAnsi"/>
          <w:sz w:val="18"/>
          <w:szCs w:val="18"/>
          <w:lang w:val="pl-PL"/>
        </w:rPr>
        <w:t>nivou</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ovlasti</w:t>
      </w:r>
      <w:r w:rsidR="007E34F0" w:rsidRPr="0048184E">
        <w:rPr>
          <w:rFonts w:cstheme="minorHAnsi"/>
          <w:sz w:val="18"/>
          <w:szCs w:val="18"/>
          <w:lang w:val="sr-Latn-ME"/>
        </w:rPr>
        <w:t xml:space="preserve"> </w:t>
      </w:r>
      <w:r w:rsidR="007E34F0" w:rsidRPr="0048184E">
        <w:rPr>
          <w:rFonts w:cstheme="minorHAnsi"/>
          <w:sz w:val="18"/>
          <w:szCs w:val="18"/>
          <w:lang w:val="pl-PL"/>
        </w:rPr>
        <w:t>MONSTAT</w:t>
      </w:r>
      <w:r w:rsidR="007E34F0" w:rsidRPr="0048184E">
        <w:rPr>
          <w:rFonts w:cstheme="minorHAnsi"/>
          <w:sz w:val="18"/>
          <w:szCs w:val="18"/>
          <w:lang w:val="sr-Latn-ME"/>
        </w:rPr>
        <w:t xml:space="preserve"> </w:t>
      </w:r>
      <w:r w:rsidR="007E34F0" w:rsidRPr="0048184E">
        <w:rPr>
          <w:rFonts w:cstheme="minorHAnsi"/>
          <w:sz w:val="18"/>
          <w:szCs w:val="18"/>
          <w:lang w:val="pl-PL"/>
        </w:rPr>
        <w:t>da</w:t>
      </w:r>
      <w:r w:rsidR="007E34F0" w:rsidRPr="0048184E">
        <w:rPr>
          <w:rFonts w:cstheme="minorHAnsi"/>
          <w:sz w:val="18"/>
          <w:szCs w:val="18"/>
          <w:lang w:val="sr-Latn-ME"/>
        </w:rPr>
        <w:t xml:space="preserve"> </w:t>
      </w:r>
      <w:r w:rsidR="007E34F0" w:rsidRPr="0048184E">
        <w:rPr>
          <w:rFonts w:cstheme="minorHAnsi"/>
          <w:sz w:val="18"/>
          <w:szCs w:val="18"/>
          <w:lang w:val="pl-PL"/>
        </w:rPr>
        <w:t>objavljuje</w:t>
      </w:r>
      <w:r w:rsidR="007E34F0" w:rsidRPr="0048184E">
        <w:rPr>
          <w:rFonts w:cstheme="minorHAnsi"/>
          <w:sz w:val="18"/>
          <w:szCs w:val="18"/>
          <w:lang w:val="sr-Latn-ME"/>
        </w:rPr>
        <w:t xml:space="preserve"> </w:t>
      </w:r>
      <w:r w:rsidR="007E34F0" w:rsidRPr="0048184E">
        <w:rPr>
          <w:rFonts w:cstheme="minorHAnsi"/>
          <w:sz w:val="18"/>
          <w:szCs w:val="18"/>
          <w:lang w:val="pl-PL"/>
        </w:rPr>
        <w:t>godi</w:t>
      </w:r>
      <w:r w:rsidR="007E34F0" w:rsidRPr="0048184E">
        <w:rPr>
          <w:rFonts w:cstheme="minorHAnsi"/>
          <w:sz w:val="18"/>
          <w:szCs w:val="18"/>
          <w:lang w:val="sr-Latn-ME"/>
        </w:rPr>
        <w:t>š</w:t>
      </w:r>
      <w:r w:rsidR="007E34F0" w:rsidRPr="0048184E">
        <w:rPr>
          <w:rFonts w:cstheme="minorHAnsi"/>
          <w:sz w:val="18"/>
          <w:szCs w:val="18"/>
          <w:lang w:val="pl-PL"/>
        </w:rPr>
        <w:t>nji</w:t>
      </w:r>
      <w:r w:rsidR="007E34F0" w:rsidRPr="0048184E">
        <w:rPr>
          <w:rFonts w:cstheme="minorHAnsi"/>
          <w:sz w:val="18"/>
          <w:szCs w:val="18"/>
          <w:lang w:val="sr-Latn-ME"/>
        </w:rPr>
        <w:t xml:space="preserve"> </w:t>
      </w:r>
      <w:r w:rsidR="007E34F0" w:rsidRPr="0048184E">
        <w:rPr>
          <w:rFonts w:cstheme="minorHAnsi"/>
          <w:sz w:val="18"/>
          <w:szCs w:val="18"/>
          <w:lang w:val="pl-PL"/>
        </w:rPr>
        <w:t>op</w:t>
      </w:r>
      <w:r w:rsidR="007E34F0" w:rsidRPr="0048184E">
        <w:rPr>
          <w:rFonts w:cstheme="minorHAnsi"/>
          <w:sz w:val="18"/>
          <w:szCs w:val="18"/>
          <w:lang w:val="sr-Latn-ME"/>
        </w:rPr>
        <w:t>š</w:t>
      </w:r>
      <w:r w:rsidR="007E34F0" w:rsidRPr="0048184E">
        <w:rPr>
          <w:rFonts w:cstheme="minorHAnsi"/>
          <w:sz w:val="18"/>
          <w:szCs w:val="18"/>
          <w:lang w:val="pl-PL"/>
        </w:rPr>
        <w:t>tinski</w:t>
      </w:r>
      <w:r w:rsidR="007E34F0" w:rsidRPr="0048184E">
        <w:rPr>
          <w:rFonts w:cstheme="minorHAnsi"/>
          <w:sz w:val="18"/>
          <w:szCs w:val="18"/>
          <w:lang w:val="sr-Latn-ME"/>
        </w:rPr>
        <w:t xml:space="preserve"> </w:t>
      </w:r>
      <w:r w:rsidR="007E34F0" w:rsidRPr="0048184E">
        <w:rPr>
          <w:rFonts w:cstheme="minorHAnsi"/>
          <w:sz w:val="18"/>
          <w:szCs w:val="18"/>
          <w:lang w:val="pl-PL"/>
        </w:rPr>
        <w:t>BDP</w:t>
      </w:r>
      <w:r w:rsidR="007E34F0" w:rsidRPr="0048184E">
        <w:rPr>
          <w:rFonts w:cstheme="minorHAnsi"/>
          <w:sz w:val="18"/>
          <w:szCs w:val="18"/>
          <w:lang w:val="sr-Latn-ME"/>
        </w:rPr>
        <w:t xml:space="preserve"> (</w:t>
      </w:r>
      <w:r w:rsidR="007E34F0" w:rsidRPr="0048184E">
        <w:rPr>
          <w:rFonts w:cstheme="minorHAnsi"/>
          <w:sz w:val="18"/>
          <w:szCs w:val="18"/>
          <w:lang w:val="pl-PL"/>
        </w:rPr>
        <w:t>ili</w:t>
      </w:r>
      <w:r w:rsidR="007E34F0" w:rsidRPr="0048184E">
        <w:rPr>
          <w:rFonts w:cstheme="minorHAnsi"/>
          <w:sz w:val="18"/>
          <w:szCs w:val="18"/>
          <w:lang w:val="sr-Latn-ME"/>
        </w:rPr>
        <w:t xml:space="preserve"> </w:t>
      </w:r>
      <w:r w:rsidR="007E34F0" w:rsidRPr="0048184E">
        <w:rPr>
          <w:rFonts w:cstheme="minorHAnsi"/>
          <w:sz w:val="18"/>
          <w:szCs w:val="18"/>
          <w:lang w:val="pl-PL"/>
        </w:rPr>
        <w:t>BDV</w:t>
      </w:r>
      <w:r w:rsidR="007E34F0" w:rsidRPr="0048184E">
        <w:rPr>
          <w:rFonts w:cstheme="minorHAnsi"/>
          <w:sz w:val="18"/>
          <w:szCs w:val="18"/>
          <w:lang w:val="sr-Latn-ME"/>
        </w:rPr>
        <w:t xml:space="preserve">), </w:t>
      </w:r>
      <w:r w:rsidR="007E34F0" w:rsidRPr="0048184E">
        <w:rPr>
          <w:rFonts w:cstheme="minorHAnsi"/>
          <w:sz w:val="18"/>
          <w:szCs w:val="18"/>
          <w:lang w:val="pl-PL"/>
        </w:rPr>
        <w:t>prihode</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indekse</w:t>
      </w:r>
      <w:r w:rsidR="007E34F0" w:rsidRPr="0048184E">
        <w:rPr>
          <w:rFonts w:cstheme="minorHAnsi"/>
          <w:sz w:val="18"/>
          <w:szCs w:val="18"/>
          <w:lang w:val="sr-Latn-ME"/>
        </w:rPr>
        <w:t xml:space="preserve"> </w:t>
      </w:r>
      <w:r w:rsidR="007E34F0" w:rsidRPr="0048184E">
        <w:rPr>
          <w:rFonts w:cstheme="minorHAnsi"/>
          <w:sz w:val="18"/>
          <w:szCs w:val="18"/>
          <w:lang w:val="pl-PL"/>
        </w:rPr>
        <w:t>cijena</w:t>
      </w:r>
      <w:r w:rsidR="007E34F0" w:rsidRPr="0048184E">
        <w:rPr>
          <w:rFonts w:cstheme="minorHAnsi"/>
          <w:sz w:val="18"/>
          <w:szCs w:val="18"/>
          <w:lang w:val="sr-Latn-ME"/>
        </w:rPr>
        <w:t xml:space="preserve"> </w:t>
      </w:r>
      <w:r w:rsidR="007E34F0" w:rsidRPr="0048184E">
        <w:rPr>
          <w:rFonts w:cstheme="minorHAnsi"/>
          <w:sz w:val="18"/>
          <w:szCs w:val="18"/>
          <w:lang w:val="pl-PL"/>
        </w:rPr>
        <w:t>nekretnin</w:t>
      </w:r>
      <w:r w:rsidR="00706C55" w:rsidRPr="0048184E">
        <w:rPr>
          <w:rFonts w:cstheme="minorHAnsi"/>
          <w:sz w:val="18"/>
          <w:szCs w:val="18"/>
          <w:lang w:val="pl-PL"/>
        </w:rPr>
        <w:t>a</w:t>
      </w:r>
      <w:r w:rsidR="00706C55" w:rsidRPr="0048184E">
        <w:rPr>
          <w:rFonts w:cstheme="minorHAnsi"/>
          <w:sz w:val="18"/>
          <w:szCs w:val="18"/>
          <w:lang w:val="sr-Latn-ME"/>
        </w:rPr>
        <w:t>.</w:t>
      </w:r>
    </w:p>
    <w:p w14:paraId="1070A17C" w14:textId="77777777" w:rsidR="00726BE7" w:rsidRPr="0048184E" w:rsidRDefault="00726BE7" w:rsidP="0048184E">
      <w:pPr>
        <w:spacing w:after="0" w:line="240" w:lineRule="auto"/>
        <w:jc w:val="both"/>
        <w:rPr>
          <w:rFonts w:cstheme="minorHAnsi"/>
          <w:b/>
          <w:sz w:val="18"/>
          <w:szCs w:val="18"/>
          <w:lang w:val="sr-Latn-ME"/>
        </w:rPr>
      </w:pPr>
    </w:p>
    <w:p w14:paraId="4BEFC48C" w14:textId="77777777" w:rsidR="00A13DA5" w:rsidRPr="002C0CBA" w:rsidRDefault="00A13DA5" w:rsidP="0048184E">
      <w:pPr>
        <w:spacing w:after="0" w:line="240" w:lineRule="auto"/>
        <w:jc w:val="both"/>
        <w:rPr>
          <w:rFonts w:cstheme="minorHAnsi"/>
          <w:bCs/>
          <w:sz w:val="18"/>
          <w:szCs w:val="18"/>
          <w:lang w:val="hr-BA"/>
        </w:rPr>
      </w:pPr>
      <w:r w:rsidRPr="002C0CBA">
        <w:rPr>
          <w:rFonts w:cstheme="minorHAnsi"/>
          <w:sz w:val="18"/>
          <w:szCs w:val="18"/>
          <w:lang w:val="sr-Latn-ME"/>
        </w:rPr>
        <w:t xml:space="preserve">Kao potvrda dobrog puta u dostizanju SC3, indikatori u 2027. godini </w:t>
      </w:r>
      <w:r w:rsidRPr="00FA06C4">
        <w:rPr>
          <w:rFonts w:cstheme="minorHAnsi"/>
          <w:b/>
          <w:sz w:val="18"/>
          <w:szCs w:val="18"/>
          <w:lang w:val="sr-Latn-ME"/>
        </w:rPr>
        <w:t>treba da pokažu da će 12  od 13 JLS u Sjevernom regionu 2027. godine imati stepen razvijenosti veći od 50% prosjeka razvijenosti svih</w:t>
      </w:r>
      <w:r w:rsidRPr="002C0CBA">
        <w:rPr>
          <w:rFonts w:cstheme="minorHAnsi"/>
          <w:sz w:val="18"/>
          <w:szCs w:val="18"/>
          <w:lang w:val="sr-Latn-ME"/>
        </w:rPr>
        <w:t xml:space="preserve"> JLS u Crnoj Gori, smanjujući tako razvojni jaz između Sjevernog i ostala dva regiona, </w:t>
      </w:r>
      <w:r w:rsidRPr="002C0CBA">
        <w:rPr>
          <w:rFonts w:cstheme="minorHAnsi"/>
          <w:sz w:val="18"/>
          <w:szCs w:val="18"/>
          <w:lang w:val="hr-BA"/>
        </w:rPr>
        <w:t>da će 5 od 6</w:t>
      </w:r>
      <w:r w:rsidRPr="002C0CBA">
        <w:rPr>
          <w:rFonts w:cstheme="minorHAnsi"/>
          <w:bCs/>
          <w:sz w:val="18"/>
          <w:szCs w:val="18"/>
          <w:lang w:val="hr-BA"/>
        </w:rPr>
        <w:t xml:space="preserve"> JLS u Središnjem regionu 2027. godine imati stepen razvijenosti veći od 75% prosjeka razvijenosti svih JLS u Crnoj Gori,</w:t>
      </w:r>
      <w:r w:rsidRPr="002C0CBA">
        <w:rPr>
          <w:rFonts w:cstheme="minorHAnsi"/>
          <w:sz w:val="18"/>
          <w:szCs w:val="18"/>
          <w:lang w:val="hr-BA"/>
        </w:rPr>
        <w:t xml:space="preserve"> kao i da će svaka od 6</w:t>
      </w:r>
      <w:r w:rsidRPr="002C0CBA">
        <w:rPr>
          <w:rFonts w:cstheme="minorHAnsi"/>
          <w:bCs/>
          <w:sz w:val="18"/>
          <w:szCs w:val="18"/>
          <w:lang w:val="hr-BA"/>
        </w:rPr>
        <w:t xml:space="preserve"> JLS u Primorskom  regionu 2027. godine imati stepen razvijenosti veći od 75% prosjeka razvijenosti svih JLS u Crnoj Gori. </w:t>
      </w:r>
    </w:p>
    <w:p w14:paraId="48541908" w14:textId="77777777" w:rsidR="00726BE7" w:rsidRPr="002C0CBA" w:rsidRDefault="00726BE7" w:rsidP="0048184E">
      <w:pPr>
        <w:spacing w:after="0" w:line="240" w:lineRule="auto"/>
        <w:jc w:val="both"/>
        <w:rPr>
          <w:rFonts w:cstheme="minorHAnsi"/>
          <w:sz w:val="18"/>
          <w:szCs w:val="18"/>
          <w:lang w:val="sr-Latn-ME"/>
        </w:rPr>
      </w:pPr>
    </w:p>
    <w:p w14:paraId="5D513081" w14:textId="77777777" w:rsidR="00A13DA5" w:rsidRPr="0048184E" w:rsidRDefault="00A13DA5" w:rsidP="0048184E">
      <w:pPr>
        <w:pStyle w:val="NoSpacing"/>
        <w:jc w:val="both"/>
        <w:rPr>
          <w:rFonts w:asciiTheme="minorHAnsi" w:hAnsiTheme="minorHAnsi" w:cs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0"/>
        <w:gridCol w:w="1108"/>
        <w:gridCol w:w="693"/>
        <w:gridCol w:w="1843"/>
        <w:gridCol w:w="1842"/>
        <w:gridCol w:w="1827"/>
      </w:tblGrid>
      <w:tr w:rsidR="0048184E" w:rsidRPr="0048184E" w14:paraId="4491F513" w14:textId="77777777" w:rsidTr="00723D39">
        <w:tc>
          <w:tcPr>
            <w:tcW w:w="1802" w:type="dxa"/>
            <w:shd w:val="clear" w:color="auto" w:fill="D9E2F3"/>
          </w:tcPr>
          <w:p w14:paraId="0EBEB496"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Uticaj</w:t>
            </w:r>
          </w:p>
        </w:tc>
        <w:tc>
          <w:tcPr>
            <w:tcW w:w="1141" w:type="dxa"/>
            <w:gridSpan w:val="2"/>
            <w:shd w:val="clear" w:color="auto" w:fill="D9E2F3"/>
          </w:tcPr>
          <w:p w14:paraId="45228B4D"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Indikator uticaja</w:t>
            </w:r>
          </w:p>
        </w:tc>
        <w:tc>
          <w:tcPr>
            <w:tcW w:w="709" w:type="dxa"/>
            <w:shd w:val="clear" w:color="auto" w:fill="D9E2F3"/>
          </w:tcPr>
          <w:p w14:paraId="5946D446"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Izvor</w:t>
            </w:r>
          </w:p>
        </w:tc>
        <w:tc>
          <w:tcPr>
            <w:tcW w:w="1985" w:type="dxa"/>
            <w:shd w:val="clear" w:color="auto" w:fill="D9E2F3"/>
          </w:tcPr>
          <w:p w14:paraId="0D4A7054"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Početna vrijednost 2022.</w:t>
            </w:r>
          </w:p>
        </w:tc>
        <w:tc>
          <w:tcPr>
            <w:tcW w:w="1984" w:type="dxa"/>
            <w:shd w:val="clear" w:color="auto" w:fill="D9E2F3"/>
          </w:tcPr>
          <w:p w14:paraId="7BC3F365"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Ciljna vrijednost u 2025.</w:t>
            </w:r>
          </w:p>
        </w:tc>
        <w:tc>
          <w:tcPr>
            <w:tcW w:w="1955" w:type="dxa"/>
            <w:shd w:val="clear" w:color="auto" w:fill="D9E2F3"/>
          </w:tcPr>
          <w:p w14:paraId="275D6254"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Ciljna vrijednost u 2027.</w:t>
            </w:r>
          </w:p>
        </w:tc>
      </w:tr>
      <w:tr w:rsidR="0048184E" w:rsidRPr="002A2822" w14:paraId="7775A7BA" w14:textId="77777777" w:rsidTr="00723D39">
        <w:tc>
          <w:tcPr>
            <w:tcW w:w="1813" w:type="dxa"/>
            <w:gridSpan w:val="2"/>
          </w:tcPr>
          <w:p w14:paraId="2E73BB7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Povećan stepen razvijenosti svih JLS na nivo iznad 50% prosjeka za Crnu Goru </w:t>
            </w:r>
          </w:p>
        </w:tc>
        <w:tc>
          <w:tcPr>
            <w:tcW w:w="1130" w:type="dxa"/>
            <w:shd w:val="clear" w:color="auto" w:fill="auto"/>
          </w:tcPr>
          <w:p w14:paraId="28EB646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Indeks razvijenosti JLS </w:t>
            </w:r>
          </w:p>
        </w:tc>
        <w:tc>
          <w:tcPr>
            <w:tcW w:w="709" w:type="dxa"/>
            <w:shd w:val="clear" w:color="auto" w:fill="auto"/>
          </w:tcPr>
          <w:p w14:paraId="69768DCA" w14:textId="77777777" w:rsidR="00A13DA5" w:rsidRPr="00FA06C4" w:rsidRDefault="00D25A5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MIRN</w:t>
            </w:r>
          </w:p>
          <w:p w14:paraId="042A7333" w14:textId="77777777" w:rsidR="00A13DA5" w:rsidRPr="00FA06C4" w:rsidRDefault="00A13DA5" w:rsidP="0048184E">
            <w:pPr>
              <w:pStyle w:val="NoSpacing"/>
              <w:rPr>
                <w:rFonts w:asciiTheme="minorHAnsi" w:hAnsiTheme="minorHAnsi" w:cstheme="minorHAnsi"/>
                <w:sz w:val="16"/>
                <w:szCs w:val="16"/>
                <w:lang w:val="sr-Latn-ME"/>
              </w:rPr>
            </w:pPr>
          </w:p>
        </w:tc>
        <w:tc>
          <w:tcPr>
            <w:tcW w:w="1985" w:type="dxa"/>
            <w:shd w:val="clear" w:color="auto" w:fill="auto"/>
          </w:tcPr>
          <w:p w14:paraId="6B9225D2"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Za period 2019-2021, (CG=100):</w:t>
            </w:r>
          </w:p>
          <w:p w14:paraId="60C1CF44" w14:textId="77777777" w:rsidR="00A13DA5" w:rsidRPr="00FA06C4" w:rsidRDefault="00A13DA5" w:rsidP="0048184E">
            <w:pPr>
              <w:pStyle w:val="NoSpacing"/>
              <w:rPr>
                <w:rFonts w:asciiTheme="minorHAnsi" w:hAnsiTheme="minorHAnsi" w:cstheme="minorHAnsi"/>
                <w:sz w:val="16"/>
                <w:szCs w:val="16"/>
                <w:lang w:val="sr-Latn-ME"/>
              </w:rPr>
            </w:pPr>
          </w:p>
          <w:p w14:paraId="063945C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Sjeverni region: 13 indikatora po JLS </w:t>
            </w:r>
          </w:p>
          <w:p w14:paraId="5E3700F1"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4 JLS: 75-100%</w:t>
            </w:r>
          </w:p>
          <w:p w14:paraId="7F2BFDF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5 JLS: 50-75% </w:t>
            </w:r>
          </w:p>
          <w:p w14:paraId="55BB7D9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4 JLS: &lt; 50%</w:t>
            </w:r>
          </w:p>
          <w:p w14:paraId="14CF04EC" w14:textId="77777777" w:rsidR="00A13DA5" w:rsidRPr="00FA06C4" w:rsidRDefault="00A13DA5" w:rsidP="0048184E">
            <w:pPr>
              <w:pStyle w:val="NoSpacing"/>
              <w:rPr>
                <w:rFonts w:asciiTheme="minorHAnsi" w:hAnsiTheme="minorHAnsi" w:cstheme="minorHAnsi"/>
                <w:sz w:val="16"/>
                <w:szCs w:val="16"/>
                <w:lang w:val="sr-Latn-ME"/>
              </w:rPr>
            </w:pPr>
          </w:p>
          <w:p w14:paraId="64FC8223"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sr-Latn-ME"/>
              </w:rPr>
              <w:t xml:space="preserve">Središnji region: </w:t>
            </w:r>
            <w:r w:rsidRPr="00FA06C4">
              <w:rPr>
                <w:rFonts w:asciiTheme="minorHAnsi" w:hAnsiTheme="minorHAnsi" w:cstheme="minorHAnsi"/>
                <w:sz w:val="16"/>
                <w:szCs w:val="16"/>
                <w:lang w:val="hr-BA"/>
              </w:rPr>
              <w:t>1 JLS &gt; iznad prosjeka CG (100)</w:t>
            </w:r>
          </w:p>
          <w:p w14:paraId="46195F97"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3 JLS: 75-100%</w:t>
            </w:r>
          </w:p>
          <w:p w14:paraId="56750CC1"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1 JLS: 50-75%</w:t>
            </w:r>
          </w:p>
          <w:p w14:paraId="63772D57" w14:textId="77777777" w:rsidR="00A13DA5" w:rsidRPr="00FA06C4" w:rsidRDefault="00A13DA5" w:rsidP="0048184E">
            <w:pPr>
              <w:pStyle w:val="NoSpacing"/>
              <w:rPr>
                <w:rFonts w:asciiTheme="minorHAnsi" w:hAnsiTheme="minorHAnsi" w:cstheme="minorHAnsi"/>
                <w:sz w:val="16"/>
                <w:szCs w:val="16"/>
                <w:lang w:val="sr-Latn-ME"/>
              </w:rPr>
            </w:pPr>
          </w:p>
          <w:p w14:paraId="6E134BA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Primorski region: </w:t>
            </w:r>
          </w:p>
          <w:p w14:paraId="754A38D4"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2 JLS: 75-100%</w:t>
            </w:r>
          </w:p>
          <w:p w14:paraId="3B732443"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hr-BA"/>
              </w:rPr>
              <w:t>4 JLS: više od 100%</w:t>
            </w:r>
          </w:p>
        </w:tc>
        <w:tc>
          <w:tcPr>
            <w:tcW w:w="1984" w:type="dxa"/>
          </w:tcPr>
          <w:p w14:paraId="4B42F2EF"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Za period 2022-2024, (CG=100):</w:t>
            </w:r>
          </w:p>
          <w:p w14:paraId="626E976F" w14:textId="77777777" w:rsidR="00A13DA5" w:rsidRPr="00181364" w:rsidRDefault="00A13DA5" w:rsidP="0048184E">
            <w:pPr>
              <w:pStyle w:val="NoSpacing"/>
              <w:rPr>
                <w:rFonts w:asciiTheme="minorHAnsi" w:hAnsiTheme="minorHAnsi" w:cstheme="minorHAnsi"/>
                <w:sz w:val="16"/>
                <w:szCs w:val="16"/>
                <w:lang w:val="sr-Latn-ME"/>
              </w:rPr>
            </w:pPr>
          </w:p>
          <w:p w14:paraId="47B46AA5"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Sjeverni region: 13 indikatora po JLS </w:t>
            </w:r>
          </w:p>
          <w:p w14:paraId="6F6C164D"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6 JLS: 75-100%</w:t>
            </w:r>
          </w:p>
          <w:p w14:paraId="20A08A6D"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5 JLS: 50-75% </w:t>
            </w:r>
          </w:p>
          <w:p w14:paraId="49EB3437"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2 JLS: &lt; 50%</w:t>
            </w:r>
          </w:p>
          <w:p w14:paraId="5F3EF9CB" w14:textId="77777777" w:rsidR="00A13DA5" w:rsidRPr="00181364" w:rsidRDefault="00A13DA5" w:rsidP="0048184E">
            <w:pPr>
              <w:pStyle w:val="NoSpacing"/>
              <w:rPr>
                <w:rFonts w:asciiTheme="minorHAnsi" w:hAnsiTheme="minorHAnsi" w:cstheme="minorHAnsi"/>
                <w:sz w:val="16"/>
                <w:szCs w:val="16"/>
                <w:lang w:val="sr-Latn-ME"/>
              </w:rPr>
            </w:pPr>
          </w:p>
          <w:p w14:paraId="0E01DC75"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sr-Latn-ME"/>
              </w:rPr>
              <w:t xml:space="preserve">Središnji region: </w:t>
            </w:r>
            <w:r w:rsidRPr="00181364">
              <w:rPr>
                <w:rFonts w:asciiTheme="minorHAnsi" w:hAnsiTheme="minorHAnsi" w:cstheme="minorHAnsi"/>
                <w:sz w:val="16"/>
                <w:szCs w:val="16"/>
                <w:lang w:val="hr-BA"/>
              </w:rPr>
              <w:t>1 JLS &gt; iznad prosjeka CG (100)</w:t>
            </w:r>
          </w:p>
          <w:p w14:paraId="787323B5"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3 JLS: 75-100%</w:t>
            </w:r>
          </w:p>
          <w:p w14:paraId="742DC139"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50-75%</w:t>
            </w:r>
          </w:p>
          <w:p w14:paraId="1A5AAC42" w14:textId="77777777" w:rsidR="00A13DA5" w:rsidRPr="00181364" w:rsidRDefault="00A13DA5" w:rsidP="0048184E">
            <w:pPr>
              <w:pStyle w:val="NoSpacing"/>
              <w:rPr>
                <w:rFonts w:asciiTheme="minorHAnsi" w:hAnsiTheme="minorHAnsi" w:cstheme="minorHAnsi"/>
                <w:sz w:val="16"/>
                <w:szCs w:val="16"/>
                <w:lang w:val="sr-Latn-ME"/>
              </w:rPr>
            </w:pPr>
          </w:p>
          <w:p w14:paraId="238F1FE4"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Primorski region: </w:t>
            </w:r>
          </w:p>
          <w:p w14:paraId="44C74558"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75-100%</w:t>
            </w:r>
          </w:p>
          <w:p w14:paraId="2BBC20CE"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hr-BA"/>
              </w:rPr>
              <w:t>5 JLS: više od 100%</w:t>
            </w:r>
          </w:p>
        </w:tc>
        <w:tc>
          <w:tcPr>
            <w:tcW w:w="1955" w:type="dxa"/>
            <w:shd w:val="clear" w:color="auto" w:fill="auto"/>
          </w:tcPr>
          <w:p w14:paraId="6B433E8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Za period 2024-2026, (CG=100):</w:t>
            </w:r>
          </w:p>
          <w:p w14:paraId="0DC283A8" w14:textId="77777777" w:rsidR="00A13DA5" w:rsidRPr="00181364" w:rsidRDefault="00A13DA5" w:rsidP="0048184E">
            <w:pPr>
              <w:pStyle w:val="NoSpacing"/>
              <w:rPr>
                <w:rFonts w:asciiTheme="minorHAnsi" w:hAnsiTheme="minorHAnsi" w:cstheme="minorHAnsi"/>
                <w:sz w:val="16"/>
                <w:szCs w:val="16"/>
                <w:lang w:val="sr-Latn-ME"/>
              </w:rPr>
            </w:pPr>
          </w:p>
          <w:p w14:paraId="7A4189F0"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Sjeverni region: 13 indikatora po JLS </w:t>
            </w:r>
          </w:p>
          <w:p w14:paraId="3F55A81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6 JLS: 75-100%</w:t>
            </w:r>
          </w:p>
          <w:p w14:paraId="541E1D0C"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6 JLS: 50-75% </w:t>
            </w:r>
          </w:p>
          <w:p w14:paraId="224D330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1 JLS: &lt; 50%</w:t>
            </w:r>
          </w:p>
          <w:p w14:paraId="06AB229B" w14:textId="77777777" w:rsidR="00A13DA5" w:rsidRPr="00181364" w:rsidRDefault="00A13DA5" w:rsidP="0048184E">
            <w:pPr>
              <w:pStyle w:val="NoSpacing"/>
              <w:rPr>
                <w:rFonts w:asciiTheme="minorHAnsi" w:hAnsiTheme="minorHAnsi" w:cstheme="minorHAnsi"/>
                <w:sz w:val="16"/>
                <w:szCs w:val="16"/>
                <w:lang w:val="sr-Latn-ME"/>
              </w:rPr>
            </w:pPr>
          </w:p>
          <w:p w14:paraId="6E5B5B57"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sr-Latn-ME"/>
              </w:rPr>
              <w:t xml:space="preserve">Središnji region: </w:t>
            </w:r>
            <w:r w:rsidRPr="00181364">
              <w:rPr>
                <w:rFonts w:asciiTheme="minorHAnsi" w:hAnsiTheme="minorHAnsi" w:cstheme="minorHAnsi"/>
                <w:sz w:val="16"/>
                <w:szCs w:val="16"/>
                <w:lang w:val="hr-BA"/>
              </w:rPr>
              <w:t>2 JLS &gt; iznad prosjeka CG (100)</w:t>
            </w:r>
          </w:p>
          <w:p w14:paraId="41CBF9F0"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3 JLS: 75-100%</w:t>
            </w:r>
          </w:p>
          <w:p w14:paraId="4940443A"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50-75%</w:t>
            </w:r>
          </w:p>
          <w:p w14:paraId="41864F52" w14:textId="77777777" w:rsidR="00A13DA5" w:rsidRPr="00181364" w:rsidRDefault="00A13DA5" w:rsidP="0048184E">
            <w:pPr>
              <w:pStyle w:val="NoSpacing"/>
              <w:rPr>
                <w:rFonts w:asciiTheme="minorHAnsi" w:hAnsiTheme="minorHAnsi" w:cstheme="minorHAnsi"/>
                <w:sz w:val="16"/>
                <w:szCs w:val="16"/>
                <w:lang w:val="sr-Latn-ME"/>
              </w:rPr>
            </w:pPr>
          </w:p>
          <w:p w14:paraId="589DC5FE"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sr-Latn-ME"/>
              </w:rPr>
              <w:t>Primorski region:</w:t>
            </w:r>
            <w:r w:rsidRPr="00181364">
              <w:rPr>
                <w:rFonts w:asciiTheme="minorHAnsi" w:hAnsiTheme="minorHAnsi" w:cstheme="minorHAnsi"/>
                <w:sz w:val="16"/>
                <w:szCs w:val="16"/>
                <w:lang w:val="hr-BA"/>
              </w:rPr>
              <w:t xml:space="preserve"> </w:t>
            </w:r>
          </w:p>
          <w:p w14:paraId="37C18CDF"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75-100%</w:t>
            </w:r>
          </w:p>
          <w:p w14:paraId="17461A8F"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hr-BA"/>
              </w:rPr>
              <w:t>5 JLS: više od 100%</w:t>
            </w:r>
          </w:p>
        </w:tc>
      </w:tr>
      <w:tr w:rsidR="0048184E" w:rsidRPr="002A2822" w14:paraId="4E4E25D6" w14:textId="77777777" w:rsidTr="00723D39">
        <w:tc>
          <w:tcPr>
            <w:tcW w:w="1813" w:type="dxa"/>
            <w:gridSpan w:val="2"/>
          </w:tcPr>
          <w:p w14:paraId="77B08B3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Povećan stepen razvijenosti regiona u cjelini</w:t>
            </w:r>
          </w:p>
        </w:tc>
        <w:tc>
          <w:tcPr>
            <w:tcW w:w="1130" w:type="dxa"/>
          </w:tcPr>
          <w:p w14:paraId="4AD9DEE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Indeks razvijenosti regiona</w:t>
            </w:r>
          </w:p>
        </w:tc>
        <w:tc>
          <w:tcPr>
            <w:tcW w:w="709" w:type="dxa"/>
          </w:tcPr>
          <w:p w14:paraId="23490BA0" w14:textId="77777777" w:rsidR="00A13DA5" w:rsidRPr="00FA06C4" w:rsidRDefault="00D25A5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MIRN</w:t>
            </w:r>
          </w:p>
          <w:p w14:paraId="444FCC72" w14:textId="77777777" w:rsidR="00A13DA5" w:rsidRPr="00FA06C4" w:rsidRDefault="00A13DA5" w:rsidP="0048184E">
            <w:pPr>
              <w:pStyle w:val="NoSpacing"/>
              <w:rPr>
                <w:rFonts w:asciiTheme="minorHAnsi" w:hAnsiTheme="minorHAnsi" w:cstheme="minorHAnsi"/>
                <w:sz w:val="16"/>
                <w:szCs w:val="16"/>
                <w:lang w:val="sr-Latn-ME"/>
              </w:rPr>
            </w:pPr>
          </w:p>
        </w:tc>
        <w:tc>
          <w:tcPr>
            <w:tcW w:w="1985" w:type="dxa"/>
          </w:tcPr>
          <w:p w14:paraId="44630AA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2019-2021.</w:t>
            </w:r>
          </w:p>
          <w:p w14:paraId="269C8F52" w14:textId="77777777" w:rsidR="00A13DA5" w:rsidRPr="00FA06C4" w:rsidRDefault="00A13DA5" w:rsidP="0048184E">
            <w:pPr>
              <w:pStyle w:val="NoSpacing"/>
              <w:rPr>
                <w:rFonts w:asciiTheme="minorHAnsi" w:hAnsiTheme="minorHAnsi" w:cstheme="minorHAnsi"/>
                <w:sz w:val="16"/>
                <w:szCs w:val="16"/>
                <w:lang w:val="sr-Latn-ME"/>
              </w:rPr>
            </w:pPr>
          </w:p>
          <w:p w14:paraId="5F3310C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13 JLS Sjevernog regiona 57</w:t>
            </w:r>
          </w:p>
          <w:p w14:paraId="4517BA3F" w14:textId="77777777" w:rsidR="00A13DA5" w:rsidRPr="00FA06C4" w:rsidRDefault="00A13DA5" w:rsidP="0048184E">
            <w:pPr>
              <w:pStyle w:val="NoSpacing"/>
              <w:rPr>
                <w:rFonts w:asciiTheme="minorHAnsi" w:hAnsiTheme="minorHAnsi" w:cstheme="minorHAnsi"/>
                <w:sz w:val="16"/>
                <w:szCs w:val="16"/>
                <w:lang w:val="sr-Latn-ME"/>
              </w:rPr>
            </w:pPr>
          </w:p>
          <w:p w14:paraId="3A50EAD0"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JLS Središnjeg regiona</w:t>
            </w:r>
          </w:p>
          <w:p w14:paraId="4D4D04EE"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97</w:t>
            </w:r>
          </w:p>
          <w:p w14:paraId="1EC2F05C" w14:textId="77777777" w:rsidR="00A13DA5" w:rsidRPr="00FA06C4" w:rsidRDefault="00A13DA5" w:rsidP="0048184E">
            <w:pPr>
              <w:pStyle w:val="NoSpacing"/>
              <w:rPr>
                <w:rFonts w:asciiTheme="minorHAnsi" w:hAnsiTheme="minorHAnsi" w:cstheme="minorHAnsi"/>
                <w:sz w:val="16"/>
                <w:szCs w:val="16"/>
                <w:lang w:val="hr-BA"/>
              </w:rPr>
            </w:pPr>
          </w:p>
          <w:p w14:paraId="378BC15B"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Primorski region: 115</w:t>
            </w:r>
          </w:p>
          <w:p w14:paraId="078581ED" w14:textId="77777777" w:rsidR="00A13DA5" w:rsidRPr="00FA06C4" w:rsidRDefault="00A13DA5" w:rsidP="0048184E">
            <w:pPr>
              <w:pStyle w:val="NoSpacing"/>
              <w:rPr>
                <w:rFonts w:asciiTheme="minorHAnsi" w:hAnsiTheme="minorHAnsi" w:cstheme="minorHAnsi"/>
                <w:sz w:val="16"/>
                <w:szCs w:val="16"/>
                <w:lang w:val="sr-Latn-ME"/>
              </w:rPr>
            </w:pPr>
          </w:p>
          <w:p w14:paraId="27D6079D" w14:textId="77777777" w:rsidR="00A13DA5" w:rsidRPr="00FA06C4" w:rsidRDefault="00A13DA5" w:rsidP="0048184E">
            <w:pPr>
              <w:pStyle w:val="NoSpacing"/>
              <w:rPr>
                <w:rFonts w:asciiTheme="minorHAnsi" w:hAnsiTheme="minorHAnsi" w:cstheme="minorHAnsi"/>
                <w:sz w:val="16"/>
                <w:szCs w:val="16"/>
                <w:lang w:val="sr-Latn-ME"/>
              </w:rPr>
            </w:pPr>
          </w:p>
          <w:p w14:paraId="58EED372" w14:textId="77777777" w:rsidR="00A13DA5" w:rsidRPr="00FA06C4" w:rsidRDefault="00A13DA5" w:rsidP="0048184E">
            <w:pPr>
              <w:pStyle w:val="NoSpacing"/>
              <w:rPr>
                <w:rFonts w:asciiTheme="minorHAnsi" w:hAnsiTheme="minorHAnsi" w:cstheme="minorHAnsi"/>
                <w:sz w:val="16"/>
                <w:szCs w:val="16"/>
                <w:lang w:val="sr-Latn-ME"/>
              </w:rPr>
            </w:pPr>
          </w:p>
        </w:tc>
        <w:tc>
          <w:tcPr>
            <w:tcW w:w="1984" w:type="dxa"/>
          </w:tcPr>
          <w:p w14:paraId="5D32AC35"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lastRenderedPageBreak/>
              <w:t>2022-2024.</w:t>
            </w:r>
          </w:p>
          <w:p w14:paraId="7C054764" w14:textId="77777777" w:rsidR="00A13DA5" w:rsidRPr="00181364" w:rsidRDefault="00A13DA5" w:rsidP="0048184E">
            <w:pPr>
              <w:pStyle w:val="NoSpacing"/>
              <w:rPr>
                <w:rFonts w:asciiTheme="minorHAnsi" w:hAnsiTheme="minorHAnsi" w:cstheme="minorHAnsi"/>
                <w:sz w:val="16"/>
                <w:szCs w:val="16"/>
                <w:lang w:val="sr-Latn-ME"/>
              </w:rPr>
            </w:pPr>
          </w:p>
          <w:p w14:paraId="7190B4DF"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13 JLS Sjevernog regiona 60.5</w:t>
            </w:r>
          </w:p>
          <w:p w14:paraId="5777BE6E" w14:textId="77777777" w:rsidR="00A13DA5" w:rsidRPr="00181364" w:rsidRDefault="00A13DA5" w:rsidP="0048184E">
            <w:pPr>
              <w:pStyle w:val="NoSpacing"/>
              <w:rPr>
                <w:rFonts w:asciiTheme="minorHAnsi" w:hAnsiTheme="minorHAnsi" w:cstheme="minorHAnsi"/>
                <w:sz w:val="16"/>
                <w:szCs w:val="16"/>
                <w:lang w:val="sr-Latn-ME"/>
              </w:rPr>
            </w:pPr>
          </w:p>
          <w:p w14:paraId="27D15FB3"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 xml:space="preserve">JLS Središnjeg regiona </w:t>
            </w:r>
          </w:p>
          <w:p w14:paraId="2651126C"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101</w:t>
            </w:r>
          </w:p>
          <w:p w14:paraId="0F3C7C26" w14:textId="77777777" w:rsidR="00A13DA5" w:rsidRPr="00181364" w:rsidRDefault="00A13DA5" w:rsidP="0048184E">
            <w:pPr>
              <w:pStyle w:val="NoSpacing"/>
              <w:rPr>
                <w:rFonts w:asciiTheme="minorHAnsi" w:hAnsiTheme="minorHAnsi" w:cstheme="minorHAnsi"/>
                <w:sz w:val="16"/>
                <w:szCs w:val="16"/>
                <w:lang w:val="sr-Latn-ME"/>
              </w:rPr>
            </w:pPr>
          </w:p>
          <w:p w14:paraId="1E73792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Primorski region: 121</w:t>
            </w:r>
          </w:p>
          <w:p w14:paraId="4EFB7B40" w14:textId="77777777" w:rsidR="00A13DA5" w:rsidRPr="00181364" w:rsidRDefault="00A13DA5" w:rsidP="0048184E">
            <w:pPr>
              <w:pStyle w:val="NoSpacing"/>
              <w:rPr>
                <w:rFonts w:asciiTheme="minorHAnsi" w:hAnsiTheme="minorHAnsi" w:cstheme="minorHAnsi"/>
                <w:sz w:val="16"/>
                <w:szCs w:val="16"/>
                <w:lang w:val="sr-Latn-ME"/>
              </w:rPr>
            </w:pPr>
          </w:p>
        </w:tc>
        <w:tc>
          <w:tcPr>
            <w:tcW w:w="1955" w:type="dxa"/>
          </w:tcPr>
          <w:p w14:paraId="20B414ED"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lastRenderedPageBreak/>
              <w:t xml:space="preserve">Rast agregatnog indeksa razvijenosti Sjevernog regiona za period 2024-2026. za 20% u odnosu na 2022. godinu i smanjenje jaza u nivou </w:t>
            </w:r>
            <w:r w:rsidRPr="00181364">
              <w:rPr>
                <w:rFonts w:asciiTheme="minorHAnsi" w:hAnsiTheme="minorHAnsi" w:cstheme="minorHAnsi"/>
                <w:sz w:val="16"/>
                <w:szCs w:val="16"/>
                <w:lang w:val="sr-Latn-ME"/>
              </w:rPr>
              <w:lastRenderedPageBreak/>
              <w:t>razvijenosti u odnosu na ostala dva regiona.</w:t>
            </w:r>
          </w:p>
          <w:p w14:paraId="3793974C" w14:textId="77777777" w:rsidR="00A13DA5" w:rsidRPr="00181364" w:rsidRDefault="00A13DA5" w:rsidP="0048184E">
            <w:pPr>
              <w:pStyle w:val="NoSpacing"/>
              <w:rPr>
                <w:rFonts w:asciiTheme="minorHAnsi" w:hAnsiTheme="minorHAnsi" w:cstheme="minorHAnsi"/>
                <w:sz w:val="16"/>
                <w:szCs w:val="16"/>
                <w:lang w:val="sr-Latn-ME"/>
              </w:rPr>
            </w:pPr>
          </w:p>
          <w:p w14:paraId="3420183A"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hr-BA"/>
              </w:rPr>
              <w:t>Rast agregatnog indeksa razvijenosti Središnjeg i Primorskog regiona za po 10%</w:t>
            </w:r>
          </w:p>
        </w:tc>
      </w:tr>
      <w:tr w:rsidR="00A13DA5" w:rsidRPr="002A2822" w14:paraId="78B0700F" w14:textId="77777777" w:rsidTr="00723D39">
        <w:tc>
          <w:tcPr>
            <w:tcW w:w="9576" w:type="dxa"/>
            <w:gridSpan w:val="7"/>
            <w:shd w:val="clear" w:color="auto" w:fill="D9E2F3"/>
          </w:tcPr>
          <w:p w14:paraId="270E687F" w14:textId="77777777" w:rsidR="00A13DA5" w:rsidRPr="00FA06C4" w:rsidRDefault="00A13DA5" w:rsidP="0048184E">
            <w:pPr>
              <w:pStyle w:val="NoSpacing"/>
              <w:rPr>
                <w:rFonts w:asciiTheme="minorHAnsi" w:hAnsiTheme="minorHAnsi" w:cstheme="minorHAnsi"/>
                <w:b/>
                <w:sz w:val="16"/>
                <w:szCs w:val="16"/>
                <w:lang w:val="hr-BA"/>
              </w:rPr>
            </w:pPr>
            <w:r w:rsidRPr="00FA06C4">
              <w:rPr>
                <w:rFonts w:asciiTheme="minorHAnsi" w:hAnsiTheme="minorHAnsi" w:cstheme="minorHAnsi"/>
                <w:b/>
                <w:sz w:val="16"/>
                <w:szCs w:val="16"/>
                <w:lang w:val="hr-BA"/>
              </w:rPr>
              <w:lastRenderedPageBreak/>
              <w:t>U OKVIRU STRATEŠKOG CILJA 3 DEFINISANI SU SLJEDEĆI OPERATIVNI CILJEVI (OC):</w:t>
            </w:r>
          </w:p>
          <w:p w14:paraId="6ECB9D3C" w14:textId="77777777" w:rsidR="00A13DA5" w:rsidRPr="00FA06C4" w:rsidRDefault="00A13DA5" w:rsidP="0048184E">
            <w:pPr>
              <w:pStyle w:val="NoSpacing"/>
              <w:rPr>
                <w:rFonts w:asciiTheme="minorHAnsi" w:hAnsiTheme="minorHAnsi" w:cstheme="minorHAnsi"/>
                <w:b/>
                <w:sz w:val="16"/>
                <w:szCs w:val="16"/>
                <w:u w:val="single"/>
                <w:lang w:val="sr-Latn-ME"/>
              </w:rPr>
            </w:pPr>
            <w:r w:rsidRPr="00FA06C4">
              <w:rPr>
                <w:rFonts w:asciiTheme="minorHAnsi" w:hAnsiTheme="minorHAnsi" w:cstheme="minorHAnsi"/>
                <w:b/>
                <w:sz w:val="16"/>
                <w:szCs w:val="16"/>
                <w:u w:val="single"/>
                <w:lang w:val="sr-Latn-ME"/>
              </w:rPr>
              <w:t>Pametni rast</w:t>
            </w:r>
          </w:p>
          <w:p w14:paraId="145C037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3.1. Povećanje regionalne konkurentnosti</w:t>
            </w:r>
          </w:p>
          <w:p w14:paraId="28FE42C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3.2. Razvoj prioritetnih sektora i sektora sa potencijalom rasta sa fokusom na diverzifikaciju turističkog proizvoda, prerađivačku industriju i valorizaciju kulturne baštine</w:t>
            </w:r>
          </w:p>
          <w:p w14:paraId="3D539B03" w14:textId="77777777" w:rsidR="00A13DA5" w:rsidRPr="00FA06C4" w:rsidRDefault="00A13DA5" w:rsidP="0048184E">
            <w:pPr>
              <w:pStyle w:val="NoSpacing"/>
              <w:rPr>
                <w:rFonts w:asciiTheme="minorHAnsi" w:hAnsiTheme="minorHAnsi" w:cstheme="minorHAnsi"/>
                <w:b/>
                <w:sz w:val="16"/>
                <w:szCs w:val="16"/>
                <w:u w:val="single"/>
                <w:lang w:val="sr-Latn-ME"/>
              </w:rPr>
            </w:pPr>
            <w:r w:rsidRPr="00FA06C4">
              <w:rPr>
                <w:rFonts w:asciiTheme="minorHAnsi" w:hAnsiTheme="minorHAnsi" w:cstheme="minorHAnsi"/>
                <w:b/>
                <w:sz w:val="16"/>
                <w:szCs w:val="16"/>
                <w:u w:val="single"/>
                <w:lang w:val="sr-Latn-ME"/>
              </w:rPr>
              <w:t>Održivi rast</w:t>
            </w:r>
          </w:p>
          <w:p w14:paraId="4B6EA512"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3.3. Unaprjeđenje saobraćajne infrastrukture</w:t>
            </w:r>
          </w:p>
          <w:p w14:paraId="6EBF7B5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3.4. Unaprjeđenje uslova za proizvodnju visokokvalitetne hrane, organskog porijekla uz održiv dohodak poljoprivrednika</w:t>
            </w:r>
          </w:p>
          <w:p w14:paraId="42EC2767" w14:textId="77777777" w:rsidR="00A13DA5" w:rsidRPr="0048184E" w:rsidRDefault="00A13DA5" w:rsidP="0048184E">
            <w:pPr>
              <w:pStyle w:val="NoSpacing"/>
              <w:rPr>
                <w:rFonts w:asciiTheme="minorHAnsi" w:hAnsiTheme="minorHAnsi" w:cstheme="minorHAnsi"/>
                <w:sz w:val="18"/>
                <w:szCs w:val="18"/>
                <w:lang w:val="sr-Latn-ME"/>
              </w:rPr>
            </w:pPr>
            <w:r w:rsidRPr="00FA06C4">
              <w:rPr>
                <w:rFonts w:asciiTheme="minorHAnsi" w:hAnsiTheme="minorHAnsi" w:cstheme="minorHAnsi"/>
                <w:sz w:val="16"/>
                <w:szCs w:val="16"/>
                <w:lang w:val="sr-Latn-ME"/>
              </w:rPr>
              <w:t>OC 3.5. Zaštita životne sredine, razvoj energetike, unaprjeđenje energetske efikasnosti, adaptacija i mitigacija efekata</w:t>
            </w:r>
            <w:r w:rsidRPr="0048184E">
              <w:rPr>
                <w:rFonts w:asciiTheme="minorHAnsi" w:hAnsiTheme="minorHAnsi" w:cstheme="minorHAnsi"/>
                <w:sz w:val="18"/>
                <w:szCs w:val="18"/>
                <w:lang w:val="sr-Latn-ME"/>
              </w:rPr>
              <w:t xml:space="preserve"> klimatskih </w:t>
            </w:r>
            <w:r w:rsidRPr="00FA06C4">
              <w:rPr>
                <w:rFonts w:asciiTheme="minorHAnsi" w:hAnsiTheme="minorHAnsi" w:cstheme="minorHAnsi"/>
                <w:sz w:val="16"/>
                <w:szCs w:val="16"/>
                <w:lang w:val="sr-Latn-ME"/>
              </w:rPr>
              <w:t>promjena</w:t>
            </w:r>
          </w:p>
        </w:tc>
      </w:tr>
    </w:tbl>
    <w:p w14:paraId="23C7E0E5" w14:textId="77777777" w:rsidR="00706C55" w:rsidRPr="0048184E" w:rsidRDefault="00706C55" w:rsidP="00FA06C4">
      <w:pPr>
        <w:pStyle w:val="NoSpacing"/>
        <w:rPr>
          <w:rFonts w:asciiTheme="minorHAnsi" w:hAnsiTheme="minorHAnsi" w:cstheme="minorHAnsi"/>
          <w:b/>
          <w:sz w:val="18"/>
          <w:szCs w:val="18"/>
          <w:lang w:val="sr-Latn-ME"/>
        </w:rPr>
      </w:pPr>
    </w:p>
    <w:p w14:paraId="460B64F8" w14:textId="77777777" w:rsidR="00A13DA5" w:rsidRPr="00FA06C4" w:rsidRDefault="00A13DA5" w:rsidP="0048184E">
      <w:pPr>
        <w:pStyle w:val="Heading21"/>
        <w:numPr>
          <w:ilvl w:val="1"/>
          <w:numId w:val="28"/>
        </w:numPr>
        <w:spacing w:before="0"/>
        <w:rPr>
          <w:color w:val="4472C4" w:themeColor="accent5"/>
          <w:szCs w:val="22"/>
          <w:lang w:val="pl-PL"/>
        </w:rPr>
      </w:pPr>
      <w:bookmarkStart w:id="63" w:name="_Toc205215854"/>
      <w:r w:rsidRPr="00FA06C4">
        <w:rPr>
          <w:color w:val="4472C4" w:themeColor="accent5"/>
          <w:szCs w:val="22"/>
          <w:lang w:val="pl-PL"/>
        </w:rPr>
        <w:t>OPERATIVNI CILJ 3.1. Povećanje regionalne konkurentnosti</w:t>
      </w:r>
      <w:bookmarkEnd w:id="63"/>
    </w:p>
    <w:p w14:paraId="3E2D4547" w14:textId="77777777" w:rsidR="00A13DA5" w:rsidRPr="0048184E" w:rsidRDefault="00A13DA5" w:rsidP="0048184E">
      <w:pPr>
        <w:pStyle w:val="NoSpacing"/>
        <w:jc w:val="both"/>
        <w:rPr>
          <w:rFonts w:asciiTheme="minorHAnsi" w:hAnsiTheme="minorHAnsi" w:cstheme="minorHAnsi"/>
          <w:sz w:val="18"/>
          <w:szCs w:val="18"/>
          <w:lang w:val="sr-Latn-ME"/>
        </w:rPr>
      </w:pPr>
    </w:p>
    <w:p w14:paraId="69C77DB2" w14:textId="77777777" w:rsidR="007E34F0"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Realizacijom aktivnosti koje su definisane u okviru ovog operativnog cilja, planirano je dalje unaprjeđenje institucionalne infrastrukture i raspoloživost različitih servisa koji su neophodni mikro, malim i srednjim preduzećima i preduzetnicima/cama, za osnivanje i funkcionisanje biznisa kao i jačanje kapaciteta. Takođe, predviđeno je sprovođenje aktivnosti na jačanju saradnje sa akademskom zajednicom u oblasti inovacija i smanjenju broja fiskalnih i parafiskalnih nameta, prevashodno kroz potencijalnu reformu poreske politike, administrativnih i lokalnih komunalnih taksi, naknada i broja dozvola, i obezbjeđenju njihove unificiranosti između opština. </w:t>
      </w:r>
      <w:r w:rsidRPr="0048184E">
        <w:rPr>
          <w:rFonts w:eastAsia="Times New Roman" w:cstheme="minorHAnsi"/>
          <w:sz w:val="18"/>
          <w:szCs w:val="18"/>
          <w:lang w:val="sr-Latn-ME"/>
        </w:rPr>
        <w:t>U ovom dijelu je potrebno nastaviti sa daljim aktivnostima na uspostavljanju potpune elektronske registracije preduzeća.</w:t>
      </w:r>
      <w:r w:rsidRPr="0048184E">
        <w:rPr>
          <w:rFonts w:cstheme="minorHAnsi"/>
          <w:sz w:val="18"/>
          <w:szCs w:val="18"/>
          <w:lang w:val="sr-Latn-ME"/>
        </w:rPr>
        <w:t xml:space="preserve"> </w:t>
      </w:r>
      <w:r w:rsidRPr="0048184E">
        <w:rPr>
          <w:rFonts w:eastAsia="Times New Roman" w:cstheme="minorHAnsi"/>
          <w:sz w:val="18"/>
          <w:szCs w:val="18"/>
          <w:lang w:val="sr-Latn-ME"/>
        </w:rPr>
        <w:t>Takođe, digitalizacija javne uprave kroz razvoj i unaprjeđenje digitalnih vještina, uz primjenu digitalnih tehnologija, platformi i alata važni su u cilju jačanja dalje podrške lokalne i centralne administracije. Dodatno, nastavak aktivnosti vezanih za širokopojasni pristup internetu, uvođenje mreža nove generacije, usklađivanje zakonskog okvira u ovoj oblasti sa EU zakonodavstvom, doprinijeće daljoj digitalnoj transformaciji regiona.</w:t>
      </w:r>
      <w:r w:rsidRPr="0048184E">
        <w:rPr>
          <w:rFonts w:cstheme="minorHAnsi"/>
          <w:sz w:val="18"/>
          <w:szCs w:val="18"/>
          <w:lang w:val="sr-Latn-ME"/>
        </w:rPr>
        <w:t xml:space="preserve"> Takođe je potrebno ujednačiti procedure izdavanja građevinskih dozvola po JLS posebno Primorskog regiona i dalje osnažiti turističku infrastrukturu.</w:t>
      </w:r>
    </w:p>
    <w:p w14:paraId="252E0BC1" w14:textId="77777777" w:rsidR="00A13DA5" w:rsidRPr="0048184E" w:rsidRDefault="00A13DA5" w:rsidP="0048184E">
      <w:pPr>
        <w:pStyle w:val="NoSpacing"/>
        <w:jc w:val="both"/>
        <w:rPr>
          <w:rFonts w:asciiTheme="minorHAnsi" w:hAnsiTheme="minorHAnsi" w:cstheme="minorHAnsi"/>
          <w:sz w:val="18"/>
          <w:szCs w:val="18"/>
          <w:lang w:val="sr-Latn-ME"/>
        </w:rPr>
      </w:pPr>
    </w:p>
    <w:p w14:paraId="7285A8C7"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Ostvarenje ovog operativnog cilja će se takođe postići kroz lakši pristup finansijskim sredstvima i povećanju dodate vrijednosti u proizvodnji kroz targetiranu podršku, konkretno kroz subvencije za otpočinjanje biznisa, unaprjeđenje konkurentnosti, modernizaciju proizvodnje i sl. U ovom dijelu planirane su određene izmjene podzakonskih akata, kojima će se uvesti dodatni bodovi u okviru kriterijuma za dodjelu subvencija MMSP. Ujedno, planiran je nastavak postojeće poreske politike kada su u pitanju direktni porezi. </w:t>
      </w:r>
    </w:p>
    <w:p w14:paraId="0CA8C6F1" w14:textId="77777777" w:rsidR="007E34F0" w:rsidRPr="0048184E" w:rsidRDefault="007E34F0" w:rsidP="0048184E">
      <w:pPr>
        <w:pStyle w:val="NoSpacing"/>
        <w:jc w:val="both"/>
        <w:rPr>
          <w:rFonts w:asciiTheme="minorHAnsi" w:hAnsiTheme="minorHAnsi" w:cstheme="minorHAnsi"/>
          <w:sz w:val="18"/>
          <w:szCs w:val="18"/>
          <w:lang w:val="sr-Latn-ME"/>
        </w:rPr>
      </w:pPr>
    </w:p>
    <w:p w14:paraId="41E4CDB6" w14:textId="77777777" w:rsidR="007E34F0" w:rsidRPr="0048184E" w:rsidRDefault="007E34F0" w:rsidP="0048184E">
      <w:pPr>
        <w:spacing w:after="0" w:line="240" w:lineRule="auto"/>
        <w:jc w:val="both"/>
        <w:rPr>
          <w:rFonts w:cstheme="minorHAnsi"/>
          <w:sz w:val="18"/>
          <w:szCs w:val="18"/>
          <w:lang w:val="sr-Latn-ME"/>
        </w:rPr>
      </w:pP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okviru</w:t>
      </w:r>
      <w:r w:rsidRPr="0048184E">
        <w:rPr>
          <w:rFonts w:cstheme="minorHAnsi"/>
          <w:sz w:val="18"/>
          <w:szCs w:val="18"/>
          <w:lang w:val="sr-Latn-ME"/>
        </w:rPr>
        <w:t xml:space="preserve"> </w:t>
      </w:r>
      <w:r w:rsidRPr="0048184E">
        <w:rPr>
          <w:rFonts w:cstheme="minorHAnsi"/>
          <w:sz w:val="18"/>
          <w:szCs w:val="18"/>
          <w:lang w:val="pl-PL"/>
        </w:rPr>
        <w:t>ovog</w:t>
      </w:r>
      <w:r w:rsidRPr="0048184E">
        <w:rPr>
          <w:rFonts w:cstheme="minorHAnsi"/>
          <w:sz w:val="18"/>
          <w:szCs w:val="18"/>
          <w:lang w:val="sr-Latn-ME"/>
        </w:rPr>
        <w:t xml:space="preserve"> </w:t>
      </w:r>
      <w:r w:rsidRPr="0048184E">
        <w:rPr>
          <w:rFonts w:cstheme="minorHAnsi"/>
          <w:sz w:val="18"/>
          <w:szCs w:val="18"/>
          <w:lang w:val="pl-PL"/>
        </w:rPr>
        <w:t>cilja</w:t>
      </w:r>
      <w:r w:rsidRPr="0048184E">
        <w:rPr>
          <w:rFonts w:cstheme="minorHAnsi"/>
          <w:sz w:val="18"/>
          <w:szCs w:val="18"/>
          <w:lang w:val="sr-Latn-ME"/>
        </w:rPr>
        <w:t xml:space="preserve"> </w:t>
      </w:r>
      <w:r w:rsidRPr="0048184E">
        <w:rPr>
          <w:rFonts w:cstheme="minorHAnsi"/>
          <w:sz w:val="18"/>
          <w:szCs w:val="18"/>
          <w:lang w:val="pl-PL"/>
        </w:rPr>
        <w:t>mogu</w:t>
      </w:r>
      <w:r w:rsidRPr="0048184E">
        <w:rPr>
          <w:rFonts w:cstheme="minorHAnsi"/>
          <w:sz w:val="18"/>
          <w:szCs w:val="18"/>
          <w:lang w:val="sr-Latn-ME"/>
        </w:rPr>
        <w:t>ć</w:t>
      </w:r>
      <w:r w:rsidRPr="0048184E">
        <w:rPr>
          <w:rFonts w:cstheme="minorHAnsi"/>
          <w:sz w:val="18"/>
          <w:szCs w:val="18"/>
          <w:lang w:val="pl-PL"/>
        </w:rPr>
        <w:t>e</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ponovo</w:t>
      </w:r>
      <w:r w:rsidRPr="0048184E">
        <w:rPr>
          <w:rFonts w:cstheme="minorHAnsi"/>
          <w:sz w:val="18"/>
          <w:szCs w:val="18"/>
          <w:lang w:val="sr-Latn-ME"/>
        </w:rPr>
        <w:t xml:space="preserve"> </w:t>
      </w:r>
      <w:r w:rsidRPr="0048184E">
        <w:rPr>
          <w:rFonts w:cstheme="minorHAnsi"/>
          <w:sz w:val="18"/>
          <w:szCs w:val="18"/>
          <w:lang w:val="pl-PL"/>
        </w:rPr>
        <w:t>pokrenuti</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vezi</w:t>
      </w:r>
      <w:r w:rsidRPr="0048184E">
        <w:rPr>
          <w:rFonts w:cstheme="minorHAnsi"/>
          <w:sz w:val="18"/>
          <w:szCs w:val="18"/>
          <w:lang w:val="sr-Latn-ME"/>
        </w:rPr>
        <w:t xml:space="preserve"> </w:t>
      </w:r>
      <w:r w:rsidRPr="0048184E">
        <w:rPr>
          <w:rFonts w:cstheme="minorHAnsi"/>
          <w:sz w:val="18"/>
          <w:szCs w:val="18"/>
          <w:lang w:val="pl-PL"/>
        </w:rPr>
        <w:t>sa</w:t>
      </w:r>
      <w:r w:rsidRPr="0048184E">
        <w:rPr>
          <w:rFonts w:cstheme="minorHAnsi"/>
          <w:sz w:val="18"/>
          <w:szCs w:val="18"/>
          <w:lang w:val="sr-Latn-ME"/>
        </w:rPr>
        <w:t xml:space="preserve"> </w:t>
      </w:r>
      <w:r w:rsidRPr="0048184E">
        <w:rPr>
          <w:rFonts w:cstheme="minorHAnsi"/>
          <w:sz w:val="18"/>
          <w:szCs w:val="18"/>
          <w:lang w:val="pl-PL"/>
        </w:rPr>
        <w:t>osnivanjem</w:t>
      </w:r>
      <w:r w:rsidRPr="0048184E">
        <w:rPr>
          <w:rFonts w:cstheme="minorHAnsi"/>
          <w:sz w:val="18"/>
          <w:szCs w:val="18"/>
          <w:lang w:val="sr-Latn-ME"/>
        </w:rPr>
        <w:t xml:space="preserve"> </w:t>
      </w:r>
      <w:r w:rsidRPr="0048184E">
        <w:rPr>
          <w:rFonts w:cstheme="minorHAnsi"/>
          <w:sz w:val="18"/>
          <w:szCs w:val="18"/>
          <w:lang w:val="pl-PL"/>
        </w:rPr>
        <w:t>biznis</w:t>
      </w:r>
      <w:r w:rsidRPr="0048184E">
        <w:rPr>
          <w:rFonts w:cstheme="minorHAnsi"/>
          <w:sz w:val="18"/>
          <w:szCs w:val="18"/>
          <w:lang w:val="sr-Latn-ME"/>
        </w:rPr>
        <w:t xml:space="preserve"> </w:t>
      </w:r>
      <w:r w:rsidRPr="0048184E">
        <w:rPr>
          <w:rFonts w:cstheme="minorHAnsi"/>
          <w:sz w:val="18"/>
          <w:szCs w:val="18"/>
          <w:lang w:val="pl-PL"/>
        </w:rPr>
        <w:t>zona</w:t>
      </w:r>
      <w:r w:rsidRPr="0048184E">
        <w:rPr>
          <w:rFonts w:cstheme="minorHAnsi"/>
          <w:sz w:val="18"/>
          <w:szCs w:val="18"/>
          <w:lang w:val="sr-Latn-ME"/>
        </w:rPr>
        <w:t xml:space="preserve">, </w:t>
      </w:r>
      <w:r w:rsidRPr="0048184E">
        <w:rPr>
          <w:rFonts w:cstheme="minorHAnsi"/>
          <w:sz w:val="18"/>
          <w:szCs w:val="18"/>
          <w:lang w:val="pl-PL"/>
        </w:rPr>
        <w:t>naro</w:t>
      </w:r>
      <w:r w:rsidRPr="0048184E">
        <w:rPr>
          <w:rFonts w:cstheme="minorHAnsi"/>
          <w:sz w:val="18"/>
          <w:szCs w:val="18"/>
          <w:lang w:val="sr-Latn-ME"/>
        </w:rPr>
        <w:t>č</w:t>
      </w:r>
      <w:r w:rsidRPr="0048184E">
        <w:rPr>
          <w:rFonts w:cstheme="minorHAnsi"/>
          <w:sz w:val="18"/>
          <w:szCs w:val="18"/>
          <w:lang w:val="pl-PL"/>
        </w:rPr>
        <w:t>ito</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Sjevernom</w:t>
      </w:r>
      <w:r w:rsidRPr="0048184E">
        <w:rPr>
          <w:rFonts w:cstheme="minorHAnsi"/>
          <w:sz w:val="18"/>
          <w:szCs w:val="18"/>
          <w:lang w:val="sr-Latn-ME"/>
        </w:rPr>
        <w:t xml:space="preserve"> </w:t>
      </w:r>
      <w:r w:rsidRPr="0048184E">
        <w:rPr>
          <w:rFonts w:cstheme="minorHAnsi"/>
          <w:sz w:val="18"/>
          <w:szCs w:val="18"/>
          <w:lang w:val="pl-PL"/>
        </w:rPr>
        <w:t>regionu</w:t>
      </w:r>
      <w:r w:rsidRPr="0048184E">
        <w:rPr>
          <w:rFonts w:cstheme="minorHAnsi"/>
          <w:sz w:val="18"/>
          <w:szCs w:val="18"/>
          <w:lang w:val="sr-Latn-ME"/>
        </w:rPr>
        <w:t xml:space="preserve">. Ova aktivnost </w:t>
      </w:r>
      <w:r w:rsidRPr="0048184E">
        <w:rPr>
          <w:rFonts w:cstheme="minorHAnsi"/>
          <w:sz w:val="18"/>
          <w:szCs w:val="18"/>
          <w:lang w:val="pl-PL"/>
        </w:rPr>
        <w:t>bi podstakla</w:t>
      </w:r>
      <w:r w:rsidRPr="0048184E">
        <w:rPr>
          <w:rFonts w:cstheme="minorHAnsi"/>
          <w:sz w:val="18"/>
          <w:szCs w:val="18"/>
          <w:lang w:val="sr-Latn-ME"/>
        </w:rPr>
        <w:t xml:space="preserve"> </w:t>
      </w:r>
      <w:r w:rsidRPr="0048184E">
        <w:rPr>
          <w:rFonts w:cstheme="minorHAnsi"/>
          <w:sz w:val="18"/>
          <w:szCs w:val="18"/>
          <w:lang w:val="pl-PL"/>
        </w:rPr>
        <w:t>razvoj</w:t>
      </w:r>
      <w:r w:rsidRPr="0048184E">
        <w:rPr>
          <w:rFonts w:cstheme="minorHAnsi"/>
          <w:sz w:val="18"/>
          <w:szCs w:val="18"/>
          <w:lang w:val="sr-Latn-ME"/>
        </w:rPr>
        <w:t xml:space="preserve"> </w:t>
      </w:r>
      <w:r w:rsidRPr="0048184E">
        <w:rPr>
          <w:rFonts w:cstheme="minorHAnsi"/>
          <w:sz w:val="18"/>
          <w:szCs w:val="18"/>
          <w:lang w:val="pl-PL"/>
        </w:rPr>
        <w:t>malog</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srednjeg</w:t>
      </w:r>
      <w:r w:rsidRPr="0048184E">
        <w:rPr>
          <w:rFonts w:cstheme="minorHAnsi"/>
          <w:sz w:val="18"/>
          <w:szCs w:val="18"/>
          <w:lang w:val="sr-Latn-ME"/>
        </w:rPr>
        <w:t xml:space="preserve"> </w:t>
      </w:r>
      <w:r w:rsidRPr="0048184E">
        <w:rPr>
          <w:rFonts w:cstheme="minorHAnsi"/>
          <w:sz w:val="18"/>
          <w:szCs w:val="18"/>
          <w:lang w:val="pl-PL"/>
        </w:rPr>
        <w:t>preduzetni</w:t>
      </w:r>
      <w:r w:rsidRPr="0048184E">
        <w:rPr>
          <w:rFonts w:cstheme="minorHAnsi"/>
          <w:sz w:val="18"/>
          <w:szCs w:val="18"/>
          <w:lang w:val="sr-Latn-ME"/>
        </w:rPr>
        <w:t>š</w:t>
      </w:r>
      <w:r w:rsidRPr="0048184E">
        <w:rPr>
          <w:rFonts w:cstheme="minorHAnsi"/>
          <w:sz w:val="18"/>
          <w:szCs w:val="18"/>
          <w:lang w:val="pl-PL"/>
        </w:rPr>
        <w:t>tva</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infrastrukturno</w:t>
      </w:r>
      <w:r w:rsidRPr="0048184E">
        <w:rPr>
          <w:rFonts w:cstheme="minorHAnsi"/>
          <w:sz w:val="18"/>
          <w:szCs w:val="18"/>
          <w:lang w:val="sr-Latn-ME"/>
        </w:rPr>
        <w:t xml:space="preserve"> </w:t>
      </w:r>
      <w:r w:rsidRPr="0048184E">
        <w:rPr>
          <w:rFonts w:cstheme="minorHAnsi"/>
          <w:sz w:val="18"/>
          <w:szCs w:val="18"/>
          <w:lang w:val="pl-PL"/>
        </w:rPr>
        <w:t>opremljenom</w:t>
      </w:r>
      <w:r w:rsidRPr="0048184E">
        <w:rPr>
          <w:rFonts w:cstheme="minorHAnsi"/>
          <w:sz w:val="18"/>
          <w:szCs w:val="18"/>
          <w:lang w:val="sr-Latn-ME"/>
        </w:rPr>
        <w:t xml:space="preserve"> </w:t>
      </w:r>
      <w:r w:rsidRPr="0048184E">
        <w:rPr>
          <w:rFonts w:cstheme="minorHAnsi"/>
          <w:sz w:val="18"/>
          <w:szCs w:val="18"/>
          <w:lang w:val="pl-PL"/>
        </w:rPr>
        <w:t>zemlji</w:t>
      </w:r>
      <w:r w:rsidRPr="0048184E">
        <w:rPr>
          <w:rFonts w:cstheme="minorHAnsi"/>
          <w:sz w:val="18"/>
          <w:szCs w:val="18"/>
          <w:lang w:val="sr-Latn-ME"/>
        </w:rPr>
        <w:t>š</w:t>
      </w:r>
      <w:r w:rsidRPr="0048184E">
        <w:rPr>
          <w:rFonts w:cstheme="minorHAnsi"/>
          <w:sz w:val="18"/>
          <w:szCs w:val="18"/>
          <w:lang w:val="pl-PL"/>
        </w:rPr>
        <w:t>tu</w:t>
      </w:r>
      <w:r w:rsidRPr="0048184E">
        <w:rPr>
          <w:rFonts w:cstheme="minorHAnsi"/>
          <w:sz w:val="18"/>
          <w:szCs w:val="18"/>
          <w:lang w:val="sr-Latn-ME"/>
        </w:rPr>
        <w:t xml:space="preserve">. </w:t>
      </w:r>
      <w:r w:rsidRPr="0048184E">
        <w:rPr>
          <w:rFonts w:cstheme="minorHAnsi"/>
          <w:sz w:val="18"/>
          <w:szCs w:val="18"/>
        </w:rPr>
        <w:t>Razvojem</w:t>
      </w:r>
      <w:r w:rsidRPr="0048184E">
        <w:rPr>
          <w:rFonts w:cstheme="minorHAnsi"/>
          <w:sz w:val="18"/>
          <w:szCs w:val="18"/>
          <w:lang w:val="sr-Latn-ME"/>
        </w:rPr>
        <w:t xml:space="preserve"> </w:t>
      </w:r>
      <w:r w:rsidRPr="0048184E">
        <w:rPr>
          <w:rFonts w:cstheme="minorHAnsi"/>
          <w:sz w:val="18"/>
          <w:szCs w:val="18"/>
        </w:rPr>
        <w:t>biznis</w:t>
      </w:r>
      <w:r w:rsidRPr="0048184E">
        <w:rPr>
          <w:rFonts w:cstheme="minorHAnsi"/>
          <w:sz w:val="18"/>
          <w:szCs w:val="18"/>
          <w:lang w:val="sr-Latn-ME"/>
        </w:rPr>
        <w:t xml:space="preserve"> </w:t>
      </w:r>
      <w:r w:rsidRPr="0048184E">
        <w:rPr>
          <w:rFonts w:cstheme="minorHAnsi"/>
          <w:sz w:val="18"/>
          <w:szCs w:val="18"/>
        </w:rPr>
        <w:t>zona</w:t>
      </w:r>
      <w:r w:rsidRPr="0048184E">
        <w:rPr>
          <w:rFonts w:cstheme="minorHAnsi"/>
          <w:sz w:val="18"/>
          <w:szCs w:val="18"/>
          <w:lang w:val="sr-Latn-ME"/>
        </w:rPr>
        <w:t xml:space="preserve"> </w:t>
      </w:r>
      <w:r w:rsidRPr="0048184E">
        <w:rPr>
          <w:rFonts w:cstheme="minorHAnsi"/>
          <w:sz w:val="18"/>
          <w:szCs w:val="18"/>
        </w:rPr>
        <w:t>na</w:t>
      </w:r>
      <w:r w:rsidRPr="0048184E">
        <w:rPr>
          <w:rFonts w:cstheme="minorHAnsi"/>
          <w:sz w:val="18"/>
          <w:szCs w:val="18"/>
          <w:lang w:val="sr-Latn-ME"/>
        </w:rPr>
        <w:t xml:space="preserve"> </w:t>
      </w:r>
      <w:r w:rsidRPr="0048184E">
        <w:rPr>
          <w:rFonts w:cstheme="minorHAnsi"/>
          <w:sz w:val="18"/>
          <w:szCs w:val="18"/>
        </w:rPr>
        <w:t>nivou</w:t>
      </w:r>
      <w:r w:rsidRPr="0048184E">
        <w:rPr>
          <w:rFonts w:cstheme="minorHAnsi"/>
          <w:sz w:val="18"/>
          <w:szCs w:val="18"/>
          <w:lang w:val="sr-Latn-ME"/>
        </w:rPr>
        <w:t xml:space="preserve"> </w:t>
      </w:r>
      <w:r w:rsidRPr="0048184E">
        <w:rPr>
          <w:rFonts w:cstheme="minorHAnsi"/>
          <w:sz w:val="18"/>
          <w:szCs w:val="18"/>
        </w:rPr>
        <w:t>jedinica</w:t>
      </w:r>
      <w:r w:rsidRPr="0048184E">
        <w:rPr>
          <w:rFonts w:cstheme="minorHAnsi"/>
          <w:sz w:val="18"/>
          <w:szCs w:val="18"/>
          <w:lang w:val="sr-Latn-ME"/>
        </w:rPr>
        <w:t xml:space="preserve"> </w:t>
      </w:r>
      <w:r w:rsidRPr="0048184E">
        <w:rPr>
          <w:rFonts w:cstheme="minorHAnsi"/>
          <w:sz w:val="18"/>
          <w:szCs w:val="18"/>
        </w:rPr>
        <w:t>lokalne</w:t>
      </w:r>
      <w:r w:rsidRPr="0048184E">
        <w:rPr>
          <w:rFonts w:cstheme="minorHAnsi"/>
          <w:sz w:val="18"/>
          <w:szCs w:val="18"/>
          <w:lang w:val="sr-Latn-ME"/>
        </w:rPr>
        <w:t xml:space="preserve"> </w:t>
      </w:r>
      <w:r w:rsidRPr="0048184E">
        <w:rPr>
          <w:rFonts w:cstheme="minorHAnsi"/>
          <w:sz w:val="18"/>
          <w:szCs w:val="18"/>
        </w:rPr>
        <w:t>samouprave</w:t>
      </w:r>
      <w:r w:rsidRPr="0048184E">
        <w:rPr>
          <w:rFonts w:cstheme="minorHAnsi"/>
          <w:sz w:val="18"/>
          <w:szCs w:val="18"/>
          <w:lang w:val="sr-Latn-ME"/>
        </w:rPr>
        <w:t xml:space="preserve"> može se </w:t>
      </w:r>
      <w:r w:rsidRPr="0048184E">
        <w:rPr>
          <w:rFonts w:cstheme="minorHAnsi"/>
          <w:sz w:val="18"/>
          <w:szCs w:val="18"/>
        </w:rPr>
        <w:t>podsti</w:t>
      </w:r>
      <w:r w:rsidRPr="0048184E">
        <w:rPr>
          <w:rFonts w:cstheme="minorHAnsi"/>
          <w:sz w:val="18"/>
          <w:szCs w:val="18"/>
          <w:lang w:val="sr-Latn-ME"/>
        </w:rPr>
        <w:t>ć</w:t>
      </w:r>
      <w:r w:rsidRPr="0048184E">
        <w:rPr>
          <w:rFonts w:cstheme="minorHAnsi"/>
          <w:sz w:val="18"/>
          <w:szCs w:val="18"/>
        </w:rPr>
        <w:t>i</w:t>
      </w:r>
      <w:r w:rsidRPr="0048184E">
        <w:rPr>
          <w:rFonts w:cstheme="minorHAnsi"/>
          <w:sz w:val="18"/>
          <w:szCs w:val="18"/>
          <w:lang w:val="sr-Latn-ME"/>
        </w:rPr>
        <w:t xml:space="preserve"> </w:t>
      </w:r>
      <w:r w:rsidRPr="0048184E">
        <w:rPr>
          <w:rFonts w:cstheme="minorHAnsi"/>
          <w:sz w:val="18"/>
          <w:szCs w:val="18"/>
        </w:rPr>
        <w:t>ravnomjeran</w:t>
      </w:r>
      <w:r w:rsidRPr="0048184E">
        <w:rPr>
          <w:rFonts w:cstheme="minorHAnsi"/>
          <w:sz w:val="18"/>
          <w:szCs w:val="18"/>
          <w:lang w:val="sr-Latn-ME"/>
        </w:rPr>
        <w:t xml:space="preserve"> </w:t>
      </w:r>
      <w:r w:rsidRPr="0048184E">
        <w:rPr>
          <w:rFonts w:cstheme="minorHAnsi"/>
          <w:sz w:val="18"/>
          <w:szCs w:val="18"/>
        </w:rPr>
        <w:t>razvoj</w:t>
      </w:r>
      <w:r w:rsidRPr="0048184E">
        <w:rPr>
          <w:rFonts w:cstheme="minorHAnsi"/>
          <w:sz w:val="18"/>
          <w:szCs w:val="18"/>
          <w:lang w:val="sr-Latn-ME"/>
        </w:rPr>
        <w:t xml:space="preserve"> </w:t>
      </w:r>
      <w:r w:rsidRPr="0048184E">
        <w:rPr>
          <w:rFonts w:cstheme="minorHAnsi"/>
          <w:sz w:val="18"/>
          <w:szCs w:val="18"/>
        </w:rPr>
        <w:t>Crne</w:t>
      </w:r>
      <w:r w:rsidRPr="0048184E">
        <w:rPr>
          <w:rFonts w:cstheme="minorHAnsi"/>
          <w:sz w:val="18"/>
          <w:szCs w:val="18"/>
          <w:lang w:val="sr-Latn-ME"/>
        </w:rPr>
        <w:t xml:space="preserve"> </w:t>
      </w:r>
      <w:r w:rsidRPr="0048184E">
        <w:rPr>
          <w:rFonts w:cstheme="minorHAnsi"/>
          <w:sz w:val="18"/>
          <w:szCs w:val="18"/>
        </w:rPr>
        <w:t>Gore</w:t>
      </w:r>
      <w:r w:rsidRPr="0048184E">
        <w:rPr>
          <w:rFonts w:cstheme="minorHAnsi"/>
          <w:sz w:val="18"/>
          <w:szCs w:val="18"/>
          <w:lang w:val="sr-Latn-ME"/>
        </w:rPr>
        <w:t xml:space="preserve"> </w:t>
      </w:r>
      <w:r w:rsidRPr="0048184E">
        <w:rPr>
          <w:rFonts w:cstheme="minorHAnsi"/>
          <w:sz w:val="18"/>
          <w:szCs w:val="18"/>
        </w:rPr>
        <w:t>i</w:t>
      </w:r>
      <w:r w:rsidRPr="0048184E">
        <w:rPr>
          <w:rFonts w:cstheme="minorHAnsi"/>
          <w:sz w:val="18"/>
          <w:szCs w:val="18"/>
          <w:lang w:val="sr-Latn-ME"/>
        </w:rPr>
        <w:t xml:space="preserve"> </w:t>
      </w:r>
      <w:r w:rsidRPr="0048184E">
        <w:rPr>
          <w:rFonts w:cstheme="minorHAnsi"/>
          <w:sz w:val="18"/>
          <w:szCs w:val="18"/>
        </w:rPr>
        <w:t>pove</w:t>
      </w:r>
      <w:r w:rsidRPr="0048184E">
        <w:rPr>
          <w:rFonts w:cstheme="minorHAnsi"/>
          <w:sz w:val="18"/>
          <w:szCs w:val="18"/>
          <w:lang w:val="sr-Latn-ME"/>
        </w:rPr>
        <w:t>ć</w:t>
      </w:r>
      <w:r w:rsidRPr="0048184E">
        <w:rPr>
          <w:rFonts w:cstheme="minorHAnsi"/>
          <w:sz w:val="18"/>
          <w:szCs w:val="18"/>
        </w:rPr>
        <w:t>anje</w:t>
      </w:r>
      <w:r w:rsidRPr="0048184E">
        <w:rPr>
          <w:rFonts w:cstheme="minorHAnsi"/>
          <w:sz w:val="18"/>
          <w:szCs w:val="18"/>
          <w:lang w:val="sr-Latn-ME"/>
        </w:rPr>
        <w:t xml:space="preserve"> </w:t>
      </w:r>
      <w:r w:rsidRPr="0048184E">
        <w:rPr>
          <w:rFonts w:cstheme="minorHAnsi"/>
          <w:sz w:val="18"/>
          <w:szCs w:val="18"/>
        </w:rPr>
        <w:t>zaposlenosti</w:t>
      </w:r>
      <w:r w:rsidRPr="0048184E">
        <w:rPr>
          <w:rFonts w:cstheme="minorHAnsi"/>
          <w:sz w:val="18"/>
          <w:szCs w:val="18"/>
          <w:lang w:val="sr-Latn-ME"/>
        </w:rPr>
        <w:t xml:space="preserve">. Zakonodavni osnov za njihovo osnivanje već postoji, iako bi postojeću Uredbu, koja uređuje ovu oblast,  trebalo dodatno unaprijediti. </w:t>
      </w:r>
    </w:p>
    <w:p w14:paraId="01B4A7DF"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91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524"/>
        <w:gridCol w:w="2135"/>
        <w:gridCol w:w="841"/>
        <w:gridCol w:w="1530"/>
        <w:gridCol w:w="1620"/>
        <w:gridCol w:w="1535"/>
      </w:tblGrid>
      <w:tr w:rsidR="00A13DA5" w:rsidRPr="0048184E" w14:paraId="14750FBB" w14:textId="77777777" w:rsidTr="00FA06C4">
        <w:trPr>
          <w:trHeight w:val="386"/>
          <w:jc w:val="center"/>
        </w:trPr>
        <w:tc>
          <w:tcPr>
            <w:tcW w:w="3659" w:type="dxa"/>
            <w:gridSpan w:val="2"/>
            <w:shd w:val="clear" w:color="auto" w:fill="D9E2F3"/>
          </w:tcPr>
          <w:p w14:paraId="0A98C6F2"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Operativni cilj 3.1.</w:t>
            </w:r>
          </w:p>
        </w:tc>
        <w:tc>
          <w:tcPr>
            <w:tcW w:w="5526" w:type="dxa"/>
            <w:gridSpan w:val="4"/>
            <w:shd w:val="clear" w:color="auto" w:fill="D9E2F3"/>
          </w:tcPr>
          <w:p w14:paraId="2214D67C"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Povećanje regionalne konkurentnosti</w:t>
            </w:r>
          </w:p>
        </w:tc>
      </w:tr>
      <w:tr w:rsidR="00A13DA5" w:rsidRPr="0048184E" w14:paraId="02E13829" w14:textId="77777777" w:rsidTr="00FA06C4">
        <w:trPr>
          <w:trHeight w:val="386"/>
          <w:jc w:val="center"/>
        </w:trPr>
        <w:tc>
          <w:tcPr>
            <w:tcW w:w="1524" w:type="dxa"/>
            <w:shd w:val="clear" w:color="auto" w:fill="auto"/>
          </w:tcPr>
          <w:p w14:paraId="69E94878" w14:textId="77777777" w:rsidR="00A13DA5" w:rsidRPr="00FA06C4" w:rsidRDefault="00621D7A" w:rsidP="0048184E">
            <w:pPr>
              <w:pStyle w:val="NoSpacing"/>
              <w:rPr>
                <w:rFonts w:asciiTheme="minorHAnsi" w:hAnsiTheme="minorHAnsi" w:cstheme="minorHAnsi"/>
                <w:sz w:val="16"/>
                <w:szCs w:val="16"/>
                <w:lang w:val="sr-Latn-ME"/>
              </w:rPr>
            </w:pPr>
            <w:r w:rsidRPr="00FA06C4">
              <w:rPr>
                <w:rFonts w:asciiTheme="minorHAnsi" w:hAnsiTheme="minorHAnsi" w:cstheme="minorHAnsi"/>
                <w:iCs/>
                <w:sz w:val="16"/>
                <w:szCs w:val="16"/>
                <w:lang w:val="sr-Latn-ME"/>
              </w:rPr>
              <w:t xml:space="preserve">Smanjena razlika u stepenu </w:t>
            </w:r>
            <w:r w:rsidR="00A13DA5" w:rsidRPr="00FA06C4">
              <w:rPr>
                <w:rFonts w:asciiTheme="minorHAnsi" w:hAnsiTheme="minorHAnsi" w:cstheme="minorHAnsi"/>
                <w:iCs/>
                <w:sz w:val="16"/>
                <w:szCs w:val="16"/>
                <w:lang w:val="sr-Latn-ME"/>
              </w:rPr>
              <w:t>konkurentnosti JLS</w:t>
            </w:r>
          </w:p>
        </w:tc>
        <w:tc>
          <w:tcPr>
            <w:tcW w:w="2135" w:type="dxa"/>
            <w:shd w:val="clear" w:color="auto" w:fill="auto"/>
          </w:tcPr>
          <w:p w14:paraId="358E0963" w14:textId="77777777" w:rsidR="00A13DA5" w:rsidRPr="00FA06C4" w:rsidRDefault="00A13DA5" w:rsidP="0048184E">
            <w:pPr>
              <w:pStyle w:val="NoSpacing"/>
              <w:rPr>
                <w:rFonts w:asciiTheme="minorHAnsi" w:hAnsiTheme="minorHAnsi" w:cstheme="minorHAnsi"/>
                <w:iCs/>
                <w:sz w:val="16"/>
                <w:szCs w:val="16"/>
                <w:lang w:val="sr-Latn-ME"/>
              </w:rPr>
            </w:pPr>
            <w:r w:rsidRPr="00FA06C4">
              <w:rPr>
                <w:rFonts w:asciiTheme="minorHAnsi" w:hAnsiTheme="minorHAnsi" w:cstheme="minorHAnsi"/>
                <w:iCs/>
                <w:sz w:val="16"/>
                <w:szCs w:val="16"/>
                <w:lang w:val="sr-Latn-ME"/>
              </w:rPr>
              <w:t xml:space="preserve">Jaz u indeksu konkurentnosti najkonkurentije i najmanje konkurentne JLS u Crnoj Gori </w:t>
            </w:r>
          </w:p>
        </w:tc>
        <w:tc>
          <w:tcPr>
            <w:tcW w:w="841" w:type="dxa"/>
            <w:shd w:val="clear" w:color="auto" w:fill="FFFFFF"/>
          </w:tcPr>
          <w:p w14:paraId="250AD868" w14:textId="77777777" w:rsidR="00A13DA5" w:rsidRPr="00FA06C4" w:rsidRDefault="00D25A55" w:rsidP="0048184E">
            <w:pPr>
              <w:pStyle w:val="NoSpacing"/>
              <w:rPr>
                <w:rFonts w:asciiTheme="minorHAnsi" w:hAnsiTheme="minorHAnsi" w:cstheme="minorHAnsi"/>
                <w:sz w:val="16"/>
                <w:szCs w:val="16"/>
                <w:lang w:val="en-GB"/>
              </w:rPr>
            </w:pPr>
            <w:r w:rsidRPr="00FA06C4">
              <w:rPr>
                <w:rFonts w:asciiTheme="minorHAnsi" w:hAnsiTheme="minorHAnsi" w:cstheme="minorHAnsi"/>
                <w:sz w:val="16"/>
                <w:szCs w:val="16"/>
                <w:lang w:val="en-GB"/>
              </w:rPr>
              <w:t>MIRN</w:t>
            </w:r>
          </w:p>
        </w:tc>
        <w:tc>
          <w:tcPr>
            <w:tcW w:w="1530" w:type="dxa"/>
            <w:shd w:val="clear" w:color="auto" w:fill="auto"/>
          </w:tcPr>
          <w:p w14:paraId="2C1CE58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6</w:t>
            </w:r>
          </w:p>
          <w:p w14:paraId="6B9E140D"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2 (2017.)</w:t>
            </w:r>
          </w:p>
          <w:p w14:paraId="2A7436C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n/a</w:t>
            </w:r>
          </w:p>
        </w:tc>
        <w:tc>
          <w:tcPr>
            <w:tcW w:w="1620" w:type="dxa"/>
            <w:shd w:val="clear" w:color="auto" w:fill="auto"/>
          </w:tcPr>
          <w:p w14:paraId="4766341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5,5</w:t>
            </w:r>
          </w:p>
          <w:p w14:paraId="36E9B20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1,7</w:t>
            </w:r>
          </w:p>
          <w:p w14:paraId="3E603FB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treba biti određena</w:t>
            </w:r>
          </w:p>
        </w:tc>
        <w:tc>
          <w:tcPr>
            <w:tcW w:w="1535" w:type="dxa"/>
            <w:shd w:val="clear" w:color="auto" w:fill="auto"/>
          </w:tcPr>
          <w:p w14:paraId="0D7922A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4,0</w:t>
            </w:r>
          </w:p>
          <w:p w14:paraId="7B332BF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1,5</w:t>
            </w:r>
          </w:p>
          <w:p w14:paraId="752AB7F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treba biti određena</w:t>
            </w:r>
          </w:p>
        </w:tc>
      </w:tr>
      <w:tr w:rsidR="00A13DA5" w:rsidRPr="0048184E" w14:paraId="56B17065" w14:textId="77777777" w:rsidTr="00FA06C4">
        <w:trPr>
          <w:trHeight w:val="386"/>
          <w:jc w:val="center"/>
        </w:trPr>
        <w:tc>
          <w:tcPr>
            <w:tcW w:w="1524" w:type="dxa"/>
            <w:shd w:val="clear" w:color="auto" w:fill="auto"/>
          </w:tcPr>
          <w:p w14:paraId="153428E1"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bCs/>
                <w:iCs/>
                <w:sz w:val="16"/>
                <w:szCs w:val="16"/>
                <w:lang w:val="sr-Latn-ME"/>
              </w:rPr>
              <w:t>Smanjen broj parafisklanih nameta po JLS</w:t>
            </w:r>
          </w:p>
        </w:tc>
        <w:tc>
          <w:tcPr>
            <w:tcW w:w="2135" w:type="dxa"/>
            <w:shd w:val="clear" w:color="auto" w:fill="auto"/>
          </w:tcPr>
          <w:p w14:paraId="0D110B1F"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t>Broj parafiskalnih nameta u opštinama regiona, prosječno po opštini</w:t>
            </w:r>
          </w:p>
        </w:tc>
        <w:tc>
          <w:tcPr>
            <w:tcW w:w="841" w:type="dxa"/>
            <w:shd w:val="clear" w:color="auto" w:fill="FFFFFF"/>
          </w:tcPr>
          <w:p w14:paraId="61E46466" w14:textId="77777777" w:rsidR="00A13DA5" w:rsidRPr="00FA06C4" w:rsidRDefault="00D25A55" w:rsidP="0048184E">
            <w:pPr>
              <w:pStyle w:val="NoSpacing"/>
              <w:rPr>
                <w:rFonts w:asciiTheme="minorHAnsi" w:hAnsiTheme="minorHAnsi" w:cstheme="minorHAnsi"/>
                <w:sz w:val="16"/>
                <w:szCs w:val="16"/>
                <w:lang w:val="pl-PL"/>
              </w:rPr>
            </w:pPr>
            <w:r w:rsidRPr="00FA06C4">
              <w:rPr>
                <w:rFonts w:asciiTheme="minorHAnsi" w:hAnsiTheme="minorHAnsi" w:cstheme="minorHAnsi"/>
                <w:sz w:val="16"/>
                <w:szCs w:val="16"/>
                <w:lang w:val="sr-Latn-ME"/>
              </w:rPr>
              <w:t>MF, MIRN</w:t>
            </w:r>
            <w:r w:rsidR="00A13DA5" w:rsidRPr="00FA06C4">
              <w:rPr>
                <w:rFonts w:asciiTheme="minorHAnsi" w:hAnsiTheme="minorHAnsi" w:cstheme="minorHAnsi"/>
                <w:sz w:val="16"/>
                <w:szCs w:val="16"/>
                <w:lang w:val="sr-Latn-ME"/>
              </w:rPr>
              <w:t>, ZO, Sekretarijat Savjeta za konkurentnost</w:t>
            </w:r>
          </w:p>
        </w:tc>
        <w:tc>
          <w:tcPr>
            <w:tcW w:w="1530" w:type="dxa"/>
            <w:shd w:val="clear" w:color="auto" w:fill="auto"/>
          </w:tcPr>
          <w:p w14:paraId="11EC897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57</w:t>
            </w:r>
          </w:p>
          <w:p w14:paraId="3A62E0C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60</w:t>
            </w:r>
          </w:p>
          <w:p w14:paraId="7E568C8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58 (2021.)</w:t>
            </w:r>
          </w:p>
        </w:tc>
        <w:tc>
          <w:tcPr>
            <w:tcW w:w="1620" w:type="dxa"/>
            <w:shd w:val="clear" w:color="auto" w:fill="auto"/>
          </w:tcPr>
          <w:p w14:paraId="595B285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50</w:t>
            </w:r>
          </w:p>
          <w:p w14:paraId="1928262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55</w:t>
            </w:r>
          </w:p>
          <w:p w14:paraId="344D03CF"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55</w:t>
            </w:r>
          </w:p>
        </w:tc>
        <w:tc>
          <w:tcPr>
            <w:tcW w:w="1535" w:type="dxa"/>
            <w:shd w:val="clear" w:color="auto" w:fill="auto"/>
          </w:tcPr>
          <w:p w14:paraId="0997DAE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45</w:t>
            </w:r>
          </w:p>
          <w:p w14:paraId="21B61E1F"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50</w:t>
            </w:r>
          </w:p>
          <w:p w14:paraId="62AE604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50</w:t>
            </w:r>
          </w:p>
        </w:tc>
      </w:tr>
      <w:tr w:rsidR="00A13DA5" w:rsidRPr="0048184E" w14:paraId="31245E3D" w14:textId="77777777" w:rsidTr="00FA06C4">
        <w:trPr>
          <w:trHeight w:val="386"/>
          <w:jc w:val="center"/>
        </w:trPr>
        <w:tc>
          <w:tcPr>
            <w:tcW w:w="1524" w:type="dxa"/>
            <w:shd w:val="clear" w:color="auto" w:fill="auto"/>
          </w:tcPr>
          <w:p w14:paraId="7031A74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bCs/>
                <w:iCs/>
                <w:sz w:val="16"/>
                <w:szCs w:val="16"/>
                <w:lang w:val="sr-Latn-ME"/>
              </w:rPr>
              <w:t xml:space="preserve">Povećana inovaciona aktivnost preduzeća i </w:t>
            </w:r>
            <w:r w:rsidRPr="00FA06C4">
              <w:rPr>
                <w:rFonts w:asciiTheme="minorHAnsi" w:hAnsiTheme="minorHAnsi" w:cstheme="minorHAnsi"/>
                <w:bCs/>
                <w:iCs/>
                <w:sz w:val="16"/>
                <w:szCs w:val="16"/>
                <w:lang w:val="sr-Latn-ME"/>
              </w:rPr>
              <w:lastRenderedPageBreak/>
              <w:t>pametna specijalizacija</w:t>
            </w:r>
          </w:p>
        </w:tc>
        <w:tc>
          <w:tcPr>
            <w:tcW w:w="2135" w:type="dxa"/>
            <w:shd w:val="clear" w:color="auto" w:fill="auto"/>
          </w:tcPr>
          <w:p w14:paraId="3BEB7822"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lastRenderedPageBreak/>
              <w:t>Broj biznis centara i centara za saradnju naučnoistraživačke zajednice sa prioritetnim privrednim sektorima</w:t>
            </w:r>
          </w:p>
        </w:tc>
        <w:tc>
          <w:tcPr>
            <w:tcW w:w="841" w:type="dxa"/>
            <w:shd w:val="clear" w:color="auto" w:fill="FFFFFF"/>
          </w:tcPr>
          <w:p w14:paraId="536C774F" w14:textId="77777777" w:rsidR="00A13DA5" w:rsidRPr="00FA06C4" w:rsidRDefault="008D692E"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MPNI, MER</w:t>
            </w:r>
          </w:p>
        </w:tc>
        <w:tc>
          <w:tcPr>
            <w:tcW w:w="1530" w:type="dxa"/>
            <w:shd w:val="clear" w:color="auto" w:fill="auto"/>
          </w:tcPr>
          <w:p w14:paraId="0329EC11"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3</w:t>
            </w:r>
          </w:p>
          <w:p w14:paraId="7A51FDE5"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1</w:t>
            </w:r>
          </w:p>
          <w:p w14:paraId="3686437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2</w:t>
            </w:r>
          </w:p>
        </w:tc>
        <w:tc>
          <w:tcPr>
            <w:tcW w:w="1620" w:type="dxa"/>
            <w:shd w:val="clear" w:color="auto" w:fill="auto"/>
          </w:tcPr>
          <w:p w14:paraId="57D6EDC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w:t>
            </w:r>
          </w:p>
          <w:p w14:paraId="6B6D5C1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2</w:t>
            </w:r>
          </w:p>
          <w:p w14:paraId="5D73966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3</w:t>
            </w:r>
          </w:p>
        </w:tc>
        <w:tc>
          <w:tcPr>
            <w:tcW w:w="1535" w:type="dxa"/>
            <w:shd w:val="clear" w:color="auto" w:fill="auto"/>
          </w:tcPr>
          <w:p w14:paraId="365EE855"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7</w:t>
            </w:r>
          </w:p>
          <w:p w14:paraId="7203CDB5"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3</w:t>
            </w:r>
          </w:p>
          <w:p w14:paraId="16F787E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4</w:t>
            </w:r>
          </w:p>
        </w:tc>
      </w:tr>
      <w:tr w:rsidR="00A13DA5" w:rsidRPr="00FB3BDC" w14:paraId="3950B19A" w14:textId="77777777" w:rsidTr="00FA06C4">
        <w:trPr>
          <w:trHeight w:val="386"/>
          <w:jc w:val="center"/>
        </w:trPr>
        <w:tc>
          <w:tcPr>
            <w:tcW w:w="1524" w:type="dxa"/>
            <w:vMerge w:val="restart"/>
            <w:tcBorders>
              <w:top w:val="single" w:sz="4" w:space="0" w:color="808080"/>
              <w:left w:val="single" w:sz="4" w:space="0" w:color="808080"/>
              <w:right w:val="single" w:sz="4" w:space="0" w:color="808080"/>
            </w:tcBorders>
            <w:shd w:val="clear" w:color="auto" w:fill="auto"/>
          </w:tcPr>
          <w:p w14:paraId="5B401709"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44C09C0C"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t>Stanovništvo i zdravlje</w:t>
            </w:r>
          </w:p>
        </w:tc>
        <w:tc>
          <w:tcPr>
            <w:tcW w:w="841" w:type="dxa"/>
            <w:tcBorders>
              <w:top w:val="single" w:sz="4" w:space="0" w:color="808080"/>
              <w:left w:val="single" w:sz="4" w:space="0" w:color="808080"/>
              <w:bottom w:val="single" w:sz="4" w:space="0" w:color="808080"/>
              <w:right w:val="single" w:sz="4" w:space="0" w:color="808080"/>
            </w:tcBorders>
            <w:shd w:val="clear" w:color="auto" w:fill="FFFFFF"/>
          </w:tcPr>
          <w:p w14:paraId="2C2F41C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Prirodni resursi i biodiverzitet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2BFBBC8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Materijalna dobra i kulturno nasleđe</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737C27D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Proizvodni procesi i tehnologije</w:t>
            </w:r>
          </w:p>
        </w:tc>
        <w:tc>
          <w:tcPr>
            <w:tcW w:w="1535" w:type="dxa"/>
            <w:tcBorders>
              <w:top w:val="single" w:sz="4" w:space="0" w:color="808080"/>
              <w:left w:val="single" w:sz="4" w:space="0" w:color="808080"/>
              <w:bottom w:val="single" w:sz="4" w:space="0" w:color="808080"/>
              <w:right w:val="single" w:sz="4" w:space="0" w:color="808080"/>
            </w:tcBorders>
            <w:shd w:val="clear" w:color="auto" w:fill="auto"/>
          </w:tcPr>
          <w:p w14:paraId="7D12123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Način isporuke usluga i dobara</w:t>
            </w:r>
          </w:p>
        </w:tc>
      </w:tr>
      <w:tr w:rsidR="00A13DA5" w:rsidRPr="0048184E" w14:paraId="41A3BA85" w14:textId="77777777" w:rsidTr="00FA06C4">
        <w:trPr>
          <w:trHeight w:val="386"/>
          <w:jc w:val="center"/>
        </w:trPr>
        <w:tc>
          <w:tcPr>
            <w:tcW w:w="1524" w:type="dxa"/>
            <w:vMerge/>
            <w:tcBorders>
              <w:left w:val="single" w:sz="4" w:space="0" w:color="808080"/>
              <w:bottom w:val="single" w:sz="4" w:space="0" w:color="808080"/>
              <w:right w:val="single" w:sz="4" w:space="0" w:color="808080"/>
            </w:tcBorders>
            <w:shd w:val="clear" w:color="auto" w:fill="auto"/>
          </w:tcPr>
          <w:p w14:paraId="67BA25A7" w14:textId="77777777" w:rsidR="00A13DA5" w:rsidRPr="00FA06C4" w:rsidRDefault="00A13DA5" w:rsidP="0048184E">
            <w:pPr>
              <w:pStyle w:val="NoSpacing"/>
              <w:rPr>
                <w:rFonts w:asciiTheme="minorHAnsi" w:hAnsiTheme="minorHAnsi" w:cstheme="minorHAnsi"/>
                <w:bCs/>
                <w:iCs/>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6B436729" w14:textId="77777777" w:rsidR="00A13DA5" w:rsidRPr="00FA06C4" w:rsidRDefault="00A13DA5" w:rsidP="0048184E">
            <w:pPr>
              <w:pStyle w:val="NoSpacing"/>
              <w:jc w:val="center"/>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t>+</w:t>
            </w:r>
          </w:p>
        </w:tc>
        <w:tc>
          <w:tcPr>
            <w:tcW w:w="841" w:type="dxa"/>
            <w:tcBorders>
              <w:top w:val="single" w:sz="4" w:space="0" w:color="808080"/>
              <w:left w:val="single" w:sz="4" w:space="0" w:color="808080"/>
              <w:bottom w:val="single" w:sz="4" w:space="0" w:color="808080"/>
              <w:right w:val="single" w:sz="4" w:space="0" w:color="808080"/>
            </w:tcBorders>
            <w:shd w:val="clear" w:color="auto" w:fill="FFFFFF"/>
          </w:tcPr>
          <w:p w14:paraId="13D97487"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1858106C"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057ACD9D"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c>
          <w:tcPr>
            <w:tcW w:w="1535" w:type="dxa"/>
            <w:tcBorders>
              <w:top w:val="single" w:sz="4" w:space="0" w:color="808080"/>
              <w:left w:val="single" w:sz="4" w:space="0" w:color="808080"/>
              <w:bottom w:val="single" w:sz="4" w:space="0" w:color="808080"/>
              <w:right w:val="single" w:sz="4" w:space="0" w:color="808080"/>
            </w:tcBorders>
            <w:shd w:val="clear" w:color="auto" w:fill="auto"/>
          </w:tcPr>
          <w:p w14:paraId="532EB35C"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r>
    </w:tbl>
    <w:p w14:paraId="413761F3" w14:textId="77777777" w:rsidR="00A13DA5" w:rsidRPr="0048184E" w:rsidRDefault="00A13DA5" w:rsidP="0048184E">
      <w:pPr>
        <w:pStyle w:val="NoSpacing"/>
        <w:jc w:val="both"/>
        <w:rPr>
          <w:rFonts w:asciiTheme="minorHAnsi" w:hAnsiTheme="minorHAnsi" w:cstheme="minorHAnsi"/>
          <w:sz w:val="18"/>
          <w:szCs w:val="18"/>
          <w:lang w:val="sr-Latn-ME"/>
        </w:rPr>
      </w:pPr>
    </w:p>
    <w:p w14:paraId="04B574C2" w14:textId="77777777" w:rsidR="00A13DA5" w:rsidRPr="00726BE7" w:rsidRDefault="00A13DA5" w:rsidP="0048184E">
      <w:pPr>
        <w:pStyle w:val="Heading21"/>
        <w:numPr>
          <w:ilvl w:val="1"/>
          <w:numId w:val="28"/>
        </w:numPr>
        <w:spacing w:before="0"/>
        <w:rPr>
          <w:color w:val="4472C4" w:themeColor="accent5"/>
          <w:szCs w:val="22"/>
          <w:lang w:val="sr-Latn-ME"/>
        </w:rPr>
      </w:pPr>
      <w:r w:rsidRPr="003C2A72">
        <w:rPr>
          <w:color w:val="auto"/>
          <w:sz w:val="18"/>
          <w:szCs w:val="18"/>
          <w:lang w:val="sr-Latn-ME"/>
        </w:rPr>
        <w:t xml:space="preserve"> </w:t>
      </w:r>
      <w:bookmarkStart w:id="64" w:name="_Toc205215855"/>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3.2. </w:t>
      </w:r>
      <w:r w:rsidRPr="00726BE7">
        <w:rPr>
          <w:color w:val="4472C4" w:themeColor="accent5"/>
          <w:szCs w:val="22"/>
        </w:rPr>
        <w:t>Razvoj</w:t>
      </w:r>
      <w:r w:rsidRPr="00726BE7">
        <w:rPr>
          <w:color w:val="4472C4" w:themeColor="accent5"/>
          <w:szCs w:val="22"/>
          <w:lang w:val="sr-Latn-ME"/>
        </w:rPr>
        <w:t xml:space="preserve"> </w:t>
      </w:r>
      <w:r w:rsidRPr="00726BE7">
        <w:rPr>
          <w:color w:val="4472C4" w:themeColor="accent5"/>
          <w:szCs w:val="22"/>
        </w:rPr>
        <w:t>prioritetnih</w:t>
      </w:r>
      <w:r w:rsidRPr="00726BE7">
        <w:rPr>
          <w:color w:val="4472C4" w:themeColor="accent5"/>
          <w:szCs w:val="22"/>
          <w:lang w:val="sr-Latn-ME"/>
        </w:rPr>
        <w:t xml:space="preserve"> </w:t>
      </w:r>
      <w:r w:rsidRPr="00726BE7">
        <w:rPr>
          <w:color w:val="4472C4" w:themeColor="accent5"/>
          <w:szCs w:val="22"/>
        </w:rPr>
        <w:t>sektora</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sektora</w:t>
      </w:r>
      <w:r w:rsidRPr="00726BE7">
        <w:rPr>
          <w:color w:val="4472C4" w:themeColor="accent5"/>
          <w:szCs w:val="22"/>
          <w:lang w:val="sr-Latn-ME"/>
        </w:rPr>
        <w:t xml:space="preserve"> </w:t>
      </w:r>
      <w:r w:rsidRPr="00726BE7">
        <w:rPr>
          <w:color w:val="4472C4" w:themeColor="accent5"/>
          <w:szCs w:val="22"/>
        </w:rPr>
        <w:t>sa</w:t>
      </w:r>
      <w:r w:rsidRPr="00726BE7">
        <w:rPr>
          <w:color w:val="4472C4" w:themeColor="accent5"/>
          <w:szCs w:val="22"/>
          <w:lang w:val="sr-Latn-ME"/>
        </w:rPr>
        <w:t xml:space="preserve"> </w:t>
      </w:r>
      <w:r w:rsidRPr="00726BE7">
        <w:rPr>
          <w:color w:val="4472C4" w:themeColor="accent5"/>
          <w:szCs w:val="22"/>
        </w:rPr>
        <w:t>potencijalom</w:t>
      </w:r>
      <w:r w:rsidRPr="00726BE7">
        <w:rPr>
          <w:color w:val="4472C4" w:themeColor="accent5"/>
          <w:szCs w:val="22"/>
          <w:lang w:val="sr-Latn-ME"/>
        </w:rPr>
        <w:t xml:space="preserve"> </w:t>
      </w:r>
      <w:r w:rsidRPr="00726BE7">
        <w:rPr>
          <w:color w:val="4472C4" w:themeColor="accent5"/>
          <w:szCs w:val="22"/>
        </w:rPr>
        <w:t>rasta</w:t>
      </w:r>
      <w:r w:rsidRPr="00726BE7">
        <w:rPr>
          <w:color w:val="4472C4" w:themeColor="accent5"/>
          <w:szCs w:val="22"/>
          <w:lang w:val="sr-Latn-ME"/>
        </w:rPr>
        <w:t xml:space="preserve"> </w:t>
      </w:r>
      <w:r w:rsidRPr="00726BE7">
        <w:rPr>
          <w:color w:val="4472C4" w:themeColor="accent5"/>
          <w:szCs w:val="22"/>
        </w:rPr>
        <w:t>sa</w:t>
      </w:r>
      <w:r w:rsidRPr="00726BE7">
        <w:rPr>
          <w:color w:val="4472C4" w:themeColor="accent5"/>
          <w:szCs w:val="22"/>
          <w:lang w:val="sr-Latn-ME"/>
        </w:rPr>
        <w:t xml:space="preserve"> </w:t>
      </w:r>
      <w:r w:rsidRPr="00726BE7">
        <w:rPr>
          <w:color w:val="4472C4" w:themeColor="accent5"/>
          <w:szCs w:val="22"/>
        </w:rPr>
        <w:t>fokusom</w:t>
      </w:r>
      <w:r w:rsidRPr="00726BE7">
        <w:rPr>
          <w:color w:val="4472C4" w:themeColor="accent5"/>
          <w:szCs w:val="22"/>
          <w:lang w:val="sr-Latn-ME"/>
        </w:rPr>
        <w:t xml:space="preserve"> </w:t>
      </w:r>
      <w:r w:rsidRPr="00726BE7">
        <w:rPr>
          <w:color w:val="4472C4" w:themeColor="accent5"/>
          <w:szCs w:val="22"/>
        </w:rPr>
        <w:t>na</w:t>
      </w:r>
      <w:r w:rsidRPr="00726BE7">
        <w:rPr>
          <w:color w:val="4472C4" w:themeColor="accent5"/>
          <w:szCs w:val="22"/>
          <w:lang w:val="sr-Latn-ME"/>
        </w:rPr>
        <w:t xml:space="preserve"> </w:t>
      </w:r>
      <w:r w:rsidRPr="00726BE7">
        <w:rPr>
          <w:color w:val="4472C4" w:themeColor="accent5"/>
          <w:szCs w:val="22"/>
        </w:rPr>
        <w:t>diverzifikaciju</w:t>
      </w:r>
      <w:r w:rsidRPr="00726BE7">
        <w:rPr>
          <w:color w:val="4472C4" w:themeColor="accent5"/>
          <w:szCs w:val="22"/>
          <w:lang w:val="sr-Latn-ME"/>
        </w:rPr>
        <w:t xml:space="preserve"> </w:t>
      </w:r>
      <w:r w:rsidRPr="00726BE7">
        <w:rPr>
          <w:color w:val="4472C4" w:themeColor="accent5"/>
          <w:szCs w:val="22"/>
        </w:rPr>
        <w:t>turisti</w:t>
      </w:r>
      <w:r w:rsidRPr="00726BE7">
        <w:rPr>
          <w:color w:val="4472C4" w:themeColor="accent5"/>
          <w:szCs w:val="22"/>
          <w:lang w:val="sr-Latn-ME"/>
        </w:rPr>
        <w:t>č</w:t>
      </w:r>
      <w:r w:rsidRPr="00726BE7">
        <w:rPr>
          <w:color w:val="4472C4" w:themeColor="accent5"/>
          <w:szCs w:val="22"/>
        </w:rPr>
        <w:t>kog</w:t>
      </w:r>
      <w:r w:rsidRPr="00726BE7">
        <w:rPr>
          <w:color w:val="4472C4" w:themeColor="accent5"/>
          <w:szCs w:val="22"/>
          <w:lang w:val="sr-Latn-ME"/>
        </w:rPr>
        <w:t xml:space="preserve"> </w:t>
      </w:r>
      <w:r w:rsidRPr="00726BE7">
        <w:rPr>
          <w:color w:val="4472C4" w:themeColor="accent5"/>
          <w:szCs w:val="22"/>
        </w:rPr>
        <w:t>proizvoda</w:t>
      </w:r>
      <w:r w:rsidRPr="00726BE7">
        <w:rPr>
          <w:color w:val="4472C4" w:themeColor="accent5"/>
          <w:szCs w:val="22"/>
          <w:lang w:val="sr-Latn-ME"/>
        </w:rPr>
        <w:t xml:space="preserve">, </w:t>
      </w:r>
      <w:r w:rsidRPr="00726BE7">
        <w:rPr>
          <w:color w:val="4472C4" w:themeColor="accent5"/>
          <w:szCs w:val="22"/>
        </w:rPr>
        <w:t>prera</w:t>
      </w:r>
      <w:r w:rsidRPr="00726BE7">
        <w:rPr>
          <w:color w:val="4472C4" w:themeColor="accent5"/>
          <w:szCs w:val="22"/>
          <w:lang w:val="sr-Latn-ME"/>
        </w:rPr>
        <w:t>đ</w:t>
      </w:r>
      <w:r w:rsidRPr="00726BE7">
        <w:rPr>
          <w:color w:val="4472C4" w:themeColor="accent5"/>
          <w:szCs w:val="22"/>
        </w:rPr>
        <w:t>iva</w:t>
      </w:r>
      <w:r w:rsidRPr="00726BE7">
        <w:rPr>
          <w:color w:val="4472C4" w:themeColor="accent5"/>
          <w:szCs w:val="22"/>
          <w:lang w:val="sr-Latn-ME"/>
        </w:rPr>
        <w:t>č</w:t>
      </w:r>
      <w:r w:rsidRPr="00726BE7">
        <w:rPr>
          <w:color w:val="4472C4" w:themeColor="accent5"/>
          <w:szCs w:val="22"/>
        </w:rPr>
        <w:t>ku</w:t>
      </w:r>
      <w:r w:rsidRPr="00726BE7">
        <w:rPr>
          <w:color w:val="4472C4" w:themeColor="accent5"/>
          <w:szCs w:val="22"/>
          <w:lang w:val="sr-Latn-ME"/>
        </w:rPr>
        <w:t xml:space="preserve"> </w:t>
      </w:r>
      <w:r w:rsidRPr="00726BE7">
        <w:rPr>
          <w:color w:val="4472C4" w:themeColor="accent5"/>
          <w:szCs w:val="22"/>
        </w:rPr>
        <w:t>industriju</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valorizaciju</w:t>
      </w:r>
      <w:r w:rsidRPr="00726BE7">
        <w:rPr>
          <w:color w:val="4472C4" w:themeColor="accent5"/>
          <w:szCs w:val="22"/>
          <w:lang w:val="sr-Latn-ME"/>
        </w:rPr>
        <w:t xml:space="preserve"> </w:t>
      </w:r>
      <w:r w:rsidRPr="00726BE7">
        <w:rPr>
          <w:color w:val="4472C4" w:themeColor="accent5"/>
          <w:szCs w:val="22"/>
        </w:rPr>
        <w:t>kulturne</w:t>
      </w:r>
      <w:r w:rsidRPr="00726BE7">
        <w:rPr>
          <w:color w:val="4472C4" w:themeColor="accent5"/>
          <w:szCs w:val="22"/>
          <w:lang w:val="sr-Latn-ME"/>
        </w:rPr>
        <w:t xml:space="preserve"> </w:t>
      </w:r>
      <w:r w:rsidRPr="00726BE7">
        <w:rPr>
          <w:color w:val="4472C4" w:themeColor="accent5"/>
          <w:szCs w:val="22"/>
        </w:rPr>
        <w:t>ba</w:t>
      </w:r>
      <w:r w:rsidRPr="00726BE7">
        <w:rPr>
          <w:color w:val="4472C4" w:themeColor="accent5"/>
          <w:szCs w:val="22"/>
          <w:lang w:val="sr-Latn-ME"/>
        </w:rPr>
        <w:t>š</w:t>
      </w:r>
      <w:r w:rsidRPr="00726BE7">
        <w:rPr>
          <w:color w:val="4472C4" w:themeColor="accent5"/>
          <w:szCs w:val="22"/>
        </w:rPr>
        <w:t>tine</w:t>
      </w:r>
      <w:bookmarkEnd w:id="64"/>
    </w:p>
    <w:p w14:paraId="404CE2E9" w14:textId="77777777" w:rsidR="00A13DA5" w:rsidRPr="00726BE7" w:rsidRDefault="00A13DA5" w:rsidP="0048184E">
      <w:pPr>
        <w:pStyle w:val="Heading2"/>
        <w:spacing w:before="0" w:line="240" w:lineRule="auto"/>
        <w:jc w:val="both"/>
        <w:rPr>
          <w:rFonts w:asciiTheme="minorHAnsi" w:hAnsiTheme="minorHAnsi"/>
          <w:sz w:val="22"/>
          <w:szCs w:val="22"/>
        </w:rPr>
      </w:pPr>
    </w:p>
    <w:p w14:paraId="60A9D378"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Imajući u vidu dosadašnju realizaciju regionalne politike u Crnoj Gori, ista se u narednom periodu treba fokusirati na podizanje nivoa kvaliteta turističkog proizvoda, prehrambenu industriju i bolju povezanost sa turizmom, kao i druge prateće industrijske djelatnosti. </w:t>
      </w:r>
    </w:p>
    <w:p w14:paraId="6E227FBA"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Naime, neophodno je nastaviti sa aktivnostima na unaprjeđenju turističke ponude regiona kroz organizovanje različitih događaja, manifestacija, izletničkih tura, etno-gastro ponude, i sl. Konkretno, podrška zelenim investicijama kroz proces dekarbonizacije i uvođenja novih ekološki prihvatljivih tehnologija u ugostiteljskim objektima, važan je element podrške razvoju turizma svakog regiona, a posebno Sjevera. Takođe, kulturni, avanturistički kao i zdravstveni turizam u velikoj mjeri doprinose daljoj diverzifikaciji turističke ponude, i to kroz jačanje brenda destinacije, produženje turističke sezone, kao i održavanje i zaštitu kulturne baštine. Iz ovog razloga, prepoznata je neophodnost pružanja dalje podrške razvoju turizma u zemlji u cjelini, kroz unaprjeđenje poreske politike, u smislu postojanja niže stope PDV-a na usluge u sektoru turizma, kao i podrškom kroz subvencije.</w:t>
      </w:r>
    </w:p>
    <w:p w14:paraId="3C8AFA4E"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Dodatno, za ostvarenje ovog operativnog cilja je važan unaprijeđen investicioni i zakonodavni okvir za modernizaciju industrije kroz bolji pristup, raspoloživost i dostupnost finansijama, unaprijeđenje pristupa finansiranju za konkurentna i inovativna preduzeća uz rast investicionih ulaganja u sektor prerađivačke industrije. Takođe, potrebno je obezbijediti bolju povezanost poljoprivrede i turizma, kao i veću iskorišćenost potencijala u oblasti kulture za povećanje dodate vrijednosti u turizmu. Naime, razvoj litoralne industrije u priobalnom području je od posebnog značaja i u funkciji je podrške razvoju plave ekonomije u Primorskom regionu. Shodno tome, neophodno je unaprijediti i kapacitete za pristup EU fondovima i dalje razviti institucionalnu infrastrukturu za podršku preduzećima, uključujući i lokalne biznis centre, kao i nastaviti sa podrškom povezivanju preduzeća u klastere i međunarodne lance vrijednosti, i posebno jačanju njihovih izvoznih performansi. </w:t>
      </w:r>
    </w:p>
    <w:p w14:paraId="3AB1665E"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Ostvarivanju ovog operativnog cilja doprinijeće i aktivnosti koje se odnose na podizanje svijesti JLS o značaju brendiranja gradova i/ili regiona. S obzirom da u prethodnom periodu nije bilo aktivnosti koje su se odnosile na razvoj brendova grada i/ili regiona, planirano je da se kroz implementaciju odgovarajućih aktivnosti djeluje na unaprjeđenju znanja JLS i obezbjeđivanju uslova za otpočinjanje ovih procesa u narednim godinama implementacije strategije.</w:t>
      </w:r>
    </w:p>
    <w:p w14:paraId="42B0EA6E"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92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04"/>
        <w:gridCol w:w="2135"/>
        <w:gridCol w:w="1116"/>
        <w:gridCol w:w="1530"/>
        <w:gridCol w:w="1440"/>
        <w:gridCol w:w="1445"/>
      </w:tblGrid>
      <w:tr w:rsidR="00A13DA5" w:rsidRPr="00FB3BDC" w14:paraId="40C9149F" w14:textId="77777777" w:rsidTr="008E5EF4">
        <w:trPr>
          <w:trHeight w:val="386"/>
          <w:jc w:val="center"/>
        </w:trPr>
        <w:tc>
          <w:tcPr>
            <w:tcW w:w="3739" w:type="dxa"/>
            <w:gridSpan w:val="2"/>
            <w:shd w:val="clear" w:color="auto" w:fill="D9E2F3"/>
          </w:tcPr>
          <w:p w14:paraId="181E6657" w14:textId="77777777" w:rsidR="00A13DA5" w:rsidRPr="008E5EF4" w:rsidRDefault="00A13DA5" w:rsidP="0048184E">
            <w:pPr>
              <w:pStyle w:val="NoSpacing"/>
              <w:rPr>
                <w:rFonts w:asciiTheme="minorHAnsi" w:hAnsiTheme="minorHAnsi" w:cstheme="minorHAnsi"/>
                <w:b/>
                <w:sz w:val="16"/>
                <w:szCs w:val="16"/>
                <w:lang w:val="sr-Latn-ME"/>
              </w:rPr>
            </w:pPr>
            <w:r w:rsidRPr="008E5EF4">
              <w:rPr>
                <w:rFonts w:asciiTheme="minorHAnsi" w:hAnsiTheme="minorHAnsi" w:cstheme="minorHAnsi"/>
                <w:b/>
                <w:sz w:val="16"/>
                <w:szCs w:val="16"/>
                <w:lang w:val="sr-Latn-ME"/>
              </w:rPr>
              <w:t xml:space="preserve">Operativni cilj 3.2. </w:t>
            </w:r>
          </w:p>
        </w:tc>
        <w:tc>
          <w:tcPr>
            <w:tcW w:w="5531" w:type="dxa"/>
            <w:gridSpan w:val="4"/>
            <w:shd w:val="clear" w:color="auto" w:fill="D9E2F3"/>
          </w:tcPr>
          <w:p w14:paraId="6148CC0E" w14:textId="77777777" w:rsidR="00A13DA5" w:rsidRPr="008E5EF4" w:rsidRDefault="00A13DA5" w:rsidP="0048184E">
            <w:pPr>
              <w:pStyle w:val="NoSpacing"/>
              <w:rPr>
                <w:rFonts w:asciiTheme="minorHAnsi" w:hAnsiTheme="minorHAnsi" w:cstheme="minorHAnsi"/>
                <w:b/>
                <w:sz w:val="16"/>
                <w:szCs w:val="16"/>
                <w:lang w:val="sr-Latn-ME"/>
              </w:rPr>
            </w:pPr>
            <w:r w:rsidRPr="008E5EF4">
              <w:rPr>
                <w:rFonts w:asciiTheme="minorHAnsi" w:hAnsiTheme="minorHAnsi" w:cstheme="minorHAnsi"/>
                <w:b/>
                <w:sz w:val="16"/>
                <w:szCs w:val="16"/>
                <w:lang w:val="sr-Latn-ME"/>
              </w:rPr>
              <w:t>Razvoj prioritetnih sektora i sektora sa potencijalom rasta sa fokusom na diverzifikaciju turističkog proizvoda, prerađivačku industriju i valorizaciju kulturne baštine</w:t>
            </w:r>
          </w:p>
        </w:tc>
      </w:tr>
      <w:tr w:rsidR="00A13DA5" w:rsidRPr="0048184E" w14:paraId="2E68D88D" w14:textId="77777777" w:rsidTr="008E5EF4">
        <w:trPr>
          <w:trHeight w:val="386"/>
          <w:jc w:val="center"/>
        </w:trPr>
        <w:tc>
          <w:tcPr>
            <w:tcW w:w="1604" w:type="dxa"/>
            <w:shd w:val="clear" w:color="auto" w:fill="auto"/>
          </w:tcPr>
          <w:p w14:paraId="7D28E1F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 xml:space="preserve">Povećan broj smještajnih kapaciteta visoke  kategorije </w:t>
            </w:r>
          </w:p>
        </w:tc>
        <w:tc>
          <w:tcPr>
            <w:tcW w:w="2135" w:type="dxa"/>
            <w:shd w:val="clear" w:color="auto" w:fill="auto"/>
          </w:tcPr>
          <w:p w14:paraId="2470ADA6"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Broj smještajnih kapaciteta u hotelima i sl. objektima sa 4* i 5*</w:t>
            </w:r>
          </w:p>
        </w:tc>
        <w:tc>
          <w:tcPr>
            <w:tcW w:w="1116" w:type="dxa"/>
            <w:shd w:val="clear" w:color="auto" w:fill="FFFFFF"/>
          </w:tcPr>
          <w:p w14:paraId="11C27DB8" w14:textId="77777777" w:rsidR="00A13DA5" w:rsidRPr="008E5EF4" w:rsidRDefault="008D692E"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Monstat, MT</w:t>
            </w:r>
          </w:p>
        </w:tc>
        <w:tc>
          <w:tcPr>
            <w:tcW w:w="1530" w:type="dxa"/>
            <w:shd w:val="clear" w:color="auto" w:fill="auto"/>
          </w:tcPr>
          <w:p w14:paraId="6D5DA91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874</w:t>
            </w:r>
          </w:p>
          <w:p w14:paraId="3D2D193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1.791 (2019.)</w:t>
            </w:r>
          </w:p>
          <w:p w14:paraId="062C696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2.335 (2019.)</w:t>
            </w:r>
          </w:p>
        </w:tc>
        <w:tc>
          <w:tcPr>
            <w:tcW w:w="1440" w:type="dxa"/>
            <w:shd w:val="clear" w:color="auto" w:fill="auto"/>
          </w:tcPr>
          <w:p w14:paraId="70D4973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3.000</w:t>
            </w:r>
          </w:p>
          <w:p w14:paraId="26BB04E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3.400</w:t>
            </w:r>
          </w:p>
          <w:p w14:paraId="6FB81AF6"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4.000</w:t>
            </w:r>
          </w:p>
        </w:tc>
        <w:tc>
          <w:tcPr>
            <w:tcW w:w="1445" w:type="dxa"/>
            <w:shd w:val="clear" w:color="auto" w:fill="auto"/>
          </w:tcPr>
          <w:p w14:paraId="04EF31A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3.100</w:t>
            </w:r>
          </w:p>
          <w:p w14:paraId="6751794F"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4.000</w:t>
            </w:r>
          </w:p>
          <w:p w14:paraId="3BA7C62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5.000</w:t>
            </w:r>
          </w:p>
        </w:tc>
      </w:tr>
      <w:tr w:rsidR="00A13DA5" w:rsidRPr="00FB3BDC" w14:paraId="16944355" w14:textId="77777777" w:rsidTr="008E5EF4">
        <w:trPr>
          <w:trHeight w:val="386"/>
          <w:jc w:val="center"/>
        </w:trPr>
        <w:tc>
          <w:tcPr>
            <w:tcW w:w="1604" w:type="dxa"/>
            <w:shd w:val="clear" w:color="auto" w:fill="auto"/>
          </w:tcPr>
          <w:p w14:paraId="074856A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 xml:space="preserve">Povećan broj registrovanih smještajnih kapaciteta u privatnom smještaju </w:t>
            </w:r>
          </w:p>
        </w:tc>
        <w:tc>
          <w:tcPr>
            <w:tcW w:w="2135" w:type="dxa"/>
            <w:shd w:val="clear" w:color="auto" w:fill="auto"/>
          </w:tcPr>
          <w:p w14:paraId="7D318F7F"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Broj registrovanih smještajnih kapaciteta u privatnom smještaju</w:t>
            </w:r>
          </w:p>
        </w:tc>
        <w:tc>
          <w:tcPr>
            <w:tcW w:w="1116" w:type="dxa"/>
            <w:shd w:val="clear" w:color="auto" w:fill="FFFFFF"/>
          </w:tcPr>
          <w:p w14:paraId="715AEFDF" w14:textId="77777777" w:rsidR="00A13DA5" w:rsidRPr="008E5EF4" w:rsidRDefault="008D692E"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Monstat, MT</w:t>
            </w:r>
          </w:p>
        </w:tc>
        <w:tc>
          <w:tcPr>
            <w:tcW w:w="1530" w:type="dxa"/>
            <w:tcBorders>
              <w:top w:val="single" w:sz="4" w:space="0" w:color="auto"/>
              <w:left w:val="single" w:sz="4" w:space="0" w:color="auto"/>
              <w:bottom w:val="single" w:sz="4" w:space="0" w:color="auto"/>
              <w:right w:val="single" w:sz="4" w:space="0" w:color="auto"/>
            </w:tcBorders>
          </w:tcPr>
          <w:p w14:paraId="48B13E37"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1.749</w:t>
            </w:r>
          </w:p>
          <w:p w14:paraId="52AC95BA"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n/a</w:t>
            </w:r>
          </w:p>
          <w:p w14:paraId="41F8E0EE"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157.781 (2019.)</w:t>
            </w:r>
          </w:p>
        </w:tc>
        <w:tc>
          <w:tcPr>
            <w:tcW w:w="1440" w:type="dxa"/>
            <w:tcBorders>
              <w:top w:val="single" w:sz="4" w:space="0" w:color="auto"/>
              <w:left w:val="single" w:sz="4" w:space="0" w:color="auto"/>
              <w:bottom w:val="single" w:sz="4" w:space="0" w:color="auto"/>
              <w:right w:val="single" w:sz="4" w:space="0" w:color="auto"/>
            </w:tcBorders>
          </w:tcPr>
          <w:p w14:paraId="03D9D49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1.970</w:t>
            </w:r>
          </w:p>
          <w:p w14:paraId="56BC8AC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treba biti određena</w:t>
            </w:r>
          </w:p>
          <w:p w14:paraId="1A25C94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164.000</w:t>
            </w:r>
          </w:p>
        </w:tc>
        <w:tc>
          <w:tcPr>
            <w:tcW w:w="1445" w:type="dxa"/>
            <w:tcBorders>
              <w:top w:val="single" w:sz="4" w:space="0" w:color="auto"/>
              <w:left w:val="single" w:sz="4" w:space="0" w:color="auto"/>
              <w:bottom w:val="single" w:sz="4" w:space="0" w:color="auto"/>
              <w:right w:val="single" w:sz="4" w:space="0" w:color="auto"/>
            </w:tcBorders>
          </w:tcPr>
          <w:p w14:paraId="36A80E86"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2.100</w:t>
            </w:r>
          </w:p>
          <w:p w14:paraId="6842011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treba biti određena</w:t>
            </w:r>
          </w:p>
          <w:p w14:paraId="472FF9F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171.000</w:t>
            </w:r>
          </w:p>
        </w:tc>
      </w:tr>
      <w:tr w:rsidR="00A13DA5" w:rsidRPr="00FB3BDC" w14:paraId="4B8C4C99" w14:textId="77777777" w:rsidTr="008E5EF4">
        <w:trPr>
          <w:trHeight w:val="386"/>
          <w:jc w:val="center"/>
        </w:trPr>
        <w:tc>
          <w:tcPr>
            <w:tcW w:w="1604" w:type="dxa"/>
            <w:shd w:val="clear" w:color="auto" w:fill="auto"/>
          </w:tcPr>
          <w:p w14:paraId="50E7D0DF"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 xml:space="preserve">Povećan broj noćenja turista </w:t>
            </w:r>
          </w:p>
        </w:tc>
        <w:tc>
          <w:tcPr>
            <w:tcW w:w="2135" w:type="dxa"/>
            <w:shd w:val="clear" w:color="auto" w:fill="auto"/>
          </w:tcPr>
          <w:p w14:paraId="6844CF4E"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Broj noćenja turista (u svim vidovima smještaja – u kolektivnom i individualnom smještaju)</w:t>
            </w:r>
          </w:p>
        </w:tc>
        <w:tc>
          <w:tcPr>
            <w:tcW w:w="1116" w:type="dxa"/>
            <w:shd w:val="clear" w:color="auto" w:fill="auto"/>
          </w:tcPr>
          <w:p w14:paraId="32D1CA70" w14:textId="77777777" w:rsidR="00A13DA5" w:rsidRPr="008E5EF4" w:rsidRDefault="008D692E"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Monstat, MT</w:t>
            </w:r>
          </w:p>
        </w:tc>
        <w:tc>
          <w:tcPr>
            <w:tcW w:w="1530" w:type="dxa"/>
            <w:shd w:val="clear" w:color="auto" w:fill="auto"/>
          </w:tcPr>
          <w:p w14:paraId="35500221"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303.752 (2022.)</w:t>
            </w:r>
          </w:p>
          <w:p w14:paraId="596E84DA"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463.035 (2022.)</w:t>
            </w:r>
          </w:p>
          <w:p w14:paraId="7FEB895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11.662.000 (2022.)</w:t>
            </w:r>
          </w:p>
        </w:tc>
        <w:tc>
          <w:tcPr>
            <w:tcW w:w="1440" w:type="dxa"/>
            <w:shd w:val="clear" w:color="auto" w:fill="auto"/>
          </w:tcPr>
          <w:p w14:paraId="0A01C3C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povećanje 3-5%</w:t>
            </w:r>
          </w:p>
          <w:p w14:paraId="00BF661C"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povećanje 3-5%</w:t>
            </w:r>
          </w:p>
          <w:p w14:paraId="49BCECF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povećanje 3-5%</w:t>
            </w:r>
          </w:p>
        </w:tc>
        <w:tc>
          <w:tcPr>
            <w:tcW w:w="1445" w:type="dxa"/>
            <w:shd w:val="clear" w:color="auto" w:fill="auto"/>
          </w:tcPr>
          <w:p w14:paraId="6FDC247C"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povećanje 3-5%</w:t>
            </w:r>
          </w:p>
          <w:p w14:paraId="6B70A367"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povećanje 3-5%</w:t>
            </w:r>
          </w:p>
          <w:p w14:paraId="5B399815"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povećanje 3-5%</w:t>
            </w:r>
          </w:p>
        </w:tc>
      </w:tr>
      <w:tr w:rsidR="00A13DA5" w:rsidRPr="00FB3BDC" w14:paraId="74D33E90" w14:textId="77777777" w:rsidTr="008E5EF4">
        <w:trPr>
          <w:trHeight w:val="386"/>
          <w:jc w:val="center"/>
        </w:trPr>
        <w:tc>
          <w:tcPr>
            <w:tcW w:w="1604" w:type="dxa"/>
            <w:vMerge w:val="restart"/>
            <w:tcBorders>
              <w:top w:val="single" w:sz="4" w:space="0" w:color="808080"/>
              <w:left w:val="single" w:sz="4" w:space="0" w:color="808080"/>
              <w:right w:val="single" w:sz="4" w:space="0" w:color="808080"/>
            </w:tcBorders>
            <w:shd w:val="clear" w:color="auto" w:fill="auto"/>
          </w:tcPr>
          <w:p w14:paraId="606363C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5FF8574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auto"/>
          </w:tcPr>
          <w:p w14:paraId="55386A2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Prirodni resursi i biodiverzitet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704C1DB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Materijalna dobra i kulturno nasleđe</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331D22B7"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Proizvodni procesi i tehnologije</w:t>
            </w:r>
          </w:p>
        </w:tc>
        <w:tc>
          <w:tcPr>
            <w:tcW w:w="1445" w:type="dxa"/>
            <w:tcBorders>
              <w:top w:val="single" w:sz="4" w:space="0" w:color="808080"/>
              <w:left w:val="single" w:sz="4" w:space="0" w:color="808080"/>
              <w:bottom w:val="single" w:sz="4" w:space="0" w:color="808080"/>
              <w:right w:val="single" w:sz="4" w:space="0" w:color="808080"/>
            </w:tcBorders>
            <w:shd w:val="clear" w:color="auto" w:fill="auto"/>
          </w:tcPr>
          <w:p w14:paraId="7FC99E85"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Način isporuke usluga i dobara</w:t>
            </w:r>
          </w:p>
        </w:tc>
      </w:tr>
      <w:tr w:rsidR="00A13DA5" w:rsidRPr="0048184E" w14:paraId="0B7A0011" w14:textId="77777777" w:rsidTr="008E5EF4">
        <w:trPr>
          <w:trHeight w:val="386"/>
          <w:jc w:val="center"/>
        </w:trPr>
        <w:tc>
          <w:tcPr>
            <w:tcW w:w="1604" w:type="dxa"/>
            <w:vMerge/>
            <w:tcBorders>
              <w:left w:val="single" w:sz="4" w:space="0" w:color="808080"/>
              <w:bottom w:val="single" w:sz="4" w:space="0" w:color="808080"/>
              <w:right w:val="single" w:sz="4" w:space="0" w:color="808080"/>
            </w:tcBorders>
            <w:shd w:val="clear" w:color="auto" w:fill="auto"/>
          </w:tcPr>
          <w:p w14:paraId="67140A07" w14:textId="77777777" w:rsidR="00A13DA5" w:rsidRPr="008E5EF4"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6D1A828"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116" w:type="dxa"/>
            <w:tcBorders>
              <w:top w:val="single" w:sz="4" w:space="0" w:color="808080"/>
              <w:left w:val="single" w:sz="4" w:space="0" w:color="808080"/>
              <w:bottom w:val="single" w:sz="4" w:space="0" w:color="808080"/>
              <w:right w:val="single" w:sz="4" w:space="0" w:color="808080"/>
            </w:tcBorders>
            <w:shd w:val="clear" w:color="auto" w:fill="auto"/>
          </w:tcPr>
          <w:p w14:paraId="342CB271"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31C65D76"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21FC4B7D"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445" w:type="dxa"/>
            <w:tcBorders>
              <w:top w:val="single" w:sz="4" w:space="0" w:color="808080"/>
              <w:left w:val="single" w:sz="4" w:space="0" w:color="808080"/>
              <w:bottom w:val="single" w:sz="4" w:space="0" w:color="808080"/>
              <w:right w:val="single" w:sz="4" w:space="0" w:color="808080"/>
            </w:tcBorders>
            <w:shd w:val="clear" w:color="auto" w:fill="auto"/>
          </w:tcPr>
          <w:p w14:paraId="66E8C928"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r>
    </w:tbl>
    <w:p w14:paraId="62613B4E" w14:textId="77777777" w:rsidR="00A13DA5" w:rsidRPr="0048184E" w:rsidRDefault="00A13DA5" w:rsidP="0048184E">
      <w:pPr>
        <w:pStyle w:val="NoSpacing"/>
        <w:rPr>
          <w:rFonts w:asciiTheme="minorHAnsi" w:hAnsiTheme="minorHAnsi" w:cstheme="minorHAnsi"/>
          <w:sz w:val="18"/>
          <w:szCs w:val="18"/>
          <w:lang w:val="sr-Latn-ME"/>
        </w:rPr>
      </w:pPr>
    </w:p>
    <w:p w14:paraId="472D02D7" w14:textId="77777777" w:rsidR="00A13DA5" w:rsidRPr="00726BE7" w:rsidRDefault="00A13DA5" w:rsidP="0048184E">
      <w:pPr>
        <w:pStyle w:val="Heading21"/>
        <w:numPr>
          <w:ilvl w:val="1"/>
          <w:numId w:val="28"/>
        </w:numPr>
        <w:spacing w:before="0"/>
        <w:rPr>
          <w:color w:val="4472C4" w:themeColor="accent5"/>
          <w:szCs w:val="22"/>
        </w:rPr>
      </w:pPr>
      <w:bookmarkStart w:id="65" w:name="_Toc205215856"/>
      <w:r w:rsidRPr="00726BE7">
        <w:rPr>
          <w:color w:val="4472C4" w:themeColor="accent5"/>
          <w:szCs w:val="22"/>
        </w:rPr>
        <w:lastRenderedPageBreak/>
        <w:t>OPERATIVNI CILJ 3.3. Unaprjeđenje saobraćajne infrastrukture</w:t>
      </w:r>
      <w:bookmarkEnd w:id="65"/>
    </w:p>
    <w:p w14:paraId="24D2D457" w14:textId="77777777" w:rsidR="00A13DA5" w:rsidRPr="0048184E" w:rsidRDefault="00A13DA5" w:rsidP="0048184E">
      <w:pPr>
        <w:pStyle w:val="Heading21"/>
        <w:spacing w:before="0"/>
        <w:rPr>
          <w:color w:val="auto"/>
          <w:sz w:val="18"/>
          <w:szCs w:val="18"/>
        </w:rPr>
      </w:pPr>
    </w:p>
    <w:p w14:paraId="4728C61A" w14:textId="77777777" w:rsidR="00E578EE" w:rsidRPr="0048184E" w:rsidRDefault="00A13DA5" w:rsidP="0048184E">
      <w:pPr>
        <w:spacing w:after="0" w:line="240" w:lineRule="auto"/>
        <w:jc w:val="both"/>
        <w:rPr>
          <w:rFonts w:cs="Calibri Light"/>
          <w:sz w:val="18"/>
          <w:szCs w:val="18"/>
          <w:lang w:val="pl-PL"/>
        </w:rPr>
      </w:pPr>
      <w:r w:rsidRPr="0048184E">
        <w:rPr>
          <w:rFonts w:cstheme="minorHAnsi"/>
          <w:sz w:val="18"/>
          <w:szCs w:val="18"/>
          <w:lang w:val="hr-BA"/>
        </w:rPr>
        <w:t>Dalje unaprjeđenje putne</w:t>
      </w:r>
      <w:r w:rsidR="00E60F3F">
        <w:rPr>
          <w:rFonts w:cstheme="minorHAnsi"/>
          <w:sz w:val="18"/>
          <w:szCs w:val="18"/>
          <w:lang w:val="hr-BA"/>
        </w:rPr>
        <w:t>, avio</w:t>
      </w:r>
      <w:r w:rsidRPr="0048184E">
        <w:rPr>
          <w:rFonts w:cstheme="minorHAnsi"/>
          <w:sz w:val="18"/>
          <w:szCs w:val="18"/>
          <w:lang w:val="hr-BA"/>
        </w:rPr>
        <w:t xml:space="preserve"> i željezničke infrastrukture, predstavlja jedan od ključnih preduslova ubrzanijeg razvoja svakog regiona. Ovdje je važno naglasiti da je izgradnja prve dionice auto-puta značajno povećala dostupnost Sjevernog regiona, posebno opštine Kolašin, stvarajući pretpostavke za povećanje ekonomske aktivnosti, prvenstveno razvoj turizma, ali i poljoprivrede i povezanih djelatnosti. U tom smislu, i radi daljeg povezivanja Sjevernog regiona sa ostatkom zemlje, kao i međunarodnim saobraćajnicama, u narednom periodu neophodan je nastavak izgradnje druge dionice auto-puta Bar-Boljare, kao i obezbjeđenje dovoljno finansijskih sredstava za njihovo održavanje (naročito u zimskim uslovima, kada su putevi i željeznica veoma važni za dalji razvoj zimskog turizma). </w:t>
      </w:r>
      <w:r w:rsidR="00E578EE" w:rsidRPr="0048184E">
        <w:rPr>
          <w:rFonts w:cs="Calibri Light"/>
          <w:sz w:val="18"/>
          <w:szCs w:val="18"/>
          <w:lang w:val="pl-PL"/>
        </w:rPr>
        <w:t>Izgradnja</w:t>
      </w:r>
      <w:r w:rsidR="00E578EE" w:rsidRPr="0048184E">
        <w:rPr>
          <w:rFonts w:cs="Calibri Light"/>
          <w:sz w:val="18"/>
          <w:szCs w:val="18"/>
          <w:lang w:val="sr-Latn-ME"/>
        </w:rPr>
        <w:t xml:space="preserve"> </w:t>
      </w:r>
      <w:r w:rsidR="00E578EE" w:rsidRPr="0048184E">
        <w:rPr>
          <w:rFonts w:cs="Calibri Light"/>
          <w:sz w:val="18"/>
          <w:szCs w:val="18"/>
          <w:lang w:val="pl-PL"/>
        </w:rPr>
        <w:t>druge</w:t>
      </w:r>
      <w:r w:rsidR="00E578EE" w:rsidRPr="0048184E">
        <w:rPr>
          <w:rFonts w:cs="Calibri Light"/>
          <w:sz w:val="18"/>
          <w:szCs w:val="18"/>
          <w:lang w:val="sr-Latn-ME"/>
        </w:rPr>
        <w:t xml:space="preserve"> </w:t>
      </w:r>
      <w:r w:rsidR="00E578EE" w:rsidRPr="0048184E">
        <w:rPr>
          <w:rFonts w:cs="Calibri Light"/>
          <w:sz w:val="18"/>
          <w:szCs w:val="18"/>
          <w:lang w:val="pl-PL"/>
        </w:rPr>
        <w:t>dionice</w:t>
      </w:r>
      <w:r w:rsidR="00E578EE" w:rsidRPr="0048184E">
        <w:rPr>
          <w:rFonts w:cs="Calibri Light"/>
          <w:sz w:val="18"/>
          <w:szCs w:val="18"/>
          <w:lang w:val="sr-Latn-ME"/>
        </w:rPr>
        <w:t xml:space="preserve"> </w:t>
      </w:r>
      <w:r w:rsidR="00E578EE" w:rsidRPr="0048184E">
        <w:rPr>
          <w:rFonts w:cs="Calibri Light"/>
          <w:sz w:val="18"/>
          <w:szCs w:val="18"/>
          <w:lang w:val="pl-PL"/>
        </w:rPr>
        <w:t>autoputa</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w:t>
      </w:r>
      <w:r w:rsidR="00E578EE" w:rsidRPr="0048184E">
        <w:rPr>
          <w:rFonts w:cs="Calibri Light"/>
          <w:sz w:val="18"/>
          <w:szCs w:val="18"/>
          <w:lang w:val="pl-PL"/>
        </w:rPr>
        <w:t>Mate</w:t>
      </w:r>
      <w:r w:rsidR="00E578EE" w:rsidRPr="0048184E">
        <w:rPr>
          <w:rFonts w:cs="Calibri Light"/>
          <w:sz w:val="18"/>
          <w:szCs w:val="18"/>
          <w:lang w:val="sr-Latn-ME"/>
        </w:rPr>
        <w:t>š</w:t>
      </w:r>
      <w:r w:rsidR="00E578EE" w:rsidRPr="0048184E">
        <w:rPr>
          <w:rFonts w:cs="Calibri Light"/>
          <w:sz w:val="18"/>
          <w:szCs w:val="18"/>
          <w:lang w:val="pl-PL"/>
        </w:rPr>
        <w:t>eva</w:t>
      </w:r>
      <w:r w:rsidR="00E578EE" w:rsidRPr="0048184E">
        <w:rPr>
          <w:rFonts w:cs="Calibri Light"/>
          <w:sz w:val="18"/>
          <w:szCs w:val="18"/>
          <w:lang w:val="sr-Latn-ME"/>
        </w:rPr>
        <w:t xml:space="preserve"> </w:t>
      </w:r>
      <w:r w:rsidR="00E578EE" w:rsidRPr="0048184E">
        <w:rPr>
          <w:rFonts w:cs="Calibri Light"/>
          <w:sz w:val="18"/>
          <w:szCs w:val="18"/>
          <w:lang w:val="pl-PL"/>
        </w:rPr>
        <w:t>do</w:t>
      </w:r>
      <w:r w:rsidR="00E578EE" w:rsidRPr="0048184E">
        <w:rPr>
          <w:rFonts w:cs="Calibri Light"/>
          <w:sz w:val="18"/>
          <w:szCs w:val="18"/>
          <w:lang w:val="sr-Latn-ME"/>
        </w:rPr>
        <w:t xml:space="preserve"> </w:t>
      </w:r>
      <w:r w:rsidR="00E578EE" w:rsidRPr="0048184E">
        <w:rPr>
          <w:rFonts w:cs="Calibri Light"/>
          <w:sz w:val="18"/>
          <w:szCs w:val="18"/>
          <w:lang w:val="pl-PL"/>
        </w:rPr>
        <w:t>Andrijevice</w:t>
      </w:r>
      <w:r w:rsidR="00E578EE" w:rsidRPr="0048184E">
        <w:rPr>
          <w:rFonts w:cs="Calibri Light"/>
          <w:sz w:val="18"/>
          <w:szCs w:val="18"/>
          <w:lang w:val="sr-Latn-ME"/>
        </w:rPr>
        <w:t xml:space="preserve"> (</w:t>
      </w:r>
      <w:r w:rsidR="00E578EE" w:rsidRPr="0048184E">
        <w:rPr>
          <w:rFonts w:cs="Calibri Light"/>
          <w:sz w:val="18"/>
          <w:szCs w:val="18"/>
          <w:lang w:val="pl-PL"/>
        </w:rPr>
        <w:t>ukupna</w:t>
      </w:r>
      <w:r w:rsidR="00E578EE" w:rsidRPr="0048184E">
        <w:rPr>
          <w:rFonts w:cs="Calibri Light"/>
          <w:sz w:val="18"/>
          <w:szCs w:val="18"/>
          <w:lang w:val="sr-Latn-ME"/>
        </w:rPr>
        <w:t xml:space="preserve"> </w:t>
      </w:r>
      <w:r w:rsidR="00E578EE" w:rsidRPr="0048184E">
        <w:rPr>
          <w:rFonts w:cs="Calibri Light"/>
          <w:sz w:val="18"/>
          <w:szCs w:val="18"/>
          <w:lang w:val="pl-PL"/>
        </w:rPr>
        <w:t>procjena</w:t>
      </w:r>
      <w:r w:rsidR="00E578EE" w:rsidRPr="0048184E">
        <w:rPr>
          <w:rFonts w:cs="Calibri Light"/>
          <w:sz w:val="18"/>
          <w:szCs w:val="18"/>
          <w:lang w:val="sr-Latn-ME"/>
        </w:rPr>
        <w:t xml:space="preserve"> </w:t>
      </w:r>
      <w:r w:rsidR="00E578EE" w:rsidRPr="0048184E">
        <w:rPr>
          <w:rFonts w:cs="Calibri Light"/>
          <w:sz w:val="18"/>
          <w:szCs w:val="18"/>
          <w:lang w:val="pl-PL"/>
        </w:rPr>
        <w:t>tro</w:t>
      </w:r>
      <w:r w:rsidR="00E578EE" w:rsidRPr="0048184E">
        <w:rPr>
          <w:rFonts w:cs="Calibri Light"/>
          <w:sz w:val="18"/>
          <w:szCs w:val="18"/>
          <w:lang w:val="sr-Latn-ME"/>
        </w:rPr>
        <w:t>š</w:t>
      </w:r>
      <w:r w:rsidR="00E578EE" w:rsidRPr="0048184E">
        <w:rPr>
          <w:rFonts w:cs="Calibri Light"/>
          <w:sz w:val="18"/>
          <w:szCs w:val="18"/>
          <w:lang w:val="pl-PL"/>
        </w:rPr>
        <w:t>kova</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530 </w:t>
      </w:r>
      <w:r w:rsidR="00E578EE" w:rsidRPr="0048184E">
        <w:rPr>
          <w:rFonts w:cs="Calibri Light"/>
          <w:sz w:val="18"/>
          <w:szCs w:val="18"/>
          <w:lang w:val="pl-PL"/>
        </w:rPr>
        <w:t>mil</w:t>
      </w:r>
      <w:r w:rsidR="00E578EE" w:rsidRPr="0048184E">
        <w:rPr>
          <w:rFonts w:cs="Calibri Light"/>
          <w:sz w:val="18"/>
          <w:szCs w:val="18"/>
          <w:lang w:val="sr-Latn-ME"/>
        </w:rPr>
        <w:t xml:space="preserve">. </w:t>
      </w:r>
      <w:r w:rsidR="00E578EE" w:rsidRPr="0048184E">
        <w:rPr>
          <w:rFonts w:cs="Calibri Light"/>
          <w:sz w:val="18"/>
          <w:szCs w:val="18"/>
          <w:lang w:val="pl-PL"/>
        </w:rPr>
        <w:t>€,)</w:t>
      </w:r>
      <w:r w:rsidR="00E578EE" w:rsidRPr="0048184E">
        <w:rPr>
          <w:rFonts w:cs="Calibri Light"/>
          <w:sz w:val="18"/>
          <w:szCs w:val="18"/>
          <w:lang w:val="sr-Latn-ME"/>
        </w:rPr>
        <w:t xml:space="preserve"> </w:t>
      </w:r>
      <w:r w:rsidR="00E578EE" w:rsidRPr="0048184E">
        <w:rPr>
          <w:rFonts w:cs="Calibri Light"/>
          <w:sz w:val="18"/>
          <w:szCs w:val="18"/>
          <w:lang w:val="pl-PL"/>
        </w:rPr>
        <w:t>bi</w:t>
      </w:r>
      <w:r w:rsidR="00E578EE" w:rsidRPr="0048184E">
        <w:rPr>
          <w:rFonts w:cs="Calibri Light"/>
          <w:sz w:val="18"/>
          <w:szCs w:val="18"/>
          <w:lang w:val="sr-Latn-ME"/>
        </w:rPr>
        <w:t>ć</w:t>
      </w:r>
      <w:r w:rsidR="00E578EE" w:rsidRPr="0048184E">
        <w:rPr>
          <w:rFonts w:cs="Calibri Light"/>
          <w:sz w:val="18"/>
          <w:szCs w:val="18"/>
          <w:lang w:val="pl-PL"/>
        </w:rPr>
        <w:t>e</w:t>
      </w:r>
      <w:r w:rsidR="00E578EE" w:rsidRPr="0048184E">
        <w:rPr>
          <w:rFonts w:cs="Calibri Light"/>
          <w:sz w:val="18"/>
          <w:szCs w:val="18"/>
          <w:lang w:val="sr-Latn-ME"/>
        </w:rPr>
        <w:t xml:space="preserve"> </w:t>
      </w:r>
      <w:r w:rsidR="00E578EE" w:rsidRPr="0048184E">
        <w:rPr>
          <w:rFonts w:cs="Calibri Light"/>
          <w:sz w:val="18"/>
          <w:szCs w:val="18"/>
          <w:lang w:val="pl-PL"/>
        </w:rPr>
        <w:t>realizovana</w:t>
      </w:r>
      <w:r w:rsidR="00E578EE" w:rsidRPr="0048184E">
        <w:rPr>
          <w:rFonts w:cs="Calibri Light"/>
          <w:sz w:val="18"/>
          <w:szCs w:val="18"/>
          <w:lang w:val="sr-Latn-ME"/>
        </w:rPr>
        <w:t xml:space="preserve"> </w:t>
      </w:r>
      <w:r w:rsidR="00E578EE" w:rsidRPr="0048184E">
        <w:rPr>
          <w:rFonts w:cs="Calibri Light"/>
          <w:sz w:val="18"/>
          <w:szCs w:val="18"/>
          <w:lang w:val="pl-PL"/>
        </w:rPr>
        <w:t>uz</w:t>
      </w:r>
      <w:r w:rsidR="00E578EE" w:rsidRPr="0048184E">
        <w:rPr>
          <w:rFonts w:cs="Calibri Light"/>
          <w:sz w:val="18"/>
          <w:szCs w:val="18"/>
          <w:lang w:val="sr-Latn-ME"/>
        </w:rPr>
        <w:t xml:space="preserve"> </w:t>
      </w:r>
      <w:r w:rsidR="00E578EE" w:rsidRPr="0048184E">
        <w:rPr>
          <w:rFonts w:cs="Calibri Light"/>
          <w:sz w:val="18"/>
          <w:szCs w:val="18"/>
          <w:lang w:val="pl-PL"/>
        </w:rPr>
        <w:t>podr</w:t>
      </w:r>
      <w:r w:rsidR="00E578EE" w:rsidRPr="0048184E">
        <w:rPr>
          <w:rFonts w:cs="Calibri Light"/>
          <w:sz w:val="18"/>
          <w:szCs w:val="18"/>
          <w:lang w:val="sr-Latn-ME"/>
        </w:rPr>
        <w:t>š</w:t>
      </w:r>
      <w:r w:rsidR="00E578EE" w:rsidRPr="0048184E">
        <w:rPr>
          <w:rFonts w:cs="Calibri Light"/>
          <w:sz w:val="18"/>
          <w:szCs w:val="18"/>
          <w:lang w:val="pl-PL"/>
        </w:rPr>
        <w:t>ku</w:t>
      </w:r>
      <w:r w:rsidR="00E578EE" w:rsidRPr="0048184E">
        <w:rPr>
          <w:rFonts w:cs="Calibri Light"/>
          <w:sz w:val="18"/>
          <w:szCs w:val="18"/>
          <w:lang w:val="sr-Latn-ME"/>
        </w:rPr>
        <w:t xml:space="preserve"> </w:t>
      </w:r>
      <w:r w:rsidR="00E578EE" w:rsidRPr="0048184E">
        <w:rPr>
          <w:rFonts w:cs="Calibri Light"/>
          <w:sz w:val="18"/>
          <w:szCs w:val="18"/>
          <w:lang w:val="pl-PL"/>
        </w:rPr>
        <w:t>Evropske</w:t>
      </w:r>
      <w:r w:rsidR="00E578EE" w:rsidRPr="0048184E">
        <w:rPr>
          <w:rFonts w:cs="Calibri Light"/>
          <w:sz w:val="18"/>
          <w:szCs w:val="18"/>
          <w:lang w:val="sr-Latn-ME"/>
        </w:rPr>
        <w:t xml:space="preserve"> </w:t>
      </w:r>
      <w:r w:rsidR="00E578EE" w:rsidRPr="0048184E">
        <w:rPr>
          <w:rFonts w:cs="Calibri Light"/>
          <w:sz w:val="18"/>
          <w:szCs w:val="18"/>
          <w:lang w:val="pl-PL"/>
        </w:rPr>
        <w:t>banke</w:t>
      </w:r>
      <w:r w:rsidR="00E578EE" w:rsidRPr="0048184E">
        <w:rPr>
          <w:rFonts w:cs="Calibri Light"/>
          <w:sz w:val="18"/>
          <w:szCs w:val="18"/>
          <w:lang w:val="sr-Latn-ME"/>
        </w:rPr>
        <w:t xml:space="preserve"> </w:t>
      </w:r>
      <w:r w:rsidR="00E578EE" w:rsidRPr="0048184E">
        <w:rPr>
          <w:rFonts w:cs="Calibri Light"/>
          <w:sz w:val="18"/>
          <w:szCs w:val="18"/>
          <w:lang w:val="pl-PL"/>
        </w:rPr>
        <w:t>za</w:t>
      </w:r>
      <w:r w:rsidR="00E578EE" w:rsidRPr="0048184E">
        <w:rPr>
          <w:rFonts w:cs="Calibri Light"/>
          <w:sz w:val="18"/>
          <w:szCs w:val="18"/>
          <w:lang w:val="sr-Latn-ME"/>
        </w:rPr>
        <w:t xml:space="preserve"> </w:t>
      </w:r>
      <w:r w:rsidR="00E578EE" w:rsidRPr="0048184E">
        <w:rPr>
          <w:rFonts w:cs="Calibri Light"/>
          <w:sz w:val="18"/>
          <w:szCs w:val="18"/>
          <w:lang w:val="pl-PL"/>
        </w:rPr>
        <w:t>obnovu</w:t>
      </w:r>
      <w:r w:rsidR="00E578EE" w:rsidRPr="0048184E">
        <w:rPr>
          <w:rFonts w:cs="Calibri Light"/>
          <w:sz w:val="18"/>
          <w:szCs w:val="18"/>
          <w:lang w:val="sr-Latn-ME"/>
        </w:rPr>
        <w:t xml:space="preserve"> </w:t>
      </w:r>
      <w:r w:rsidR="00E578EE" w:rsidRPr="0048184E">
        <w:rPr>
          <w:rFonts w:cs="Calibri Light"/>
          <w:sz w:val="18"/>
          <w:szCs w:val="18"/>
          <w:lang w:val="pl-PL"/>
        </w:rPr>
        <w:t>i</w:t>
      </w:r>
      <w:r w:rsidR="00E578EE" w:rsidRPr="0048184E">
        <w:rPr>
          <w:rFonts w:cs="Calibri Light"/>
          <w:sz w:val="18"/>
          <w:szCs w:val="18"/>
          <w:lang w:val="sr-Latn-ME"/>
        </w:rPr>
        <w:t xml:space="preserve"> </w:t>
      </w:r>
      <w:r w:rsidR="00E578EE" w:rsidRPr="0048184E">
        <w:rPr>
          <w:rFonts w:cs="Calibri Light"/>
          <w:sz w:val="18"/>
          <w:szCs w:val="18"/>
          <w:lang w:val="pl-PL"/>
        </w:rPr>
        <w:t>razvoj</w:t>
      </w:r>
      <w:r w:rsidR="00E578EE" w:rsidRPr="0048184E">
        <w:rPr>
          <w:rFonts w:cs="Calibri Light"/>
          <w:sz w:val="18"/>
          <w:szCs w:val="18"/>
          <w:lang w:val="sr-Latn-ME"/>
        </w:rPr>
        <w:t xml:space="preserve"> (</w:t>
      </w:r>
      <w:r w:rsidR="00E578EE" w:rsidRPr="0048184E">
        <w:rPr>
          <w:rFonts w:cs="Calibri Light"/>
          <w:sz w:val="18"/>
          <w:szCs w:val="18"/>
          <w:lang w:val="pl-PL"/>
        </w:rPr>
        <w:t>EBRD</w:t>
      </w:r>
      <w:r w:rsidR="00E578EE" w:rsidRPr="0048184E">
        <w:rPr>
          <w:rFonts w:cs="Calibri Light"/>
          <w:sz w:val="18"/>
          <w:szCs w:val="18"/>
          <w:lang w:val="sr-Latn-ME"/>
        </w:rPr>
        <w:t xml:space="preserve">), </w:t>
      </w:r>
      <w:r w:rsidR="00E578EE" w:rsidRPr="0048184E">
        <w:rPr>
          <w:rFonts w:cs="Calibri Light"/>
          <w:sz w:val="18"/>
          <w:szCs w:val="18"/>
          <w:lang w:val="pl-PL"/>
        </w:rPr>
        <w:t>koja</w:t>
      </w:r>
      <w:r w:rsidR="00E578EE" w:rsidRPr="0048184E">
        <w:rPr>
          <w:rFonts w:cs="Calibri Light"/>
          <w:sz w:val="18"/>
          <w:szCs w:val="18"/>
          <w:lang w:val="sr-Latn-ME"/>
        </w:rPr>
        <w:t xml:space="preserve"> </w:t>
      </w:r>
      <w:r w:rsidR="00E578EE" w:rsidRPr="0048184E">
        <w:rPr>
          <w:rFonts w:cs="Calibri Light"/>
          <w:sz w:val="18"/>
          <w:szCs w:val="18"/>
          <w:lang w:val="pl-PL"/>
        </w:rPr>
        <w:t>je</w:t>
      </w:r>
      <w:r w:rsidR="00E578EE" w:rsidRPr="0048184E">
        <w:rPr>
          <w:rFonts w:cs="Calibri Light"/>
          <w:sz w:val="18"/>
          <w:szCs w:val="18"/>
          <w:lang w:val="sr-Latn-ME"/>
        </w:rPr>
        <w:t xml:space="preserve"> </w:t>
      </w:r>
      <w:r w:rsidR="00E578EE" w:rsidRPr="0048184E">
        <w:rPr>
          <w:rFonts w:cs="Calibri Light"/>
          <w:sz w:val="18"/>
          <w:szCs w:val="18"/>
          <w:lang w:val="pl-PL"/>
        </w:rPr>
        <w:t>obezbijedila</w:t>
      </w:r>
      <w:r w:rsidR="00E578EE" w:rsidRPr="0048184E">
        <w:rPr>
          <w:rFonts w:cs="Calibri Light"/>
          <w:sz w:val="18"/>
          <w:szCs w:val="18"/>
          <w:lang w:val="sr-Latn-ME"/>
        </w:rPr>
        <w:t xml:space="preserve"> </w:t>
      </w:r>
      <w:r w:rsidR="00E578EE" w:rsidRPr="0048184E">
        <w:rPr>
          <w:rFonts w:cs="Calibri Light"/>
          <w:sz w:val="18"/>
          <w:szCs w:val="18"/>
          <w:lang w:val="pl-PL"/>
        </w:rPr>
        <w:t>povoljan</w:t>
      </w:r>
      <w:r w:rsidR="00E578EE" w:rsidRPr="0048184E">
        <w:rPr>
          <w:rFonts w:cs="Calibri Light"/>
          <w:sz w:val="18"/>
          <w:szCs w:val="18"/>
          <w:lang w:val="sr-Latn-ME"/>
        </w:rPr>
        <w:t xml:space="preserve"> </w:t>
      </w:r>
      <w:r w:rsidR="00E578EE" w:rsidRPr="0048184E">
        <w:rPr>
          <w:rFonts w:cs="Calibri Light"/>
          <w:sz w:val="18"/>
          <w:szCs w:val="18"/>
          <w:lang w:val="pl-PL"/>
        </w:rPr>
        <w:t>kredit</w:t>
      </w:r>
      <w:r w:rsidR="00E578EE" w:rsidRPr="0048184E">
        <w:rPr>
          <w:rFonts w:cs="Calibri Light"/>
          <w:sz w:val="18"/>
          <w:szCs w:val="18"/>
          <w:lang w:val="sr-Latn-ME"/>
        </w:rPr>
        <w:t xml:space="preserve"> </w:t>
      </w:r>
      <w:r w:rsidR="00E578EE" w:rsidRPr="0048184E">
        <w:rPr>
          <w:rFonts w:cs="Calibri Light"/>
          <w:sz w:val="18"/>
          <w:szCs w:val="18"/>
          <w:lang w:val="pl-PL"/>
        </w:rPr>
        <w:t>za</w:t>
      </w:r>
      <w:r w:rsidR="00E578EE" w:rsidRPr="0048184E">
        <w:rPr>
          <w:rFonts w:cs="Calibri Light"/>
          <w:sz w:val="18"/>
          <w:szCs w:val="18"/>
          <w:lang w:val="sr-Latn-ME"/>
        </w:rPr>
        <w:t xml:space="preserve"> </w:t>
      </w:r>
      <w:r w:rsidR="00E578EE" w:rsidRPr="0048184E">
        <w:rPr>
          <w:rFonts w:cs="Calibri Light"/>
          <w:sz w:val="18"/>
          <w:szCs w:val="18"/>
          <w:lang w:val="pl-PL"/>
        </w:rPr>
        <w:t>finansiranje</w:t>
      </w:r>
      <w:r w:rsidR="00E578EE" w:rsidRPr="0048184E">
        <w:rPr>
          <w:rFonts w:cs="Calibri Light"/>
          <w:sz w:val="18"/>
          <w:szCs w:val="18"/>
          <w:lang w:val="sr-Latn-ME"/>
        </w:rPr>
        <w:t xml:space="preserve"> </w:t>
      </w:r>
      <w:r w:rsidR="00E578EE" w:rsidRPr="0048184E">
        <w:rPr>
          <w:rFonts w:cs="Calibri Light"/>
          <w:sz w:val="18"/>
          <w:szCs w:val="18"/>
          <w:lang w:val="pl-PL"/>
        </w:rPr>
        <w:t>projekta</w:t>
      </w:r>
      <w:r w:rsidR="00E578EE" w:rsidRPr="0048184E">
        <w:rPr>
          <w:rFonts w:cs="Calibri Light"/>
          <w:sz w:val="18"/>
          <w:szCs w:val="18"/>
          <w:lang w:val="sr-Latn-ME"/>
        </w:rPr>
        <w:t xml:space="preserve"> </w:t>
      </w:r>
      <w:r w:rsidR="00E578EE" w:rsidRPr="0048184E">
        <w:rPr>
          <w:rFonts w:cs="Calibri Light"/>
          <w:sz w:val="18"/>
          <w:szCs w:val="18"/>
          <w:lang w:val="pl-PL"/>
        </w:rPr>
        <w:t>u</w:t>
      </w:r>
      <w:r w:rsidR="00E578EE" w:rsidRPr="0048184E">
        <w:rPr>
          <w:rFonts w:cs="Calibri Light"/>
          <w:sz w:val="18"/>
          <w:szCs w:val="18"/>
          <w:lang w:val="sr-Latn-ME"/>
        </w:rPr>
        <w:t xml:space="preserve"> </w:t>
      </w:r>
      <w:r w:rsidR="00E578EE" w:rsidRPr="0048184E">
        <w:rPr>
          <w:rFonts w:cs="Calibri Light"/>
          <w:sz w:val="18"/>
          <w:szCs w:val="18"/>
          <w:lang w:val="pl-PL"/>
        </w:rPr>
        <w:t>iznosu</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200 </w:t>
      </w:r>
      <w:r w:rsidR="00E578EE" w:rsidRPr="0048184E">
        <w:rPr>
          <w:rFonts w:cs="Calibri Light"/>
          <w:sz w:val="18"/>
          <w:szCs w:val="18"/>
          <w:lang w:val="pl-PL"/>
        </w:rPr>
        <w:t>miliona</w:t>
      </w:r>
      <w:r w:rsidR="00E578EE" w:rsidRPr="0048184E">
        <w:rPr>
          <w:rFonts w:cs="Calibri Light"/>
          <w:sz w:val="18"/>
          <w:szCs w:val="18"/>
          <w:lang w:val="sr-Latn-ME"/>
        </w:rPr>
        <w:t xml:space="preserve"> </w:t>
      </w:r>
      <w:r w:rsidR="00E578EE" w:rsidRPr="0048184E">
        <w:rPr>
          <w:rFonts w:cs="Calibri Light"/>
          <w:sz w:val="18"/>
          <w:szCs w:val="18"/>
          <w:lang w:val="pl-PL"/>
        </w:rPr>
        <w:t>eura</w:t>
      </w:r>
      <w:r w:rsidR="00E578EE" w:rsidRPr="0048184E">
        <w:rPr>
          <w:rFonts w:cs="Calibri Light"/>
          <w:sz w:val="18"/>
          <w:szCs w:val="18"/>
          <w:lang w:val="sr-Latn-ME"/>
        </w:rPr>
        <w:t xml:space="preserve">, </w:t>
      </w:r>
      <w:r w:rsidR="00E578EE" w:rsidRPr="0048184E">
        <w:rPr>
          <w:rFonts w:cs="Calibri Light"/>
          <w:sz w:val="18"/>
          <w:szCs w:val="18"/>
          <w:lang w:val="pl-PL"/>
        </w:rPr>
        <w:t>dok</w:t>
      </w:r>
      <w:r w:rsidR="00E578EE" w:rsidRPr="0048184E">
        <w:rPr>
          <w:rFonts w:cs="Calibri Light"/>
          <w:sz w:val="18"/>
          <w:szCs w:val="18"/>
          <w:lang w:val="sr-Latn-ME"/>
        </w:rPr>
        <w:t xml:space="preserve"> ć</w:t>
      </w:r>
      <w:r w:rsidR="00E578EE" w:rsidRPr="0048184E">
        <w:rPr>
          <w:rFonts w:cs="Calibri Light"/>
          <w:sz w:val="18"/>
          <w:szCs w:val="18"/>
          <w:lang w:val="pl-PL"/>
        </w:rPr>
        <w:t>e</w:t>
      </w:r>
      <w:r w:rsidR="00E578EE" w:rsidRPr="0048184E">
        <w:rPr>
          <w:rFonts w:cs="Calibri Light"/>
          <w:sz w:val="18"/>
          <w:szCs w:val="18"/>
          <w:lang w:val="sr-Latn-ME"/>
        </w:rPr>
        <w:t xml:space="preserve"> 150 </w:t>
      </w:r>
      <w:r w:rsidR="00E578EE" w:rsidRPr="0048184E">
        <w:rPr>
          <w:rFonts w:cs="Calibri Light"/>
          <w:sz w:val="18"/>
          <w:szCs w:val="18"/>
          <w:lang w:val="pl-PL"/>
        </w:rPr>
        <w:t>miliona</w:t>
      </w:r>
      <w:r w:rsidR="00E578EE" w:rsidRPr="0048184E">
        <w:rPr>
          <w:rFonts w:cs="Calibri Light"/>
          <w:sz w:val="18"/>
          <w:szCs w:val="18"/>
          <w:lang w:val="sr-Latn-ME"/>
        </w:rPr>
        <w:t xml:space="preserve"> </w:t>
      </w:r>
      <w:r w:rsidR="00E578EE" w:rsidRPr="0048184E">
        <w:rPr>
          <w:rFonts w:cs="Calibri Light"/>
          <w:sz w:val="18"/>
          <w:szCs w:val="18"/>
          <w:lang w:val="pl-PL"/>
        </w:rPr>
        <w:t>do</w:t>
      </w:r>
      <w:r w:rsidR="00E578EE" w:rsidRPr="0048184E">
        <w:rPr>
          <w:rFonts w:cs="Calibri Light"/>
          <w:sz w:val="18"/>
          <w:szCs w:val="18"/>
          <w:lang w:val="sr-Latn-ME"/>
        </w:rPr>
        <w:t>ć</w:t>
      </w:r>
      <w:r w:rsidR="00E578EE" w:rsidRPr="0048184E">
        <w:rPr>
          <w:rFonts w:cs="Calibri Light"/>
          <w:sz w:val="18"/>
          <w:szCs w:val="18"/>
          <w:lang w:val="pl-PL"/>
        </w:rPr>
        <w:t>i</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w:t>
      </w:r>
      <w:r w:rsidR="00E578EE" w:rsidRPr="0048184E">
        <w:rPr>
          <w:rFonts w:cs="Calibri Light"/>
          <w:sz w:val="18"/>
          <w:szCs w:val="18"/>
          <w:lang w:val="pl-PL"/>
        </w:rPr>
        <w:t>granta</w:t>
      </w:r>
      <w:r w:rsidR="00E578EE" w:rsidRPr="0048184E">
        <w:rPr>
          <w:rFonts w:cs="Calibri Light"/>
          <w:sz w:val="18"/>
          <w:szCs w:val="18"/>
          <w:lang w:val="sr-Latn-ME"/>
        </w:rPr>
        <w:t xml:space="preserve"> </w:t>
      </w:r>
      <w:r w:rsidR="00E578EE" w:rsidRPr="0048184E">
        <w:rPr>
          <w:rFonts w:cs="Calibri Light"/>
          <w:sz w:val="18"/>
          <w:szCs w:val="18"/>
          <w:lang w:val="pl-PL"/>
        </w:rPr>
        <w:t>Evropske</w:t>
      </w:r>
      <w:r w:rsidR="00E578EE" w:rsidRPr="0048184E">
        <w:rPr>
          <w:rFonts w:cs="Calibri Light"/>
          <w:sz w:val="18"/>
          <w:szCs w:val="18"/>
          <w:lang w:val="sr-Latn-ME"/>
        </w:rPr>
        <w:t xml:space="preserve"> </w:t>
      </w:r>
      <w:r w:rsidR="00E578EE" w:rsidRPr="0048184E">
        <w:rPr>
          <w:rFonts w:cs="Calibri Light"/>
          <w:sz w:val="18"/>
          <w:szCs w:val="18"/>
          <w:lang w:val="pl-PL"/>
        </w:rPr>
        <w:t>unije</w:t>
      </w:r>
      <w:r w:rsidR="00E578EE" w:rsidRPr="0048184E">
        <w:rPr>
          <w:rFonts w:cs="Calibri Light"/>
          <w:sz w:val="18"/>
          <w:szCs w:val="18"/>
          <w:lang w:val="sr-Latn-ME"/>
        </w:rPr>
        <w:t>.</w:t>
      </w:r>
      <w:r w:rsidR="00E578EE" w:rsidRPr="0048184E">
        <w:rPr>
          <w:sz w:val="18"/>
          <w:szCs w:val="18"/>
          <w:lang w:val="sr-Latn-ME"/>
        </w:rPr>
        <w:t xml:space="preserve"> </w:t>
      </w:r>
      <w:r w:rsidR="00E578EE" w:rsidRPr="0048184E">
        <w:rPr>
          <w:rFonts w:cs="Calibri Light"/>
          <w:sz w:val="18"/>
          <w:szCs w:val="18"/>
          <w:lang w:val="pl-PL"/>
        </w:rPr>
        <w:t>Za ovu dionicu dužine oko 23 km predviđen je završetak radova do 2030. godine. U željezničkom saobraćaju, prioritet Vlade je na rekonstrukcija i modernizacija željezničke pruge Bar-Vrbnica – granica sa Republikom Srbijom (469,2 mil.€).</w:t>
      </w:r>
    </w:p>
    <w:p w14:paraId="0244ABA4"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hr-BA"/>
        </w:rPr>
        <w:t xml:space="preserve">Dalje poboljašnje saobraćajne infrastrukture svakog regiona, a posebno Sjevera, i uvezivanje sa transportnom mrežom u regionu i Evropi, ojačaće ukupnu regionalnu ekonomsku saradnju, stvoriti preduslove za veće investicije i razvoj MMSP i </w:t>
      </w:r>
      <w:r w:rsidRPr="0048184E">
        <w:rPr>
          <w:rFonts w:cstheme="minorHAnsi"/>
          <w:sz w:val="18"/>
          <w:szCs w:val="18"/>
          <w:lang w:val="sr-Latn-ME"/>
        </w:rPr>
        <w:t xml:space="preserve">pospješiti izvoz Crne Gore. </w:t>
      </w:r>
      <w:bookmarkStart w:id="66" w:name="_Hlk127510989"/>
      <w:r w:rsidR="00E60F3F">
        <w:rPr>
          <w:rFonts w:cstheme="minorHAnsi"/>
          <w:sz w:val="18"/>
          <w:szCs w:val="18"/>
          <w:lang w:val="sr-Latn-ME"/>
        </w:rPr>
        <w:t xml:space="preserve">Radi se na i na unapređenju avio-dostupnosti Crne Gore i razvoju aerodromske infrastrukture i u tok kontekstu bi posebno bilo značajno u što kraćem roku, uspješno završiti poostupak dodjele dugoročne koncesije za crnogorske aerodrome Podgorica i Tivat. </w:t>
      </w:r>
    </w:p>
    <w:p w14:paraId="1F795E0A" w14:textId="77777777" w:rsidR="00E60F3F" w:rsidRDefault="00E60F3F" w:rsidP="0048184E">
      <w:pPr>
        <w:spacing w:after="0" w:line="240" w:lineRule="auto"/>
        <w:jc w:val="both"/>
        <w:rPr>
          <w:rFonts w:cstheme="minorHAnsi"/>
          <w:sz w:val="18"/>
          <w:szCs w:val="18"/>
          <w:lang w:val="sr-Latn-ME"/>
        </w:rPr>
      </w:pPr>
    </w:p>
    <w:p w14:paraId="0E19669A"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Nadalje, unaprjeđenje fizičke infrastrukture u Primorskom regionu, </w:t>
      </w:r>
      <w:bookmarkEnd w:id="66"/>
      <w:r w:rsidRPr="0048184E">
        <w:rPr>
          <w:rFonts w:cstheme="minorHAnsi"/>
          <w:sz w:val="18"/>
          <w:szCs w:val="18"/>
          <w:lang w:val="sr-Latn-ME"/>
        </w:rPr>
        <w:t>pored poboljšanja putne infrastrukture, uključuje modernizaciju postojećih i izgradnju novih puteva, odnosno zaobilaznica, kao i postojeće infrastrukture u lukama i marinama, kako bi se podržala diverzifikacija turističkog proizvoda. Pored toga, sve aktivnosti na izgradnji Jandransko-Jonskog auto-puta će u narednom periodu doprinijeti povećanju konkurentosti Primorskog regiona Crne Gore.</w:t>
      </w:r>
      <w:r w:rsidR="00E578EE" w:rsidRPr="0048184E">
        <w:rPr>
          <w:rFonts w:cstheme="minorHAnsi"/>
          <w:sz w:val="18"/>
          <w:szCs w:val="18"/>
          <w:lang w:val="sr-Latn-ME"/>
        </w:rPr>
        <w:t xml:space="preserve"> </w:t>
      </w:r>
      <w:r w:rsidR="00E578EE" w:rsidRPr="0048184E">
        <w:rPr>
          <w:rFonts w:cs="Calibri Light"/>
          <w:sz w:val="18"/>
          <w:szCs w:val="18"/>
        </w:rPr>
        <w:t>U</w:t>
      </w:r>
      <w:r w:rsidR="00E578EE" w:rsidRPr="0048184E">
        <w:rPr>
          <w:rFonts w:cs="Calibri Light"/>
          <w:sz w:val="18"/>
          <w:szCs w:val="18"/>
          <w:lang w:val="sr-Latn-ME"/>
        </w:rPr>
        <w:t xml:space="preserve"> </w:t>
      </w:r>
      <w:r w:rsidR="00E578EE" w:rsidRPr="0048184E">
        <w:rPr>
          <w:rFonts w:cs="Calibri Light"/>
          <w:sz w:val="18"/>
          <w:szCs w:val="18"/>
        </w:rPr>
        <w:t>oblasti</w:t>
      </w:r>
      <w:r w:rsidR="00E578EE" w:rsidRPr="0048184E">
        <w:rPr>
          <w:rFonts w:cs="Calibri Light"/>
          <w:sz w:val="18"/>
          <w:szCs w:val="18"/>
          <w:lang w:val="sr-Latn-ME"/>
        </w:rPr>
        <w:t xml:space="preserve"> </w:t>
      </w:r>
      <w:r w:rsidR="00E578EE" w:rsidRPr="0048184E">
        <w:rPr>
          <w:rFonts w:cs="Calibri Light"/>
          <w:sz w:val="18"/>
          <w:szCs w:val="18"/>
        </w:rPr>
        <w:t>pomorstva</w:t>
      </w:r>
      <w:r w:rsidR="00E578EE" w:rsidRPr="0048184E">
        <w:rPr>
          <w:rFonts w:cs="Calibri Light"/>
          <w:sz w:val="18"/>
          <w:szCs w:val="18"/>
          <w:lang w:val="sr-Latn-ME"/>
        </w:rPr>
        <w:t xml:space="preserve"> </w:t>
      </w:r>
      <w:r w:rsidR="00E578EE" w:rsidRPr="0048184E">
        <w:rPr>
          <w:rFonts w:cs="Calibri Light"/>
          <w:sz w:val="18"/>
          <w:szCs w:val="18"/>
        </w:rPr>
        <w:t>prioritetan</w:t>
      </w:r>
      <w:r w:rsidR="00E578EE" w:rsidRPr="0048184E">
        <w:rPr>
          <w:rFonts w:cs="Calibri Light"/>
          <w:sz w:val="18"/>
          <w:szCs w:val="18"/>
          <w:lang w:val="sr-Latn-ME"/>
        </w:rPr>
        <w:t xml:space="preserve"> </w:t>
      </w:r>
      <w:r w:rsidR="00E578EE" w:rsidRPr="0048184E">
        <w:rPr>
          <w:rFonts w:cs="Calibri Light"/>
          <w:sz w:val="18"/>
          <w:szCs w:val="18"/>
        </w:rPr>
        <w:t>je</w:t>
      </w:r>
      <w:r w:rsidR="00E578EE" w:rsidRPr="0048184E">
        <w:rPr>
          <w:rFonts w:cs="Calibri Light"/>
          <w:sz w:val="18"/>
          <w:szCs w:val="18"/>
          <w:lang w:val="sr-Latn-ME"/>
        </w:rPr>
        <w:t xml:space="preserve"> </w:t>
      </w:r>
      <w:r w:rsidR="00E578EE" w:rsidRPr="0048184E">
        <w:rPr>
          <w:rFonts w:cs="Calibri Light"/>
          <w:sz w:val="18"/>
          <w:szCs w:val="18"/>
        </w:rPr>
        <w:t>razvoj</w:t>
      </w:r>
      <w:r w:rsidR="00E578EE" w:rsidRPr="0048184E">
        <w:rPr>
          <w:rFonts w:cs="Calibri Light"/>
          <w:sz w:val="18"/>
          <w:szCs w:val="18"/>
          <w:lang w:val="sr-Latn-ME"/>
        </w:rPr>
        <w:t xml:space="preserve"> </w:t>
      </w:r>
      <w:r w:rsidR="00E578EE" w:rsidRPr="0048184E">
        <w:rPr>
          <w:rFonts w:cs="Calibri Light"/>
          <w:sz w:val="18"/>
          <w:szCs w:val="18"/>
        </w:rPr>
        <w:t>Luke</w:t>
      </w:r>
      <w:r w:rsidR="00E578EE" w:rsidRPr="0048184E">
        <w:rPr>
          <w:rFonts w:cs="Calibri Light"/>
          <w:sz w:val="18"/>
          <w:szCs w:val="18"/>
          <w:lang w:val="sr-Latn-ME"/>
        </w:rPr>
        <w:t xml:space="preserve"> </w:t>
      </w:r>
      <w:r w:rsidR="00E578EE" w:rsidRPr="0048184E">
        <w:rPr>
          <w:rFonts w:cs="Calibri Light"/>
          <w:sz w:val="18"/>
          <w:szCs w:val="18"/>
        </w:rPr>
        <w:t>Bar</w:t>
      </w:r>
      <w:r w:rsidR="00E578EE" w:rsidRPr="0048184E">
        <w:rPr>
          <w:rFonts w:cs="Calibri Light"/>
          <w:sz w:val="18"/>
          <w:szCs w:val="18"/>
          <w:lang w:val="sr-Latn-ME"/>
        </w:rPr>
        <w:t xml:space="preserve"> (51 </w:t>
      </w:r>
      <w:r w:rsidR="00E578EE" w:rsidRPr="0048184E">
        <w:rPr>
          <w:rFonts w:cs="Calibri Light"/>
          <w:sz w:val="18"/>
          <w:szCs w:val="18"/>
        </w:rPr>
        <w:t>mil</w:t>
      </w:r>
      <w:r w:rsidR="00E578EE" w:rsidRPr="0048184E">
        <w:rPr>
          <w:rFonts w:cs="Calibri Light"/>
          <w:sz w:val="18"/>
          <w:szCs w:val="18"/>
          <w:lang w:val="sr-Latn-ME"/>
        </w:rPr>
        <w:t xml:space="preserve">.€), </w:t>
      </w:r>
      <w:r w:rsidR="00E578EE" w:rsidRPr="0048184E">
        <w:rPr>
          <w:rFonts w:cs="Calibri Light"/>
          <w:sz w:val="18"/>
          <w:szCs w:val="18"/>
        </w:rPr>
        <w:t>dok</w:t>
      </w:r>
      <w:r w:rsidR="00E578EE" w:rsidRPr="0048184E">
        <w:rPr>
          <w:rFonts w:cs="Calibri Light"/>
          <w:sz w:val="18"/>
          <w:szCs w:val="18"/>
          <w:lang w:val="sr-Latn-ME"/>
        </w:rPr>
        <w:t xml:space="preserve"> </w:t>
      </w:r>
      <w:r w:rsidR="00E578EE" w:rsidRPr="0048184E">
        <w:rPr>
          <w:rFonts w:cs="Calibri Light"/>
          <w:sz w:val="18"/>
          <w:szCs w:val="18"/>
        </w:rPr>
        <w:t>je</w:t>
      </w:r>
      <w:r w:rsidR="00E578EE" w:rsidRPr="0048184E">
        <w:rPr>
          <w:rFonts w:cs="Calibri Light"/>
          <w:sz w:val="18"/>
          <w:szCs w:val="18"/>
          <w:lang w:val="sr-Latn-ME"/>
        </w:rPr>
        <w:t xml:space="preserve"> </w:t>
      </w:r>
      <w:r w:rsidR="00E578EE" w:rsidRPr="0048184E">
        <w:rPr>
          <w:rFonts w:cs="Calibri Light"/>
          <w:sz w:val="18"/>
          <w:szCs w:val="18"/>
        </w:rPr>
        <w:t>u</w:t>
      </w:r>
      <w:r w:rsidR="00E578EE" w:rsidRPr="0048184E">
        <w:rPr>
          <w:rFonts w:cs="Calibri Light"/>
          <w:sz w:val="18"/>
          <w:szCs w:val="18"/>
          <w:lang w:val="sr-Latn-ME"/>
        </w:rPr>
        <w:t xml:space="preserve"> </w:t>
      </w:r>
      <w:r w:rsidR="00E578EE" w:rsidRPr="0048184E">
        <w:rPr>
          <w:rFonts w:cs="Calibri Light"/>
          <w:sz w:val="18"/>
          <w:szCs w:val="18"/>
        </w:rPr>
        <w:t>oblasti</w:t>
      </w:r>
      <w:r w:rsidR="00E578EE" w:rsidRPr="0048184E">
        <w:rPr>
          <w:rFonts w:cs="Calibri Light"/>
          <w:sz w:val="18"/>
          <w:szCs w:val="18"/>
          <w:lang w:val="sr-Latn-ME"/>
        </w:rPr>
        <w:t xml:space="preserve"> </w:t>
      </w:r>
      <w:r w:rsidR="00E578EE" w:rsidRPr="0048184E">
        <w:rPr>
          <w:rFonts w:cs="Calibri Light"/>
          <w:sz w:val="18"/>
          <w:szCs w:val="18"/>
        </w:rPr>
        <w:t>vazdu</w:t>
      </w:r>
      <w:r w:rsidR="00E578EE" w:rsidRPr="0048184E">
        <w:rPr>
          <w:rFonts w:cs="Calibri Light"/>
          <w:sz w:val="18"/>
          <w:szCs w:val="18"/>
          <w:lang w:val="sr-Latn-ME"/>
        </w:rPr>
        <w:t>š</w:t>
      </w:r>
      <w:r w:rsidR="00E578EE" w:rsidRPr="0048184E">
        <w:rPr>
          <w:rFonts w:cs="Calibri Light"/>
          <w:sz w:val="18"/>
          <w:szCs w:val="18"/>
        </w:rPr>
        <w:t>nog</w:t>
      </w:r>
      <w:r w:rsidR="00E578EE" w:rsidRPr="0048184E">
        <w:rPr>
          <w:rFonts w:cs="Calibri Light"/>
          <w:sz w:val="18"/>
          <w:szCs w:val="18"/>
          <w:lang w:val="sr-Latn-ME"/>
        </w:rPr>
        <w:t xml:space="preserve"> </w:t>
      </w:r>
      <w:r w:rsidR="00E578EE" w:rsidRPr="0048184E">
        <w:rPr>
          <w:rFonts w:cs="Calibri Light"/>
          <w:sz w:val="18"/>
          <w:szCs w:val="18"/>
        </w:rPr>
        <w:t>saobra</w:t>
      </w:r>
      <w:r w:rsidR="00E578EE" w:rsidRPr="0048184E">
        <w:rPr>
          <w:rFonts w:cs="Calibri Light"/>
          <w:sz w:val="18"/>
          <w:szCs w:val="18"/>
          <w:lang w:val="sr-Latn-ME"/>
        </w:rPr>
        <w:t>ć</w:t>
      </w:r>
      <w:r w:rsidR="00E578EE" w:rsidRPr="0048184E">
        <w:rPr>
          <w:rFonts w:cs="Calibri Light"/>
          <w:sz w:val="18"/>
          <w:szCs w:val="18"/>
        </w:rPr>
        <w:t>aja</w:t>
      </w:r>
      <w:r w:rsidR="00E578EE" w:rsidRPr="0048184E">
        <w:rPr>
          <w:rFonts w:cs="Calibri Light"/>
          <w:sz w:val="18"/>
          <w:szCs w:val="18"/>
          <w:lang w:val="sr-Latn-ME"/>
        </w:rPr>
        <w:t xml:space="preserve"> </w:t>
      </w:r>
      <w:r w:rsidR="00E578EE" w:rsidRPr="0048184E">
        <w:rPr>
          <w:rFonts w:cs="Calibri Light"/>
          <w:sz w:val="18"/>
          <w:szCs w:val="18"/>
        </w:rPr>
        <w:t>fokus</w:t>
      </w:r>
      <w:r w:rsidR="00E578EE" w:rsidRPr="0048184E">
        <w:rPr>
          <w:rFonts w:cs="Calibri Light"/>
          <w:sz w:val="18"/>
          <w:szCs w:val="18"/>
          <w:lang w:val="sr-Latn-ME"/>
        </w:rPr>
        <w:t xml:space="preserve"> </w:t>
      </w:r>
      <w:r w:rsidR="00E578EE" w:rsidRPr="0048184E">
        <w:rPr>
          <w:rFonts w:cs="Calibri Light"/>
          <w:sz w:val="18"/>
          <w:szCs w:val="18"/>
        </w:rPr>
        <w:t>na</w:t>
      </w:r>
      <w:r w:rsidR="00E578EE" w:rsidRPr="0048184E">
        <w:rPr>
          <w:rFonts w:cs="Calibri Light"/>
          <w:sz w:val="18"/>
          <w:szCs w:val="18"/>
          <w:lang w:val="sr-Latn-ME"/>
        </w:rPr>
        <w:t xml:space="preserve"> </w:t>
      </w:r>
      <w:r w:rsidR="00E578EE" w:rsidRPr="0048184E">
        <w:rPr>
          <w:rFonts w:cs="Calibri Light"/>
          <w:sz w:val="18"/>
          <w:szCs w:val="18"/>
        </w:rPr>
        <w:t>razvoju</w:t>
      </w:r>
      <w:r w:rsidR="00E578EE" w:rsidRPr="0048184E">
        <w:rPr>
          <w:rFonts w:cs="Calibri Light"/>
          <w:sz w:val="18"/>
          <w:szCs w:val="18"/>
          <w:lang w:val="sr-Latn-ME"/>
        </w:rPr>
        <w:t xml:space="preserve"> </w:t>
      </w:r>
      <w:r w:rsidR="00E578EE" w:rsidRPr="0048184E">
        <w:rPr>
          <w:rFonts w:cs="Calibri Light"/>
          <w:sz w:val="18"/>
          <w:szCs w:val="18"/>
        </w:rPr>
        <w:t>aerodroma</w:t>
      </w:r>
      <w:r w:rsidR="00E578EE" w:rsidRPr="0048184E">
        <w:rPr>
          <w:rFonts w:cs="Calibri Light"/>
          <w:sz w:val="18"/>
          <w:szCs w:val="18"/>
          <w:lang w:val="sr-Latn-ME"/>
        </w:rPr>
        <w:t xml:space="preserve"> </w:t>
      </w:r>
      <w:r w:rsidR="00E578EE" w:rsidRPr="0048184E">
        <w:rPr>
          <w:rFonts w:cs="Calibri Light"/>
          <w:sz w:val="18"/>
          <w:szCs w:val="18"/>
        </w:rPr>
        <w:t>Podgorica</w:t>
      </w:r>
      <w:r w:rsidR="00E578EE" w:rsidRPr="0048184E">
        <w:rPr>
          <w:rFonts w:cs="Calibri Light"/>
          <w:sz w:val="18"/>
          <w:szCs w:val="18"/>
          <w:lang w:val="sr-Latn-ME"/>
        </w:rPr>
        <w:t xml:space="preserve"> (94,8 </w:t>
      </w:r>
      <w:r w:rsidR="00E578EE" w:rsidRPr="0048184E">
        <w:rPr>
          <w:rFonts w:cs="Calibri Light"/>
          <w:sz w:val="18"/>
          <w:szCs w:val="18"/>
        </w:rPr>
        <w:t>mil</w:t>
      </w:r>
      <w:r w:rsidR="00E578EE" w:rsidRPr="0048184E">
        <w:rPr>
          <w:rFonts w:cs="Calibri Light"/>
          <w:sz w:val="18"/>
          <w:szCs w:val="18"/>
          <w:lang w:val="sr-Latn-ME"/>
        </w:rPr>
        <w:t xml:space="preserve">.€) </w:t>
      </w:r>
      <w:r w:rsidR="00E578EE" w:rsidRPr="0048184E">
        <w:rPr>
          <w:rFonts w:cs="Calibri Light"/>
          <w:sz w:val="18"/>
          <w:szCs w:val="18"/>
        </w:rPr>
        <w:t>i</w:t>
      </w:r>
      <w:r w:rsidR="00E578EE" w:rsidRPr="0048184E">
        <w:rPr>
          <w:rFonts w:cs="Calibri Light"/>
          <w:sz w:val="18"/>
          <w:szCs w:val="18"/>
          <w:lang w:val="sr-Latn-ME"/>
        </w:rPr>
        <w:t xml:space="preserve"> </w:t>
      </w:r>
      <w:r w:rsidR="00E578EE" w:rsidRPr="0048184E">
        <w:rPr>
          <w:rFonts w:cs="Calibri Light"/>
          <w:sz w:val="18"/>
          <w:szCs w:val="18"/>
        </w:rPr>
        <w:t>aerodroma</w:t>
      </w:r>
      <w:r w:rsidR="00E578EE" w:rsidRPr="0048184E">
        <w:rPr>
          <w:rFonts w:cs="Calibri Light"/>
          <w:sz w:val="18"/>
          <w:szCs w:val="18"/>
          <w:lang w:val="sr-Latn-ME"/>
        </w:rPr>
        <w:t xml:space="preserve"> </w:t>
      </w:r>
      <w:r w:rsidR="00E578EE" w:rsidRPr="0048184E">
        <w:rPr>
          <w:rFonts w:cs="Calibri Light"/>
          <w:sz w:val="18"/>
          <w:szCs w:val="18"/>
        </w:rPr>
        <w:t>Tivat</w:t>
      </w:r>
      <w:r w:rsidR="00E578EE" w:rsidRPr="0048184E">
        <w:rPr>
          <w:rFonts w:cs="Calibri Light"/>
          <w:sz w:val="18"/>
          <w:szCs w:val="18"/>
          <w:lang w:val="sr-Latn-ME"/>
        </w:rPr>
        <w:t xml:space="preserve"> (72,1 </w:t>
      </w:r>
      <w:r w:rsidR="00E578EE" w:rsidRPr="0048184E">
        <w:rPr>
          <w:rFonts w:cs="Calibri Light"/>
          <w:sz w:val="18"/>
          <w:szCs w:val="18"/>
        </w:rPr>
        <w:t>mil</w:t>
      </w:r>
      <w:r w:rsidR="00E578EE" w:rsidRPr="0048184E">
        <w:rPr>
          <w:rFonts w:cs="Calibri Light"/>
          <w:sz w:val="18"/>
          <w:szCs w:val="18"/>
          <w:lang w:val="sr-Latn-ME"/>
        </w:rPr>
        <w:t>.€).</w:t>
      </w:r>
    </w:p>
    <w:p w14:paraId="7F81D891" w14:textId="77777777" w:rsidR="00E60F3F" w:rsidRDefault="00E60F3F" w:rsidP="00E60F3F">
      <w:pPr>
        <w:shd w:val="clear" w:color="auto" w:fill="FFFFFF"/>
        <w:spacing w:after="0" w:line="240" w:lineRule="auto"/>
        <w:jc w:val="both"/>
        <w:rPr>
          <w:rFonts w:eastAsia="Times New Roman" w:cs="Times New Roman"/>
          <w:color w:val="000000"/>
          <w:sz w:val="18"/>
          <w:szCs w:val="18"/>
          <w:lang w:val="sr-Latn-ME"/>
        </w:rPr>
      </w:pPr>
    </w:p>
    <w:p w14:paraId="335E1C7A" w14:textId="77777777" w:rsidR="00E60F3F" w:rsidRPr="00E94F0E" w:rsidRDefault="00E60F3F" w:rsidP="00E60F3F">
      <w:pPr>
        <w:shd w:val="clear" w:color="auto" w:fill="FFFFFF"/>
        <w:spacing w:after="0" w:line="240" w:lineRule="auto"/>
        <w:jc w:val="both"/>
        <w:rPr>
          <w:rFonts w:eastAsia="Times New Roman" w:cs="Times New Roman"/>
          <w:color w:val="000000"/>
          <w:sz w:val="18"/>
          <w:szCs w:val="18"/>
          <w:lang w:val="sr-Latn-ME"/>
        </w:rPr>
      </w:pPr>
      <w:r>
        <w:rPr>
          <w:rFonts w:eastAsia="Times New Roman" w:cs="Times New Roman"/>
          <w:color w:val="000000"/>
          <w:sz w:val="18"/>
          <w:szCs w:val="18"/>
          <w:lang w:val="sr-Latn-ME"/>
        </w:rPr>
        <w:t xml:space="preserve">Veliki izazov predstavlja što značajan </w:t>
      </w:r>
      <w:r w:rsidRPr="00E94F0E">
        <w:rPr>
          <w:rFonts w:eastAsia="Times New Roman" w:cs="Times New Roman"/>
          <w:color w:val="000000"/>
          <w:sz w:val="18"/>
          <w:szCs w:val="18"/>
          <w:lang w:val="pl-PL"/>
        </w:rPr>
        <w:t>broj</w:t>
      </w:r>
      <w:r w:rsidRPr="00E94F0E">
        <w:rPr>
          <w:rFonts w:eastAsia="Times New Roman" w:cs="Times New Roman"/>
          <w:color w:val="000000"/>
          <w:sz w:val="18"/>
          <w:szCs w:val="18"/>
          <w:lang w:val="sr-Latn-ME"/>
        </w:rPr>
        <w:t xml:space="preserve"> </w:t>
      </w:r>
      <w:r>
        <w:rPr>
          <w:rFonts w:eastAsia="Times New Roman" w:cs="Times New Roman"/>
          <w:color w:val="000000"/>
          <w:sz w:val="18"/>
          <w:szCs w:val="18"/>
          <w:lang w:val="pl-PL"/>
        </w:rPr>
        <w:t>JLS</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naro</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ito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Sjevernom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regionu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nema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dovoljno</w:t>
      </w:r>
      <w:r w:rsidRPr="00E94F0E">
        <w:rPr>
          <w:rFonts w:eastAsia="Times New Roman" w:cs="Times New Roman"/>
          <w:color w:val="000000"/>
          <w:sz w:val="18"/>
          <w:szCs w:val="18"/>
          <w:lang w:val="sr-Latn-ME"/>
        </w:rPr>
        <w:t xml:space="preserve"> </w:t>
      </w:r>
      <w:r w:rsidRPr="00E94F0E">
        <w:rPr>
          <w:rFonts w:eastAsia="Times New Roman" w:cs="Times New Roman"/>
          <w:b/>
          <w:color w:val="000000"/>
          <w:sz w:val="18"/>
          <w:szCs w:val="18"/>
          <w:lang w:val="sr-Latn-ME"/>
        </w:rPr>
        <w:t>č</w:t>
      </w:r>
      <w:r w:rsidRPr="00E94F0E">
        <w:rPr>
          <w:rFonts w:eastAsia="Times New Roman" w:cs="Times New Roman"/>
          <w:b/>
          <w:color w:val="000000"/>
          <w:sz w:val="18"/>
          <w:szCs w:val="18"/>
          <w:lang w:val="pl-PL"/>
        </w:rPr>
        <w:t>este</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i</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direktne</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autobuske</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veze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centralnim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primorskim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djelom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dr</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ave</w:t>
      </w:r>
      <w:r w:rsidRPr="00E94F0E">
        <w:rPr>
          <w:rFonts w:eastAsia="Times New Roman" w:cs="Times New Roman"/>
          <w:color w:val="000000"/>
          <w:sz w:val="18"/>
          <w:szCs w:val="18"/>
          <w:lang w:val="sr-Latn-ME"/>
        </w:rPr>
        <w:t>, š</w:t>
      </w:r>
      <w:r w:rsidRPr="00E94F0E">
        <w:rPr>
          <w:rFonts w:eastAsia="Times New Roman" w:cs="Times New Roman"/>
          <w:color w:val="000000"/>
          <w:sz w:val="18"/>
          <w:szCs w:val="18"/>
          <w:lang w:val="pl-PL"/>
        </w:rPr>
        <w:t>to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ote</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ava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mobilnost</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stanovni</w:t>
      </w:r>
      <w:r w:rsidRPr="00E94F0E">
        <w:rPr>
          <w:rFonts w:eastAsia="Times New Roman" w:cs="Times New Roman"/>
          <w:color w:val="000000"/>
          <w:sz w:val="18"/>
          <w:szCs w:val="18"/>
          <w:lang w:val="sr-Latn-ME"/>
        </w:rPr>
        <w:t>š</w:t>
      </w:r>
      <w:r w:rsidRPr="00E94F0E">
        <w:rPr>
          <w:rFonts w:eastAsia="Times New Roman" w:cs="Times New Roman"/>
          <w:color w:val="000000"/>
          <w:sz w:val="18"/>
          <w:szCs w:val="18"/>
          <w:lang w:val="pl-PL"/>
        </w:rPr>
        <w:t>tva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pristup</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š</w:t>
      </w:r>
      <w:r w:rsidRPr="00E94F0E">
        <w:rPr>
          <w:rFonts w:eastAsia="Times New Roman" w:cs="Times New Roman"/>
          <w:color w:val="000000"/>
          <w:sz w:val="18"/>
          <w:szCs w:val="18"/>
          <w:lang w:val="pl-PL"/>
        </w:rPr>
        <w:t>tu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rada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zdravstvenim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obrazovnim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ustanovama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smanjuje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turisti</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ku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atraktivnost</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Pove</w:t>
      </w:r>
      <w:r w:rsidRPr="00E94F0E">
        <w:rPr>
          <w:rFonts w:eastAsia="Times New Roman" w:cs="Times New Roman"/>
          <w:color w:val="000000"/>
          <w:sz w:val="18"/>
          <w:szCs w:val="18"/>
          <w:lang w:val="sr-Latn-ME"/>
        </w:rPr>
        <w:t>ć</w:t>
      </w:r>
      <w:r w:rsidRPr="00E94F0E">
        <w:rPr>
          <w:rFonts w:eastAsia="Times New Roman" w:cs="Times New Roman"/>
          <w:color w:val="000000"/>
          <w:sz w:val="18"/>
          <w:szCs w:val="18"/>
          <w:lang w:val="pl-PL"/>
        </w:rPr>
        <w:t>anje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broja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linija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direktno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doprinosi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smanjenju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socijalne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izolacije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pove</w:t>
      </w:r>
      <w:r w:rsidRPr="00E94F0E">
        <w:rPr>
          <w:rFonts w:eastAsia="Times New Roman" w:cs="Times New Roman"/>
          <w:color w:val="000000"/>
          <w:sz w:val="18"/>
          <w:szCs w:val="18"/>
          <w:lang w:val="sr-Latn-ME"/>
        </w:rPr>
        <w:t>ć</w:t>
      </w:r>
      <w:r w:rsidRPr="00E94F0E">
        <w:rPr>
          <w:rFonts w:eastAsia="Times New Roman" w:cs="Times New Roman"/>
          <w:color w:val="000000"/>
          <w:sz w:val="18"/>
          <w:szCs w:val="18"/>
          <w:lang w:val="pl-PL"/>
        </w:rPr>
        <w:t>anju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zaposlenosti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ja</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anju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lokalne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ekonomije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ujedno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podsti</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odr</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ivi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transport</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smanjuje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upotrebu</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privatnih</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vozila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zato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bi</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narednom</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periodu</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trebalo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pored</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unapre</w:t>
      </w:r>
      <w:r w:rsidRPr="00E60F3F">
        <w:rPr>
          <w:rFonts w:eastAsia="Times New Roman" w:cs="Times New Roman"/>
          <w:color w:val="000000"/>
          <w:sz w:val="18"/>
          <w:szCs w:val="18"/>
          <w:lang w:val="sr-Latn-ME"/>
        </w:rPr>
        <w:t>đ</w:t>
      </w:r>
      <w:r w:rsidRPr="00E94F0E">
        <w:rPr>
          <w:rFonts w:eastAsia="Times New Roman" w:cs="Times New Roman"/>
          <w:color w:val="000000"/>
          <w:sz w:val="18"/>
          <w:szCs w:val="18"/>
          <w:lang w:val="pl-PL"/>
        </w:rPr>
        <w:t>enja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saobra</w:t>
      </w:r>
      <w:r w:rsidRPr="00E60F3F">
        <w:rPr>
          <w:rFonts w:eastAsia="Times New Roman" w:cs="Times New Roman"/>
          <w:color w:val="000000"/>
          <w:sz w:val="18"/>
          <w:szCs w:val="18"/>
          <w:lang w:val="sr-Latn-ME"/>
        </w:rPr>
        <w:t>č</w:t>
      </w:r>
      <w:r w:rsidRPr="00E94F0E">
        <w:rPr>
          <w:rFonts w:eastAsia="Times New Roman" w:cs="Times New Roman"/>
          <w:color w:val="000000"/>
          <w:sz w:val="18"/>
          <w:szCs w:val="18"/>
          <w:lang w:val="pl-PL"/>
        </w:rPr>
        <w:t>ajne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infrastrukture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trebalo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unaprijediti</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dostupnost</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javnog</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prevoza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w:t>
      </w:r>
      <w:r w:rsidRPr="00E60F3F">
        <w:rPr>
          <w:rFonts w:eastAsia="Times New Roman" w:cs="Times New Roman"/>
          <w:color w:val="000000"/>
          <w:sz w:val="18"/>
          <w:szCs w:val="18"/>
          <w:lang w:val="sr-Latn-ME"/>
        </w:rPr>
        <w:t>č</w:t>
      </w:r>
      <w:r w:rsidRPr="00E94F0E">
        <w:rPr>
          <w:rFonts w:eastAsia="Times New Roman" w:cs="Times New Roman"/>
          <w:color w:val="000000"/>
          <w:sz w:val="18"/>
          <w:szCs w:val="18"/>
          <w:lang w:val="pl-PL"/>
        </w:rPr>
        <w:t>in</w:t>
      </w:r>
      <w:r w:rsidRPr="00E60F3F">
        <w:rPr>
          <w:rFonts w:eastAsia="Times New Roman" w:cs="Times New Roman"/>
          <w:color w:val="000000"/>
          <w:sz w:val="18"/>
          <w:szCs w:val="18"/>
          <w:lang w:val="sr-Latn-ME"/>
        </w:rPr>
        <w:t xml:space="preserve"> š</w:t>
      </w:r>
      <w:r w:rsidRPr="00E94F0E">
        <w:rPr>
          <w:rFonts w:eastAsia="Times New Roman" w:cs="Times New Roman"/>
          <w:color w:val="000000"/>
          <w:sz w:val="18"/>
          <w:szCs w:val="18"/>
          <w:lang w:val="pl-PL"/>
        </w:rPr>
        <w:t>to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bi</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pove</w:t>
      </w:r>
      <w:r w:rsidRPr="00E60F3F">
        <w:rPr>
          <w:rFonts w:eastAsia="Times New Roman" w:cs="Times New Roman"/>
          <w:color w:val="000000"/>
          <w:sz w:val="18"/>
          <w:szCs w:val="18"/>
          <w:lang w:val="sr-Latn-ME"/>
        </w:rPr>
        <w:t>ć</w:t>
      </w:r>
      <w:r w:rsidRPr="00E94F0E">
        <w:rPr>
          <w:rFonts w:eastAsia="Times New Roman" w:cs="Times New Roman"/>
          <w:color w:val="000000"/>
          <w:sz w:val="18"/>
          <w:szCs w:val="18"/>
          <w:lang w:val="pl-PL"/>
        </w:rPr>
        <w:t>ao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broj</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me</w:t>
      </w:r>
      <w:r w:rsidRPr="00E94F0E">
        <w:rPr>
          <w:rFonts w:eastAsia="Times New Roman" w:cs="Times New Roman"/>
          <w:color w:val="000000"/>
          <w:sz w:val="18"/>
          <w:szCs w:val="18"/>
          <w:lang w:val="sr-Latn-ME"/>
        </w:rPr>
        <w:t>đ</w:t>
      </w:r>
      <w:r w:rsidRPr="00E94F0E">
        <w:rPr>
          <w:rFonts w:eastAsia="Times New Roman" w:cs="Times New Roman"/>
          <w:color w:val="000000"/>
          <w:sz w:val="18"/>
          <w:szCs w:val="18"/>
          <w:lang w:val="pl-PL"/>
        </w:rPr>
        <w:t>ugradskih</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regionalnih</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autobuskih</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linija</w:t>
      </w:r>
      <w:r w:rsidRPr="00E94F0E">
        <w:rPr>
          <w:rFonts w:eastAsia="Times New Roman" w:cs="Times New Roman"/>
          <w:color w:val="000000"/>
          <w:sz w:val="18"/>
          <w:szCs w:val="18"/>
          <w:lang w:val="sr-Latn-ME"/>
        </w:rPr>
        <w:t>.</w:t>
      </w:r>
    </w:p>
    <w:p w14:paraId="3C773A14" w14:textId="77777777" w:rsidR="00A13DA5" w:rsidRPr="0048184E" w:rsidRDefault="00A13DA5" w:rsidP="0048184E">
      <w:pPr>
        <w:spacing w:after="0" w:line="240" w:lineRule="auto"/>
        <w:jc w:val="both"/>
        <w:rPr>
          <w:rFonts w:cstheme="minorHAnsi"/>
          <w:sz w:val="18"/>
          <w:szCs w:val="18"/>
          <w:lang w:val="hr-BA"/>
        </w:rPr>
      </w:pPr>
    </w:p>
    <w:tbl>
      <w:tblPr>
        <w:tblW w:w="92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04"/>
        <w:gridCol w:w="2135"/>
        <w:gridCol w:w="1116"/>
        <w:gridCol w:w="1620"/>
        <w:gridCol w:w="1440"/>
        <w:gridCol w:w="1355"/>
      </w:tblGrid>
      <w:tr w:rsidR="00A13DA5" w:rsidRPr="0077798A" w14:paraId="1D78D410" w14:textId="77777777" w:rsidTr="0077798A">
        <w:trPr>
          <w:trHeight w:val="301"/>
          <w:jc w:val="center"/>
        </w:trPr>
        <w:tc>
          <w:tcPr>
            <w:tcW w:w="3739" w:type="dxa"/>
            <w:gridSpan w:val="2"/>
            <w:shd w:val="clear" w:color="auto" w:fill="D9E2F3"/>
          </w:tcPr>
          <w:p w14:paraId="44FBEF3A" w14:textId="77777777" w:rsidR="00A13DA5" w:rsidRPr="0077798A" w:rsidRDefault="00A13DA5" w:rsidP="0048184E">
            <w:pPr>
              <w:pStyle w:val="NoSpacing"/>
              <w:rPr>
                <w:rFonts w:asciiTheme="minorHAnsi" w:hAnsiTheme="minorHAnsi" w:cstheme="minorHAnsi"/>
                <w:b/>
                <w:sz w:val="16"/>
                <w:szCs w:val="16"/>
                <w:lang w:val="en-GB"/>
              </w:rPr>
            </w:pPr>
            <w:r w:rsidRPr="0077798A">
              <w:rPr>
                <w:rFonts w:asciiTheme="minorHAnsi" w:hAnsiTheme="minorHAnsi" w:cstheme="minorHAnsi"/>
                <w:b/>
                <w:sz w:val="16"/>
                <w:szCs w:val="16"/>
                <w:lang w:val="en-GB"/>
              </w:rPr>
              <w:t>Operativni cilj 3.3.</w:t>
            </w:r>
          </w:p>
        </w:tc>
        <w:tc>
          <w:tcPr>
            <w:tcW w:w="5531" w:type="dxa"/>
            <w:gridSpan w:val="4"/>
            <w:shd w:val="clear" w:color="auto" w:fill="D9E2F3"/>
          </w:tcPr>
          <w:p w14:paraId="1015555F" w14:textId="77777777" w:rsidR="00A13DA5" w:rsidRPr="0077798A" w:rsidRDefault="00A13DA5" w:rsidP="0048184E">
            <w:pPr>
              <w:pStyle w:val="NoSpacing"/>
              <w:rPr>
                <w:rFonts w:asciiTheme="minorHAnsi" w:hAnsiTheme="minorHAnsi" w:cstheme="minorHAnsi"/>
                <w:b/>
                <w:sz w:val="16"/>
                <w:szCs w:val="16"/>
                <w:lang w:val="hr-BA"/>
              </w:rPr>
            </w:pPr>
            <w:r w:rsidRPr="0077798A">
              <w:rPr>
                <w:rFonts w:asciiTheme="minorHAnsi" w:hAnsiTheme="minorHAnsi" w:cstheme="minorHAnsi"/>
                <w:b/>
                <w:sz w:val="16"/>
                <w:szCs w:val="16"/>
                <w:lang w:val="sr-Latn-ME"/>
              </w:rPr>
              <w:t>Unaprjeđenje saobraćajne infrastrukture</w:t>
            </w:r>
          </w:p>
        </w:tc>
      </w:tr>
      <w:tr w:rsidR="00A13DA5" w:rsidRPr="0077798A" w14:paraId="088E61A2" w14:textId="77777777" w:rsidTr="0077798A">
        <w:trPr>
          <w:trHeight w:val="386"/>
          <w:jc w:val="center"/>
        </w:trPr>
        <w:tc>
          <w:tcPr>
            <w:tcW w:w="1604" w:type="dxa"/>
            <w:shd w:val="clear" w:color="auto" w:fill="auto"/>
          </w:tcPr>
          <w:p w14:paraId="3F6C2648"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hr-BA"/>
              </w:rPr>
              <w:t>Povećane investicije u saobraćajnu infrastrukturu</w:t>
            </w:r>
          </w:p>
        </w:tc>
        <w:tc>
          <w:tcPr>
            <w:tcW w:w="2135" w:type="dxa"/>
            <w:shd w:val="clear" w:color="auto" w:fill="auto"/>
          </w:tcPr>
          <w:p w14:paraId="33056209"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Vrijednost investicija u izgradnju i održavanje saobraćajne infrastrukture (u mil. €)</w:t>
            </w:r>
          </w:p>
        </w:tc>
        <w:tc>
          <w:tcPr>
            <w:tcW w:w="1116" w:type="dxa"/>
            <w:shd w:val="clear" w:color="auto" w:fill="FFFFFF"/>
          </w:tcPr>
          <w:p w14:paraId="708ED0DA" w14:textId="77777777" w:rsidR="00A13DA5" w:rsidRPr="0077798A" w:rsidRDefault="00D25A5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MS</w:t>
            </w:r>
          </w:p>
        </w:tc>
        <w:tc>
          <w:tcPr>
            <w:tcW w:w="1620" w:type="dxa"/>
            <w:shd w:val="clear" w:color="auto" w:fill="auto"/>
          </w:tcPr>
          <w:p w14:paraId="31EF366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96</w:t>
            </w:r>
          </w:p>
          <w:p w14:paraId="4105F264"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90</w:t>
            </w:r>
          </w:p>
          <w:p w14:paraId="1C30C74A"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n/a</w:t>
            </w:r>
          </w:p>
        </w:tc>
        <w:tc>
          <w:tcPr>
            <w:tcW w:w="1440" w:type="dxa"/>
            <w:shd w:val="clear" w:color="auto" w:fill="auto"/>
          </w:tcPr>
          <w:p w14:paraId="165A1703"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150</w:t>
            </w:r>
          </w:p>
          <w:p w14:paraId="19317940"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130</w:t>
            </w:r>
          </w:p>
          <w:p w14:paraId="1A0557B5"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130</w:t>
            </w:r>
          </w:p>
        </w:tc>
        <w:tc>
          <w:tcPr>
            <w:tcW w:w="1355" w:type="dxa"/>
            <w:shd w:val="clear" w:color="auto" w:fill="auto"/>
          </w:tcPr>
          <w:p w14:paraId="5A026ADB"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210</w:t>
            </w:r>
          </w:p>
          <w:p w14:paraId="29CA44ED"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150</w:t>
            </w:r>
          </w:p>
          <w:p w14:paraId="4FC30B1E"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160</w:t>
            </w:r>
          </w:p>
        </w:tc>
      </w:tr>
      <w:tr w:rsidR="00A13DA5" w:rsidRPr="00FB3BDC" w14:paraId="5245DCC2" w14:textId="77777777" w:rsidTr="0077798A">
        <w:trPr>
          <w:trHeight w:val="386"/>
          <w:jc w:val="center"/>
        </w:trPr>
        <w:tc>
          <w:tcPr>
            <w:tcW w:w="1604" w:type="dxa"/>
            <w:vMerge w:val="restart"/>
            <w:tcBorders>
              <w:top w:val="single" w:sz="4" w:space="0" w:color="808080"/>
              <w:left w:val="single" w:sz="4" w:space="0" w:color="808080"/>
              <w:right w:val="single" w:sz="4" w:space="0" w:color="808080"/>
            </w:tcBorders>
            <w:shd w:val="clear" w:color="auto" w:fill="auto"/>
          </w:tcPr>
          <w:p w14:paraId="59442E42"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27AF92D6"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15A0F50F"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Prirodni resursi i biodiverzitet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AE607B4"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Materijalna dobra i kulturno nasleđe</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45C27AA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Proizvodni procesi i tehnologije</w:t>
            </w:r>
          </w:p>
        </w:tc>
        <w:tc>
          <w:tcPr>
            <w:tcW w:w="1355" w:type="dxa"/>
            <w:tcBorders>
              <w:top w:val="single" w:sz="4" w:space="0" w:color="808080"/>
              <w:left w:val="single" w:sz="4" w:space="0" w:color="808080"/>
              <w:bottom w:val="single" w:sz="4" w:space="0" w:color="808080"/>
              <w:right w:val="single" w:sz="4" w:space="0" w:color="808080"/>
            </w:tcBorders>
            <w:shd w:val="clear" w:color="auto" w:fill="auto"/>
          </w:tcPr>
          <w:p w14:paraId="50E73E17"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Način isporuke usluga i dobara</w:t>
            </w:r>
          </w:p>
        </w:tc>
      </w:tr>
      <w:tr w:rsidR="00A13DA5" w:rsidRPr="0077798A" w14:paraId="182A17AB" w14:textId="77777777" w:rsidTr="0077798A">
        <w:trPr>
          <w:trHeight w:val="386"/>
          <w:jc w:val="center"/>
        </w:trPr>
        <w:tc>
          <w:tcPr>
            <w:tcW w:w="1604" w:type="dxa"/>
            <w:vMerge/>
            <w:tcBorders>
              <w:left w:val="single" w:sz="4" w:space="0" w:color="808080"/>
              <w:bottom w:val="single" w:sz="4" w:space="0" w:color="808080"/>
              <w:right w:val="single" w:sz="4" w:space="0" w:color="808080"/>
            </w:tcBorders>
            <w:shd w:val="clear" w:color="auto" w:fill="auto"/>
          </w:tcPr>
          <w:p w14:paraId="5D32E799" w14:textId="77777777" w:rsidR="00A13DA5" w:rsidRPr="0077798A"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4EBD2B8"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65FF932A"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18BDA68D"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3EAB1F1A"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355" w:type="dxa"/>
            <w:tcBorders>
              <w:top w:val="single" w:sz="4" w:space="0" w:color="808080"/>
              <w:left w:val="single" w:sz="4" w:space="0" w:color="808080"/>
              <w:bottom w:val="single" w:sz="4" w:space="0" w:color="808080"/>
              <w:right w:val="single" w:sz="4" w:space="0" w:color="808080"/>
            </w:tcBorders>
            <w:shd w:val="clear" w:color="auto" w:fill="auto"/>
          </w:tcPr>
          <w:p w14:paraId="45D504E8"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r>
    </w:tbl>
    <w:p w14:paraId="21DAB75E" w14:textId="77777777" w:rsidR="00A13DA5" w:rsidRPr="0048184E" w:rsidRDefault="00A13DA5" w:rsidP="0048184E">
      <w:pPr>
        <w:pStyle w:val="NoSpacing"/>
        <w:rPr>
          <w:rFonts w:asciiTheme="minorHAnsi" w:hAnsiTheme="minorHAnsi" w:cstheme="minorHAnsi"/>
          <w:sz w:val="18"/>
          <w:szCs w:val="18"/>
          <w:lang w:val="sr-Latn-ME"/>
        </w:rPr>
      </w:pPr>
    </w:p>
    <w:p w14:paraId="5EB9461F" w14:textId="77777777" w:rsidR="00A13DA5" w:rsidRPr="0048184E" w:rsidRDefault="00A13DA5" w:rsidP="0048184E">
      <w:pPr>
        <w:pStyle w:val="NoSpacing"/>
        <w:rPr>
          <w:rFonts w:asciiTheme="minorHAnsi" w:hAnsiTheme="minorHAnsi" w:cstheme="minorHAnsi"/>
          <w:sz w:val="18"/>
          <w:szCs w:val="18"/>
          <w:lang w:val="sr-Latn-ME"/>
        </w:rPr>
      </w:pPr>
    </w:p>
    <w:p w14:paraId="04C3FD37" w14:textId="77777777" w:rsidR="00A13DA5" w:rsidRPr="00726BE7" w:rsidRDefault="00A13DA5" w:rsidP="0048184E">
      <w:pPr>
        <w:pStyle w:val="Heading21"/>
        <w:numPr>
          <w:ilvl w:val="1"/>
          <w:numId w:val="28"/>
        </w:numPr>
        <w:spacing w:before="0"/>
        <w:jc w:val="left"/>
        <w:rPr>
          <w:color w:val="4472C4" w:themeColor="accent5"/>
          <w:szCs w:val="22"/>
          <w:lang w:val="sr-Latn-ME"/>
        </w:rPr>
      </w:pPr>
      <w:bookmarkStart w:id="67" w:name="_Toc205215857"/>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3.4. </w:t>
      </w:r>
      <w:r w:rsidRPr="00726BE7">
        <w:rPr>
          <w:color w:val="4472C4" w:themeColor="accent5"/>
          <w:szCs w:val="22"/>
        </w:rPr>
        <w:t>Unaprje</w:t>
      </w:r>
      <w:r w:rsidRPr="00726BE7">
        <w:rPr>
          <w:color w:val="4472C4" w:themeColor="accent5"/>
          <w:szCs w:val="22"/>
          <w:lang w:val="sr-Latn-ME"/>
        </w:rPr>
        <w:t>đ</w:t>
      </w:r>
      <w:r w:rsidRPr="00726BE7">
        <w:rPr>
          <w:color w:val="4472C4" w:themeColor="accent5"/>
          <w:szCs w:val="22"/>
        </w:rPr>
        <w:t>enje</w:t>
      </w:r>
      <w:r w:rsidRPr="00726BE7">
        <w:rPr>
          <w:color w:val="4472C4" w:themeColor="accent5"/>
          <w:szCs w:val="22"/>
          <w:lang w:val="sr-Latn-ME"/>
        </w:rPr>
        <w:t xml:space="preserve"> </w:t>
      </w:r>
      <w:r w:rsidRPr="00726BE7">
        <w:rPr>
          <w:color w:val="4472C4" w:themeColor="accent5"/>
          <w:szCs w:val="22"/>
        </w:rPr>
        <w:t>uslova</w:t>
      </w:r>
      <w:r w:rsidRPr="00726BE7">
        <w:rPr>
          <w:color w:val="4472C4" w:themeColor="accent5"/>
          <w:szCs w:val="22"/>
          <w:lang w:val="sr-Latn-ME"/>
        </w:rPr>
        <w:t xml:space="preserve"> </w:t>
      </w:r>
      <w:r w:rsidRPr="00726BE7">
        <w:rPr>
          <w:color w:val="4472C4" w:themeColor="accent5"/>
          <w:szCs w:val="22"/>
        </w:rPr>
        <w:t>za</w:t>
      </w:r>
      <w:r w:rsidRPr="00726BE7">
        <w:rPr>
          <w:color w:val="4472C4" w:themeColor="accent5"/>
          <w:szCs w:val="22"/>
          <w:lang w:val="sr-Latn-ME"/>
        </w:rPr>
        <w:t xml:space="preserve"> </w:t>
      </w:r>
      <w:r w:rsidRPr="00726BE7">
        <w:rPr>
          <w:color w:val="4472C4" w:themeColor="accent5"/>
          <w:szCs w:val="22"/>
        </w:rPr>
        <w:t>proizvodnju</w:t>
      </w:r>
      <w:r w:rsidRPr="00726BE7">
        <w:rPr>
          <w:color w:val="4472C4" w:themeColor="accent5"/>
          <w:szCs w:val="22"/>
          <w:lang w:val="sr-Latn-ME"/>
        </w:rPr>
        <w:t xml:space="preserve"> </w:t>
      </w:r>
      <w:r w:rsidRPr="00726BE7">
        <w:rPr>
          <w:color w:val="4472C4" w:themeColor="accent5"/>
          <w:szCs w:val="22"/>
        </w:rPr>
        <w:t>visokokvalitetne</w:t>
      </w:r>
      <w:r w:rsidRPr="00726BE7">
        <w:rPr>
          <w:color w:val="4472C4" w:themeColor="accent5"/>
          <w:szCs w:val="22"/>
          <w:lang w:val="sr-Latn-ME"/>
        </w:rPr>
        <w:t xml:space="preserve"> </w:t>
      </w:r>
      <w:r w:rsidRPr="00726BE7">
        <w:rPr>
          <w:color w:val="4472C4" w:themeColor="accent5"/>
          <w:szCs w:val="22"/>
        </w:rPr>
        <w:t>hrane</w:t>
      </w:r>
      <w:r w:rsidRPr="00726BE7">
        <w:rPr>
          <w:color w:val="4472C4" w:themeColor="accent5"/>
          <w:szCs w:val="22"/>
          <w:lang w:val="sr-Latn-ME"/>
        </w:rPr>
        <w:t xml:space="preserve">, </w:t>
      </w:r>
      <w:r w:rsidRPr="00726BE7">
        <w:rPr>
          <w:color w:val="4472C4" w:themeColor="accent5"/>
          <w:szCs w:val="22"/>
        </w:rPr>
        <w:t>organskog</w:t>
      </w:r>
      <w:r w:rsidRPr="00726BE7">
        <w:rPr>
          <w:color w:val="4472C4" w:themeColor="accent5"/>
          <w:szCs w:val="22"/>
          <w:lang w:val="sr-Latn-ME"/>
        </w:rPr>
        <w:t xml:space="preserve"> </w:t>
      </w:r>
      <w:r w:rsidRPr="00726BE7">
        <w:rPr>
          <w:color w:val="4472C4" w:themeColor="accent5"/>
          <w:szCs w:val="22"/>
        </w:rPr>
        <w:t>porijekla</w:t>
      </w:r>
      <w:r w:rsidRPr="00726BE7">
        <w:rPr>
          <w:color w:val="4472C4" w:themeColor="accent5"/>
          <w:szCs w:val="22"/>
          <w:lang w:val="sr-Latn-ME"/>
        </w:rPr>
        <w:t xml:space="preserve"> </w:t>
      </w:r>
      <w:r w:rsidRPr="00726BE7">
        <w:rPr>
          <w:color w:val="4472C4" w:themeColor="accent5"/>
          <w:szCs w:val="22"/>
        </w:rPr>
        <w:t>uz</w:t>
      </w:r>
      <w:r w:rsidRPr="00726BE7">
        <w:rPr>
          <w:color w:val="4472C4" w:themeColor="accent5"/>
          <w:szCs w:val="22"/>
          <w:lang w:val="sr-Latn-ME"/>
        </w:rPr>
        <w:t xml:space="preserve"> </w:t>
      </w:r>
      <w:r w:rsidRPr="00726BE7">
        <w:rPr>
          <w:color w:val="4472C4" w:themeColor="accent5"/>
          <w:szCs w:val="22"/>
        </w:rPr>
        <w:t>odr</w:t>
      </w:r>
      <w:r w:rsidRPr="00726BE7">
        <w:rPr>
          <w:color w:val="4472C4" w:themeColor="accent5"/>
          <w:szCs w:val="22"/>
          <w:lang w:val="sr-Latn-ME"/>
        </w:rPr>
        <w:t>ž</w:t>
      </w:r>
      <w:r w:rsidRPr="00726BE7">
        <w:rPr>
          <w:color w:val="4472C4" w:themeColor="accent5"/>
          <w:szCs w:val="22"/>
        </w:rPr>
        <w:t>iv</w:t>
      </w:r>
      <w:r w:rsidRPr="00726BE7">
        <w:rPr>
          <w:color w:val="4472C4" w:themeColor="accent5"/>
          <w:szCs w:val="22"/>
          <w:lang w:val="sr-Latn-ME"/>
        </w:rPr>
        <w:t xml:space="preserve"> </w:t>
      </w:r>
      <w:r w:rsidRPr="00726BE7">
        <w:rPr>
          <w:color w:val="4472C4" w:themeColor="accent5"/>
          <w:szCs w:val="22"/>
        </w:rPr>
        <w:t>dohodak</w:t>
      </w:r>
      <w:r w:rsidRPr="00726BE7">
        <w:rPr>
          <w:color w:val="4472C4" w:themeColor="accent5"/>
          <w:szCs w:val="22"/>
          <w:lang w:val="sr-Latn-ME"/>
        </w:rPr>
        <w:t xml:space="preserve"> </w:t>
      </w:r>
      <w:r w:rsidRPr="00726BE7">
        <w:rPr>
          <w:color w:val="4472C4" w:themeColor="accent5"/>
          <w:szCs w:val="22"/>
        </w:rPr>
        <w:t>poljoprivrednika</w:t>
      </w:r>
      <w:bookmarkEnd w:id="67"/>
      <w:r w:rsidRPr="00726BE7">
        <w:rPr>
          <w:color w:val="4472C4" w:themeColor="accent5"/>
          <w:szCs w:val="22"/>
          <w:lang w:val="sr-Latn-ME"/>
        </w:rPr>
        <w:t xml:space="preserve"> </w:t>
      </w:r>
    </w:p>
    <w:p w14:paraId="6DD5D44F" w14:textId="77777777" w:rsidR="00A13DA5" w:rsidRPr="0048184E" w:rsidRDefault="00A13DA5" w:rsidP="0048184E">
      <w:pPr>
        <w:pStyle w:val="NoSpacing"/>
        <w:rPr>
          <w:rFonts w:asciiTheme="minorHAnsi" w:hAnsiTheme="minorHAnsi" w:cstheme="minorHAnsi"/>
          <w:sz w:val="18"/>
          <w:szCs w:val="18"/>
          <w:lang w:val="sr-Latn-ME"/>
        </w:rPr>
      </w:pPr>
    </w:p>
    <w:p w14:paraId="3F3ED6C8" w14:textId="77777777" w:rsidR="00A13DA5" w:rsidRPr="0048184E" w:rsidRDefault="00A13DA5" w:rsidP="0048184E">
      <w:pPr>
        <w:spacing w:after="0" w:line="240" w:lineRule="auto"/>
        <w:jc w:val="both"/>
        <w:rPr>
          <w:rFonts w:cs="Calibri Light"/>
          <w:sz w:val="18"/>
          <w:szCs w:val="18"/>
          <w:lang w:val="sr-Latn-CS"/>
        </w:rPr>
      </w:pPr>
      <w:r w:rsidRPr="0048184E">
        <w:rPr>
          <w:rFonts w:cstheme="minorHAnsi"/>
          <w:sz w:val="18"/>
          <w:szCs w:val="18"/>
          <w:lang w:val="sr-Latn-ME"/>
        </w:rPr>
        <w:t>Analiza ključnih izazova razvoja sva tri regiona, a posebno Sjevernog, ukazala je na nužnost veće podrške poljoprivrednim proizvođačima u povećanju produktivnosti i dodate vrijednosti u proizvodnji, i to kroz jednostavniji pristup investicijama u poljoprivrednu proizvodnju, povećanju  kapaciteta za skladištenje i preradu hrane, obezbjeđivanju raspoloživosti kapaciteta za preradu u sektorima lako kvarljivih poljoprivrednih proizvoda, kao i olakšanom pristupu IPARD finansiranju investicija, i uključenje malih investicija u IPARD program. Naime, održiv sistem povećanja proizvodnje hrane je neminovno povezan sa zaustavljanjem migracija sa Sjevera. Starenje stanovništva na ruralnim područjima, koje su najzastupljenije u Sjevernom regionu, odlazak mladih porodica u ne-ruralna područja je „prouzrokovan“ upravo lošom infrastrukturom, i to ne samo puteva, već i raspoloživim kapacitetima za odrastanje i obrazovanje, trgovinama, radnim mjestima za članove porodica poljoprivrednih proizvođača, koji doprinose proizvodnji hrane kao neplaćena radna snaga</w:t>
      </w:r>
      <w:r w:rsidRPr="0048184E">
        <w:rPr>
          <w:rFonts w:cstheme="minorHAnsi"/>
          <w:sz w:val="18"/>
          <w:szCs w:val="18"/>
          <w:vertAlign w:val="superscript"/>
          <w:lang w:val="sr-Latn-ME"/>
        </w:rPr>
        <w:footnoteReference w:id="59"/>
      </w:r>
      <w:r w:rsidRPr="0048184E">
        <w:rPr>
          <w:rFonts w:cstheme="minorHAnsi"/>
          <w:sz w:val="18"/>
          <w:szCs w:val="18"/>
          <w:lang w:val="sr-Latn-ME"/>
        </w:rPr>
        <w:t xml:space="preserve">. </w:t>
      </w:r>
      <w:r w:rsidR="00A83D31" w:rsidRPr="0048184E">
        <w:rPr>
          <w:rFonts w:cs="Calibri Light"/>
          <w:sz w:val="18"/>
          <w:szCs w:val="18"/>
          <w:lang w:val="sr-Latn-CS"/>
        </w:rPr>
        <w:t xml:space="preserve">Agrobudžet za 2024. godinu iznosio je 75.064.097,04 €, što predstavlja povećanje od oko 12% u odnosu na 2023. godinu. Prema preliminarnim </w:t>
      </w:r>
      <w:r w:rsidR="00A83D31" w:rsidRPr="0048184E">
        <w:rPr>
          <w:rFonts w:cs="Calibri Light"/>
          <w:sz w:val="18"/>
          <w:szCs w:val="18"/>
          <w:lang w:val="sr-Latn-CS"/>
        </w:rPr>
        <w:lastRenderedPageBreak/>
        <w:t>rezultatima Popisa poljoprivrede 2024. godine, Crna Gora ima 26.711 poljoprivrednih gazdinstava, koja koriste ukupno 248.234,2 hektara poljoprivrednog zemljišta. U strukturi stočnog fonda evidentirano je 68.600 grla goveda, 167.344 ovaca, 28.184 koza, 52.272 svinje i 1.361.403 komada živine. Ovi podaci ukazuju na stabilnost stočnog sektora, uz blagi porast broja u nekim kategorijama u odnosu na prethodne godine, kao što je sektor živine. U cilju osnaživanja položaja mladih i žena u ruralnim područjima, uvedene su dodatne finansijske olakšice. Plaćanja za mlade farmere povećana su sa 70 € na 200 € po hektaru, dok su nosioci gazdinstava ženskog pola ostvarili dodatni podsticaj od 10% za gotovo sve dostupne mjere. Takođe, mladim proizvođačima obezbijeđena je bespovratna podrška za pokretanje proizvodnje</w:t>
      </w:r>
      <w:r w:rsidR="00A83D31" w:rsidRPr="0048184E">
        <w:rPr>
          <w:rStyle w:val="FootnoteReference"/>
          <w:rFonts w:cs="Calibri Light"/>
          <w:sz w:val="18"/>
          <w:szCs w:val="18"/>
          <w:lang w:val="sr-Latn-CS"/>
        </w:rPr>
        <w:footnoteReference w:id="60"/>
      </w:r>
      <w:r w:rsidR="00A83D31" w:rsidRPr="0048184E">
        <w:rPr>
          <w:rFonts w:cs="Calibri Light"/>
          <w:sz w:val="18"/>
          <w:szCs w:val="18"/>
          <w:lang w:val="sr-Latn-CS"/>
        </w:rPr>
        <w:t>.</w:t>
      </w:r>
    </w:p>
    <w:p w14:paraId="68C288B3" w14:textId="77777777" w:rsidR="00A13DA5" w:rsidRPr="0048184E" w:rsidRDefault="00A83D31" w:rsidP="0048184E">
      <w:pPr>
        <w:spacing w:after="0" w:line="240" w:lineRule="auto"/>
        <w:jc w:val="both"/>
        <w:rPr>
          <w:rFonts w:cstheme="minorHAnsi"/>
          <w:sz w:val="18"/>
          <w:szCs w:val="18"/>
          <w:lang w:val="hr-BA"/>
        </w:rPr>
      </w:pPr>
      <w:r w:rsidRPr="0048184E">
        <w:rPr>
          <w:rFonts w:cstheme="minorHAnsi"/>
          <w:sz w:val="18"/>
          <w:szCs w:val="18"/>
          <w:lang w:val="sr-Latn-CS"/>
        </w:rPr>
        <w:t>Sa druge strane</w:t>
      </w:r>
      <w:r w:rsidR="00A13DA5" w:rsidRPr="0048184E">
        <w:rPr>
          <w:rFonts w:cstheme="minorHAnsi"/>
          <w:sz w:val="18"/>
          <w:szCs w:val="18"/>
          <w:lang w:val="hr-BA"/>
        </w:rPr>
        <w:t>, Primorski region raspolaže značajnim resursima za razvoj poljoprivrede, posebno organske, ribarstva i njihovo povezivanje sa turizmom. Dodatno, komaprativna prednost Primorskog regiona je u mogućnostima daljeg razvoja vinogradarstva, voćarstva i maslinarstva, ali i stočarstva u pojedinim ruralnim područjima. Iz ovog razloga, neophodno je nastaviti sa daljim podsticajnim mjerama iz Agrobudžeta za uvezivanje poljoprivrede sa turizmom, kao i mjerama za razvoj ribarstva i akvakulture, a sve u funkciji plavog rasta i većeg broja radnih mjesta.</w:t>
      </w:r>
    </w:p>
    <w:p w14:paraId="0A033743" w14:textId="77777777" w:rsidR="00307841" w:rsidRPr="0048184E" w:rsidRDefault="00307841" w:rsidP="0048184E">
      <w:pPr>
        <w:spacing w:after="0" w:line="240" w:lineRule="auto"/>
        <w:jc w:val="both"/>
        <w:rPr>
          <w:rFonts w:cstheme="minorHAnsi"/>
          <w:sz w:val="18"/>
          <w:szCs w:val="18"/>
          <w:lang w:val="sr-Latn-ME"/>
        </w:rPr>
      </w:pPr>
    </w:p>
    <w:p w14:paraId="386BBEF6" w14:textId="77777777" w:rsidR="00A13DA5" w:rsidRPr="0048184E" w:rsidRDefault="00A13DA5" w:rsidP="0048184E">
      <w:pPr>
        <w:spacing w:after="0" w:line="240" w:lineRule="auto"/>
        <w:jc w:val="both"/>
        <w:rPr>
          <w:rFonts w:cstheme="minorHAnsi"/>
          <w:sz w:val="18"/>
          <w:szCs w:val="18"/>
          <w:lang w:val="sr-Latn-ME"/>
        </w:rPr>
      </w:pPr>
    </w:p>
    <w:tbl>
      <w:tblPr>
        <w:tblW w:w="93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424"/>
        <w:gridCol w:w="2135"/>
        <w:gridCol w:w="1206"/>
        <w:gridCol w:w="1949"/>
        <w:gridCol w:w="1291"/>
        <w:gridCol w:w="1350"/>
      </w:tblGrid>
      <w:tr w:rsidR="00A13DA5" w:rsidRPr="00FB3BDC" w14:paraId="475FD04F" w14:textId="77777777" w:rsidTr="0077798A">
        <w:trPr>
          <w:trHeight w:val="386"/>
          <w:jc w:val="center"/>
        </w:trPr>
        <w:tc>
          <w:tcPr>
            <w:tcW w:w="3559" w:type="dxa"/>
            <w:gridSpan w:val="2"/>
            <w:shd w:val="clear" w:color="auto" w:fill="D9E2F3"/>
          </w:tcPr>
          <w:p w14:paraId="1889B0FF" w14:textId="77777777" w:rsidR="00A13DA5" w:rsidRPr="0077798A" w:rsidRDefault="00A13DA5" w:rsidP="0048184E">
            <w:pPr>
              <w:pStyle w:val="NoSpacing"/>
              <w:rPr>
                <w:rFonts w:asciiTheme="minorHAnsi" w:hAnsiTheme="minorHAnsi" w:cstheme="minorHAnsi"/>
                <w:b/>
                <w:sz w:val="16"/>
                <w:szCs w:val="16"/>
                <w:lang w:val="sr-Latn-ME"/>
              </w:rPr>
            </w:pPr>
            <w:r w:rsidRPr="0077798A">
              <w:rPr>
                <w:rFonts w:asciiTheme="minorHAnsi" w:hAnsiTheme="minorHAnsi" w:cstheme="minorHAnsi"/>
                <w:b/>
                <w:sz w:val="16"/>
                <w:szCs w:val="16"/>
                <w:lang w:val="sr-Latn-ME"/>
              </w:rPr>
              <w:t>Operativni cilj 3.4.</w:t>
            </w:r>
          </w:p>
        </w:tc>
        <w:tc>
          <w:tcPr>
            <w:tcW w:w="5796" w:type="dxa"/>
            <w:gridSpan w:val="4"/>
            <w:shd w:val="clear" w:color="auto" w:fill="D9E2F3"/>
          </w:tcPr>
          <w:p w14:paraId="7557E101" w14:textId="77777777" w:rsidR="00A13DA5" w:rsidRPr="0077798A" w:rsidRDefault="00A13DA5" w:rsidP="0048184E">
            <w:pPr>
              <w:pStyle w:val="NoSpacing"/>
              <w:rPr>
                <w:rFonts w:asciiTheme="minorHAnsi" w:hAnsiTheme="minorHAnsi" w:cstheme="minorHAnsi"/>
                <w:b/>
                <w:sz w:val="16"/>
                <w:szCs w:val="16"/>
                <w:lang w:val="sr-Latn-ME"/>
              </w:rPr>
            </w:pPr>
            <w:r w:rsidRPr="0077798A">
              <w:rPr>
                <w:rFonts w:asciiTheme="minorHAnsi" w:hAnsiTheme="minorHAnsi" w:cstheme="minorHAnsi"/>
                <w:b/>
                <w:sz w:val="16"/>
                <w:szCs w:val="16"/>
                <w:lang w:val="sr-Latn-ME"/>
              </w:rPr>
              <w:t>Unaprjeđenje uslova za proizvodnju visokokvalitetne hrane, organskog porijekla uz održiv dohodak poljoprivrednika</w:t>
            </w:r>
          </w:p>
        </w:tc>
      </w:tr>
      <w:tr w:rsidR="00A13DA5" w:rsidRPr="0077798A" w14:paraId="651B0FE4" w14:textId="77777777" w:rsidTr="0077798A">
        <w:trPr>
          <w:trHeight w:val="386"/>
          <w:jc w:val="center"/>
        </w:trPr>
        <w:tc>
          <w:tcPr>
            <w:tcW w:w="1424" w:type="dxa"/>
            <w:shd w:val="clear" w:color="auto" w:fill="auto"/>
          </w:tcPr>
          <w:p w14:paraId="41C744BC"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Povećan broj poljoprivrednih gazdinstava upisanih u registar</w:t>
            </w:r>
          </w:p>
        </w:tc>
        <w:tc>
          <w:tcPr>
            <w:tcW w:w="2135" w:type="dxa"/>
            <w:shd w:val="clear" w:color="auto" w:fill="auto"/>
          </w:tcPr>
          <w:p w14:paraId="14A4B89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Broj poljoprivrednih gazdinstava upisan u registar</w:t>
            </w:r>
          </w:p>
        </w:tc>
        <w:tc>
          <w:tcPr>
            <w:tcW w:w="1206" w:type="dxa"/>
            <w:shd w:val="clear" w:color="auto" w:fill="auto"/>
          </w:tcPr>
          <w:p w14:paraId="0E49451B"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MPŠV</w:t>
            </w:r>
          </w:p>
        </w:tc>
        <w:tc>
          <w:tcPr>
            <w:tcW w:w="1949" w:type="dxa"/>
            <w:shd w:val="clear" w:color="auto" w:fill="auto"/>
          </w:tcPr>
          <w:p w14:paraId="2BECD9A7"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9.634</w:t>
            </w:r>
          </w:p>
          <w:p w14:paraId="3866A207"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6.352</w:t>
            </w:r>
          </w:p>
          <w:p w14:paraId="5462AF86"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1.947</w:t>
            </w:r>
          </w:p>
        </w:tc>
        <w:tc>
          <w:tcPr>
            <w:tcW w:w="1291" w:type="dxa"/>
            <w:shd w:val="clear" w:color="auto" w:fill="auto"/>
          </w:tcPr>
          <w:p w14:paraId="68F47E5F"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Povećanje za 5%</w:t>
            </w:r>
          </w:p>
        </w:tc>
        <w:tc>
          <w:tcPr>
            <w:tcW w:w="1350" w:type="dxa"/>
            <w:shd w:val="clear" w:color="auto" w:fill="auto"/>
          </w:tcPr>
          <w:p w14:paraId="06A0E26C"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Povećanje za 10%</w:t>
            </w:r>
          </w:p>
        </w:tc>
      </w:tr>
      <w:tr w:rsidR="00A13DA5" w:rsidRPr="00FB3BDC" w14:paraId="09CFFEA7" w14:textId="77777777" w:rsidTr="0077798A">
        <w:trPr>
          <w:trHeight w:val="386"/>
          <w:jc w:val="center"/>
        </w:trPr>
        <w:tc>
          <w:tcPr>
            <w:tcW w:w="1424" w:type="dxa"/>
            <w:vMerge w:val="restart"/>
            <w:tcBorders>
              <w:top w:val="single" w:sz="4" w:space="0" w:color="808080"/>
              <w:left w:val="single" w:sz="4" w:space="0" w:color="808080"/>
              <w:right w:val="single" w:sz="4" w:space="0" w:color="808080"/>
            </w:tcBorders>
            <w:shd w:val="clear" w:color="auto" w:fill="auto"/>
          </w:tcPr>
          <w:p w14:paraId="5A3D82AE"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4CB39C9"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Stanovništvo i zdravlje</w:t>
            </w:r>
          </w:p>
        </w:tc>
        <w:tc>
          <w:tcPr>
            <w:tcW w:w="1206" w:type="dxa"/>
            <w:tcBorders>
              <w:top w:val="single" w:sz="4" w:space="0" w:color="808080"/>
              <w:left w:val="single" w:sz="4" w:space="0" w:color="808080"/>
              <w:bottom w:val="single" w:sz="4" w:space="0" w:color="808080"/>
              <w:right w:val="single" w:sz="4" w:space="0" w:color="808080"/>
            </w:tcBorders>
            <w:shd w:val="clear" w:color="auto" w:fill="auto"/>
          </w:tcPr>
          <w:p w14:paraId="03748F1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Prirodni resursi i biodiverzitet</w:t>
            </w:r>
          </w:p>
        </w:tc>
        <w:tc>
          <w:tcPr>
            <w:tcW w:w="1949" w:type="dxa"/>
            <w:tcBorders>
              <w:top w:val="single" w:sz="4" w:space="0" w:color="808080"/>
              <w:left w:val="single" w:sz="4" w:space="0" w:color="808080"/>
              <w:bottom w:val="single" w:sz="4" w:space="0" w:color="808080"/>
              <w:right w:val="single" w:sz="4" w:space="0" w:color="808080"/>
            </w:tcBorders>
            <w:shd w:val="clear" w:color="auto" w:fill="auto"/>
          </w:tcPr>
          <w:p w14:paraId="29A137C0"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Materijalna dobra i kulturno nasleđe</w:t>
            </w:r>
          </w:p>
        </w:tc>
        <w:tc>
          <w:tcPr>
            <w:tcW w:w="1291" w:type="dxa"/>
            <w:tcBorders>
              <w:top w:val="single" w:sz="4" w:space="0" w:color="808080"/>
              <w:left w:val="single" w:sz="4" w:space="0" w:color="808080"/>
              <w:bottom w:val="single" w:sz="4" w:space="0" w:color="808080"/>
              <w:right w:val="single" w:sz="4" w:space="0" w:color="808080"/>
            </w:tcBorders>
            <w:shd w:val="clear" w:color="auto" w:fill="auto"/>
          </w:tcPr>
          <w:p w14:paraId="28E4798C"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Proizvodni procesi i tehnologije</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6017BD8F"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Način isporuke usluga i dobara</w:t>
            </w:r>
          </w:p>
        </w:tc>
      </w:tr>
      <w:tr w:rsidR="00A13DA5" w:rsidRPr="0077798A" w14:paraId="50A13AE6" w14:textId="77777777" w:rsidTr="0077798A">
        <w:trPr>
          <w:trHeight w:val="386"/>
          <w:jc w:val="center"/>
        </w:trPr>
        <w:tc>
          <w:tcPr>
            <w:tcW w:w="1424" w:type="dxa"/>
            <w:vMerge/>
            <w:tcBorders>
              <w:left w:val="single" w:sz="4" w:space="0" w:color="808080"/>
              <w:bottom w:val="single" w:sz="4" w:space="0" w:color="808080"/>
              <w:right w:val="single" w:sz="4" w:space="0" w:color="808080"/>
            </w:tcBorders>
            <w:shd w:val="clear" w:color="auto" w:fill="auto"/>
          </w:tcPr>
          <w:p w14:paraId="0B690F22" w14:textId="77777777" w:rsidR="00A13DA5" w:rsidRPr="0077798A"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5876433F"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206" w:type="dxa"/>
            <w:tcBorders>
              <w:top w:val="single" w:sz="4" w:space="0" w:color="808080"/>
              <w:left w:val="single" w:sz="4" w:space="0" w:color="808080"/>
              <w:bottom w:val="single" w:sz="4" w:space="0" w:color="808080"/>
              <w:right w:val="single" w:sz="4" w:space="0" w:color="808080"/>
            </w:tcBorders>
            <w:shd w:val="clear" w:color="auto" w:fill="auto"/>
          </w:tcPr>
          <w:p w14:paraId="4BFEB50F"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949" w:type="dxa"/>
            <w:tcBorders>
              <w:top w:val="single" w:sz="4" w:space="0" w:color="808080"/>
              <w:left w:val="single" w:sz="4" w:space="0" w:color="808080"/>
              <w:bottom w:val="single" w:sz="4" w:space="0" w:color="808080"/>
              <w:right w:val="single" w:sz="4" w:space="0" w:color="808080"/>
            </w:tcBorders>
            <w:shd w:val="clear" w:color="auto" w:fill="auto"/>
          </w:tcPr>
          <w:p w14:paraId="0574CCE1"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291" w:type="dxa"/>
            <w:tcBorders>
              <w:top w:val="single" w:sz="4" w:space="0" w:color="808080"/>
              <w:left w:val="single" w:sz="4" w:space="0" w:color="808080"/>
              <w:bottom w:val="single" w:sz="4" w:space="0" w:color="808080"/>
              <w:right w:val="single" w:sz="4" w:space="0" w:color="808080"/>
            </w:tcBorders>
            <w:shd w:val="clear" w:color="auto" w:fill="auto"/>
          </w:tcPr>
          <w:p w14:paraId="6CE491B4"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17B6888D"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r>
    </w:tbl>
    <w:p w14:paraId="545D73CD" w14:textId="77777777" w:rsidR="009A7EC7" w:rsidRDefault="009A7EC7" w:rsidP="0048184E">
      <w:pPr>
        <w:pStyle w:val="NoSpacing"/>
        <w:rPr>
          <w:rFonts w:asciiTheme="minorHAnsi" w:hAnsiTheme="minorHAnsi" w:cstheme="minorHAnsi"/>
          <w:sz w:val="18"/>
          <w:szCs w:val="18"/>
          <w:lang w:val="sr-Latn-ME"/>
        </w:rPr>
      </w:pPr>
    </w:p>
    <w:p w14:paraId="20306F0B" w14:textId="77777777" w:rsidR="009A7EC7" w:rsidRPr="0048184E" w:rsidRDefault="009A7EC7" w:rsidP="0048184E">
      <w:pPr>
        <w:pStyle w:val="NoSpacing"/>
        <w:rPr>
          <w:rFonts w:asciiTheme="minorHAnsi" w:hAnsiTheme="minorHAnsi" w:cstheme="minorHAnsi"/>
          <w:sz w:val="18"/>
          <w:szCs w:val="18"/>
          <w:lang w:val="sr-Latn-ME"/>
        </w:rPr>
      </w:pPr>
    </w:p>
    <w:p w14:paraId="7D20BE3A" w14:textId="77777777" w:rsidR="00A13DA5" w:rsidRPr="00726BE7" w:rsidRDefault="00A13DA5" w:rsidP="0048184E">
      <w:pPr>
        <w:pStyle w:val="Heading21"/>
        <w:numPr>
          <w:ilvl w:val="1"/>
          <w:numId w:val="28"/>
        </w:numPr>
        <w:spacing w:before="0"/>
        <w:rPr>
          <w:color w:val="4472C4" w:themeColor="accent5"/>
          <w:szCs w:val="22"/>
          <w:lang w:val="sr-Latn-ME"/>
        </w:rPr>
      </w:pPr>
      <w:bookmarkStart w:id="68" w:name="_Toc205215858"/>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3.5. </w:t>
      </w:r>
      <w:r w:rsidRPr="00726BE7">
        <w:rPr>
          <w:color w:val="4472C4" w:themeColor="accent5"/>
          <w:szCs w:val="22"/>
        </w:rPr>
        <w:t>Za</w:t>
      </w:r>
      <w:r w:rsidRPr="00726BE7">
        <w:rPr>
          <w:color w:val="4472C4" w:themeColor="accent5"/>
          <w:szCs w:val="22"/>
          <w:lang w:val="sr-Latn-ME"/>
        </w:rPr>
        <w:t>š</w:t>
      </w:r>
      <w:r w:rsidRPr="00726BE7">
        <w:rPr>
          <w:color w:val="4472C4" w:themeColor="accent5"/>
          <w:szCs w:val="22"/>
        </w:rPr>
        <w:t>tita</w:t>
      </w:r>
      <w:r w:rsidRPr="00726BE7">
        <w:rPr>
          <w:color w:val="4472C4" w:themeColor="accent5"/>
          <w:szCs w:val="22"/>
          <w:lang w:val="sr-Latn-ME"/>
        </w:rPr>
        <w:t xml:space="preserve"> ž</w:t>
      </w:r>
      <w:r w:rsidRPr="00726BE7">
        <w:rPr>
          <w:color w:val="4472C4" w:themeColor="accent5"/>
          <w:szCs w:val="22"/>
        </w:rPr>
        <w:t>ivotne</w:t>
      </w:r>
      <w:r w:rsidRPr="00726BE7">
        <w:rPr>
          <w:color w:val="4472C4" w:themeColor="accent5"/>
          <w:szCs w:val="22"/>
          <w:lang w:val="sr-Latn-ME"/>
        </w:rPr>
        <w:t xml:space="preserve"> </w:t>
      </w:r>
      <w:r w:rsidRPr="00726BE7">
        <w:rPr>
          <w:color w:val="4472C4" w:themeColor="accent5"/>
          <w:szCs w:val="22"/>
        </w:rPr>
        <w:t>sredine</w:t>
      </w:r>
      <w:r w:rsidRPr="00726BE7">
        <w:rPr>
          <w:color w:val="4472C4" w:themeColor="accent5"/>
          <w:szCs w:val="22"/>
          <w:lang w:val="sr-Latn-ME"/>
        </w:rPr>
        <w:t xml:space="preserve">, </w:t>
      </w:r>
      <w:r w:rsidRPr="00726BE7">
        <w:rPr>
          <w:color w:val="4472C4" w:themeColor="accent5"/>
          <w:szCs w:val="22"/>
        </w:rPr>
        <w:t>razvoj</w:t>
      </w:r>
      <w:r w:rsidRPr="00726BE7">
        <w:rPr>
          <w:color w:val="4472C4" w:themeColor="accent5"/>
          <w:szCs w:val="22"/>
          <w:lang w:val="sr-Latn-ME"/>
        </w:rPr>
        <w:t xml:space="preserve"> </w:t>
      </w:r>
      <w:r w:rsidRPr="00726BE7">
        <w:rPr>
          <w:color w:val="4472C4" w:themeColor="accent5"/>
          <w:szCs w:val="22"/>
        </w:rPr>
        <w:t>energetike</w:t>
      </w:r>
      <w:r w:rsidRPr="00726BE7">
        <w:rPr>
          <w:color w:val="4472C4" w:themeColor="accent5"/>
          <w:szCs w:val="22"/>
          <w:lang w:val="sr-Latn-ME"/>
        </w:rPr>
        <w:t xml:space="preserve">, </w:t>
      </w:r>
      <w:r w:rsidRPr="00726BE7">
        <w:rPr>
          <w:color w:val="4472C4" w:themeColor="accent5"/>
          <w:szCs w:val="22"/>
        </w:rPr>
        <w:t>unaprje</w:t>
      </w:r>
      <w:r w:rsidRPr="00726BE7">
        <w:rPr>
          <w:color w:val="4472C4" w:themeColor="accent5"/>
          <w:szCs w:val="22"/>
          <w:lang w:val="sr-Latn-ME"/>
        </w:rPr>
        <w:t>đ</w:t>
      </w:r>
      <w:r w:rsidRPr="00726BE7">
        <w:rPr>
          <w:color w:val="4472C4" w:themeColor="accent5"/>
          <w:szCs w:val="22"/>
        </w:rPr>
        <w:t>enje</w:t>
      </w:r>
      <w:r w:rsidRPr="00726BE7">
        <w:rPr>
          <w:color w:val="4472C4" w:themeColor="accent5"/>
          <w:szCs w:val="22"/>
          <w:lang w:val="sr-Latn-ME"/>
        </w:rPr>
        <w:t xml:space="preserve"> </w:t>
      </w:r>
      <w:r w:rsidRPr="00726BE7">
        <w:rPr>
          <w:color w:val="4472C4" w:themeColor="accent5"/>
          <w:szCs w:val="22"/>
        </w:rPr>
        <w:t>energetske</w:t>
      </w:r>
      <w:r w:rsidRPr="00726BE7">
        <w:rPr>
          <w:color w:val="4472C4" w:themeColor="accent5"/>
          <w:szCs w:val="22"/>
          <w:lang w:val="sr-Latn-ME"/>
        </w:rPr>
        <w:t xml:space="preserve"> </w:t>
      </w:r>
      <w:r w:rsidRPr="00726BE7">
        <w:rPr>
          <w:color w:val="4472C4" w:themeColor="accent5"/>
          <w:szCs w:val="22"/>
        </w:rPr>
        <w:t>efikasnosti</w:t>
      </w:r>
      <w:r w:rsidRPr="00726BE7">
        <w:rPr>
          <w:color w:val="4472C4" w:themeColor="accent5"/>
          <w:szCs w:val="22"/>
          <w:lang w:val="sr-Latn-ME"/>
        </w:rPr>
        <w:t xml:space="preserve">, </w:t>
      </w:r>
      <w:r w:rsidRPr="00726BE7">
        <w:rPr>
          <w:color w:val="4472C4" w:themeColor="accent5"/>
          <w:szCs w:val="22"/>
        </w:rPr>
        <w:t>adaptacija</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mitigacija</w:t>
      </w:r>
      <w:r w:rsidRPr="00726BE7">
        <w:rPr>
          <w:color w:val="4472C4" w:themeColor="accent5"/>
          <w:szCs w:val="22"/>
          <w:lang w:val="sr-Latn-ME"/>
        </w:rPr>
        <w:t xml:space="preserve"> </w:t>
      </w:r>
      <w:r w:rsidRPr="00726BE7">
        <w:rPr>
          <w:color w:val="4472C4" w:themeColor="accent5"/>
          <w:szCs w:val="22"/>
        </w:rPr>
        <w:t>efekata</w:t>
      </w:r>
      <w:r w:rsidRPr="00726BE7">
        <w:rPr>
          <w:color w:val="4472C4" w:themeColor="accent5"/>
          <w:szCs w:val="22"/>
          <w:lang w:val="sr-Latn-ME"/>
        </w:rPr>
        <w:t xml:space="preserve"> </w:t>
      </w:r>
      <w:r w:rsidRPr="00726BE7">
        <w:rPr>
          <w:color w:val="4472C4" w:themeColor="accent5"/>
          <w:szCs w:val="22"/>
        </w:rPr>
        <w:t>klimatskih</w:t>
      </w:r>
      <w:r w:rsidRPr="00726BE7">
        <w:rPr>
          <w:color w:val="4472C4" w:themeColor="accent5"/>
          <w:szCs w:val="22"/>
          <w:lang w:val="sr-Latn-ME"/>
        </w:rPr>
        <w:t xml:space="preserve"> </w:t>
      </w:r>
      <w:r w:rsidRPr="00726BE7">
        <w:rPr>
          <w:color w:val="4472C4" w:themeColor="accent5"/>
          <w:szCs w:val="22"/>
        </w:rPr>
        <w:t>promjena</w:t>
      </w:r>
      <w:bookmarkEnd w:id="68"/>
    </w:p>
    <w:p w14:paraId="6C2EB0FA" w14:textId="77777777" w:rsidR="00A13DA5" w:rsidRPr="00726BE7" w:rsidRDefault="00A13DA5" w:rsidP="0048184E">
      <w:pPr>
        <w:pStyle w:val="NoSpacing"/>
        <w:jc w:val="both"/>
        <w:rPr>
          <w:rFonts w:asciiTheme="minorHAnsi" w:hAnsiTheme="minorHAnsi" w:cstheme="minorHAnsi"/>
          <w:color w:val="4472C4" w:themeColor="accent5"/>
          <w:lang w:val="sr-Latn-ME"/>
        </w:rPr>
      </w:pPr>
    </w:p>
    <w:p w14:paraId="5648550A" w14:textId="77777777" w:rsidR="0071272B"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Kada je riječ o zaštiti životne sredine, zagađenost vazduha je i pored opštine Pljevlja, jedan od problema i u ostalim većim JLS posebno Sjevera, pa je u tom pravcu potrebno preduzeti mjere povećanja udjela obnovljivih izvora energije u proizvodnji električne energije i smanjiti proizvodnju uglja, u skladu sa EU standardima (Termoelektrana u Pljevljima proizvodi oko 50% električne energije u zemlji). Iz ovog razloga, aktivnosti posebno na proglašenju toplifikacije Pljevalja projektom od javnog interesa, su jedan od značajnih koraka u tom pravcu. Naime, Sjeverni region posebno karakteriše visoka amortizovanost postojeće energetske infrastrukture i potreba njene ubrzane revitalizacije i tehnološke modernizacije, uz potrebno poboljšanje efikasnosti i pouzdanosti snadbijevanja električnom energijom. </w:t>
      </w:r>
    </w:p>
    <w:p w14:paraId="2FF341F7" w14:textId="77777777" w:rsidR="0071272B" w:rsidRDefault="0071272B" w:rsidP="0048184E">
      <w:pPr>
        <w:spacing w:after="0" w:line="240" w:lineRule="auto"/>
        <w:jc w:val="both"/>
        <w:rPr>
          <w:rFonts w:cstheme="minorHAnsi"/>
          <w:sz w:val="18"/>
          <w:szCs w:val="18"/>
          <w:lang w:val="sr-Latn-ME"/>
        </w:rPr>
      </w:pPr>
    </w:p>
    <w:p w14:paraId="223678B3" w14:textId="77777777" w:rsidR="00A13DA5" w:rsidRDefault="00A13DA5" w:rsidP="0048184E">
      <w:pPr>
        <w:spacing w:after="0" w:line="240" w:lineRule="auto"/>
        <w:jc w:val="both"/>
        <w:rPr>
          <w:rFonts w:cs="Calibri Light"/>
          <w:sz w:val="18"/>
          <w:szCs w:val="18"/>
          <w:lang w:val="pl-PL"/>
        </w:rPr>
      </w:pPr>
      <w:r w:rsidRPr="0048184E">
        <w:rPr>
          <w:rFonts w:eastAsia="Times New Roman" w:cstheme="minorHAnsi"/>
          <w:sz w:val="18"/>
          <w:szCs w:val="18"/>
          <w:lang w:val="sr-Latn-ME"/>
        </w:rPr>
        <w:t xml:space="preserve">Postojeću energetsku infrastrukturu u Središnjem regionu takođe je neophodno modernizovati, a sve u cilju povećanja efikasnosti i pouzdanosti snadbijevanja električnom energijom. </w:t>
      </w:r>
      <w:r w:rsidRPr="0048184E">
        <w:rPr>
          <w:rFonts w:eastAsia="Times New Roman" w:cstheme="minorHAnsi"/>
          <w:bCs/>
          <w:sz w:val="18"/>
          <w:szCs w:val="18"/>
          <w:lang w:val="sr-Latn-ME"/>
        </w:rPr>
        <w:t>Imajući u vidu navedeno, naredni period treba da karakteriše u mjeri mogućeg obezbjeđivanje većeg broja mjesta za punjenje električnih automobila, kao i podrška nabavci novih automobila, odnosno postepenom izbacivanju iz upotrebe starih automobila koji emituju velike količine CO2. Podsticanje manje upotrebe dizela u ukupnoj potrošnji goriva, za rezultat bi imalo značajan doprinos manjem zagađivanju vazduha.</w:t>
      </w:r>
      <w:r w:rsidR="00393377" w:rsidRPr="0048184E">
        <w:rPr>
          <w:rFonts w:eastAsia="Times New Roman" w:cstheme="minorHAnsi"/>
          <w:bCs/>
          <w:sz w:val="18"/>
          <w:szCs w:val="18"/>
          <w:lang w:val="sr-Latn-ME"/>
        </w:rPr>
        <w:t xml:space="preserve"> </w:t>
      </w:r>
      <w:r w:rsidR="00393377" w:rsidRPr="0048184E">
        <w:rPr>
          <w:rFonts w:cs="Calibri Light"/>
          <w:sz w:val="18"/>
          <w:szCs w:val="18"/>
          <w:lang w:val="pl-PL"/>
        </w:rPr>
        <w:t>Vlada je u 2024. godini donijela Program monitoringa životne sredine Crne Gore za 2024. godinu. Za sprovođenje programa obezbijeđena su finansijska sredstva iz budžeta Crne Gore, u iznosu od 300.060 eura.</w:t>
      </w:r>
    </w:p>
    <w:p w14:paraId="1EC127F2" w14:textId="77777777" w:rsidR="00726BE7" w:rsidRPr="0048184E" w:rsidRDefault="00726BE7" w:rsidP="0048184E">
      <w:pPr>
        <w:spacing w:after="0" w:line="240" w:lineRule="auto"/>
        <w:jc w:val="both"/>
        <w:rPr>
          <w:rFonts w:eastAsia="Times New Roman" w:cstheme="minorHAnsi"/>
          <w:bCs/>
          <w:sz w:val="18"/>
          <w:szCs w:val="18"/>
          <w:lang w:val="sr-Latn-ME"/>
        </w:rPr>
      </w:pPr>
    </w:p>
    <w:p w14:paraId="73263C3D"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Dakle, pored održavanja i modernizacije postojeće energetske mreže, u narednom periodu je potrebno intenzivirati podsticaje za domaćinstva za dalju primjenu mjera energetske efikasnosti, pojačati kontrolu sječe šuma, i obezbijediti efikasnije korišćenje biomase uz njenu targetiranu proizvodnju, poput drvnog goriva i daljinskog grijanja (u Primorskom regionu se to prvenstveno odnosi na energiju vjetra i solarnu energiju). Takođe je neophodno, dodatnim podsticajima raditi na jačanju energetskog menadžmenta u javnom sektoru posebno u JLS Sjevera, i kod velikih potrošača energije.</w:t>
      </w:r>
    </w:p>
    <w:p w14:paraId="1CE1DB63" w14:textId="77777777" w:rsidR="00A13DA5"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Nadalje, potrebno je preduzeti mjere na rješavanju pitanja upravljanja otpadom i prečišćavanje otpadnih voda. Ovdje je važno napomenuti da Crna Gora još uvijek nije napravila prelaz od deponija ka cirkularnoj ekonomiji, što je prepoznato kao jedan od problema u sistemu upravljanja otpadom. Imajući u vidu navedeno, neophodno je finalizovati aktivnosti na definisanju zakonodavnog okvira za upravljanje otpadom koji će shodno nacionalnim okolnostima u najvećoj mjeri biti usklađen sa EU legislativom. </w:t>
      </w:r>
    </w:p>
    <w:p w14:paraId="1FAA15BF" w14:textId="77777777" w:rsidR="00726BE7" w:rsidRPr="0048184E" w:rsidRDefault="00726BE7" w:rsidP="0048184E">
      <w:pPr>
        <w:spacing w:after="0" w:line="240" w:lineRule="auto"/>
        <w:jc w:val="both"/>
        <w:rPr>
          <w:rFonts w:cstheme="minorHAnsi"/>
          <w:sz w:val="18"/>
          <w:szCs w:val="18"/>
          <w:lang w:val="sr-Latn-ME"/>
        </w:rPr>
      </w:pPr>
    </w:p>
    <w:p w14:paraId="5B10FD61" w14:textId="77777777" w:rsidR="00726BE7"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lastRenderedPageBreak/>
        <w:t>Među aktivnostima zaštite životne sredine u Primorskom regionu važna je podrška razvoju zaštićenih područja prirode u izvorištu morskih resursa, utvrđeno Prostornim planom posebne namjene za primorsko područje Crne Gore (SPP CZ CG). Naime, kroz nacionalni Agrobudžet sprovodi se određeni broj mjera kako bi se smanjio pritisak i izvlačenje prirodnih resursa dostupnih na održiv način, kao što je podrška organskoj proizvodnji (smanjenje negativnog uticaja poljoprivrede na životnu sredinu, očuvanje bioraznolikosti, povećanje kvaliteta poljoprivrednih proizvoda i doprinos afirmaciji C</w:t>
      </w:r>
      <w:r w:rsidR="00E60F3F">
        <w:rPr>
          <w:rFonts w:cstheme="minorHAnsi"/>
          <w:sz w:val="18"/>
          <w:szCs w:val="18"/>
          <w:lang w:val="sr-Latn-ME"/>
        </w:rPr>
        <w:t xml:space="preserve">rne Gore kao ekološke države). </w:t>
      </w:r>
    </w:p>
    <w:p w14:paraId="35D54689" w14:textId="77777777" w:rsidR="00A13DA5" w:rsidRPr="0048184E" w:rsidRDefault="00A13DA5" w:rsidP="0048184E">
      <w:pPr>
        <w:spacing w:after="0" w:line="240" w:lineRule="auto"/>
        <w:jc w:val="both"/>
        <w:rPr>
          <w:rFonts w:cstheme="minorHAnsi"/>
          <w:sz w:val="18"/>
          <w:szCs w:val="18"/>
          <w:lang w:val="sr-Latn-ME"/>
        </w:rPr>
      </w:pPr>
    </w:p>
    <w:tbl>
      <w:tblPr>
        <w:tblW w:w="917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94"/>
        <w:gridCol w:w="2135"/>
        <w:gridCol w:w="1116"/>
        <w:gridCol w:w="1710"/>
        <w:gridCol w:w="1260"/>
        <w:gridCol w:w="1260"/>
      </w:tblGrid>
      <w:tr w:rsidR="00A13DA5" w:rsidRPr="0074233F" w14:paraId="373428FD" w14:textId="77777777" w:rsidTr="0074233F">
        <w:trPr>
          <w:trHeight w:val="386"/>
          <w:jc w:val="center"/>
        </w:trPr>
        <w:tc>
          <w:tcPr>
            <w:tcW w:w="3829" w:type="dxa"/>
            <w:gridSpan w:val="2"/>
            <w:shd w:val="clear" w:color="auto" w:fill="D9E2F3"/>
          </w:tcPr>
          <w:p w14:paraId="51FFB682" w14:textId="77777777" w:rsidR="00A13DA5" w:rsidRPr="0074233F" w:rsidRDefault="00A13DA5" w:rsidP="0048184E">
            <w:pPr>
              <w:pStyle w:val="NoSpacing"/>
              <w:rPr>
                <w:rFonts w:asciiTheme="minorHAnsi" w:hAnsiTheme="minorHAnsi" w:cstheme="minorHAnsi"/>
                <w:b/>
                <w:sz w:val="16"/>
                <w:szCs w:val="16"/>
                <w:lang w:val="en-GB"/>
              </w:rPr>
            </w:pPr>
            <w:r w:rsidRPr="0074233F">
              <w:rPr>
                <w:rFonts w:asciiTheme="minorHAnsi" w:hAnsiTheme="minorHAnsi" w:cstheme="minorHAnsi"/>
                <w:b/>
                <w:sz w:val="16"/>
                <w:szCs w:val="16"/>
                <w:lang w:val="en-GB"/>
              </w:rPr>
              <w:t>Operativni cilj 3.5.</w:t>
            </w:r>
          </w:p>
        </w:tc>
        <w:tc>
          <w:tcPr>
            <w:tcW w:w="5346" w:type="dxa"/>
            <w:gridSpan w:val="4"/>
            <w:shd w:val="clear" w:color="auto" w:fill="D9E2F3"/>
          </w:tcPr>
          <w:p w14:paraId="5A0970AB" w14:textId="77777777" w:rsidR="00A13DA5" w:rsidRPr="0074233F" w:rsidRDefault="00A13DA5" w:rsidP="0048184E">
            <w:pPr>
              <w:pStyle w:val="NoSpacing"/>
              <w:rPr>
                <w:rFonts w:asciiTheme="minorHAnsi" w:hAnsiTheme="minorHAnsi" w:cstheme="minorHAnsi"/>
                <w:b/>
                <w:sz w:val="16"/>
                <w:szCs w:val="16"/>
                <w:lang w:val="hr-BA"/>
              </w:rPr>
            </w:pPr>
            <w:r w:rsidRPr="0074233F">
              <w:rPr>
                <w:rFonts w:asciiTheme="minorHAnsi" w:hAnsiTheme="minorHAnsi" w:cstheme="minorHAnsi"/>
                <w:b/>
                <w:sz w:val="16"/>
                <w:szCs w:val="16"/>
                <w:lang w:val="sr-Latn-ME"/>
              </w:rPr>
              <w:t>Zaštita životne sredine, razvoj energetike, unaprjeđenje energetske efikasnosti, adaptacija i mitigacija efekata klimatskih promjena</w:t>
            </w:r>
          </w:p>
        </w:tc>
      </w:tr>
      <w:tr w:rsidR="00A13DA5" w:rsidRPr="0074233F" w14:paraId="1DADCE26" w14:textId="77777777" w:rsidTr="0074233F">
        <w:trPr>
          <w:trHeight w:val="386"/>
          <w:jc w:val="center"/>
        </w:trPr>
        <w:tc>
          <w:tcPr>
            <w:tcW w:w="1694" w:type="dxa"/>
            <w:shd w:val="clear" w:color="auto" w:fill="auto"/>
          </w:tcPr>
          <w:p w14:paraId="671535B8" w14:textId="77777777" w:rsidR="00A13DA5" w:rsidRPr="0074233F" w:rsidRDefault="00A13DA5" w:rsidP="0048184E">
            <w:pPr>
              <w:pStyle w:val="NoSpacing"/>
              <w:rPr>
                <w:rFonts w:asciiTheme="minorHAnsi" w:hAnsiTheme="minorHAnsi" w:cstheme="minorHAnsi"/>
                <w:sz w:val="16"/>
                <w:szCs w:val="16"/>
                <w:lang w:val="pl-PL"/>
              </w:rPr>
            </w:pPr>
            <w:r w:rsidRPr="0074233F">
              <w:rPr>
                <w:rFonts w:asciiTheme="minorHAnsi" w:hAnsiTheme="minorHAnsi" w:cstheme="minorHAnsi"/>
                <w:sz w:val="16"/>
                <w:szCs w:val="16"/>
                <w:lang w:val="sr-Latn-ME"/>
              </w:rPr>
              <w:t>Unaprijeđeni sistemi za prečišćavanje otpadnih voda na nivou regiona</w:t>
            </w:r>
          </w:p>
        </w:tc>
        <w:tc>
          <w:tcPr>
            <w:tcW w:w="2135" w:type="dxa"/>
            <w:shd w:val="clear" w:color="auto" w:fill="auto"/>
          </w:tcPr>
          <w:p w14:paraId="33BABC72"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Broj uspostavljenih sistema i izgradnja postrojenja za prečišćavanje otpadnih voda i proširenja primarne i sekundarne kanalizacione mreže</w:t>
            </w:r>
          </w:p>
        </w:tc>
        <w:tc>
          <w:tcPr>
            <w:tcW w:w="1116" w:type="dxa"/>
            <w:shd w:val="clear" w:color="auto" w:fill="FFFFFF"/>
          </w:tcPr>
          <w:p w14:paraId="1DDC2AC5" w14:textId="77777777" w:rsidR="00A13DA5" w:rsidRPr="0074233F" w:rsidRDefault="00EB1B92"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MEORRS</w:t>
            </w:r>
          </w:p>
        </w:tc>
        <w:tc>
          <w:tcPr>
            <w:tcW w:w="1710" w:type="dxa"/>
            <w:shd w:val="clear" w:color="auto" w:fill="auto"/>
          </w:tcPr>
          <w:p w14:paraId="22619ABD"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9</w:t>
            </w:r>
          </w:p>
          <w:p w14:paraId="157A0FF7"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n/a</w:t>
            </w:r>
          </w:p>
          <w:p w14:paraId="06C33F44"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n/a</w:t>
            </w:r>
          </w:p>
        </w:tc>
        <w:tc>
          <w:tcPr>
            <w:tcW w:w="1260" w:type="dxa"/>
            <w:shd w:val="clear" w:color="auto" w:fill="auto"/>
          </w:tcPr>
          <w:p w14:paraId="0B5EC097"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15</w:t>
            </w:r>
          </w:p>
          <w:p w14:paraId="4D0F0CC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6</w:t>
            </w:r>
          </w:p>
          <w:p w14:paraId="55697F9D"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6</w:t>
            </w:r>
          </w:p>
        </w:tc>
        <w:tc>
          <w:tcPr>
            <w:tcW w:w="1260" w:type="dxa"/>
            <w:shd w:val="clear" w:color="auto" w:fill="auto"/>
          </w:tcPr>
          <w:p w14:paraId="4B517DA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16</w:t>
            </w:r>
          </w:p>
          <w:p w14:paraId="104E64C9"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7</w:t>
            </w:r>
          </w:p>
          <w:p w14:paraId="2A7D22D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7</w:t>
            </w:r>
          </w:p>
        </w:tc>
      </w:tr>
      <w:tr w:rsidR="00A13DA5" w:rsidRPr="00FB3BDC" w14:paraId="1F1693CF" w14:textId="77777777" w:rsidTr="0074233F">
        <w:trPr>
          <w:trHeight w:val="386"/>
          <w:jc w:val="center"/>
        </w:trPr>
        <w:tc>
          <w:tcPr>
            <w:tcW w:w="1694" w:type="dxa"/>
            <w:shd w:val="clear" w:color="auto" w:fill="auto"/>
          </w:tcPr>
          <w:p w14:paraId="2FCA44F3" w14:textId="77777777" w:rsidR="00A13DA5" w:rsidRPr="0074233F" w:rsidRDefault="00A13DA5" w:rsidP="0048184E">
            <w:pPr>
              <w:pStyle w:val="NoSpacing"/>
              <w:rPr>
                <w:rFonts w:asciiTheme="minorHAnsi" w:hAnsiTheme="minorHAnsi" w:cstheme="minorHAnsi"/>
                <w:sz w:val="16"/>
                <w:szCs w:val="16"/>
                <w:lang w:val="hr-BA"/>
              </w:rPr>
            </w:pPr>
            <w:r w:rsidRPr="0074233F">
              <w:rPr>
                <w:rFonts w:asciiTheme="minorHAnsi" w:hAnsiTheme="minorHAnsi" w:cstheme="minorHAnsi"/>
                <w:sz w:val="16"/>
                <w:szCs w:val="16"/>
                <w:lang w:val="sr-Latn-ME"/>
              </w:rPr>
              <w:t>Smanjena zagađenost vazduha na nivou regiona</w:t>
            </w:r>
          </w:p>
        </w:tc>
        <w:tc>
          <w:tcPr>
            <w:tcW w:w="2135" w:type="dxa"/>
            <w:shd w:val="clear" w:color="auto" w:fill="auto"/>
          </w:tcPr>
          <w:p w14:paraId="7DC3DA24"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Procenat smanjenja zagađenosti vazduha (mjereno PM2.5)</w:t>
            </w:r>
          </w:p>
        </w:tc>
        <w:tc>
          <w:tcPr>
            <w:tcW w:w="1116" w:type="dxa"/>
            <w:shd w:val="clear" w:color="auto" w:fill="FFFFFF"/>
          </w:tcPr>
          <w:p w14:paraId="5D949C4D" w14:textId="77777777" w:rsidR="00A13DA5" w:rsidRPr="0074233F" w:rsidRDefault="008D692E"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ME</w:t>
            </w:r>
            <w:r w:rsidR="00EB1B92" w:rsidRPr="0074233F">
              <w:rPr>
                <w:rFonts w:asciiTheme="minorHAnsi" w:hAnsiTheme="minorHAnsi" w:cstheme="minorHAnsi"/>
                <w:sz w:val="16"/>
                <w:szCs w:val="16"/>
                <w:lang w:val="en-GB"/>
              </w:rPr>
              <w:t>OR</w:t>
            </w:r>
            <w:r w:rsidRPr="0074233F">
              <w:rPr>
                <w:rFonts w:asciiTheme="minorHAnsi" w:hAnsiTheme="minorHAnsi" w:cstheme="minorHAnsi"/>
                <w:sz w:val="16"/>
                <w:szCs w:val="16"/>
                <w:lang w:val="en-GB"/>
              </w:rPr>
              <w:t>RS,</w:t>
            </w:r>
            <w:r w:rsidR="00A13DA5" w:rsidRPr="0074233F">
              <w:rPr>
                <w:rFonts w:asciiTheme="minorHAnsi" w:hAnsiTheme="minorHAnsi" w:cstheme="minorHAnsi"/>
                <w:sz w:val="16"/>
                <w:szCs w:val="16"/>
                <w:lang w:val="en-GB"/>
              </w:rPr>
              <w:t xml:space="preserve"> JLS</w:t>
            </w:r>
          </w:p>
        </w:tc>
        <w:tc>
          <w:tcPr>
            <w:tcW w:w="1710" w:type="dxa"/>
            <w:shd w:val="clear" w:color="auto" w:fill="auto"/>
          </w:tcPr>
          <w:p w14:paraId="293D0E51"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w:t>
            </w:r>
            <w:r w:rsidRPr="0074233F">
              <w:rPr>
                <w:rFonts w:asciiTheme="minorHAnsi" w:hAnsiTheme="minorHAnsi" w:cstheme="minorHAnsi"/>
                <w:sz w:val="16"/>
                <w:szCs w:val="16"/>
                <w:lang w:val="pl-PL"/>
              </w:rPr>
              <w:t xml:space="preserve"> </w:t>
            </w:r>
            <w:r w:rsidRPr="0074233F">
              <w:rPr>
                <w:rFonts w:asciiTheme="minorHAnsi" w:hAnsiTheme="minorHAnsi" w:cstheme="minorHAnsi"/>
                <w:sz w:val="16"/>
                <w:szCs w:val="16"/>
                <w:lang w:val="sr-Latn-ME"/>
              </w:rPr>
              <w:t>relevatno mjerenje u  Bijelom Polju i Pljevljima gdje su srednje godišnje koncentracije u 2021. godini bile 37µg/m3 odnosno 32µg/m3</w:t>
            </w:r>
          </w:p>
          <w:p w14:paraId="265AF2D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relevatno mjerenje u Podgorici i Nikšiću gdje su srednje godišnje koncentracije u 2021. godine bile 22µg/m3 u Podgorici i 23µg/m3 u Nikšiću Primorski region: relevantno mjerenje u Baru gdje je 2021. godine srednja godišnja koncentracija bila 11µg/m3</w:t>
            </w:r>
          </w:p>
        </w:tc>
        <w:tc>
          <w:tcPr>
            <w:tcW w:w="1260" w:type="dxa"/>
            <w:shd w:val="clear" w:color="auto" w:fill="auto"/>
          </w:tcPr>
          <w:p w14:paraId="0A224160"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treba biti određena</w:t>
            </w:r>
          </w:p>
          <w:p w14:paraId="5F32C69B"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treba biti određena</w:t>
            </w:r>
          </w:p>
          <w:p w14:paraId="39FA1422"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 xml:space="preserve">Primorski region: 1.3 puta iznad dozvoljenog limita </w:t>
            </w:r>
          </w:p>
        </w:tc>
        <w:tc>
          <w:tcPr>
            <w:tcW w:w="1260" w:type="dxa"/>
            <w:shd w:val="clear" w:color="auto" w:fill="auto"/>
          </w:tcPr>
          <w:p w14:paraId="49E31E70"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treba biti određena</w:t>
            </w:r>
          </w:p>
          <w:p w14:paraId="2913907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treba biti određena</w:t>
            </w:r>
          </w:p>
          <w:p w14:paraId="6E9A2701"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na nivou dozvoljenog limita</w:t>
            </w:r>
          </w:p>
          <w:p w14:paraId="2AD74248" w14:textId="77777777" w:rsidR="00A13DA5" w:rsidRPr="0074233F" w:rsidRDefault="00A13DA5" w:rsidP="0048184E">
            <w:pPr>
              <w:pStyle w:val="NoSpacing"/>
              <w:rPr>
                <w:rFonts w:asciiTheme="minorHAnsi" w:hAnsiTheme="minorHAnsi" w:cstheme="minorHAnsi"/>
                <w:sz w:val="16"/>
                <w:szCs w:val="16"/>
                <w:lang w:val="sr-Latn-ME"/>
              </w:rPr>
            </w:pPr>
          </w:p>
        </w:tc>
      </w:tr>
      <w:tr w:rsidR="00A13DA5" w:rsidRPr="0074233F" w14:paraId="57B8F6DB" w14:textId="77777777" w:rsidTr="0074233F">
        <w:trPr>
          <w:trHeight w:val="386"/>
          <w:jc w:val="center"/>
        </w:trPr>
        <w:tc>
          <w:tcPr>
            <w:tcW w:w="1694" w:type="dxa"/>
            <w:shd w:val="clear" w:color="auto" w:fill="auto"/>
          </w:tcPr>
          <w:p w14:paraId="403122E6" w14:textId="77777777" w:rsidR="00A13DA5" w:rsidRPr="0074233F" w:rsidRDefault="00A13DA5" w:rsidP="0048184E">
            <w:pPr>
              <w:pStyle w:val="NoSpacing"/>
              <w:rPr>
                <w:rFonts w:asciiTheme="minorHAnsi" w:hAnsiTheme="minorHAnsi" w:cstheme="minorHAnsi"/>
                <w:sz w:val="16"/>
                <w:szCs w:val="16"/>
                <w:lang w:val="hr-BA"/>
              </w:rPr>
            </w:pPr>
            <w:r w:rsidRPr="0074233F">
              <w:rPr>
                <w:rFonts w:asciiTheme="minorHAnsi" w:hAnsiTheme="minorHAnsi" w:cstheme="minorHAnsi"/>
                <w:sz w:val="16"/>
                <w:szCs w:val="16"/>
                <w:lang w:val="sr-Latn-ME"/>
              </w:rPr>
              <w:t>Unaprijeđena energetska infrasturktura na nivou regiona</w:t>
            </w:r>
          </w:p>
        </w:tc>
        <w:tc>
          <w:tcPr>
            <w:tcW w:w="2135" w:type="dxa"/>
            <w:shd w:val="clear" w:color="auto" w:fill="auto"/>
          </w:tcPr>
          <w:p w14:paraId="38149BF6"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Broj dodatno revitaliziranih i modernizovanih elektrana, koje pozitivno utiču na smanjenje emisije CO2</w:t>
            </w:r>
          </w:p>
        </w:tc>
        <w:tc>
          <w:tcPr>
            <w:tcW w:w="1116" w:type="dxa"/>
            <w:shd w:val="clear" w:color="auto" w:fill="FFFFFF"/>
          </w:tcPr>
          <w:p w14:paraId="09AFEE02" w14:textId="684A4D44" w:rsidR="00A13DA5" w:rsidRPr="0074233F" w:rsidRDefault="00A13DA5"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w:t>
            </w:r>
            <w:r w:rsidR="00072225">
              <w:rPr>
                <w:rFonts w:asciiTheme="minorHAnsi" w:hAnsiTheme="minorHAnsi" w:cstheme="minorHAnsi"/>
                <w:sz w:val="16"/>
                <w:szCs w:val="16"/>
                <w:lang w:val="en-GB"/>
              </w:rPr>
              <w:t>EIR</w:t>
            </w:r>
          </w:p>
        </w:tc>
        <w:tc>
          <w:tcPr>
            <w:tcW w:w="1710" w:type="dxa"/>
            <w:shd w:val="clear" w:color="auto" w:fill="auto"/>
          </w:tcPr>
          <w:p w14:paraId="3D4A7AB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2</w:t>
            </w:r>
          </w:p>
        </w:tc>
        <w:tc>
          <w:tcPr>
            <w:tcW w:w="1260" w:type="dxa"/>
            <w:shd w:val="clear" w:color="auto" w:fill="auto"/>
          </w:tcPr>
          <w:p w14:paraId="6D51F2CD"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3</w:t>
            </w:r>
          </w:p>
        </w:tc>
        <w:tc>
          <w:tcPr>
            <w:tcW w:w="1260" w:type="dxa"/>
            <w:shd w:val="clear" w:color="auto" w:fill="auto"/>
          </w:tcPr>
          <w:p w14:paraId="7BDC912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3</w:t>
            </w:r>
          </w:p>
        </w:tc>
      </w:tr>
      <w:tr w:rsidR="00A13DA5" w:rsidRPr="0074233F" w14:paraId="7F714B7A" w14:textId="77777777" w:rsidTr="0074233F">
        <w:trPr>
          <w:trHeight w:val="386"/>
          <w:jc w:val="center"/>
        </w:trPr>
        <w:tc>
          <w:tcPr>
            <w:tcW w:w="1694" w:type="dxa"/>
            <w:shd w:val="clear" w:color="auto" w:fill="auto"/>
          </w:tcPr>
          <w:p w14:paraId="6DE3153C" w14:textId="77777777" w:rsidR="00A13DA5" w:rsidRPr="0074233F" w:rsidRDefault="00A13DA5" w:rsidP="0048184E">
            <w:pPr>
              <w:pStyle w:val="NoSpacing"/>
              <w:rPr>
                <w:rFonts w:asciiTheme="minorHAnsi" w:hAnsiTheme="minorHAnsi" w:cstheme="minorHAnsi"/>
                <w:sz w:val="16"/>
                <w:szCs w:val="16"/>
                <w:lang w:val="hr-BA"/>
              </w:rPr>
            </w:pPr>
            <w:r w:rsidRPr="0074233F">
              <w:rPr>
                <w:rFonts w:asciiTheme="minorHAnsi" w:hAnsiTheme="minorHAnsi" w:cstheme="minorHAnsi"/>
                <w:sz w:val="16"/>
                <w:szCs w:val="16"/>
                <w:lang w:val="sr-Latn-ME"/>
              </w:rPr>
              <w:t>Eliminisane crne ekološke tačke na nivou regiona</w:t>
            </w:r>
          </w:p>
        </w:tc>
        <w:tc>
          <w:tcPr>
            <w:tcW w:w="2135" w:type="dxa"/>
            <w:shd w:val="clear" w:color="auto" w:fill="auto"/>
          </w:tcPr>
          <w:p w14:paraId="3BB28B4B"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Broj nesaniranih ekoloških crnih tačaka</w:t>
            </w:r>
          </w:p>
        </w:tc>
        <w:tc>
          <w:tcPr>
            <w:tcW w:w="1116" w:type="dxa"/>
            <w:shd w:val="clear" w:color="auto" w:fill="FFFFFF"/>
          </w:tcPr>
          <w:p w14:paraId="4B9696AF" w14:textId="77777777" w:rsidR="00A13DA5" w:rsidRPr="0074233F" w:rsidRDefault="008D692E"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ME</w:t>
            </w:r>
            <w:r w:rsidR="00EB1B92" w:rsidRPr="0074233F">
              <w:rPr>
                <w:rFonts w:asciiTheme="minorHAnsi" w:hAnsiTheme="minorHAnsi" w:cstheme="minorHAnsi"/>
                <w:sz w:val="16"/>
                <w:szCs w:val="16"/>
                <w:lang w:val="en-GB"/>
              </w:rPr>
              <w:t>OR</w:t>
            </w:r>
            <w:r w:rsidRPr="0074233F">
              <w:rPr>
                <w:rFonts w:asciiTheme="minorHAnsi" w:hAnsiTheme="minorHAnsi" w:cstheme="minorHAnsi"/>
                <w:sz w:val="16"/>
                <w:szCs w:val="16"/>
                <w:lang w:val="en-GB"/>
              </w:rPr>
              <w:t>RS,</w:t>
            </w:r>
            <w:r w:rsidR="00A13DA5" w:rsidRPr="0074233F">
              <w:rPr>
                <w:rFonts w:asciiTheme="minorHAnsi" w:hAnsiTheme="minorHAnsi" w:cstheme="minorHAnsi"/>
                <w:sz w:val="16"/>
                <w:szCs w:val="16"/>
                <w:lang w:val="en-GB"/>
              </w:rPr>
              <w:t xml:space="preserve"> JLS</w:t>
            </w:r>
          </w:p>
        </w:tc>
        <w:tc>
          <w:tcPr>
            <w:tcW w:w="1710" w:type="dxa"/>
            <w:shd w:val="clear" w:color="auto" w:fill="auto"/>
          </w:tcPr>
          <w:p w14:paraId="6B1F9AA1"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1</w:t>
            </w:r>
          </w:p>
        </w:tc>
        <w:tc>
          <w:tcPr>
            <w:tcW w:w="1260" w:type="dxa"/>
            <w:shd w:val="clear" w:color="auto" w:fill="auto"/>
          </w:tcPr>
          <w:p w14:paraId="367BF146"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0</w:t>
            </w:r>
          </w:p>
        </w:tc>
        <w:tc>
          <w:tcPr>
            <w:tcW w:w="1260" w:type="dxa"/>
            <w:shd w:val="clear" w:color="auto" w:fill="auto"/>
          </w:tcPr>
          <w:p w14:paraId="4BE3DBBA"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0</w:t>
            </w:r>
          </w:p>
        </w:tc>
      </w:tr>
      <w:tr w:rsidR="00A13DA5" w:rsidRPr="00FB3BDC" w14:paraId="0542E3AB" w14:textId="77777777" w:rsidTr="0074233F">
        <w:trPr>
          <w:trHeight w:val="386"/>
          <w:jc w:val="center"/>
        </w:trPr>
        <w:tc>
          <w:tcPr>
            <w:tcW w:w="1694" w:type="dxa"/>
            <w:vMerge w:val="restart"/>
            <w:tcBorders>
              <w:top w:val="single" w:sz="4" w:space="0" w:color="808080"/>
              <w:left w:val="single" w:sz="4" w:space="0" w:color="808080"/>
              <w:right w:val="single" w:sz="4" w:space="0" w:color="808080"/>
            </w:tcBorders>
            <w:shd w:val="clear" w:color="auto" w:fill="auto"/>
          </w:tcPr>
          <w:p w14:paraId="38699084"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44D9E1E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75BC65D5" w14:textId="77777777" w:rsidR="00A13DA5" w:rsidRPr="0074233F" w:rsidRDefault="00A13DA5"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Prirodni resursi i biodiverzitet</w:t>
            </w:r>
          </w:p>
        </w:tc>
        <w:tc>
          <w:tcPr>
            <w:tcW w:w="1710" w:type="dxa"/>
            <w:tcBorders>
              <w:top w:val="single" w:sz="4" w:space="0" w:color="808080"/>
              <w:left w:val="single" w:sz="4" w:space="0" w:color="808080"/>
              <w:bottom w:val="single" w:sz="4" w:space="0" w:color="808080"/>
              <w:right w:val="single" w:sz="4" w:space="0" w:color="808080"/>
            </w:tcBorders>
            <w:shd w:val="clear" w:color="auto" w:fill="auto"/>
          </w:tcPr>
          <w:p w14:paraId="579B9370"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Materijalna dobra i kulturno nasleđe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067421A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Proizvodni procesi i tehnologije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03BE81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Način isporuke usluga i dobara</w:t>
            </w:r>
          </w:p>
        </w:tc>
      </w:tr>
      <w:tr w:rsidR="00A13DA5" w:rsidRPr="0074233F" w14:paraId="78970BFD" w14:textId="77777777" w:rsidTr="0074233F">
        <w:trPr>
          <w:trHeight w:val="386"/>
          <w:jc w:val="center"/>
        </w:trPr>
        <w:tc>
          <w:tcPr>
            <w:tcW w:w="1694" w:type="dxa"/>
            <w:vMerge/>
            <w:tcBorders>
              <w:left w:val="single" w:sz="4" w:space="0" w:color="808080"/>
              <w:bottom w:val="single" w:sz="4" w:space="0" w:color="808080"/>
              <w:right w:val="single" w:sz="4" w:space="0" w:color="808080"/>
            </w:tcBorders>
            <w:shd w:val="clear" w:color="auto" w:fill="auto"/>
          </w:tcPr>
          <w:p w14:paraId="7224C486" w14:textId="77777777" w:rsidR="00A13DA5" w:rsidRPr="0074233F"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7944BBC"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5F2A12EF" w14:textId="77777777" w:rsidR="00A13DA5" w:rsidRPr="0074233F" w:rsidRDefault="00A13DA5" w:rsidP="0048184E">
            <w:pPr>
              <w:pStyle w:val="NoSpacing"/>
              <w:jc w:val="center"/>
              <w:rPr>
                <w:rFonts w:asciiTheme="minorHAnsi" w:hAnsiTheme="minorHAnsi" w:cstheme="minorHAnsi"/>
                <w:sz w:val="16"/>
                <w:szCs w:val="16"/>
                <w:lang w:val="en-GB"/>
              </w:rPr>
            </w:pPr>
            <w:r w:rsidRPr="0074233F">
              <w:rPr>
                <w:rFonts w:asciiTheme="minorHAnsi" w:hAnsiTheme="minorHAnsi" w:cstheme="minorHAnsi"/>
                <w:sz w:val="16"/>
                <w:szCs w:val="16"/>
                <w:lang w:val="en-GB"/>
              </w:rPr>
              <w:t>+</w:t>
            </w:r>
          </w:p>
        </w:tc>
        <w:tc>
          <w:tcPr>
            <w:tcW w:w="1710" w:type="dxa"/>
            <w:tcBorders>
              <w:top w:val="single" w:sz="4" w:space="0" w:color="808080"/>
              <w:left w:val="single" w:sz="4" w:space="0" w:color="808080"/>
              <w:bottom w:val="single" w:sz="4" w:space="0" w:color="808080"/>
              <w:right w:val="single" w:sz="4" w:space="0" w:color="808080"/>
            </w:tcBorders>
            <w:shd w:val="clear" w:color="auto" w:fill="auto"/>
          </w:tcPr>
          <w:p w14:paraId="6C253808"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6AE3899C"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6230582"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r>
    </w:tbl>
    <w:p w14:paraId="55B3D8DA" w14:textId="77777777" w:rsidR="00393377" w:rsidRDefault="00393377" w:rsidP="0048184E">
      <w:pPr>
        <w:pStyle w:val="NoSpacing"/>
        <w:jc w:val="both"/>
        <w:rPr>
          <w:rFonts w:asciiTheme="minorHAnsi" w:hAnsiTheme="minorHAnsi" w:cstheme="minorHAnsi"/>
          <w:b/>
          <w:sz w:val="16"/>
          <w:szCs w:val="16"/>
          <w:lang w:val="sr-Latn-ME"/>
        </w:rPr>
      </w:pPr>
    </w:p>
    <w:p w14:paraId="6F930B6B" w14:textId="77777777" w:rsidR="00190093" w:rsidRDefault="00190093" w:rsidP="0048184E">
      <w:pPr>
        <w:pStyle w:val="NoSpacing"/>
        <w:jc w:val="both"/>
        <w:rPr>
          <w:rFonts w:asciiTheme="minorHAnsi" w:hAnsiTheme="minorHAnsi" w:cstheme="minorHAnsi"/>
          <w:b/>
          <w:sz w:val="16"/>
          <w:szCs w:val="16"/>
          <w:lang w:val="sr-Latn-ME"/>
        </w:rPr>
      </w:pPr>
    </w:p>
    <w:p w14:paraId="7729FB1C" w14:textId="77777777" w:rsidR="00190093" w:rsidRDefault="00190093" w:rsidP="0048184E">
      <w:pPr>
        <w:pStyle w:val="NoSpacing"/>
        <w:jc w:val="both"/>
        <w:rPr>
          <w:rFonts w:asciiTheme="minorHAnsi" w:hAnsiTheme="minorHAnsi" w:cstheme="minorHAnsi"/>
          <w:b/>
          <w:sz w:val="16"/>
          <w:szCs w:val="16"/>
          <w:lang w:val="sr-Latn-ME"/>
        </w:rPr>
      </w:pPr>
    </w:p>
    <w:p w14:paraId="2093491A" w14:textId="77777777" w:rsidR="00190093" w:rsidRDefault="00190093" w:rsidP="0048184E">
      <w:pPr>
        <w:pStyle w:val="NoSpacing"/>
        <w:jc w:val="both"/>
        <w:rPr>
          <w:rFonts w:asciiTheme="minorHAnsi" w:hAnsiTheme="minorHAnsi" w:cstheme="minorHAnsi"/>
          <w:b/>
          <w:sz w:val="16"/>
          <w:szCs w:val="16"/>
          <w:lang w:val="sr-Latn-ME"/>
        </w:rPr>
      </w:pPr>
    </w:p>
    <w:p w14:paraId="4D681B86" w14:textId="77777777" w:rsidR="00190093" w:rsidRDefault="00190093" w:rsidP="0048184E">
      <w:pPr>
        <w:pStyle w:val="NoSpacing"/>
        <w:jc w:val="both"/>
        <w:rPr>
          <w:rFonts w:asciiTheme="minorHAnsi" w:hAnsiTheme="minorHAnsi" w:cstheme="minorHAnsi"/>
          <w:b/>
          <w:sz w:val="16"/>
          <w:szCs w:val="16"/>
          <w:lang w:val="sr-Latn-ME"/>
        </w:rPr>
      </w:pPr>
    </w:p>
    <w:p w14:paraId="2DF4BC8C" w14:textId="77777777" w:rsidR="00190093" w:rsidRDefault="00190093" w:rsidP="0048184E">
      <w:pPr>
        <w:pStyle w:val="NoSpacing"/>
        <w:jc w:val="both"/>
        <w:rPr>
          <w:rFonts w:asciiTheme="minorHAnsi" w:hAnsiTheme="minorHAnsi" w:cstheme="minorHAnsi"/>
          <w:b/>
          <w:sz w:val="16"/>
          <w:szCs w:val="16"/>
          <w:lang w:val="sr-Latn-ME"/>
        </w:rPr>
      </w:pPr>
    </w:p>
    <w:p w14:paraId="20F20AAC" w14:textId="77777777" w:rsidR="00190093" w:rsidRDefault="00190093" w:rsidP="0048184E">
      <w:pPr>
        <w:pStyle w:val="NoSpacing"/>
        <w:jc w:val="both"/>
        <w:rPr>
          <w:rFonts w:asciiTheme="minorHAnsi" w:hAnsiTheme="minorHAnsi" w:cstheme="minorHAnsi"/>
          <w:b/>
          <w:sz w:val="16"/>
          <w:szCs w:val="16"/>
          <w:lang w:val="sr-Latn-ME"/>
        </w:rPr>
      </w:pPr>
    </w:p>
    <w:p w14:paraId="00902ABA" w14:textId="77777777" w:rsidR="00190093" w:rsidRDefault="00190093" w:rsidP="0048184E">
      <w:pPr>
        <w:pStyle w:val="NoSpacing"/>
        <w:jc w:val="both"/>
        <w:rPr>
          <w:rFonts w:asciiTheme="minorHAnsi" w:hAnsiTheme="minorHAnsi" w:cstheme="minorHAnsi"/>
          <w:b/>
          <w:sz w:val="16"/>
          <w:szCs w:val="16"/>
          <w:lang w:val="sr-Latn-ME"/>
        </w:rPr>
      </w:pPr>
    </w:p>
    <w:p w14:paraId="35C3C490" w14:textId="77777777" w:rsidR="00190093" w:rsidRDefault="00190093" w:rsidP="0048184E">
      <w:pPr>
        <w:pStyle w:val="NoSpacing"/>
        <w:jc w:val="both"/>
        <w:rPr>
          <w:rFonts w:asciiTheme="minorHAnsi" w:hAnsiTheme="minorHAnsi" w:cstheme="minorHAnsi"/>
          <w:b/>
          <w:sz w:val="16"/>
          <w:szCs w:val="16"/>
          <w:lang w:val="sr-Latn-ME"/>
        </w:rPr>
      </w:pPr>
    </w:p>
    <w:p w14:paraId="32589B7C" w14:textId="77777777" w:rsidR="00190093" w:rsidRDefault="00190093" w:rsidP="0048184E">
      <w:pPr>
        <w:pStyle w:val="NoSpacing"/>
        <w:jc w:val="both"/>
        <w:rPr>
          <w:rFonts w:asciiTheme="minorHAnsi" w:hAnsiTheme="minorHAnsi" w:cstheme="minorHAnsi"/>
          <w:b/>
          <w:sz w:val="16"/>
          <w:szCs w:val="16"/>
          <w:lang w:val="sr-Latn-ME"/>
        </w:rPr>
      </w:pPr>
    </w:p>
    <w:p w14:paraId="0C51BAD1" w14:textId="77777777" w:rsidR="00190093" w:rsidRDefault="00190093" w:rsidP="0048184E">
      <w:pPr>
        <w:pStyle w:val="NoSpacing"/>
        <w:jc w:val="both"/>
        <w:rPr>
          <w:rFonts w:asciiTheme="minorHAnsi" w:hAnsiTheme="minorHAnsi" w:cstheme="minorHAnsi"/>
          <w:b/>
          <w:sz w:val="16"/>
          <w:szCs w:val="16"/>
          <w:lang w:val="sr-Latn-ME"/>
        </w:rPr>
      </w:pPr>
    </w:p>
    <w:p w14:paraId="3678A471" w14:textId="77777777" w:rsidR="00190093" w:rsidRDefault="00190093" w:rsidP="0048184E">
      <w:pPr>
        <w:pStyle w:val="NoSpacing"/>
        <w:jc w:val="both"/>
        <w:rPr>
          <w:rFonts w:asciiTheme="minorHAnsi" w:hAnsiTheme="minorHAnsi" w:cstheme="minorHAnsi"/>
          <w:b/>
          <w:sz w:val="16"/>
          <w:szCs w:val="16"/>
          <w:lang w:val="sr-Latn-ME"/>
        </w:rPr>
      </w:pPr>
    </w:p>
    <w:p w14:paraId="4D494596" w14:textId="77777777" w:rsidR="00190093" w:rsidRDefault="00190093" w:rsidP="0048184E">
      <w:pPr>
        <w:pStyle w:val="NoSpacing"/>
        <w:jc w:val="both"/>
        <w:rPr>
          <w:rFonts w:asciiTheme="minorHAnsi" w:hAnsiTheme="minorHAnsi" w:cstheme="minorHAnsi"/>
          <w:b/>
          <w:sz w:val="16"/>
          <w:szCs w:val="16"/>
          <w:lang w:val="sr-Latn-ME"/>
        </w:rPr>
      </w:pPr>
    </w:p>
    <w:p w14:paraId="0EFF70B9" w14:textId="77777777" w:rsidR="00190093" w:rsidRDefault="00190093" w:rsidP="0048184E">
      <w:pPr>
        <w:pStyle w:val="NoSpacing"/>
        <w:jc w:val="both"/>
        <w:rPr>
          <w:rFonts w:asciiTheme="minorHAnsi" w:hAnsiTheme="minorHAnsi" w:cstheme="minorHAnsi"/>
          <w:b/>
          <w:sz w:val="16"/>
          <w:szCs w:val="16"/>
          <w:lang w:val="sr-Latn-ME"/>
        </w:rPr>
      </w:pPr>
    </w:p>
    <w:p w14:paraId="78942BE4" w14:textId="77777777" w:rsidR="00190093" w:rsidRDefault="00190093" w:rsidP="0048184E">
      <w:pPr>
        <w:pStyle w:val="NoSpacing"/>
        <w:jc w:val="both"/>
        <w:rPr>
          <w:rFonts w:asciiTheme="minorHAnsi" w:hAnsiTheme="minorHAnsi" w:cstheme="minorHAnsi"/>
          <w:b/>
          <w:sz w:val="16"/>
          <w:szCs w:val="16"/>
          <w:lang w:val="sr-Latn-ME"/>
        </w:rPr>
      </w:pPr>
    </w:p>
    <w:p w14:paraId="6764BCFE" w14:textId="77777777" w:rsidR="00190093" w:rsidRPr="0074233F" w:rsidRDefault="00190093" w:rsidP="0048184E">
      <w:pPr>
        <w:pStyle w:val="NoSpacing"/>
        <w:jc w:val="both"/>
        <w:rPr>
          <w:rFonts w:asciiTheme="minorHAnsi" w:hAnsiTheme="minorHAnsi" w:cstheme="minorHAnsi"/>
          <w:b/>
          <w:sz w:val="16"/>
          <w:szCs w:val="16"/>
          <w:lang w:val="sr-Latn-ME"/>
        </w:rPr>
      </w:pPr>
    </w:p>
    <w:p w14:paraId="1EB33D28" w14:textId="77777777" w:rsidR="00393377" w:rsidRPr="0048184E" w:rsidRDefault="00393377" w:rsidP="0048184E">
      <w:pPr>
        <w:pStyle w:val="NoSpacing"/>
        <w:jc w:val="both"/>
        <w:rPr>
          <w:rFonts w:asciiTheme="minorHAnsi" w:hAnsiTheme="minorHAnsi" w:cstheme="minorHAnsi"/>
          <w:b/>
          <w:sz w:val="18"/>
          <w:szCs w:val="18"/>
          <w:lang w:val="sr-Latn-ME"/>
        </w:rPr>
      </w:pPr>
    </w:p>
    <w:p w14:paraId="5D3DFC0D" w14:textId="1313BD74" w:rsidR="00A13DA5" w:rsidRPr="0071272B" w:rsidRDefault="00A13DA5" w:rsidP="0048184E">
      <w:pPr>
        <w:pStyle w:val="Heading11"/>
        <w:spacing w:before="0"/>
        <w:rPr>
          <w:color w:val="4472C4" w:themeColor="accent5"/>
          <w:szCs w:val="32"/>
          <w:lang w:val="sr-Latn-ME"/>
        </w:rPr>
      </w:pPr>
      <w:bookmarkStart w:id="69" w:name="_Toc205215859"/>
      <w:r w:rsidRPr="0071272B">
        <w:rPr>
          <w:color w:val="4472C4" w:themeColor="accent5"/>
          <w:szCs w:val="32"/>
          <w:lang w:val="sr-Latn-ME"/>
        </w:rPr>
        <w:lastRenderedPageBreak/>
        <w:t xml:space="preserve">IV </w:t>
      </w:r>
      <w:r w:rsidR="00FA4DE1">
        <w:rPr>
          <w:color w:val="4472C4" w:themeColor="accent5"/>
          <w:szCs w:val="32"/>
          <w:lang w:val="sr-Latn-ME"/>
        </w:rPr>
        <w:t xml:space="preserve">MEHANIZAM ZA </w:t>
      </w:r>
      <w:r w:rsidRPr="0071272B">
        <w:rPr>
          <w:color w:val="4472C4" w:themeColor="accent5"/>
          <w:szCs w:val="32"/>
          <w:lang w:val="sr-Latn-ME"/>
        </w:rPr>
        <w:t>MONITORING</w:t>
      </w:r>
      <w:r w:rsidR="00FA4DE1">
        <w:rPr>
          <w:color w:val="4472C4" w:themeColor="accent5"/>
          <w:szCs w:val="32"/>
          <w:lang w:val="sr-Latn-ME"/>
        </w:rPr>
        <w:t>, IZVJEŠTAVANJE</w:t>
      </w:r>
      <w:r w:rsidRPr="0071272B">
        <w:rPr>
          <w:color w:val="4472C4" w:themeColor="accent5"/>
          <w:szCs w:val="32"/>
          <w:lang w:val="sr-Latn-ME"/>
        </w:rPr>
        <w:t xml:space="preserve"> I EVALUACIJ</w:t>
      </w:r>
      <w:bookmarkEnd w:id="69"/>
      <w:r w:rsidR="00FA4DE1">
        <w:rPr>
          <w:color w:val="4472C4" w:themeColor="accent5"/>
          <w:szCs w:val="32"/>
          <w:lang w:val="sr-Latn-ME"/>
        </w:rPr>
        <w:t>U</w:t>
      </w:r>
    </w:p>
    <w:p w14:paraId="2DFB545E" w14:textId="77777777" w:rsidR="00A13DA5" w:rsidRPr="0071272B" w:rsidRDefault="00A13DA5" w:rsidP="0048184E">
      <w:pPr>
        <w:pStyle w:val="NoSpacing"/>
        <w:jc w:val="both"/>
        <w:rPr>
          <w:rFonts w:asciiTheme="minorHAnsi" w:hAnsiTheme="minorHAnsi" w:cstheme="minorHAnsi"/>
          <w:color w:val="4472C4" w:themeColor="accent5"/>
          <w:sz w:val="32"/>
          <w:szCs w:val="32"/>
          <w:lang w:val="sr-Latn-ME"/>
        </w:rPr>
      </w:pPr>
    </w:p>
    <w:p w14:paraId="1DE0653B" w14:textId="77777777" w:rsidR="00A13DA5" w:rsidRPr="0071272B" w:rsidRDefault="00A13DA5" w:rsidP="0048184E">
      <w:pPr>
        <w:pStyle w:val="Heading2"/>
        <w:numPr>
          <w:ilvl w:val="0"/>
          <w:numId w:val="29"/>
        </w:numPr>
        <w:spacing w:before="0" w:line="240" w:lineRule="auto"/>
        <w:rPr>
          <w:rFonts w:asciiTheme="minorHAnsi" w:hAnsiTheme="minorHAnsi"/>
        </w:rPr>
      </w:pPr>
      <w:bookmarkStart w:id="70" w:name="_Toc205215860"/>
      <w:r w:rsidRPr="0071272B">
        <w:rPr>
          <w:rFonts w:asciiTheme="minorHAnsi" w:hAnsiTheme="minorHAnsi"/>
        </w:rPr>
        <w:t>Implementacija i monitoring</w:t>
      </w:r>
      <w:bookmarkEnd w:id="70"/>
    </w:p>
    <w:p w14:paraId="44983C0F" w14:textId="77777777" w:rsidR="00B578C8" w:rsidRPr="0048184E" w:rsidRDefault="00B578C8" w:rsidP="0048184E">
      <w:pPr>
        <w:spacing w:after="0" w:line="240" w:lineRule="auto"/>
        <w:jc w:val="both"/>
        <w:rPr>
          <w:rFonts w:cstheme="minorHAnsi"/>
          <w:sz w:val="18"/>
          <w:szCs w:val="18"/>
          <w:lang w:val="sr-Latn-ME"/>
        </w:rPr>
      </w:pPr>
    </w:p>
    <w:p w14:paraId="1F44EB0F" w14:textId="7757D577" w:rsidR="000F55B0" w:rsidRDefault="000F55B0" w:rsidP="0048184E">
      <w:pPr>
        <w:spacing w:after="0" w:line="240" w:lineRule="auto"/>
        <w:jc w:val="both"/>
        <w:rPr>
          <w:rFonts w:eastAsia="Calibri" w:cstheme="minorHAnsi"/>
          <w:sz w:val="18"/>
          <w:szCs w:val="18"/>
          <w:lang w:val="sr-Latn-ME"/>
        </w:rPr>
      </w:pPr>
      <w:r w:rsidRPr="0048184E">
        <w:rPr>
          <w:sz w:val="18"/>
          <w:szCs w:val="18"/>
          <w:lang w:val="sr-Latn-ME"/>
        </w:rPr>
        <w:t>Implementacija SRR 2023-2027 predstavlja veoma zahtjevan i izazovan proces što se potvrdilo u prethodnom periodu. Naime i u izvještajima o realizacije SRR 2023-2027 za prve dvije godine</w:t>
      </w:r>
      <w:r w:rsidR="002F1DC1" w:rsidRPr="0048184E">
        <w:rPr>
          <w:sz w:val="18"/>
          <w:szCs w:val="18"/>
          <w:lang w:val="sr-Latn-ME"/>
        </w:rPr>
        <w:t xml:space="preserve"> sprovođenja</w:t>
      </w:r>
      <w:r w:rsidRPr="0048184E">
        <w:rPr>
          <w:sz w:val="18"/>
          <w:szCs w:val="18"/>
          <w:lang w:val="sr-Latn-ME"/>
        </w:rPr>
        <w:t xml:space="preserve"> navodi se da </w:t>
      </w:r>
      <w:r w:rsidR="002F1DC1" w:rsidRPr="0048184E">
        <w:rPr>
          <w:sz w:val="18"/>
          <w:szCs w:val="18"/>
          <w:lang w:val="sr-Latn-ME"/>
        </w:rPr>
        <w:t>je „</w:t>
      </w:r>
      <w:r w:rsidRPr="0048184E">
        <w:rPr>
          <w:rFonts w:eastAsia="Calibri" w:cstheme="minorHAnsi"/>
          <w:sz w:val="18"/>
          <w:szCs w:val="18"/>
          <w:lang w:val="sr-Latn-ME"/>
        </w:rPr>
        <w:t>potrebno je uspostaviti bolju komunikaciju i saradnju između nadležnih institucija za realizaciju politike regionalnog razvoja</w:t>
      </w:r>
      <w:r w:rsidR="002F1DC1" w:rsidRPr="0048184E">
        <w:rPr>
          <w:rFonts w:eastAsia="Calibri" w:cstheme="minorHAnsi"/>
          <w:sz w:val="18"/>
          <w:szCs w:val="18"/>
          <w:lang w:val="sr-Latn-ME"/>
        </w:rPr>
        <w:t xml:space="preserve">“. Izazov posebno predstavlja činjenica da je politika regionalnog razvoja višedimenzionalna koja podrazumijeva potrebu uključivanja većeg broja istititucija ( kako na centralnom tako i na lokalno nivou), ali sa druge strane i definisanje jasnih podjela nadležnosti između institucija. Sve u cilju izbjegavanja preklapanja nadležnosti. Značajan pomak u koordinaciji politike regionalnog razvoja postignut je osnivanjem </w:t>
      </w:r>
      <w:r w:rsidR="003A09C5">
        <w:rPr>
          <w:rFonts w:eastAsia="Calibri" w:cstheme="minorHAnsi"/>
          <w:sz w:val="18"/>
          <w:szCs w:val="18"/>
          <w:lang w:val="sr-Latn-ME"/>
        </w:rPr>
        <w:t>MIRN</w:t>
      </w:r>
      <w:r w:rsidR="002F1DC1" w:rsidRPr="0048184E">
        <w:rPr>
          <w:rFonts w:eastAsia="Calibri" w:cstheme="minorHAnsi"/>
          <w:sz w:val="18"/>
          <w:szCs w:val="18"/>
          <w:lang w:val="sr-Latn-ME"/>
        </w:rPr>
        <w:t>, međutim to nije dovoljno imajući uvidu veliki broj resora koji u okviru svojih nadležnosti ( u okviru sektorskih politika) imaju unapređenje regionalniog razvoja. Zato je neophodno kreirati mehanizam koji će omogućiti kontinuiranu koordinaciju izmeđ</w:t>
      </w:r>
      <w:r w:rsidR="00335BF7" w:rsidRPr="0048184E">
        <w:rPr>
          <w:rFonts w:eastAsia="Calibri" w:cstheme="minorHAnsi"/>
          <w:sz w:val="18"/>
          <w:szCs w:val="18"/>
          <w:lang w:val="sr-Latn-ME"/>
        </w:rPr>
        <w:t>u sv</w:t>
      </w:r>
      <w:r w:rsidR="002F1DC1" w:rsidRPr="0048184E">
        <w:rPr>
          <w:rFonts w:eastAsia="Calibri" w:cstheme="minorHAnsi"/>
          <w:sz w:val="18"/>
          <w:szCs w:val="18"/>
          <w:lang w:val="sr-Latn-ME"/>
        </w:rPr>
        <w:t xml:space="preserve">ih zainteresovanih strana </w:t>
      </w:r>
      <w:r w:rsidR="00335BF7" w:rsidRPr="0048184E">
        <w:rPr>
          <w:rFonts w:eastAsia="Calibri" w:cstheme="minorHAnsi"/>
          <w:sz w:val="18"/>
          <w:szCs w:val="18"/>
          <w:lang w:val="sr-Latn-ME"/>
        </w:rPr>
        <w:t xml:space="preserve">i obezbijediti stalni dijalog i saradnju posebno između centralnog nivoa vlasti i lokalnog. </w:t>
      </w:r>
    </w:p>
    <w:p w14:paraId="7FA53D9F" w14:textId="77777777" w:rsidR="00FA4DE1" w:rsidRPr="0048184E" w:rsidRDefault="00FA4DE1" w:rsidP="0048184E">
      <w:pPr>
        <w:spacing w:after="0" w:line="240" w:lineRule="auto"/>
        <w:jc w:val="both"/>
        <w:rPr>
          <w:rFonts w:eastAsia="Calibri" w:cstheme="minorHAnsi"/>
          <w:sz w:val="18"/>
          <w:szCs w:val="18"/>
          <w:lang w:val="sr-Latn-ME"/>
        </w:rPr>
      </w:pPr>
    </w:p>
    <w:p w14:paraId="31FA6F99" w14:textId="7DCDB21A" w:rsidR="005156A5" w:rsidRDefault="00335BF7" w:rsidP="0048184E">
      <w:pPr>
        <w:spacing w:after="0" w:line="240" w:lineRule="auto"/>
        <w:jc w:val="both"/>
        <w:rPr>
          <w:sz w:val="18"/>
          <w:szCs w:val="18"/>
          <w:lang w:val="sr-Latn-RS"/>
        </w:rPr>
      </w:pPr>
      <w:r w:rsidRPr="0048184E">
        <w:rPr>
          <w:sz w:val="18"/>
          <w:szCs w:val="18"/>
          <w:lang w:val="sr-Latn-ME" w:eastAsia="de-DE"/>
        </w:rPr>
        <w:t>Imajući u vidu sveobuhvatnost cjelokupnog procesa, u fazi implementacije mjera i aktivnosti, u skladu sa Zakonom o regionalnom</w:t>
      </w:r>
      <w:r w:rsidR="005156A5" w:rsidRPr="0048184E">
        <w:rPr>
          <w:sz w:val="18"/>
          <w:szCs w:val="18"/>
          <w:lang w:val="sr-Latn-ME" w:eastAsia="de-DE"/>
        </w:rPr>
        <w:t xml:space="preserve"> razvoju Vlada</w:t>
      </w:r>
      <w:r w:rsidRPr="0048184E">
        <w:rPr>
          <w:sz w:val="18"/>
          <w:szCs w:val="18"/>
          <w:lang w:val="sr-Latn-ME" w:eastAsia="de-DE"/>
        </w:rPr>
        <w:t xml:space="preserve"> na</w:t>
      </w:r>
      <w:r w:rsidR="005156A5" w:rsidRPr="0048184E">
        <w:rPr>
          <w:sz w:val="18"/>
          <w:szCs w:val="18"/>
          <w:lang w:val="sr-Latn-ME" w:eastAsia="de-DE"/>
        </w:rPr>
        <w:t xml:space="preserve"> predlog resornog ministarstva ć</w:t>
      </w:r>
      <w:r w:rsidRPr="0048184E">
        <w:rPr>
          <w:sz w:val="18"/>
          <w:szCs w:val="18"/>
          <w:lang w:val="sr-Latn-ME" w:eastAsia="de-DE"/>
        </w:rPr>
        <w:t xml:space="preserve">e obrazovati Partnerski savjet za regionalni razvoj. </w:t>
      </w:r>
      <w:r w:rsidR="005156A5" w:rsidRPr="0048184E">
        <w:rPr>
          <w:sz w:val="18"/>
          <w:szCs w:val="18"/>
          <w:lang w:val="sr-Latn-RS"/>
        </w:rPr>
        <w:t xml:space="preserve">Članovi Partnerskog savjeta bi trebalo da se imenuju iz reda predstavnika organa državne uprave, JLS, univerziteta, udruženja poslodavaca, nevladinih organizacija u oblasti regionalnog razvoja organizacija koje obavljaju poslove kojima se podstiče regionalni razvoj. Sjednice Partnerskog savjeta bi trebalo održavati najmanje jednom kvartalno. </w:t>
      </w:r>
    </w:p>
    <w:p w14:paraId="5736939E" w14:textId="63C9FE1F" w:rsidR="00F55D8F" w:rsidRDefault="00F55D8F" w:rsidP="0048184E">
      <w:pPr>
        <w:spacing w:after="0" w:line="240" w:lineRule="auto"/>
        <w:jc w:val="both"/>
        <w:rPr>
          <w:sz w:val="18"/>
          <w:szCs w:val="18"/>
          <w:lang w:val="sr-Latn-RS"/>
        </w:rPr>
      </w:pPr>
    </w:p>
    <w:p w14:paraId="5726D06A" w14:textId="144768FB" w:rsidR="00F55D8F" w:rsidRDefault="00F55D8F" w:rsidP="0048184E">
      <w:pPr>
        <w:spacing w:after="0" w:line="240" w:lineRule="auto"/>
        <w:jc w:val="both"/>
        <w:rPr>
          <w:sz w:val="18"/>
          <w:szCs w:val="18"/>
          <w:lang w:val="sr-Latn-RS"/>
        </w:rPr>
      </w:pPr>
      <w:r>
        <w:rPr>
          <w:sz w:val="18"/>
          <w:szCs w:val="18"/>
          <w:lang w:val="sr-Latn-RS"/>
        </w:rPr>
        <w:t xml:space="preserve">Vlada je u septembru donijela Odluku o izmjenama i dopuni odluke o osnivanju Partnerskog savjeta za regionalni razvoj, shodno kojoj će se formirati Savjet u novom satavku, kako bi se stekli uslovi za početak rada u IV kvartalu godine. </w:t>
      </w:r>
    </w:p>
    <w:p w14:paraId="2A5FF157" w14:textId="77777777" w:rsidR="00FA4DE1" w:rsidRPr="0048184E" w:rsidRDefault="00FA4DE1" w:rsidP="0048184E">
      <w:pPr>
        <w:spacing w:after="0" w:line="240" w:lineRule="auto"/>
        <w:jc w:val="both"/>
        <w:rPr>
          <w:sz w:val="18"/>
          <w:szCs w:val="18"/>
          <w:lang w:val="sr-Latn-ME" w:eastAsia="de-DE"/>
        </w:rPr>
      </w:pPr>
    </w:p>
    <w:p w14:paraId="6F980F8E" w14:textId="3DBA5881" w:rsidR="005156A5" w:rsidRDefault="005156A5" w:rsidP="0048184E">
      <w:pPr>
        <w:spacing w:after="0" w:line="240" w:lineRule="auto"/>
        <w:jc w:val="both"/>
        <w:rPr>
          <w:rFonts w:cstheme="minorHAnsi"/>
          <w:sz w:val="18"/>
          <w:szCs w:val="18"/>
          <w:lang w:val="sr-Latn-ME"/>
        </w:rPr>
      </w:pPr>
      <w:r w:rsidRPr="0048184E">
        <w:rPr>
          <w:sz w:val="18"/>
          <w:szCs w:val="18"/>
          <w:lang w:val="sr-Latn-ME" w:eastAsia="de-DE"/>
        </w:rPr>
        <w:t xml:space="preserve">Između ostalog, </w:t>
      </w:r>
      <w:r w:rsidRPr="0048184E">
        <w:rPr>
          <w:rFonts w:cstheme="minorHAnsi"/>
          <w:sz w:val="18"/>
          <w:szCs w:val="18"/>
          <w:lang w:val="sr-Latn-ME"/>
        </w:rPr>
        <w:t>Partnerski savjet će vršiti monitoring i analizu ostvarenosti SRR, identifikovaće</w:t>
      </w:r>
      <w:r w:rsidR="00A13DA5" w:rsidRPr="0048184E">
        <w:rPr>
          <w:rFonts w:cstheme="minorHAnsi"/>
          <w:sz w:val="18"/>
          <w:szCs w:val="18"/>
          <w:lang w:val="sr-Latn-ME"/>
        </w:rPr>
        <w:t xml:space="preserve"> po</w:t>
      </w:r>
      <w:r w:rsidRPr="0048184E">
        <w:rPr>
          <w:rFonts w:cstheme="minorHAnsi"/>
          <w:sz w:val="18"/>
          <w:szCs w:val="18"/>
          <w:lang w:val="sr-Latn-ME"/>
        </w:rPr>
        <w:t>trebe JLS i shodno tome kreirati predloge</w:t>
      </w:r>
      <w:r w:rsidR="00A13DA5" w:rsidRPr="0048184E">
        <w:rPr>
          <w:rFonts w:cstheme="minorHAnsi"/>
          <w:sz w:val="18"/>
          <w:szCs w:val="18"/>
          <w:lang w:val="sr-Latn-ME"/>
        </w:rPr>
        <w:t xml:space="preserve"> za unaprjeđenje politike regionalnog razvoja. Upravo će se kroz periodične sastanke Partnerskog savjeta obezbijediti kontinuirano praćenje i identifikovanje ostvarenog napretka, kao i detaljnije analizirati problemi i prepreke nastale u procesu sprovođenja SRR, pri čemu će saradnja sa lokalnim niv</w:t>
      </w:r>
      <w:r w:rsidRPr="0048184E">
        <w:rPr>
          <w:rFonts w:cstheme="minorHAnsi"/>
          <w:sz w:val="18"/>
          <w:szCs w:val="18"/>
          <w:lang w:val="sr-Latn-ME"/>
        </w:rPr>
        <w:t xml:space="preserve">oom biti od suštinskog značaja. </w:t>
      </w:r>
      <w:r w:rsidR="00A13DA5" w:rsidRPr="0048184E">
        <w:rPr>
          <w:rFonts w:cstheme="minorHAnsi"/>
          <w:sz w:val="18"/>
          <w:szCs w:val="18"/>
          <w:lang w:val="sr-Latn-ME"/>
        </w:rPr>
        <w:t xml:space="preserve">Navedeno će predstavljati osnovu za pripremu godišnjih izvještaja o ostvarenosti Akcionog plana kao i završnog izvještaja na kraju perioda važenja strategije. </w:t>
      </w:r>
    </w:p>
    <w:p w14:paraId="30E23068" w14:textId="77777777" w:rsidR="00FA4DE1" w:rsidRPr="0048184E" w:rsidRDefault="00FA4DE1" w:rsidP="0048184E">
      <w:pPr>
        <w:spacing w:after="0" w:line="240" w:lineRule="auto"/>
        <w:jc w:val="both"/>
        <w:rPr>
          <w:rFonts w:cstheme="minorHAnsi"/>
          <w:sz w:val="18"/>
          <w:szCs w:val="18"/>
          <w:lang w:val="sr-Latn-ME"/>
        </w:rPr>
      </w:pPr>
    </w:p>
    <w:p w14:paraId="3799A5A9"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Kada su u pitanju indikatori neophodno je obezbijediti konzistentnost, koristeći podatke zvaničnih proizvođača statistike, imajući u vidu da se u pojedinim slučajevima koriste i drugi izvori čija statistika može biti nedovoljno pouzdana i zavisiti od trenutne dostupnosti podatka.</w:t>
      </w:r>
      <w:r w:rsidRPr="0048184E">
        <w:rPr>
          <w:rFonts w:cstheme="minorHAnsi"/>
          <w:sz w:val="18"/>
          <w:szCs w:val="18"/>
          <w:vertAlign w:val="superscript"/>
          <w:lang w:val="sr-Latn-ME"/>
        </w:rPr>
        <w:footnoteReference w:id="61"/>
      </w:r>
      <w:r w:rsidRPr="0048184E">
        <w:rPr>
          <w:rFonts w:cstheme="minorHAnsi"/>
          <w:sz w:val="18"/>
          <w:szCs w:val="18"/>
          <w:lang w:val="sr-Latn-ME"/>
        </w:rPr>
        <w:t xml:space="preserve"> Takođe, neophodno je uložiti dodatne napore kako bi se razvili podaci na nivou JLS koje su od značaja za praćenje efekata sprovođenja politike ravnomjernog regionalnog razvoja.</w:t>
      </w:r>
    </w:p>
    <w:p w14:paraId="1C750D9A" w14:textId="77777777" w:rsidR="00A13DA5" w:rsidRPr="0048184E" w:rsidRDefault="00A13DA5" w:rsidP="0048184E">
      <w:pPr>
        <w:spacing w:after="0" w:line="240" w:lineRule="auto"/>
        <w:jc w:val="both"/>
        <w:rPr>
          <w:rFonts w:cstheme="minorHAnsi"/>
          <w:sz w:val="18"/>
          <w:szCs w:val="18"/>
          <w:lang w:val="sr-Latn-ME"/>
        </w:rPr>
      </w:pPr>
    </w:p>
    <w:p w14:paraId="5197922E"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Nakon isteka perioda važenja SRR 2023-2027, izvršiće se ex-post evaluacija od strane eksternih eksperata (u cilju obezbjeđivanja većeg stepena objektivnosti) koja će sadržati analizu implementacije sa posebnim fokusom na ostvarenost indikatora, preporuke, zaključke, kao i smjernice za definisanje strateškog okvira za naredni period. Za praćenje sprovođenja SRR 2023-2027 prevashodno će se analizirati nacionalni statistički podaci kao i dostupni podaci sadržani u međunarodnim izvještajima.</w:t>
      </w:r>
    </w:p>
    <w:p w14:paraId="3ECFC242"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Sredstva za sprovođenje evaluacije biće pravovremeno obezbijeđena iz nacionalnog budžeta i/ili donatorskih sredstava. Nalazi evaluacije daće jasan i precizan prikaz uspješnosti razvijanja politike regionalog razvoja, kao i da li se postižu planirani efekti zajedničkim djelovanjem svih nadležnih institucija, odnosno da li sprovedene aktivnosti vode ka smanjenju regionalnih razlika.</w:t>
      </w:r>
    </w:p>
    <w:p w14:paraId="435C25C2"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U narednoj tabeli je dat plan implementacije SRR 2023-2027.</w:t>
      </w:r>
    </w:p>
    <w:p w14:paraId="41215DC4" w14:textId="77777777" w:rsidR="00A13DA5" w:rsidRPr="0048184E" w:rsidRDefault="00A13DA5" w:rsidP="0048184E">
      <w:pPr>
        <w:spacing w:after="0" w:line="240" w:lineRule="auto"/>
        <w:jc w:val="both"/>
        <w:rPr>
          <w:rFonts w:cstheme="minorHAnsi"/>
          <w:sz w:val="18"/>
          <w:szCs w:val="18"/>
          <w:lang w:val="sr-Latn-ME"/>
        </w:rPr>
      </w:pPr>
    </w:p>
    <w:p w14:paraId="3816FD53" w14:textId="318A4D08" w:rsidR="00A13DA5" w:rsidRPr="00EC14B9" w:rsidRDefault="00EC14B9" w:rsidP="0048184E">
      <w:pPr>
        <w:spacing w:after="0" w:line="240" w:lineRule="auto"/>
        <w:jc w:val="center"/>
        <w:rPr>
          <w:rFonts w:cstheme="minorHAnsi"/>
          <w:b/>
          <w:color w:val="4472C4" w:themeColor="accent5"/>
          <w:sz w:val="18"/>
          <w:szCs w:val="18"/>
          <w:lang w:val="sr-Latn-ME"/>
        </w:rPr>
      </w:pPr>
      <w:r w:rsidRPr="00EC14B9">
        <w:rPr>
          <w:rFonts w:cstheme="minorHAnsi"/>
          <w:b/>
          <w:color w:val="4472C4" w:themeColor="accent5"/>
          <w:sz w:val="18"/>
          <w:szCs w:val="18"/>
          <w:lang w:val="sr-Latn-ME"/>
        </w:rPr>
        <w:t>Tabela 19</w:t>
      </w:r>
      <w:r w:rsidR="00A13DA5" w:rsidRPr="00EC14B9">
        <w:rPr>
          <w:rFonts w:cstheme="minorHAnsi"/>
          <w:b/>
          <w:color w:val="4472C4" w:themeColor="accent5"/>
          <w:sz w:val="18"/>
          <w:szCs w:val="18"/>
          <w:lang w:val="sr-Latn-ME"/>
        </w:rPr>
        <w:t>. Plan implementacije i monitoringa SRR 202</w:t>
      </w:r>
      <w:r w:rsidR="00F55D8F">
        <w:rPr>
          <w:rFonts w:cstheme="minorHAnsi"/>
          <w:b/>
          <w:color w:val="4472C4" w:themeColor="accent5"/>
          <w:sz w:val="18"/>
          <w:szCs w:val="18"/>
          <w:lang w:val="sr-Latn-ME"/>
        </w:rPr>
        <w:t>5</w:t>
      </w:r>
      <w:r w:rsidR="00A13DA5" w:rsidRPr="00EC14B9">
        <w:rPr>
          <w:rFonts w:cstheme="minorHAnsi"/>
          <w:b/>
          <w:color w:val="4472C4" w:themeColor="accent5"/>
          <w:sz w:val="18"/>
          <w:szCs w:val="18"/>
          <w:lang w:val="sr-Latn-ME"/>
        </w:rPr>
        <w:t>-2027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951"/>
        <w:gridCol w:w="3824"/>
      </w:tblGrid>
      <w:tr w:rsidR="00A13DA5" w:rsidRPr="0048184E" w14:paraId="5A3A6681" w14:textId="77777777" w:rsidTr="00F1679C">
        <w:tc>
          <w:tcPr>
            <w:tcW w:w="1241" w:type="dxa"/>
            <w:shd w:val="clear" w:color="auto" w:fill="auto"/>
          </w:tcPr>
          <w:p w14:paraId="650119D0" w14:textId="77777777" w:rsidR="00A13DA5" w:rsidRPr="0048184E" w:rsidRDefault="00A13DA5" w:rsidP="0048184E">
            <w:pPr>
              <w:spacing w:after="0" w:line="240" w:lineRule="auto"/>
              <w:rPr>
                <w:rFonts w:cstheme="minorHAnsi"/>
                <w:b/>
                <w:sz w:val="18"/>
                <w:szCs w:val="18"/>
                <w:lang w:val="sr-Latn-ME"/>
              </w:rPr>
            </w:pPr>
            <w:r w:rsidRPr="0048184E">
              <w:rPr>
                <w:rFonts w:cstheme="minorHAnsi"/>
                <w:b/>
                <w:sz w:val="18"/>
                <w:szCs w:val="18"/>
                <w:lang w:val="sr-Latn-ME"/>
              </w:rPr>
              <w:t>Godina</w:t>
            </w:r>
          </w:p>
        </w:tc>
        <w:tc>
          <w:tcPr>
            <w:tcW w:w="3951" w:type="dxa"/>
            <w:shd w:val="clear" w:color="auto" w:fill="auto"/>
          </w:tcPr>
          <w:p w14:paraId="76483765" w14:textId="77777777" w:rsidR="00A13DA5" w:rsidRPr="0048184E" w:rsidRDefault="00A13DA5" w:rsidP="0048184E">
            <w:pPr>
              <w:spacing w:after="0" w:line="240" w:lineRule="auto"/>
              <w:jc w:val="center"/>
              <w:rPr>
                <w:rFonts w:cstheme="minorHAnsi"/>
                <w:b/>
                <w:sz w:val="18"/>
                <w:szCs w:val="18"/>
                <w:lang w:val="sr-Latn-ME"/>
              </w:rPr>
            </w:pPr>
            <w:r w:rsidRPr="0048184E">
              <w:rPr>
                <w:rFonts w:cstheme="minorHAnsi"/>
                <w:b/>
                <w:sz w:val="18"/>
                <w:szCs w:val="18"/>
                <w:lang w:val="sr-Latn-ME"/>
              </w:rPr>
              <w:t>Aktivnosti</w:t>
            </w:r>
          </w:p>
        </w:tc>
        <w:tc>
          <w:tcPr>
            <w:tcW w:w="3824" w:type="dxa"/>
            <w:shd w:val="clear" w:color="auto" w:fill="auto"/>
          </w:tcPr>
          <w:p w14:paraId="4B82210A" w14:textId="77777777" w:rsidR="00A13DA5" w:rsidRPr="0048184E" w:rsidRDefault="00A13DA5" w:rsidP="0048184E">
            <w:pPr>
              <w:spacing w:after="0" w:line="240" w:lineRule="auto"/>
              <w:jc w:val="center"/>
              <w:rPr>
                <w:rFonts w:cstheme="minorHAnsi"/>
                <w:b/>
                <w:sz w:val="18"/>
                <w:szCs w:val="18"/>
                <w:lang w:val="sr-Latn-ME"/>
              </w:rPr>
            </w:pPr>
            <w:r w:rsidRPr="0048184E">
              <w:rPr>
                <w:rFonts w:cstheme="minorHAnsi"/>
                <w:b/>
                <w:sz w:val="18"/>
                <w:szCs w:val="18"/>
                <w:lang w:val="sr-Latn-ME"/>
              </w:rPr>
              <w:t>Monitoring aktivnosti</w:t>
            </w:r>
          </w:p>
        </w:tc>
      </w:tr>
      <w:tr w:rsidR="00A13DA5" w:rsidRPr="00FB3BDC" w14:paraId="1E0329E1" w14:textId="77777777" w:rsidTr="00F1679C">
        <w:tc>
          <w:tcPr>
            <w:tcW w:w="1241" w:type="dxa"/>
            <w:shd w:val="clear" w:color="auto" w:fill="auto"/>
          </w:tcPr>
          <w:p w14:paraId="0D7B55F5" w14:textId="77777777" w:rsidR="00A13DA5" w:rsidRPr="0048184E" w:rsidRDefault="00F1679C" w:rsidP="0048184E">
            <w:pPr>
              <w:spacing w:after="0" w:line="240" w:lineRule="auto"/>
              <w:rPr>
                <w:rFonts w:cstheme="minorHAnsi"/>
                <w:b/>
                <w:sz w:val="18"/>
                <w:szCs w:val="18"/>
                <w:lang w:val="sr-Latn-ME"/>
              </w:rPr>
            </w:pPr>
            <w:r w:rsidRPr="0048184E">
              <w:rPr>
                <w:rFonts w:cstheme="minorHAnsi"/>
                <w:b/>
                <w:sz w:val="18"/>
                <w:szCs w:val="18"/>
                <w:lang w:val="sr-Latn-ME"/>
              </w:rPr>
              <w:t>2025</w:t>
            </w:r>
            <w:r w:rsidR="00A13DA5" w:rsidRPr="0048184E">
              <w:rPr>
                <w:rFonts w:cstheme="minorHAnsi"/>
                <w:b/>
                <w:sz w:val="18"/>
                <w:szCs w:val="18"/>
                <w:lang w:val="sr-Latn-ME"/>
              </w:rPr>
              <w:t>.</w:t>
            </w:r>
          </w:p>
        </w:tc>
        <w:tc>
          <w:tcPr>
            <w:tcW w:w="3951" w:type="dxa"/>
            <w:shd w:val="clear" w:color="auto" w:fill="auto"/>
          </w:tcPr>
          <w:p w14:paraId="4F9D4B7B" w14:textId="77777777" w:rsidR="00A13DA5" w:rsidRPr="0048184E" w:rsidRDefault="00F1679C" w:rsidP="0048184E">
            <w:pPr>
              <w:spacing w:after="0" w:line="240" w:lineRule="auto"/>
              <w:rPr>
                <w:rFonts w:cstheme="minorHAnsi"/>
                <w:sz w:val="18"/>
                <w:szCs w:val="18"/>
                <w:lang w:val="sr-Latn-ME"/>
              </w:rPr>
            </w:pPr>
            <w:r w:rsidRPr="0048184E">
              <w:rPr>
                <w:rFonts w:cstheme="minorHAnsi"/>
                <w:sz w:val="18"/>
                <w:szCs w:val="18"/>
                <w:lang w:val="sr-Latn-ME"/>
              </w:rPr>
              <w:t>- donošenje Revidirane s</w:t>
            </w:r>
            <w:r w:rsidR="00A13DA5" w:rsidRPr="0048184E">
              <w:rPr>
                <w:rFonts w:cstheme="minorHAnsi"/>
                <w:sz w:val="18"/>
                <w:szCs w:val="18"/>
                <w:lang w:val="sr-Latn-ME"/>
              </w:rPr>
              <w:t>trategije regionalnog razvoja Crne Gore 2023-</w:t>
            </w:r>
            <w:r w:rsidRPr="0048184E">
              <w:rPr>
                <w:rFonts w:cstheme="minorHAnsi"/>
                <w:sz w:val="18"/>
                <w:szCs w:val="18"/>
                <w:lang w:val="sr-Latn-ME"/>
              </w:rPr>
              <w:t>2027, sa Akcionim planom za 2025</w:t>
            </w:r>
            <w:r w:rsidR="00A13DA5" w:rsidRPr="0048184E">
              <w:rPr>
                <w:rFonts w:cstheme="minorHAnsi"/>
                <w:sz w:val="18"/>
                <w:szCs w:val="18"/>
                <w:lang w:val="sr-Latn-ME"/>
              </w:rPr>
              <w:t>. godinu</w:t>
            </w:r>
          </w:p>
          <w:p w14:paraId="60657F5B" w14:textId="77777777" w:rsidR="00A13DA5" w:rsidRPr="0048184E" w:rsidRDefault="00F1679C" w:rsidP="0048184E">
            <w:pPr>
              <w:spacing w:after="0" w:line="240" w:lineRule="auto"/>
              <w:rPr>
                <w:rFonts w:cstheme="minorHAnsi"/>
                <w:sz w:val="18"/>
                <w:szCs w:val="18"/>
                <w:lang w:val="sr-Latn-ME"/>
              </w:rPr>
            </w:pPr>
            <w:r w:rsidRPr="0048184E">
              <w:rPr>
                <w:rFonts w:cstheme="minorHAnsi"/>
                <w:sz w:val="18"/>
                <w:szCs w:val="18"/>
                <w:lang w:val="sr-Latn-ME"/>
              </w:rPr>
              <w:t>- Osnivanje</w:t>
            </w:r>
            <w:r w:rsidR="00A13DA5" w:rsidRPr="0048184E">
              <w:rPr>
                <w:rFonts w:cstheme="minorHAnsi"/>
                <w:sz w:val="18"/>
                <w:szCs w:val="18"/>
                <w:lang w:val="sr-Latn-ME"/>
              </w:rPr>
              <w:t xml:space="preserve"> Partnerskog savjeta za regionalni razvoj</w:t>
            </w:r>
          </w:p>
        </w:tc>
        <w:tc>
          <w:tcPr>
            <w:tcW w:w="3824" w:type="dxa"/>
            <w:shd w:val="clear" w:color="auto" w:fill="auto"/>
          </w:tcPr>
          <w:p w14:paraId="30D39F73"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Identifikovani ciljevi, prioriteti i nadležne institucije na nivou resora obuhvaćenih Strategijom,</w:t>
            </w:r>
          </w:p>
          <w:p w14:paraId="4198CD01"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Uspostavljen sistem komunikacije i monitoringa,</w:t>
            </w:r>
          </w:p>
          <w:p w14:paraId="1DFD6B1E"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Periodični sastanci Partnerskog savjeta za regionalni razvoj</w:t>
            </w:r>
          </w:p>
        </w:tc>
      </w:tr>
      <w:tr w:rsidR="00A13DA5" w:rsidRPr="00FB3BDC" w14:paraId="569F2D21" w14:textId="77777777" w:rsidTr="00F1679C">
        <w:tc>
          <w:tcPr>
            <w:tcW w:w="1241" w:type="dxa"/>
            <w:shd w:val="clear" w:color="auto" w:fill="auto"/>
          </w:tcPr>
          <w:p w14:paraId="7A6A5741" w14:textId="77777777" w:rsidR="00A13DA5" w:rsidRPr="0048184E" w:rsidRDefault="00F1679C" w:rsidP="0048184E">
            <w:pPr>
              <w:spacing w:after="0" w:line="240" w:lineRule="auto"/>
              <w:rPr>
                <w:rFonts w:cstheme="minorHAnsi"/>
                <w:b/>
                <w:sz w:val="18"/>
                <w:szCs w:val="18"/>
                <w:lang w:val="sr-Latn-ME"/>
              </w:rPr>
            </w:pPr>
            <w:r w:rsidRPr="0048184E">
              <w:rPr>
                <w:rFonts w:cstheme="minorHAnsi"/>
                <w:b/>
                <w:sz w:val="18"/>
                <w:szCs w:val="18"/>
                <w:lang w:val="sr-Latn-ME"/>
              </w:rPr>
              <w:lastRenderedPageBreak/>
              <w:t>2026</w:t>
            </w:r>
            <w:r w:rsidR="00A13DA5" w:rsidRPr="0048184E">
              <w:rPr>
                <w:rFonts w:cstheme="minorHAnsi"/>
                <w:b/>
                <w:sz w:val="18"/>
                <w:szCs w:val="18"/>
                <w:lang w:val="sr-Latn-ME"/>
              </w:rPr>
              <w:t>.</w:t>
            </w:r>
          </w:p>
        </w:tc>
        <w:tc>
          <w:tcPr>
            <w:tcW w:w="3951" w:type="dxa"/>
            <w:shd w:val="clear" w:color="auto" w:fill="auto"/>
          </w:tcPr>
          <w:p w14:paraId="5CA2537F" w14:textId="195AC7AE"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Monitoring sprovođenja Akcionog plana S</w:t>
            </w:r>
            <w:r w:rsidR="00F1679C" w:rsidRPr="0048184E">
              <w:rPr>
                <w:rFonts w:cstheme="minorHAnsi"/>
                <w:sz w:val="18"/>
                <w:szCs w:val="18"/>
                <w:lang w:val="sr-Latn-ME"/>
              </w:rPr>
              <w:t>RR za 2025</w:t>
            </w:r>
            <w:r w:rsidRPr="0048184E">
              <w:rPr>
                <w:rFonts w:cstheme="minorHAnsi"/>
                <w:sz w:val="18"/>
                <w:szCs w:val="18"/>
                <w:lang w:val="sr-Latn-ME"/>
              </w:rPr>
              <w:t>. godinu</w:t>
            </w:r>
          </w:p>
          <w:p w14:paraId="5A6A04C7" w14:textId="3D1C7880"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Priprema i usvajanje</w:t>
            </w:r>
            <w:r w:rsidR="00F1679C" w:rsidRPr="0048184E">
              <w:rPr>
                <w:rFonts w:cstheme="minorHAnsi"/>
                <w:sz w:val="18"/>
                <w:szCs w:val="18"/>
                <w:lang w:val="sr-Latn-ME"/>
              </w:rPr>
              <w:t xml:space="preserve"> Akcionog plana SRR </w:t>
            </w:r>
            <w:r w:rsidR="00FC66BF">
              <w:rPr>
                <w:rFonts w:cstheme="minorHAnsi"/>
                <w:sz w:val="18"/>
                <w:szCs w:val="18"/>
                <w:lang w:val="sr-Latn-ME"/>
              </w:rPr>
              <w:t xml:space="preserve">za </w:t>
            </w:r>
            <w:r w:rsidR="00F1679C" w:rsidRPr="0048184E">
              <w:rPr>
                <w:rFonts w:cstheme="minorHAnsi"/>
                <w:sz w:val="18"/>
                <w:szCs w:val="18"/>
                <w:lang w:val="sr-Latn-ME"/>
              </w:rPr>
              <w:t>2026</w:t>
            </w:r>
            <w:r w:rsidR="00583C0B">
              <w:rPr>
                <w:rFonts w:cstheme="minorHAnsi"/>
                <w:sz w:val="18"/>
                <w:szCs w:val="18"/>
                <w:lang w:val="sr-Latn-ME"/>
              </w:rPr>
              <w:t>-</w:t>
            </w:r>
            <w:r w:rsidR="00244894">
              <w:rPr>
                <w:rFonts w:cstheme="minorHAnsi"/>
                <w:sz w:val="18"/>
                <w:szCs w:val="18"/>
                <w:lang w:val="sr-Latn-ME"/>
              </w:rPr>
              <w:t>2027.</w:t>
            </w:r>
            <w:r w:rsidR="00FC66BF">
              <w:rPr>
                <w:rFonts w:cstheme="minorHAnsi"/>
                <w:sz w:val="18"/>
                <w:szCs w:val="18"/>
                <w:lang w:val="sr-Latn-ME"/>
              </w:rPr>
              <w:t xml:space="preserve"> </w:t>
            </w:r>
            <w:r w:rsidRPr="0048184E">
              <w:rPr>
                <w:rFonts w:cstheme="minorHAnsi"/>
                <w:sz w:val="18"/>
                <w:szCs w:val="18"/>
                <w:lang w:val="sr-Latn-ME"/>
              </w:rPr>
              <w:t>godinu</w:t>
            </w:r>
          </w:p>
        </w:tc>
        <w:tc>
          <w:tcPr>
            <w:tcW w:w="3824" w:type="dxa"/>
            <w:shd w:val="clear" w:color="auto" w:fill="auto"/>
          </w:tcPr>
          <w:p w14:paraId="5A91EB5F" w14:textId="246AF203" w:rsidR="00FC66BF"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Izvještaj o implementaciji AP za 202</w:t>
            </w:r>
            <w:r w:rsidR="00FC66BF">
              <w:rPr>
                <w:rFonts w:cstheme="minorHAnsi"/>
                <w:sz w:val="18"/>
                <w:szCs w:val="18"/>
                <w:lang w:val="sr-Latn-ME"/>
              </w:rPr>
              <w:t>5</w:t>
            </w:r>
            <w:r w:rsidRPr="0048184E">
              <w:rPr>
                <w:rFonts w:cstheme="minorHAnsi"/>
                <w:sz w:val="18"/>
                <w:szCs w:val="18"/>
                <w:lang w:val="sr-Latn-ME"/>
              </w:rPr>
              <w:t>. godinu</w:t>
            </w:r>
          </w:p>
          <w:p w14:paraId="10D5014A"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Periodični sastanci Partnerskog savjeta za regionalni razvoj</w:t>
            </w:r>
          </w:p>
        </w:tc>
      </w:tr>
      <w:tr w:rsidR="00A13DA5" w:rsidRPr="00FB3BDC" w14:paraId="39626C20" w14:textId="77777777" w:rsidTr="00F1679C">
        <w:tc>
          <w:tcPr>
            <w:tcW w:w="1241" w:type="dxa"/>
            <w:shd w:val="clear" w:color="auto" w:fill="auto"/>
          </w:tcPr>
          <w:p w14:paraId="33931C23" w14:textId="77777777" w:rsidR="00A13DA5" w:rsidRPr="0048184E" w:rsidRDefault="00F1679C" w:rsidP="0048184E">
            <w:pPr>
              <w:spacing w:after="0" w:line="240" w:lineRule="auto"/>
              <w:rPr>
                <w:rFonts w:cstheme="minorHAnsi"/>
                <w:b/>
                <w:sz w:val="18"/>
                <w:szCs w:val="18"/>
                <w:lang w:val="sr-Latn-ME"/>
              </w:rPr>
            </w:pPr>
            <w:r w:rsidRPr="0048184E">
              <w:rPr>
                <w:rFonts w:cstheme="minorHAnsi"/>
                <w:b/>
                <w:sz w:val="18"/>
                <w:szCs w:val="18"/>
                <w:lang w:val="sr-Latn-ME"/>
              </w:rPr>
              <w:t>2027</w:t>
            </w:r>
            <w:r w:rsidR="00A13DA5" w:rsidRPr="0048184E">
              <w:rPr>
                <w:rFonts w:cstheme="minorHAnsi"/>
                <w:b/>
                <w:sz w:val="18"/>
                <w:szCs w:val="18"/>
                <w:lang w:val="sr-Latn-ME"/>
              </w:rPr>
              <w:t>.</w:t>
            </w:r>
          </w:p>
        </w:tc>
        <w:tc>
          <w:tcPr>
            <w:tcW w:w="3951" w:type="dxa"/>
            <w:shd w:val="clear" w:color="auto" w:fill="auto"/>
          </w:tcPr>
          <w:p w14:paraId="2DAB39B1" w14:textId="5CFDD4A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Monitoring sprovo</w:t>
            </w:r>
            <w:r w:rsidR="00F1679C" w:rsidRPr="0048184E">
              <w:rPr>
                <w:rFonts w:cstheme="minorHAnsi"/>
                <w:sz w:val="18"/>
                <w:szCs w:val="18"/>
                <w:lang w:val="sr-Latn-ME"/>
              </w:rPr>
              <w:t>đenja Akcionog plana SRR za 2026</w:t>
            </w:r>
            <w:r w:rsidR="00FC66BF">
              <w:rPr>
                <w:rFonts w:cstheme="minorHAnsi"/>
                <w:sz w:val="18"/>
                <w:szCs w:val="18"/>
                <w:lang w:val="sr-Latn-ME"/>
              </w:rPr>
              <w:t>-2027</w:t>
            </w:r>
            <w:r w:rsidRPr="0048184E">
              <w:rPr>
                <w:rFonts w:cstheme="minorHAnsi"/>
                <w:sz w:val="18"/>
                <w:szCs w:val="18"/>
                <w:lang w:val="sr-Latn-ME"/>
              </w:rPr>
              <w:t>. godin</w:t>
            </w:r>
            <w:r w:rsidR="00FC66BF">
              <w:rPr>
                <w:rFonts w:cstheme="minorHAnsi"/>
                <w:sz w:val="18"/>
                <w:szCs w:val="18"/>
                <w:lang w:val="sr-Latn-ME"/>
              </w:rPr>
              <w:t>a</w:t>
            </w:r>
          </w:p>
          <w:p w14:paraId="1CD10003" w14:textId="77777777" w:rsidR="00F1679C" w:rsidRPr="0048184E" w:rsidRDefault="00F1679C" w:rsidP="0048184E">
            <w:pPr>
              <w:spacing w:after="0" w:line="240" w:lineRule="auto"/>
              <w:rPr>
                <w:rFonts w:cstheme="minorHAnsi"/>
                <w:sz w:val="18"/>
                <w:szCs w:val="18"/>
                <w:lang w:val="sr-Latn-ME"/>
              </w:rPr>
            </w:pPr>
            <w:r w:rsidRPr="0048184E">
              <w:rPr>
                <w:rFonts w:cstheme="minorHAnsi"/>
                <w:sz w:val="18"/>
                <w:szCs w:val="18"/>
                <w:lang w:val="sr-Latn-ME"/>
              </w:rPr>
              <w:t>- Priprema i usvajanje Akcionog plana SRR za 2027. godinu</w:t>
            </w:r>
          </w:p>
        </w:tc>
        <w:tc>
          <w:tcPr>
            <w:tcW w:w="3824" w:type="dxa"/>
            <w:shd w:val="clear" w:color="auto" w:fill="auto"/>
          </w:tcPr>
          <w:p w14:paraId="18FA3C39" w14:textId="7503D7FD"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Izvještaj o implementaciji AP 202</w:t>
            </w:r>
            <w:r w:rsidR="00FC66BF">
              <w:rPr>
                <w:rFonts w:cstheme="minorHAnsi"/>
                <w:sz w:val="18"/>
                <w:szCs w:val="18"/>
                <w:lang w:val="sr-Latn-ME"/>
              </w:rPr>
              <w:t>6-2027</w:t>
            </w:r>
            <w:r w:rsidRPr="0048184E">
              <w:rPr>
                <w:rFonts w:cstheme="minorHAnsi"/>
                <w:sz w:val="18"/>
                <w:szCs w:val="18"/>
                <w:lang w:val="sr-Latn-ME"/>
              </w:rPr>
              <w:t>, za 202</w:t>
            </w:r>
            <w:r w:rsidR="00FC66BF">
              <w:rPr>
                <w:rFonts w:cstheme="minorHAnsi"/>
                <w:sz w:val="18"/>
                <w:szCs w:val="18"/>
                <w:lang w:val="sr-Latn-ME"/>
              </w:rPr>
              <w:t>6</w:t>
            </w:r>
            <w:r w:rsidRPr="0048184E">
              <w:rPr>
                <w:rFonts w:cstheme="minorHAnsi"/>
                <w:sz w:val="18"/>
                <w:szCs w:val="18"/>
                <w:lang w:val="sr-Latn-ME"/>
              </w:rPr>
              <w:t>. godinu,</w:t>
            </w:r>
          </w:p>
          <w:p w14:paraId="52E514F9"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Periodični sastanci Partnerskog savjeta za regionalni razvoj</w:t>
            </w:r>
          </w:p>
        </w:tc>
      </w:tr>
      <w:tr w:rsidR="00A13DA5" w:rsidRPr="00FB3BDC" w14:paraId="6358890B" w14:textId="77777777" w:rsidTr="00F1679C">
        <w:tc>
          <w:tcPr>
            <w:tcW w:w="1241" w:type="dxa"/>
            <w:shd w:val="clear" w:color="auto" w:fill="auto"/>
          </w:tcPr>
          <w:p w14:paraId="0FDACF09" w14:textId="77777777" w:rsidR="00A13DA5" w:rsidRPr="0048184E" w:rsidRDefault="00A13DA5" w:rsidP="0048184E">
            <w:pPr>
              <w:spacing w:after="0" w:line="240" w:lineRule="auto"/>
              <w:rPr>
                <w:rFonts w:cstheme="minorHAnsi"/>
                <w:b/>
                <w:sz w:val="18"/>
                <w:szCs w:val="18"/>
                <w:lang w:val="sr-Latn-ME"/>
              </w:rPr>
            </w:pPr>
            <w:r w:rsidRPr="0048184E">
              <w:rPr>
                <w:rFonts w:cstheme="minorHAnsi"/>
                <w:b/>
                <w:sz w:val="18"/>
                <w:szCs w:val="18"/>
                <w:lang w:val="sr-Latn-ME"/>
              </w:rPr>
              <w:t>2028.</w:t>
            </w:r>
          </w:p>
        </w:tc>
        <w:tc>
          <w:tcPr>
            <w:tcW w:w="3951" w:type="dxa"/>
            <w:shd w:val="clear" w:color="auto" w:fill="auto"/>
          </w:tcPr>
          <w:p w14:paraId="584543B7" w14:textId="40A08AE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Monitoring sprovođenja Akcionog plana SRR za 202</w:t>
            </w:r>
            <w:r w:rsidR="00FC66BF">
              <w:rPr>
                <w:rFonts w:cstheme="minorHAnsi"/>
                <w:sz w:val="18"/>
                <w:szCs w:val="18"/>
                <w:lang w:val="sr-Latn-ME"/>
              </w:rPr>
              <w:t>6-2027</w:t>
            </w:r>
            <w:r w:rsidRPr="0048184E">
              <w:rPr>
                <w:rFonts w:cstheme="minorHAnsi"/>
                <w:sz w:val="18"/>
                <w:szCs w:val="18"/>
                <w:lang w:val="sr-Latn-ME"/>
              </w:rPr>
              <w:t>. godin</w:t>
            </w:r>
            <w:r w:rsidR="00FC66BF">
              <w:rPr>
                <w:rFonts w:cstheme="minorHAnsi"/>
                <w:sz w:val="18"/>
                <w:szCs w:val="18"/>
                <w:lang w:val="sr-Latn-ME"/>
              </w:rPr>
              <w:t>a</w:t>
            </w:r>
            <w:r w:rsidRPr="0048184E">
              <w:rPr>
                <w:rFonts w:cstheme="minorHAnsi"/>
                <w:sz w:val="18"/>
                <w:szCs w:val="18"/>
                <w:lang w:val="sr-Latn-ME"/>
              </w:rPr>
              <w:t xml:space="preserve"> i finalna evaluacije</w:t>
            </w:r>
          </w:p>
        </w:tc>
        <w:tc>
          <w:tcPr>
            <w:tcW w:w="3824" w:type="dxa"/>
            <w:shd w:val="clear" w:color="auto" w:fill="auto"/>
          </w:tcPr>
          <w:p w14:paraId="7443AD34" w14:textId="675BE92B"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Završni izvještaj o sprovođenju SRR 2023-2027, uz evaluaciju</w:t>
            </w:r>
          </w:p>
        </w:tc>
      </w:tr>
    </w:tbl>
    <w:p w14:paraId="568E4D3A" w14:textId="77777777" w:rsidR="00A13DA5" w:rsidRPr="0048184E" w:rsidRDefault="00A13DA5" w:rsidP="0048184E">
      <w:pPr>
        <w:spacing w:after="0" w:line="240" w:lineRule="auto"/>
        <w:jc w:val="both"/>
        <w:rPr>
          <w:rFonts w:cstheme="minorHAnsi"/>
          <w:sz w:val="18"/>
          <w:szCs w:val="18"/>
          <w:lang w:val="sr-Latn-ME"/>
        </w:rPr>
      </w:pPr>
    </w:p>
    <w:p w14:paraId="2C3588EE" w14:textId="77777777" w:rsidR="00A13DA5" w:rsidRPr="0071272B" w:rsidRDefault="00A13DA5" w:rsidP="0048184E">
      <w:pPr>
        <w:pStyle w:val="Heading2"/>
        <w:numPr>
          <w:ilvl w:val="0"/>
          <w:numId w:val="29"/>
        </w:numPr>
        <w:spacing w:before="0" w:line="240" w:lineRule="auto"/>
        <w:rPr>
          <w:rFonts w:asciiTheme="minorHAnsi" w:hAnsiTheme="minorHAnsi"/>
        </w:rPr>
      </w:pPr>
      <w:bookmarkStart w:id="71" w:name="_Toc205215861"/>
      <w:r w:rsidRPr="0071272B">
        <w:rPr>
          <w:rFonts w:asciiTheme="minorHAnsi" w:hAnsiTheme="minorHAnsi"/>
        </w:rPr>
        <w:t>Komunikacioni plan</w:t>
      </w:r>
      <w:bookmarkEnd w:id="71"/>
    </w:p>
    <w:p w14:paraId="1CD2EAA7" w14:textId="77777777" w:rsidR="00A13DA5" w:rsidRPr="0048184E" w:rsidRDefault="00A13DA5" w:rsidP="0048184E">
      <w:pPr>
        <w:spacing w:after="0" w:line="240" w:lineRule="auto"/>
        <w:jc w:val="both"/>
        <w:rPr>
          <w:rFonts w:cstheme="minorHAnsi"/>
          <w:sz w:val="18"/>
          <w:szCs w:val="18"/>
          <w:lang w:val="sr-Latn-ME"/>
        </w:rPr>
      </w:pPr>
    </w:p>
    <w:p w14:paraId="6280DA7D"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Efikasan sistem komunikacije ima ključnu ulogu u osiguravanju uspješne implementacije SRR 2023-2027. </w:t>
      </w:r>
    </w:p>
    <w:p w14:paraId="044AD4BE"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Naime, u cilju obezbjeđivanja uslova za efikasnu i efektivnu implementaciju SRR, proces komunikacije politike ključnih aktera svih sektora, naučne zajednice i cjelokupne javnosti je od strateškog značaja, kako bi se osigurala transparentnost, angažovanje i podrška u implementaciji politike regionalnog razvoja.</w:t>
      </w:r>
    </w:p>
    <w:p w14:paraId="45D01CA5"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Imajući u vidu najbolje prakse, proces komunikacije treba da se zasniva na  pružanju relevantnih i korisnih informacija na način koji će:</w:t>
      </w:r>
    </w:p>
    <w:p w14:paraId="5BE7B271"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Biti javno dostupne: Informacije o politici treba da  budu lako dostupne svim zainteresovanim stranama i javnosti.</w:t>
      </w:r>
    </w:p>
    <w:p w14:paraId="62B58459"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Podstaknu akciju: Komunikacija treba da inspiriše akciju i motiviše relevantne aktere da preduzmu korake u skladu sa politikom.</w:t>
      </w:r>
    </w:p>
    <w:p w14:paraId="68A3285D"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Pomognu u rješavanju problema: Informacije trebaju biti korisne i pružiti smjernice za rješavanje problema koji se tiču politike.</w:t>
      </w:r>
    </w:p>
    <w:p w14:paraId="5650766A"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Imaju važnost i specifične posljedice: Treba jasno naglasiti značaj politike i njene specifične posljedice kako bi se izgradila svijest o njihovom uticaju.</w:t>
      </w:r>
    </w:p>
    <w:p w14:paraId="67DB994C" w14:textId="77777777" w:rsidR="00A13DA5" w:rsidRPr="0048184E" w:rsidRDefault="00A13DA5" w:rsidP="0048184E">
      <w:pPr>
        <w:pStyle w:val="NoSpacing"/>
        <w:jc w:val="both"/>
        <w:rPr>
          <w:rFonts w:asciiTheme="minorHAnsi" w:hAnsiTheme="minorHAnsi" w:cstheme="minorHAnsi"/>
          <w:sz w:val="18"/>
          <w:szCs w:val="18"/>
          <w:lang w:val="it-IT" w:eastAsia="it-IT"/>
        </w:rPr>
      </w:pPr>
      <w:r w:rsidRPr="0048184E">
        <w:rPr>
          <w:rFonts w:asciiTheme="minorHAnsi" w:hAnsiTheme="minorHAnsi" w:cstheme="minorHAnsi"/>
          <w:sz w:val="18"/>
          <w:szCs w:val="18"/>
          <w:lang w:val="it-IT" w:eastAsia="it-IT"/>
        </w:rPr>
        <w:t>Komunikacija politike omogućava da svi akteri i javnost razumiju ciljeve politike, planirane rezultate i cikluse iste. Takođe je važno osigurati učešće svih relevantnih ljudskih i institucionalnih resursa, uključujući i  medije.</w:t>
      </w:r>
    </w:p>
    <w:p w14:paraId="6E94DBD0" w14:textId="77777777" w:rsidR="00A13DA5" w:rsidRPr="0048184E" w:rsidRDefault="00A13DA5" w:rsidP="0048184E">
      <w:pPr>
        <w:pStyle w:val="NoSpacing"/>
        <w:jc w:val="both"/>
        <w:rPr>
          <w:rFonts w:asciiTheme="minorHAnsi" w:hAnsiTheme="minorHAnsi" w:cstheme="minorHAnsi"/>
          <w:sz w:val="18"/>
          <w:szCs w:val="18"/>
          <w:lang w:val="it-IT" w:eastAsia="it-IT"/>
        </w:rPr>
      </w:pPr>
    </w:p>
    <w:p w14:paraId="5FC1A748" w14:textId="77777777" w:rsidR="00A13DA5" w:rsidRDefault="00EB1B92" w:rsidP="0048184E">
      <w:pPr>
        <w:pStyle w:val="NoSpacing"/>
        <w:jc w:val="both"/>
        <w:rPr>
          <w:rFonts w:asciiTheme="minorHAnsi" w:hAnsiTheme="minorHAnsi" w:cstheme="minorHAnsi"/>
          <w:sz w:val="18"/>
          <w:szCs w:val="18"/>
          <w:lang w:val="it-IT" w:eastAsia="it-IT"/>
        </w:rPr>
      </w:pPr>
      <w:r>
        <w:rPr>
          <w:rFonts w:asciiTheme="minorHAnsi" w:hAnsiTheme="minorHAnsi" w:cstheme="minorHAnsi"/>
          <w:sz w:val="18"/>
          <w:szCs w:val="18"/>
          <w:lang w:val="it-IT" w:eastAsia="it-IT"/>
        </w:rPr>
        <w:t>MIRN</w:t>
      </w:r>
      <w:r w:rsidR="00A13DA5" w:rsidRPr="0048184E">
        <w:rPr>
          <w:rFonts w:asciiTheme="minorHAnsi" w:hAnsiTheme="minorHAnsi" w:cstheme="minorHAnsi"/>
          <w:sz w:val="18"/>
          <w:szCs w:val="18"/>
          <w:lang w:val="it-IT" w:eastAsia="it-IT"/>
        </w:rPr>
        <w:t xml:space="preserve"> će koristiti dostupne mehanizme kako bi osiguralo potpuno razumijevanje i prihvatanje politike na svim nivoima implementacije, kao i među postojećim i budućim korisnicima iste. U tu svrhu Izvještaji o realizaciji Akcionih planova SRR 2023-2027 kao i Završni Izvještaj o implementaciji SRR 2023-2027 će biti ob</w:t>
      </w:r>
      <w:r>
        <w:rPr>
          <w:rFonts w:asciiTheme="minorHAnsi" w:hAnsiTheme="minorHAnsi" w:cstheme="minorHAnsi"/>
          <w:sz w:val="18"/>
          <w:szCs w:val="18"/>
          <w:lang w:val="it-IT" w:eastAsia="it-IT"/>
        </w:rPr>
        <w:t>javljivani na sajtu MIRNa</w:t>
      </w:r>
      <w:r w:rsidR="00A13DA5" w:rsidRPr="0048184E">
        <w:rPr>
          <w:rFonts w:asciiTheme="minorHAnsi" w:hAnsiTheme="minorHAnsi" w:cstheme="minorHAnsi"/>
          <w:sz w:val="18"/>
          <w:szCs w:val="18"/>
          <w:lang w:val="it-IT" w:eastAsia="it-IT"/>
        </w:rPr>
        <w:t xml:space="preserve"> kao i na sajtu </w:t>
      </w:r>
      <w:r>
        <w:rPr>
          <w:rFonts w:asciiTheme="minorHAnsi" w:hAnsiTheme="minorHAnsi" w:cstheme="minorHAnsi"/>
          <w:sz w:val="18"/>
          <w:szCs w:val="18"/>
          <w:lang w:val="it-IT" w:eastAsia="it-IT"/>
        </w:rPr>
        <w:t>VCG.</w:t>
      </w:r>
    </w:p>
    <w:p w14:paraId="233B6494" w14:textId="77777777" w:rsidR="00EB1B92" w:rsidRPr="0048184E" w:rsidRDefault="00EB1B92" w:rsidP="0048184E">
      <w:pPr>
        <w:pStyle w:val="NoSpacing"/>
        <w:jc w:val="both"/>
        <w:rPr>
          <w:rFonts w:asciiTheme="minorHAnsi" w:hAnsiTheme="minorHAnsi" w:cstheme="minorHAnsi"/>
          <w:sz w:val="18"/>
          <w:szCs w:val="18"/>
          <w:lang w:val="sr-Latn-ME"/>
        </w:rPr>
      </w:pPr>
    </w:p>
    <w:p w14:paraId="388E3910" w14:textId="77777777" w:rsidR="00A13DA5" w:rsidRPr="0071272B" w:rsidRDefault="00A13DA5" w:rsidP="0048184E">
      <w:pPr>
        <w:pStyle w:val="Heading2"/>
        <w:numPr>
          <w:ilvl w:val="0"/>
          <w:numId w:val="29"/>
        </w:numPr>
        <w:spacing w:before="0" w:line="240" w:lineRule="auto"/>
        <w:rPr>
          <w:rFonts w:asciiTheme="minorHAnsi" w:hAnsiTheme="minorHAnsi"/>
        </w:rPr>
      </w:pPr>
      <w:bookmarkStart w:id="72" w:name="_Toc205215862"/>
      <w:r w:rsidRPr="0071272B">
        <w:rPr>
          <w:rFonts w:asciiTheme="minorHAnsi" w:hAnsiTheme="minorHAnsi"/>
        </w:rPr>
        <w:t>Finansiranje</w:t>
      </w:r>
      <w:bookmarkEnd w:id="72"/>
    </w:p>
    <w:p w14:paraId="432FF69A" w14:textId="77777777" w:rsidR="00A13DA5" w:rsidRPr="0048184E" w:rsidRDefault="00A13DA5" w:rsidP="0048184E">
      <w:pPr>
        <w:spacing w:after="0" w:line="240" w:lineRule="auto"/>
        <w:jc w:val="both"/>
        <w:rPr>
          <w:rFonts w:cstheme="minorHAnsi"/>
          <w:sz w:val="18"/>
          <w:szCs w:val="18"/>
        </w:rPr>
      </w:pPr>
    </w:p>
    <w:p w14:paraId="221438FB"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Finansiranje regionalnog razvoja, a time i realizacije SRR, definisano je Zakonom o regionalnom razvoju gdje je precizirano da će se podsticanje regionalnog razvoja bazirati na “udruživanju finansijskih sredstava iz različitih izvora za sprovođenje Strategije regionalnog razvoja i Strateških planova razvoja jedinica lokalne samouprave”. </w:t>
      </w:r>
    </w:p>
    <w:p w14:paraId="7CDAB026" w14:textId="77777777" w:rsidR="00A13DA5" w:rsidRPr="0048184E" w:rsidRDefault="00A13DA5" w:rsidP="0048184E">
      <w:pPr>
        <w:spacing w:after="0" w:line="240" w:lineRule="auto"/>
        <w:jc w:val="both"/>
        <w:rPr>
          <w:rFonts w:cstheme="minorHAnsi"/>
          <w:sz w:val="18"/>
          <w:szCs w:val="18"/>
          <w:lang w:val="sr-Latn-ME"/>
        </w:rPr>
      </w:pPr>
    </w:p>
    <w:p w14:paraId="6CA4A022" w14:textId="77777777" w:rsidR="00A13DA5" w:rsidRPr="00C259DB" w:rsidRDefault="00A13DA5" w:rsidP="0048184E">
      <w:pPr>
        <w:spacing w:after="0" w:line="240" w:lineRule="auto"/>
        <w:jc w:val="both"/>
        <w:rPr>
          <w:rFonts w:cstheme="minorHAnsi"/>
          <w:sz w:val="18"/>
          <w:szCs w:val="18"/>
          <w:lang w:val="sr-Latn-ME"/>
        </w:rPr>
      </w:pPr>
      <w:r w:rsidRPr="00C259DB">
        <w:rPr>
          <w:rFonts w:cstheme="minorHAnsi"/>
          <w:sz w:val="18"/>
          <w:szCs w:val="18"/>
          <w:lang w:val="sr-Latn-ME"/>
        </w:rPr>
        <w:t xml:space="preserve">Finansiranje strateških ciljeva i prioritetnih oblasti definisanih u SRR 2023-2027 će zavisiti od godišnjeg Zakona o budžetu Crne Gore, godišnjih budžeta JLS, kreditnih aranžmana, Javnog sektora, EU i IPA fondova, privatnih investicija i ostalih donacija, što će biti planirano godišnjim Akcionim planovima. </w:t>
      </w:r>
    </w:p>
    <w:p w14:paraId="50EBF809" w14:textId="28A75D97" w:rsidR="00C259DB" w:rsidRDefault="00A13DA5" w:rsidP="00C259DB">
      <w:pPr>
        <w:spacing w:after="0" w:line="240" w:lineRule="auto"/>
        <w:jc w:val="both"/>
        <w:rPr>
          <w:color w:val="000000"/>
          <w:sz w:val="18"/>
          <w:szCs w:val="18"/>
          <w:lang w:val="sr-Latn-ME"/>
        </w:rPr>
      </w:pPr>
      <w:r w:rsidRPr="00C259DB">
        <w:rPr>
          <w:rFonts w:cstheme="minorHAnsi"/>
          <w:sz w:val="18"/>
          <w:szCs w:val="18"/>
          <w:lang w:val="sr-Latn-ME"/>
        </w:rPr>
        <w:t>Naime, za sp</w:t>
      </w:r>
      <w:r w:rsidR="00C259DB" w:rsidRPr="00C259DB">
        <w:rPr>
          <w:rFonts w:cstheme="minorHAnsi"/>
          <w:sz w:val="18"/>
          <w:szCs w:val="18"/>
          <w:lang w:val="sr-Latn-ME"/>
        </w:rPr>
        <w:t xml:space="preserve">rovođenje Akcionog </w:t>
      </w:r>
      <w:r w:rsidR="00C259DB" w:rsidRPr="0085124C">
        <w:rPr>
          <w:color w:val="000000"/>
          <w:sz w:val="18"/>
          <w:szCs w:val="18"/>
          <w:lang w:val="sr-Latn-ME"/>
        </w:rPr>
        <w:t>plana za 2025.</w:t>
      </w:r>
      <w:r w:rsidRPr="0085124C">
        <w:rPr>
          <w:color w:val="000000"/>
          <w:sz w:val="18"/>
          <w:szCs w:val="18"/>
          <w:lang w:val="sr-Latn-ME"/>
        </w:rPr>
        <w:t xml:space="preserve"> </w:t>
      </w:r>
      <w:r w:rsidR="00C259DB" w:rsidRPr="0085124C">
        <w:rPr>
          <w:color w:val="000000"/>
          <w:sz w:val="18"/>
          <w:szCs w:val="18"/>
          <w:lang w:val="sr-Latn-ME"/>
        </w:rPr>
        <w:t xml:space="preserve">predviđena je </w:t>
      </w:r>
      <w:r w:rsidR="00C259DB" w:rsidRPr="00C259DB">
        <w:rPr>
          <w:color w:val="000000"/>
          <w:sz w:val="18"/>
          <w:szCs w:val="18"/>
          <w:lang w:val="sr-Latn-ME"/>
        </w:rPr>
        <w:t xml:space="preserve">realizacija 72 aktivnosti. </w:t>
      </w:r>
      <w:r w:rsidR="00C259DB" w:rsidRPr="0085124C">
        <w:rPr>
          <w:color w:val="000000"/>
          <w:sz w:val="18"/>
          <w:szCs w:val="18"/>
          <w:lang w:val="sr-Latn-ME"/>
        </w:rPr>
        <w:t xml:space="preserve"> Za realizaciju predloženih aktivnosti predviđena su finansijska sredstva </w:t>
      </w:r>
      <w:r w:rsidR="00C259DB" w:rsidRPr="00C259DB">
        <w:rPr>
          <w:color w:val="000000"/>
          <w:sz w:val="18"/>
          <w:szCs w:val="18"/>
          <w:lang w:val="sr-Latn-ME"/>
        </w:rPr>
        <w:t xml:space="preserve">u iznosu  </w:t>
      </w:r>
      <w:r w:rsidR="0085124C" w:rsidRPr="0085124C">
        <w:rPr>
          <w:color w:val="000000"/>
          <w:sz w:val="18"/>
          <w:szCs w:val="18"/>
          <w:lang w:val="sr-Latn-ME"/>
        </w:rPr>
        <w:t>695.251.732,37</w:t>
      </w:r>
      <w:r w:rsidR="00C259DB" w:rsidRPr="0085124C">
        <w:rPr>
          <w:color w:val="000000"/>
          <w:sz w:val="18"/>
          <w:szCs w:val="18"/>
          <w:lang w:val="sr-Latn-ME"/>
        </w:rPr>
        <w:t>€,</w:t>
      </w:r>
      <w:r w:rsidR="00C259DB" w:rsidRPr="0085124C">
        <w:rPr>
          <w:color w:val="FF0000"/>
          <w:sz w:val="18"/>
          <w:szCs w:val="18"/>
          <w:lang w:val="sr-Latn-ME"/>
        </w:rPr>
        <w:t xml:space="preserve"> </w:t>
      </w:r>
      <w:r w:rsidR="00C259DB" w:rsidRPr="00C259DB">
        <w:rPr>
          <w:color w:val="000000"/>
          <w:sz w:val="18"/>
          <w:szCs w:val="18"/>
          <w:lang w:val="sr-Latn-ME"/>
        </w:rPr>
        <w:t xml:space="preserve">i to: </w:t>
      </w:r>
    </w:p>
    <w:p w14:paraId="51306145" w14:textId="77777777" w:rsidR="004A3D05" w:rsidRPr="00C259DB" w:rsidRDefault="004A3D05" w:rsidP="00C259DB">
      <w:pPr>
        <w:spacing w:after="0" w:line="240" w:lineRule="auto"/>
        <w:jc w:val="both"/>
        <w:rPr>
          <w:color w:val="000000"/>
          <w:sz w:val="18"/>
          <w:szCs w:val="18"/>
          <w:lang w:val="sr-Latn-ME"/>
        </w:rPr>
      </w:pPr>
    </w:p>
    <w:p w14:paraId="480B8DCD" w14:textId="77777777" w:rsidR="00EB06F2" w:rsidRPr="00EB06F2" w:rsidRDefault="00EB06F2" w:rsidP="00EB06F2">
      <w:pPr>
        <w:numPr>
          <w:ilvl w:val="0"/>
          <w:numId w:val="31"/>
        </w:numPr>
        <w:spacing w:after="0" w:line="240" w:lineRule="auto"/>
        <w:jc w:val="both"/>
        <w:rPr>
          <w:color w:val="000000"/>
          <w:sz w:val="18"/>
          <w:szCs w:val="18"/>
          <w:lang w:val="sr-Latn-ME"/>
        </w:rPr>
      </w:pPr>
      <w:r w:rsidRPr="00EB06F2">
        <w:rPr>
          <w:color w:val="000000"/>
          <w:sz w:val="18"/>
          <w:szCs w:val="18"/>
          <w:lang w:val="sr-Latn-ME"/>
        </w:rPr>
        <w:t>nacionalni budžet – 245.844.263,97 € (35,36%);</w:t>
      </w:r>
    </w:p>
    <w:p w14:paraId="7E4BD31A" w14:textId="77777777" w:rsidR="00EB06F2" w:rsidRPr="00EB06F2" w:rsidRDefault="00EB06F2" w:rsidP="00EB06F2">
      <w:pPr>
        <w:numPr>
          <w:ilvl w:val="0"/>
          <w:numId w:val="31"/>
        </w:numPr>
        <w:spacing w:after="0" w:line="240" w:lineRule="auto"/>
        <w:jc w:val="both"/>
        <w:rPr>
          <w:color w:val="000000"/>
          <w:sz w:val="18"/>
          <w:szCs w:val="18"/>
          <w:lang w:val="sr-Latn-ME"/>
        </w:rPr>
      </w:pPr>
      <w:r w:rsidRPr="00EB06F2">
        <w:rPr>
          <w:color w:val="000000"/>
          <w:sz w:val="18"/>
          <w:szCs w:val="18"/>
          <w:lang w:val="sr-Latn-ME"/>
        </w:rPr>
        <w:t>budžet opština – 28.962.489,74 € (4,17%);</w:t>
      </w:r>
    </w:p>
    <w:p w14:paraId="3DEE8049" w14:textId="77777777" w:rsidR="00EB06F2" w:rsidRPr="00EB06F2" w:rsidRDefault="00EB06F2" w:rsidP="00EB06F2">
      <w:pPr>
        <w:numPr>
          <w:ilvl w:val="0"/>
          <w:numId w:val="31"/>
        </w:numPr>
        <w:spacing w:after="0" w:line="240" w:lineRule="auto"/>
        <w:jc w:val="both"/>
        <w:rPr>
          <w:color w:val="000000"/>
          <w:sz w:val="18"/>
          <w:szCs w:val="18"/>
          <w:lang w:val="sr-Latn-ME"/>
        </w:rPr>
      </w:pPr>
      <w:r w:rsidRPr="00EB06F2">
        <w:rPr>
          <w:color w:val="000000"/>
          <w:sz w:val="18"/>
          <w:szCs w:val="18"/>
          <w:lang w:val="sr-Latn-ME"/>
        </w:rPr>
        <w:t>javni sektor – 410.024.430,65 € (58,97%);</w:t>
      </w:r>
    </w:p>
    <w:p w14:paraId="01BC4378" w14:textId="77777777" w:rsidR="00EB06F2" w:rsidRPr="00EB06F2" w:rsidRDefault="00EB06F2" w:rsidP="00EB06F2">
      <w:pPr>
        <w:numPr>
          <w:ilvl w:val="0"/>
          <w:numId w:val="31"/>
        </w:numPr>
        <w:spacing w:after="0" w:line="240" w:lineRule="auto"/>
        <w:jc w:val="both"/>
        <w:rPr>
          <w:color w:val="000000"/>
          <w:sz w:val="18"/>
          <w:szCs w:val="18"/>
          <w:lang w:val="sr-Latn-ME"/>
        </w:rPr>
      </w:pPr>
      <w:r w:rsidRPr="00EB06F2">
        <w:rPr>
          <w:color w:val="000000"/>
          <w:sz w:val="18"/>
          <w:szCs w:val="18"/>
          <w:lang w:val="sr-Latn-ME"/>
        </w:rPr>
        <w:t>IPA – 2.979.026,58 € (0,43%);</w:t>
      </w:r>
    </w:p>
    <w:p w14:paraId="2E7508FE" w14:textId="77777777" w:rsidR="00EB06F2" w:rsidRPr="00EB06F2" w:rsidRDefault="00EB06F2" w:rsidP="00EB06F2">
      <w:pPr>
        <w:numPr>
          <w:ilvl w:val="0"/>
          <w:numId w:val="31"/>
        </w:numPr>
        <w:spacing w:after="0" w:line="240" w:lineRule="auto"/>
        <w:jc w:val="both"/>
        <w:rPr>
          <w:color w:val="000000"/>
          <w:sz w:val="18"/>
          <w:szCs w:val="18"/>
          <w:lang w:val="sr-Latn-ME"/>
        </w:rPr>
      </w:pPr>
      <w:r w:rsidRPr="00EB06F2">
        <w:rPr>
          <w:color w:val="000000"/>
          <w:sz w:val="18"/>
          <w:szCs w:val="18"/>
          <w:lang w:val="sr-Latn-ME"/>
        </w:rPr>
        <w:t>donatorski programi – 7.441.521,43 € (1,07%);</w:t>
      </w:r>
    </w:p>
    <w:p w14:paraId="61DAEE21" w14:textId="77777777" w:rsidR="00C259DB" w:rsidRPr="00C259DB" w:rsidRDefault="00C259DB" w:rsidP="00C259DB">
      <w:pPr>
        <w:spacing w:after="0" w:line="240" w:lineRule="auto"/>
        <w:jc w:val="both"/>
        <w:rPr>
          <w:color w:val="000000"/>
          <w:sz w:val="18"/>
          <w:szCs w:val="18"/>
          <w:lang w:val="sr-Latn-ME"/>
        </w:rPr>
      </w:pPr>
    </w:p>
    <w:p w14:paraId="5C1A8699" w14:textId="195DEB4C" w:rsidR="00C43A75" w:rsidRPr="00C43A75" w:rsidRDefault="00C43A75" w:rsidP="00C43A75">
      <w:pPr>
        <w:spacing w:after="0" w:line="240" w:lineRule="auto"/>
        <w:jc w:val="both"/>
        <w:rPr>
          <w:color w:val="000000"/>
          <w:sz w:val="18"/>
          <w:szCs w:val="18"/>
          <w:lang w:val="sr-Latn-ME"/>
        </w:rPr>
      </w:pPr>
      <w:r w:rsidRPr="00C43A75">
        <w:rPr>
          <w:color w:val="000000"/>
          <w:sz w:val="18"/>
          <w:szCs w:val="18"/>
          <w:lang w:val="sr-Latn-ME"/>
        </w:rPr>
        <w:t>Posmatrano po strateškim ciljevima, najviše sredstava je izdvojeno za realizaciju strateškog cilja 3, ukupno 672.197.219,14€ ili 96,68%, zatim strateškog cilja 2 , ukupno 23.048.513,23 € ili 3.32%, dok će za aktivnosti u okviru strateškog cilja 1 biti izdvojeno 6.000€. U 2025. godini najviše će biti uloženo u održivi rast ukupno 435.129.666,86 € ili 62,59%,  zatim u pametni rast ukupno 237.073.552,28 € ili 34,1%, dok će za inkluzivni rast biti izdvojeno 23.048.513,23 € ili 3,31%.</w:t>
      </w:r>
    </w:p>
    <w:p w14:paraId="00AA799F" w14:textId="77777777" w:rsidR="00C43A75" w:rsidRPr="00C43A75" w:rsidRDefault="00C43A75" w:rsidP="00C43A75">
      <w:pPr>
        <w:spacing w:after="0" w:line="240" w:lineRule="auto"/>
        <w:jc w:val="both"/>
        <w:rPr>
          <w:color w:val="000000"/>
          <w:sz w:val="18"/>
          <w:szCs w:val="18"/>
          <w:lang w:val="sr-Latn-ME"/>
        </w:rPr>
      </w:pPr>
    </w:p>
    <w:p w14:paraId="27087AAA" w14:textId="77777777" w:rsidR="00C43A75" w:rsidRPr="00C43A75" w:rsidRDefault="00C43A75" w:rsidP="00C43A75">
      <w:pPr>
        <w:spacing w:after="0" w:line="240" w:lineRule="auto"/>
        <w:jc w:val="both"/>
        <w:rPr>
          <w:color w:val="000000"/>
          <w:sz w:val="18"/>
          <w:szCs w:val="18"/>
          <w:lang w:val="sr-Latn-ME"/>
        </w:rPr>
      </w:pPr>
      <w:r w:rsidRPr="00C43A75">
        <w:rPr>
          <w:color w:val="000000"/>
          <w:sz w:val="18"/>
          <w:szCs w:val="18"/>
          <w:lang w:val="sr-Latn-ME"/>
        </w:rPr>
        <w:t>Kada je u pitanju alokacija sredstava prema regionima, najviše sredstava će biti uloženo u realizaciju aktivnosti u Središnjem  regionu, 320.567.122,48€ ili 46,11%, zatim Sjevernom regionu 182.516.624,65 € ili 26,25%, dok će za realizaciju aktivnosti Primorskog regiona biti izdvojeno 115.549.489,53€ ili 16,62%. Takođe, u cilju realizacije AP 2025. biće utošena sredstva u iznosu od 76.618.495,71 € ili 11,02%, koja nije bilo moguće rasporediti po regionima.</w:t>
      </w:r>
    </w:p>
    <w:p w14:paraId="687DF05A" w14:textId="300BD2E4" w:rsidR="00C259DB" w:rsidRPr="0048184E" w:rsidRDefault="00C259DB" w:rsidP="0048184E">
      <w:pPr>
        <w:spacing w:after="0" w:line="240" w:lineRule="auto"/>
        <w:rPr>
          <w:rFonts w:cstheme="minorHAnsi"/>
          <w:b/>
          <w:sz w:val="18"/>
          <w:szCs w:val="18"/>
          <w:lang w:val="sr-Latn-ME"/>
        </w:rPr>
      </w:pPr>
    </w:p>
    <w:p w14:paraId="4AC50BF9" w14:textId="77777777" w:rsidR="006756A7" w:rsidRPr="00085045" w:rsidRDefault="006756A7" w:rsidP="0048184E">
      <w:pPr>
        <w:pStyle w:val="Heading2"/>
        <w:spacing w:before="0" w:line="240" w:lineRule="auto"/>
        <w:rPr>
          <w:rFonts w:asciiTheme="minorHAnsi" w:hAnsiTheme="minorHAnsi"/>
        </w:rPr>
      </w:pPr>
      <w:bookmarkStart w:id="73" w:name="_Toc205215863"/>
      <w:r w:rsidRPr="00085045">
        <w:rPr>
          <w:rFonts w:asciiTheme="minorHAnsi" w:hAnsiTheme="minorHAnsi"/>
        </w:rPr>
        <w:lastRenderedPageBreak/>
        <w:t>Lista grafika i tabela</w:t>
      </w:r>
      <w:bookmarkEnd w:id="73"/>
    </w:p>
    <w:p w14:paraId="046922A2" w14:textId="77777777" w:rsidR="006756A7" w:rsidRPr="0048184E" w:rsidRDefault="006756A7" w:rsidP="0048184E">
      <w:pPr>
        <w:pStyle w:val="NoSpacing"/>
        <w:jc w:val="both"/>
        <w:rPr>
          <w:rFonts w:asciiTheme="minorHAnsi" w:hAnsiTheme="minorHAnsi"/>
          <w:b/>
          <w:sz w:val="18"/>
          <w:szCs w:val="18"/>
          <w:lang w:val="sr-Latn-ME"/>
        </w:rPr>
      </w:pPr>
    </w:p>
    <w:p w14:paraId="506245CA" w14:textId="77777777" w:rsidR="006756A7" w:rsidRPr="0048184E" w:rsidRDefault="006756A7" w:rsidP="0048184E">
      <w:pPr>
        <w:pStyle w:val="NoSpacing"/>
        <w:jc w:val="both"/>
        <w:rPr>
          <w:rFonts w:asciiTheme="minorHAnsi" w:hAnsiTheme="minorHAnsi"/>
          <w:sz w:val="18"/>
          <w:szCs w:val="18"/>
        </w:rPr>
      </w:pPr>
      <w:r w:rsidRPr="0048184E">
        <w:rPr>
          <w:rFonts w:asciiTheme="minorHAnsi" w:hAnsiTheme="minorHAnsi"/>
          <w:sz w:val="18"/>
          <w:szCs w:val="18"/>
          <w:lang w:val="sr-Latn-ME"/>
        </w:rPr>
        <w:fldChar w:fldCharType="begin"/>
      </w:r>
      <w:r w:rsidRPr="0048184E">
        <w:rPr>
          <w:rFonts w:asciiTheme="minorHAnsi" w:hAnsiTheme="minorHAnsi"/>
          <w:sz w:val="18"/>
          <w:szCs w:val="18"/>
          <w:lang w:val="sr-Latn-ME"/>
        </w:rPr>
        <w:instrText xml:space="preserve"> LINK Excel.Sheet.8 "C:\\Users\\iv.popovic\\Desktop\\SRR CG 2023-2027\\IVANA dokumentacija i verzije SRR - inputi institucija\\Sadrzaj SRR 2023-2027.xls" "Grafici i tabele!R1C2:R21C3" \a \f 4 \h </w:instrText>
      </w:r>
      <w:r w:rsidR="0048184E" w:rsidRPr="0048184E">
        <w:rPr>
          <w:rFonts w:asciiTheme="minorHAnsi" w:hAnsiTheme="minorHAnsi"/>
          <w:sz w:val="18"/>
          <w:szCs w:val="18"/>
          <w:lang w:val="sr-Latn-ME"/>
        </w:rPr>
        <w:instrText xml:space="preserve"> \* MERGEFORMAT </w:instrText>
      </w:r>
      <w:r w:rsidRPr="0048184E">
        <w:rPr>
          <w:rFonts w:asciiTheme="minorHAnsi" w:hAnsiTheme="minorHAnsi"/>
          <w:sz w:val="18"/>
          <w:szCs w:val="18"/>
          <w:lang w:val="sr-Latn-ME"/>
        </w:rPr>
        <w:fldChar w:fldCharType="separate"/>
      </w:r>
    </w:p>
    <w:tbl>
      <w:tblPr>
        <w:tblW w:w="9780" w:type="dxa"/>
        <w:tblInd w:w="108" w:type="dxa"/>
        <w:tblLook w:val="04A0" w:firstRow="1" w:lastRow="0" w:firstColumn="1" w:lastColumn="0" w:noHBand="0" w:noVBand="1"/>
      </w:tblPr>
      <w:tblGrid>
        <w:gridCol w:w="8820"/>
        <w:gridCol w:w="960"/>
      </w:tblGrid>
      <w:tr w:rsidR="006756A7" w:rsidRPr="0048184E" w14:paraId="2B61B9E8" w14:textId="77777777" w:rsidTr="00A445B6">
        <w:trPr>
          <w:trHeight w:val="300"/>
        </w:trPr>
        <w:tc>
          <w:tcPr>
            <w:tcW w:w="8820" w:type="dxa"/>
            <w:tcBorders>
              <w:top w:val="nil"/>
              <w:left w:val="nil"/>
              <w:bottom w:val="nil"/>
              <w:right w:val="nil"/>
            </w:tcBorders>
            <w:shd w:val="clear" w:color="auto" w:fill="auto"/>
            <w:noWrap/>
            <w:vAlign w:val="bottom"/>
            <w:hideMark/>
          </w:tcPr>
          <w:p w14:paraId="651C4546"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1. SRR 2023-2027 i usklađenost sa ključnim međunarodnim obavezama</w:t>
            </w:r>
          </w:p>
        </w:tc>
        <w:tc>
          <w:tcPr>
            <w:tcW w:w="960" w:type="dxa"/>
            <w:tcBorders>
              <w:top w:val="nil"/>
              <w:left w:val="nil"/>
              <w:bottom w:val="nil"/>
              <w:right w:val="nil"/>
            </w:tcBorders>
            <w:shd w:val="clear" w:color="auto" w:fill="auto"/>
            <w:noWrap/>
            <w:vAlign w:val="bottom"/>
            <w:hideMark/>
          </w:tcPr>
          <w:p w14:paraId="089A880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15</w:t>
            </w:r>
          </w:p>
        </w:tc>
      </w:tr>
      <w:tr w:rsidR="006756A7" w:rsidRPr="0048184E" w14:paraId="63DBE67B" w14:textId="77777777" w:rsidTr="00A445B6">
        <w:trPr>
          <w:trHeight w:val="300"/>
        </w:trPr>
        <w:tc>
          <w:tcPr>
            <w:tcW w:w="8820" w:type="dxa"/>
            <w:tcBorders>
              <w:top w:val="nil"/>
              <w:left w:val="nil"/>
              <w:bottom w:val="nil"/>
              <w:right w:val="nil"/>
            </w:tcBorders>
            <w:shd w:val="clear" w:color="auto" w:fill="auto"/>
            <w:noWrap/>
            <w:vAlign w:val="bottom"/>
            <w:hideMark/>
          </w:tcPr>
          <w:p w14:paraId="5F25BDB0" w14:textId="77777777" w:rsidR="006756A7" w:rsidRPr="0048184E" w:rsidRDefault="006756A7" w:rsidP="0048184E">
            <w:pPr>
              <w:spacing w:after="0" w:line="240" w:lineRule="auto"/>
              <w:rPr>
                <w:rFonts w:eastAsia="Times New Roman" w:cs="Calibri"/>
                <w:sz w:val="18"/>
                <w:szCs w:val="18"/>
              </w:rPr>
            </w:pPr>
            <w:r w:rsidRPr="0048184E">
              <w:rPr>
                <w:rFonts w:eastAsia="Times New Roman" w:cs="Calibri"/>
                <w:sz w:val="18"/>
                <w:szCs w:val="18"/>
              </w:rPr>
              <w:t>Grafik 2. Zajednički ciljevi politika EU fondova (novi kohezioni okvir 2021-2027)</w:t>
            </w:r>
          </w:p>
        </w:tc>
        <w:tc>
          <w:tcPr>
            <w:tcW w:w="960" w:type="dxa"/>
            <w:tcBorders>
              <w:top w:val="nil"/>
              <w:left w:val="nil"/>
              <w:bottom w:val="nil"/>
              <w:right w:val="nil"/>
            </w:tcBorders>
            <w:shd w:val="clear" w:color="auto" w:fill="auto"/>
            <w:noWrap/>
            <w:vAlign w:val="bottom"/>
            <w:hideMark/>
          </w:tcPr>
          <w:p w14:paraId="45EB02EC"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16</w:t>
            </w:r>
          </w:p>
        </w:tc>
      </w:tr>
      <w:tr w:rsidR="006756A7" w:rsidRPr="0048184E" w14:paraId="363E6D76" w14:textId="77777777" w:rsidTr="00A445B6">
        <w:trPr>
          <w:trHeight w:val="300"/>
        </w:trPr>
        <w:tc>
          <w:tcPr>
            <w:tcW w:w="8820" w:type="dxa"/>
            <w:tcBorders>
              <w:top w:val="nil"/>
              <w:left w:val="nil"/>
              <w:bottom w:val="nil"/>
              <w:right w:val="nil"/>
            </w:tcBorders>
            <w:shd w:val="clear" w:color="auto" w:fill="auto"/>
            <w:noWrap/>
            <w:vAlign w:val="bottom"/>
            <w:hideMark/>
          </w:tcPr>
          <w:p w14:paraId="0625F938"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3. Stopa nezaposlenosti, po regionima (%)</w:t>
            </w:r>
          </w:p>
        </w:tc>
        <w:tc>
          <w:tcPr>
            <w:tcW w:w="960" w:type="dxa"/>
            <w:tcBorders>
              <w:top w:val="nil"/>
              <w:left w:val="nil"/>
              <w:bottom w:val="nil"/>
              <w:right w:val="nil"/>
            </w:tcBorders>
            <w:shd w:val="clear" w:color="auto" w:fill="auto"/>
            <w:noWrap/>
            <w:vAlign w:val="bottom"/>
            <w:hideMark/>
          </w:tcPr>
          <w:p w14:paraId="79D68878"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21</w:t>
            </w:r>
          </w:p>
        </w:tc>
      </w:tr>
      <w:tr w:rsidR="006756A7" w:rsidRPr="0048184E" w14:paraId="1DF4F8BE" w14:textId="77777777" w:rsidTr="00A445B6">
        <w:trPr>
          <w:trHeight w:val="300"/>
        </w:trPr>
        <w:tc>
          <w:tcPr>
            <w:tcW w:w="8820" w:type="dxa"/>
            <w:tcBorders>
              <w:top w:val="nil"/>
              <w:left w:val="nil"/>
              <w:bottom w:val="nil"/>
              <w:right w:val="nil"/>
            </w:tcBorders>
            <w:shd w:val="clear" w:color="auto" w:fill="auto"/>
            <w:noWrap/>
            <w:vAlign w:val="bottom"/>
            <w:hideMark/>
          </w:tcPr>
          <w:p w14:paraId="13FA2A1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4. Stopa rizika od siromaštva, po regionima (%)</w:t>
            </w:r>
          </w:p>
        </w:tc>
        <w:tc>
          <w:tcPr>
            <w:tcW w:w="960" w:type="dxa"/>
            <w:tcBorders>
              <w:top w:val="nil"/>
              <w:left w:val="nil"/>
              <w:bottom w:val="nil"/>
              <w:right w:val="nil"/>
            </w:tcBorders>
            <w:shd w:val="clear" w:color="auto" w:fill="auto"/>
            <w:noWrap/>
            <w:vAlign w:val="bottom"/>
            <w:hideMark/>
          </w:tcPr>
          <w:p w14:paraId="7F2DDFF0"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22</w:t>
            </w:r>
          </w:p>
        </w:tc>
      </w:tr>
      <w:tr w:rsidR="006756A7" w:rsidRPr="0048184E" w14:paraId="05B7C4FD" w14:textId="77777777" w:rsidTr="00A445B6">
        <w:trPr>
          <w:trHeight w:val="300"/>
        </w:trPr>
        <w:tc>
          <w:tcPr>
            <w:tcW w:w="8820" w:type="dxa"/>
            <w:tcBorders>
              <w:top w:val="nil"/>
              <w:left w:val="nil"/>
              <w:bottom w:val="nil"/>
              <w:right w:val="nil"/>
            </w:tcBorders>
            <w:shd w:val="clear" w:color="auto" w:fill="auto"/>
            <w:noWrap/>
            <w:vAlign w:val="bottom"/>
            <w:hideMark/>
          </w:tcPr>
          <w:p w14:paraId="59F762E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5. Stopa rizika od siromaštva, prema starosti (%)</w:t>
            </w:r>
          </w:p>
        </w:tc>
        <w:tc>
          <w:tcPr>
            <w:tcW w:w="960" w:type="dxa"/>
            <w:tcBorders>
              <w:top w:val="nil"/>
              <w:left w:val="nil"/>
              <w:bottom w:val="nil"/>
              <w:right w:val="nil"/>
            </w:tcBorders>
            <w:shd w:val="clear" w:color="auto" w:fill="auto"/>
            <w:noWrap/>
            <w:vAlign w:val="bottom"/>
            <w:hideMark/>
          </w:tcPr>
          <w:p w14:paraId="029ABFA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23</w:t>
            </w:r>
          </w:p>
        </w:tc>
      </w:tr>
      <w:tr w:rsidR="006756A7" w:rsidRPr="0048184E" w14:paraId="223497F5" w14:textId="77777777" w:rsidTr="00A445B6">
        <w:trPr>
          <w:trHeight w:val="645"/>
        </w:trPr>
        <w:tc>
          <w:tcPr>
            <w:tcW w:w="8820" w:type="dxa"/>
            <w:tcBorders>
              <w:top w:val="nil"/>
              <w:left w:val="nil"/>
              <w:bottom w:val="nil"/>
              <w:right w:val="nil"/>
            </w:tcBorders>
            <w:shd w:val="clear" w:color="auto" w:fill="auto"/>
            <w:vAlign w:val="bottom"/>
            <w:hideMark/>
          </w:tcPr>
          <w:p w14:paraId="760CC46C"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6. Struktura ukupnog iznosa isplaćenih dječjih dodataka, po regionima u mjesecu novembru 2019-2022. za djecu korisnika socijalne pomoći i djecu bez roditeljskog staranja, %</w:t>
            </w:r>
          </w:p>
        </w:tc>
        <w:tc>
          <w:tcPr>
            <w:tcW w:w="960" w:type="dxa"/>
            <w:tcBorders>
              <w:top w:val="nil"/>
              <w:left w:val="nil"/>
              <w:bottom w:val="nil"/>
              <w:right w:val="nil"/>
            </w:tcBorders>
            <w:shd w:val="clear" w:color="auto" w:fill="auto"/>
            <w:noWrap/>
            <w:vAlign w:val="bottom"/>
            <w:hideMark/>
          </w:tcPr>
          <w:p w14:paraId="62D86200"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24</w:t>
            </w:r>
          </w:p>
        </w:tc>
      </w:tr>
      <w:tr w:rsidR="006756A7" w:rsidRPr="0048184E" w14:paraId="3F977888" w14:textId="77777777" w:rsidTr="00A445B6">
        <w:trPr>
          <w:trHeight w:val="600"/>
        </w:trPr>
        <w:tc>
          <w:tcPr>
            <w:tcW w:w="8820" w:type="dxa"/>
            <w:tcBorders>
              <w:top w:val="nil"/>
              <w:left w:val="nil"/>
              <w:bottom w:val="nil"/>
              <w:right w:val="nil"/>
            </w:tcBorders>
            <w:shd w:val="clear" w:color="auto" w:fill="auto"/>
            <w:vAlign w:val="bottom"/>
            <w:hideMark/>
          </w:tcPr>
          <w:p w14:paraId="56B65271"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7. Struktura ukupno isplaćenih dječjih dodataka u mjesecu novembru 2019-2022, za svu djecu do 18 godina, po regionima (%)</w:t>
            </w:r>
          </w:p>
        </w:tc>
        <w:tc>
          <w:tcPr>
            <w:tcW w:w="960" w:type="dxa"/>
            <w:tcBorders>
              <w:top w:val="nil"/>
              <w:left w:val="nil"/>
              <w:bottom w:val="nil"/>
              <w:right w:val="nil"/>
            </w:tcBorders>
            <w:shd w:val="clear" w:color="auto" w:fill="auto"/>
            <w:noWrap/>
            <w:vAlign w:val="bottom"/>
            <w:hideMark/>
          </w:tcPr>
          <w:p w14:paraId="2B859AFC"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24</w:t>
            </w:r>
          </w:p>
        </w:tc>
      </w:tr>
      <w:tr w:rsidR="006756A7" w:rsidRPr="0048184E" w14:paraId="60D5D2B0" w14:textId="77777777" w:rsidTr="00A445B6">
        <w:trPr>
          <w:trHeight w:val="300"/>
        </w:trPr>
        <w:tc>
          <w:tcPr>
            <w:tcW w:w="8820" w:type="dxa"/>
            <w:tcBorders>
              <w:top w:val="nil"/>
              <w:left w:val="nil"/>
              <w:bottom w:val="nil"/>
              <w:right w:val="nil"/>
            </w:tcBorders>
            <w:shd w:val="clear" w:color="auto" w:fill="auto"/>
            <w:noWrap/>
            <w:vAlign w:val="bottom"/>
            <w:hideMark/>
          </w:tcPr>
          <w:p w14:paraId="30F7E215"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1. Demografska kretanja u Crnoj Gori na nivou regiona 1991-2020</w:t>
            </w:r>
          </w:p>
        </w:tc>
        <w:tc>
          <w:tcPr>
            <w:tcW w:w="960" w:type="dxa"/>
            <w:tcBorders>
              <w:top w:val="nil"/>
              <w:left w:val="nil"/>
              <w:bottom w:val="nil"/>
              <w:right w:val="nil"/>
            </w:tcBorders>
            <w:shd w:val="clear" w:color="auto" w:fill="auto"/>
            <w:noWrap/>
            <w:vAlign w:val="bottom"/>
            <w:hideMark/>
          </w:tcPr>
          <w:p w14:paraId="30A90FF4"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24</w:t>
            </w:r>
          </w:p>
        </w:tc>
      </w:tr>
      <w:tr w:rsidR="006756A7" w:rsidRPr="0048184E" w14:paraId="44D689CE" w14:textId="77777777" w:rsidTr="00A445B6">
        <w:trPr>
          <w:trHeight w:val="300"/>
        </w:trPr>
        <w:tc>
          <w:tcPr>
            <w:tcW w:w="8820" w:type="dxa"/>
            <w:tcBorders>
              <w:top w:val="nil"/>
              <w:left w:val="nil"/>
              <w:bottom w:val="nil"/>
              <w:right w:val="nil"/>
            </w:tcBorders>
            <w:shd w:val="clear" w:color="auto" w:fill="auto"/>
            <w:noWrap/>
            <w:vAlign w:val="bottom"/>
            <w:hideMark/>
          </w:tcPr>
          <w:p w14:paraId="06009BF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8. Prirodni priraštaj po regionima</w:t>
            </w:r>
          </w:p>
        </w:tc>
        <w:tc>
          <w:tcPr>
            <w:tcW w:w="960" w:type="dxa"/>
            <w:tcBorders>
              <w:top w:val="nil"/>
              <w:left w:val="nil"/>
              <w:bottom w:val="nil"/>
              <w:right w:val="nil"/>
            </w:tcBorders>
            <w:shd w:val="clear" w:color="auto" w:fill="auto"/>
            <w:noWrap/>
            <w:vAlign w:val="bottom"/>
            <w:hideMark/>
          </w:tcPr>
          <w:p w14:paraId="606CB131"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25</w:t>
            </w:r>
          </w:p>
        </w:tc>
      </w:tr>
      <w:tr w:rsidR="006756A7" w:rsidRPr="0048184E" w14:paraId="3DE4832A" w14:textId="77777777" w:rsidTr="00A445B6">
        <w:trPr>
          <w:trHeight w:val="300"/>
        </w:trPr>
        <w:tc>
          <w:tcPr>
            <w:tcW w:w="8820" w:type="dxa"/>
            <w:tcBorders>
              <w:top w:val="nil"/>
              <w:left w:val="nil"/>
              <w:bottom w:val="nil"/>
              <w:right w:val="nil"/>
            </w:tcBorders>
            <w:shd w:val="clear" w:color="auto" w:fill="auto"/>
            <w:noWrap/>
            <w:vAlign w:val="bottom"/>
            <w:hideMark/>
          </w:tcPr>
          <w:p w14:paraId="757177F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9. Saldo migracija iz/u inostranstvo, broj lica</w:t>
            </w:r>
          </w:p>
        </w:tc>
        <w:tc>
          <w:tcPr>
            <w:tcW w:w="960" w:type="dxa"/>
            <w:tcBorders>
              <w:top w:val="nil"/>
              <w:left w:val="nil"/>
              <w:bottom w:val="nil"/>
              <w:right w:val="nil"/>
            </w:tcBorders>
            <w:shd w:val="clear" w:color="auto" w:fill="auto"/>
            <w:noWrap/>
            <w:vAlign w:val="bottom"/>
            <w:hideMark/>
          </w:tcPr>
          <w:p w14:paraId="1D14B15A"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26</w:t>
            </w:r>
          </w:p>
        </w:tc>
      </w:tr>
      <w:tr w:rsidR="006756A7" w:rsidRPr="0048184E" w14:paraId="508B1DAF" w14:textId="77777777" w:rsidTr="00A445B6">
        <w:trPr>
          <w:trHeight w:val="300"/>
        </w:trPr>
        <w:tc>
          <w:tcPr>
            <w:tcW w:w="8820" w:type="dxa"/>
            <w:tcBorders>
              <w:top w:val="nil"/>
              <w:left w:val="nil"/>
              <w:bottom w:val="nil"/>
              <w:right w:val="nil"/>
            </w:tcBorders>
            <w:shd w:val="clear" w:color="auto" w:fill="auto"/>
            <w:noWrap/>
            <w:vAlign w:val="bottom"/>
            <w:hideMark/>
          </w:tcPr>
          <w:p w14:paraId="0288C85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10. Migracioni saldo unutrašnjih migracija, 2014-2021</w:t>
            </w:r>
          </w:p>
        </w:tc>
        <w:tc>
          <w:tcPr>
            <w:tcW w:w="960" w:type="dxa"/>
            <w:tcBorders>
              <w:top w:val="nil"/>
              <w:left w:val="nil"/>
              <w:bottom w:val="nil"/>
              <w:right w:val="nil"/>
            </w:tcBorders>
            <w:shd w:val="clear" w:color="auto" w:fill="auto"/>
            <w:noWrap/>
            <w:vAlign w:val="bottom"/>
            <w:hideMark/>
          </w:tcPr>
          <w:p w14:paraId="547967AC"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27</w:t>
            </w:r>
          </w:p>
        </w:tc>
      </w:tr>
      <w:tr w:rsidR="006756A7" w:rsidRPr="0048184E" w14:paraId="29A00A56" w14:textId="77777777" w:rsidTr="00A445B6">
        <w:trPr>
          <w:trHeight w:val="300"/>
        </w:trPr>
        <w:tc>
          <w:tcPr>
            <w:tcW w:w="8820" w:type="dxa"/>
            <w:tcBorders>
              <w:top w:val="nil"/>
              <w:left w:val="nil"/>
              <w:bottom w:val="nil"/>
              <w:right w:val="nil"/>
            </w:tcBorders>
            <w:shd w:val="clear" w:color="auto" w:fill="auto"/>
            <w:noWrap/>
            <w:vAlign w:val="bottom"/>
            <w:hideMark/>
          </w:tcPr>
          <w:p w14:paraId="03FE9825"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2. Indeks ekonomskih sloboda 2023 – Crna Gora</w:t>
            </w:r>
          </w:p>
        </w:tc>
        <w:tc>
          <w:tcPr>
            <w:tcW w:w="960" w:type="dxa"/>
            <w:tcBorders>
              <w:top w:val="nil"/>
              <w:left w:val="nil"/>
              <w:bottom w:val="nil"/>
              <w:right w:val="nil"/>
            </w:tcBorders>
            <w:shd w:val="clear" w:color="auto" w:fill="auto"/>
            <w:noWrap/>
            <w:vAlign w:val="bottom"/>
            <w:hideMark/>
          </w:tcPr>
          <w:p w14:paraId="591F878D"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29</w:t>
            </w:r>
          </w:p>
        </w:tc>
      </w:tr>
      <w:tr w:rsidR="006756A7" w:rsidRPr="0048184E" w14:paraId="2637B59F" w14:textId="77777777" w:rsidTr="00A445B6">
        <w:trPr>
          <w:trHeight w:val="300"/>
        </w:trPr>
        <w:tc>
          <w:tcPr>
            <w:tcW w:w="8820" w:type="dxa"/>
            <w:tcBorders>
              <w:top w:val="nil"/>
              <w:left w:val="nil"/>
              <w:bottom w:val="nil"/>
              <w:right w:val="nil"/>
            </w:tcBorders>
            <w:shd w:val="clear" w:color="auto" w:fill="auto"/>
            <w:noWrap/>
            <w:vAlign w:val="bottom"/>
            <w:hideMark/>
          </w:tcPr>
          <w:p w14:paraId="7BB93E1C"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3. Pregled ostvarenja izabranih međunarodnih indikatora Crne Gore i zemalja u regionu</w:t>
            </w:r>
          </w:p>
        </w:tc>
        <w:tc>
          <w:tcPr>
            <w:tcW w:w="960" w:type="dxa"/>
            <w:tcBorders>
              <w:top w:val="nil"/>
              <w:left w:val="nil"/>
              <w:bottom w:val="nil"/>
              <w:right w:val="nil"/>
            </w:tcBorders>
            <w:shd w:val="clear" w:color="auto" w:fill="auto"/>
            <w:noWrap/>
            <w:vAlign w:val="bottom"/>
            <w:hideMark/>
          </w:tcPr>
          <w:p w14:paraId="0C90B335"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30</w:t>
            </w:r>
          </w:p>
        </w:tc>
      </w:tr>
      <w:tr w:rsidR="006756A7" w:rsidRPr="0048184E" w14:paraId="15E80905" w14:textId="77777777" w:rsidTr="00A445B6">
        <w:trPr>
          <w:trHeight w:val="300"/>
        </w:trPr>
        <w:tc>
          <w:tcPr>
            <w:tcW w:w="8820" w:type="dxa"/>
            <w:tcBorders>
              <w:top w:val="nil"/>
              <w:left w:val="nil"/>
              <w:bottom w:val="nil"/>
              <w:right w:val="nil"/>
            </w:tcBorders>
            <w:shd w:val="clear" w:color="auto" w:fill="auto"/>
            <w:noWrap/>
            <w:vAlign w:val="bottom"/>
            <w:hideMark/>
          </w:tcPr>
          <w:p w14:paraId="423F6589"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4. Indeks razvijenosti JLS Crne Gore</w:t>
            </w:r>
          </w:p>
        </w:tc>
        <w:tc>
          <w:tcPr>
            <w:tcW w:w="960" w:type="dxa"/>
            <w:tcBorders>
              <w:top w:val="nil"/>
              <w:left w:val="nil"/>
              <w:bottom w:val="nil"/>
              <w:right w:val="nil"/>
            </w:tcBorders>
            <w:shd w:val="clear" w:color="auto" w:fill="auto"/>
            <w:noWrap/>
            <w:vAlign w:val="bottom"/>
            <w:hideMark/>
          </w:tcPr>
          <w:p w14:paraId="15270B45"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31</w:t>
            </w:r>
          </w:p>
        </w:tc>
      </w:tr>
      <w:tr w:rsidR="006756A7" w:rsidRPr="0048184E" w14:paraId="55A4D1E6" w14:textId="77777777" w:rsidTr="00A445B6">
        <w:trPr>
          <w:trHeight w:val="300"/>
        </w:trPr>
        <w:tc>
          <w:tcPr>
            <w:tcW w:w="8820" w:type="dxa"/>
            <w:tcBorders>
              <w:top w:val="nil"/>
              <w:left w:val="nil"/>
              <w:bottom w:val="nil"/>
              <w:right w:val="nil"/>
            </w:tcBorders>
            <w:shd w:val="clear" w:color="auto" w:fill="auto"/>
            <w:noWrap/>
            <w:vAlign w:val="bottom"/>
            <w:hideMark/>
          </w:tcPr>
          <w:p w14:paraId="01AECC14"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5. Indeks konkurentnosti JLS Crne Gore</w:t>
            </w:r>
          </w:p>
        </w:tc>
        <w:tc>
          <w:tcPr>
            <w:tcW w:w="960" w:type="dxa"/>
            <w:tcBorders>
              <w:top w:val="nil"/>
              <w:left w:val="nil"/>
              <w:bottom w:val="nil"/>
              <w:right w:val="nil"/>
            </w:tcBorders>
            <w:shd w:val="clear" w:color="auto" w:fill="auto"/>
            <w:noWrap/>
            <w:vAlign w:val="bottom"/>
            <w:hideMark/>
          </w:tcPr>
          <w:p w14:paraId="29D7C4C7"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32</w:t>
            </w:r>
          </w:p>
        </w:tc>
      </w:tr>
      <w:tr w:rsidR="006756A7" w:rsidRPr="0048184E" w14:paraId="7153A22B" w14:textId="77777777" w:rsidTr="00A445B6">
        <w:trPr>
          <w:trHeight w:val="300"/>
        </w:trPr>
        <w:tc>
          <w:tcPr>
            <w:tcW w:w="8820" w:type="dxa"/>
            <w:tcBorders>
              <w:top w:val="nil"/>
              <w:left w:val="nil"/>
              <w:bottom w:val="nil"/>
              <w:right w:val="nil"/>
            </w:tcBorders>
            <w:shd w:val="clear" w:color="auto" w:fill="auto"/>
            <w:noWrap/>
            <w:vAlign w:val="bottom"/>
            <w:hideMark/>
          </w:tcPr>
          <w:p w14:paraId="2F15399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6. SWOT analiza regionalnog razvoja Crne Gore - SJEVERNI REGION</w:t>
            </w:r>
          </w:p>
        </w:tc>
        <w:tc>
          <w:tcPr>
            <w:tcW w:w="960" w:type="dxa"/>
            <w:tcBorders>
              <w:top w:val="nil"/>
              <w:left w:val="nil"/>
              <w:bottom w:val="nil"/>
              <w:right w:val="nil"/>
            </w:tcBorders>
            <w:shd w:val="clear" w:color="auto" w:fill="auto"/>
            <w:noWrap/>
            <w:vAlign w:val="bottom"/>
            <w:hideMark/>
          </w:tcPr>
          <w:p w14:paraId="5C4F82A4"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36</w:t>
            </w:r>
          </w:p>
        </w:tc>
      </w:tr>
      <w:tr w:rsidR="006756A7" w:rsidRPr="0048184E" w14:paraId="01EE2A80" w14:textId="77777777" w:rsidTr="00A445B6">
        <w:trPr>
          <w:trHeight w:val="300"/>
        </w:trPr>
        <w:tc>
          <w:tcPr>
            <w:tcW w:w="8820" w:type="dxa"/>
            <w:tcBorders>
              <w:top w:val="nil"/>
              <w:left w:val="nil"/>
              <w:bottom w:val="nil"/>
              <w:right w:val="nil"/>
            </w:tcBorders>
            <w:shd w:val="clear" w:color="auto" w:fill="auto"/>
            <w:noWrap/>
            <w:vAlign w:val="bottom"/>
            <w:hideMark/>
          </w:tcPr>
          <w:p w14:paraId="30814E99"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7. SWOT analiza regionalnog razvoja Crne Gore - SREDIŠNJI REGION</w:t>
            </w:r>
          </w:p>
        </w:tc>
        <w:tc>
          <w:tcPr>
            <w:tcW w:w="960" w:type="dxa"/>
            <w:tcBorders>
              <w:top w:val="nil"/>
              <w:left w:val="nil"/>
              <w:bottom w:val="nil"/>
              <w:right w:val="nil"/>
            </w:tcBorders>
            <w:shd w:val="clear" w:color="auto" w:fill="auto"/>
            <w:noWrap/>
            <w:vAlign w:val="bottom"/>
            <w:hideMark/>
          </w:tcPr>
          <w:p w14:paraId="6BB10A89"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37</w:t>
            </w:r>
          </w:p>
        </w:tc>
      </w:tr>
      <w:tr w:rsidR="006756A7" w:rsidRPr="0048184E" w14:paraId="287CB1AB" w14:textId="77777777" w:rsidTr="00A445B6">
        <w:trPr>
          <w:trHeight w:val="300"/>
        </w:trPr>
        <w:tc>
          <w:tcPr>
            <w:tcW w:w="8820" w:type="dxa"/>
            <w:tcBorders>
              <w:top w:val="nil"/>
              <w:left w:val="nil"/>
              <w:bottom w:val="nil"/>
              <w:right w:val="nil"/>
            </w:tcBorders>
            <w:shd w:val="clear" w:color="auto" w:fill="auto"/>
            <w:noWrap/>
            <w:vAlign w:val="bottom"/>
            <w:hideMark/>
          </w:tcPr>
          <w:p w14:paraId="28E1266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8. SWOT analiza regionalnog razvoja Crne Gore - PRIMORSKI REGION</w:t>
            </w:r>
          </w:p>
        </w:tc>
        <w:tc>
          <w:tcPr>
            <w:tcW w:w="960" w:type="dxa"/>
            <w:tcBorders>
              <w:top w:val="nil"/>
              <w:left w:val="nil"/>
              <w:bottom w:val="nil"/>
              <w:right w:val="nil"/>
            </w:tcBorders>
            <w:shd w:val="clear" w:color="auto" w:fill="auto"/>
            <w:noWrap/>
            <w:vAlign w:val="bottom"/>
            <w:hideMark/>
          </w:tcPr>
          <w:p w14:paraId="6089FB5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38</w:t>
            </w:r>
          </w:p>
        </w:tc>
      </w:tr>
      <w:tr w:rsidR="006756A7" w:rsidRPr="0048184E" w14:paraId="7B6E66B4" w14:textId="77777777" w:rsidTr="00A445B6">
        <w:trPr>
          <w:trHeight w:val="300"/>
        </w:trPr>
        <w:tc>
          <w:tcPr>
            <w:tcW w:w="8820" w:type="dxa"/>
            <w:tcBorders>
              <w:top w:val="nil"/>
              <w:left w:val="nil"/>
              <w:bottom w:val="nil"/>
              <w:right w:val="nil"/>
            </w:tcBorders>
            <w:shd w:val="clear" w:color="auto" w:fill="auto"/>
            <w:noWrap/>
            <w:vAlign w:val="bottom"/>
            <w:hideMark/>
          </w:tcPr>
          <w:p w14:paraId="52B8BE45"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9. Vizija i strateški ciljevi regionalnog razvoja 2023-2027</w:t>
            </w:r>
          </w:p>
        </w:tc>
        <w:tc>
          <w:tcPr>
            <w:tcW w:w="960" w:type="dxa"/>
            <w:tcBorders>
              <w:top w:val="nil"/>
              <w:left w:val="nil"/>
              <w:bottom w:val="nil"/>
              <w:right w:val="nil"/>
            </w:tcBorders>
            <w:shd w:val="clear" w:color="auto" w:fill="auto"/>
            <w:noWrap/>
            <w:vAlign w:val="bottom"/>
            <w:hideMark/>
          </w:tcPr>
          <w:p w14:paraId="14682C0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45</w:t>
            </w:r>
          </w:p>
        </w:tc>
      </w:tr>
      <w:tr w:rsidR="006756A7" w:rsidRPr="0048184E" w14:paraId="07667D9A" w14:textId="77777777" w:rsidTr="00A445B6">
        <w:trPr>
          <w:trHeight w:val="300"/>
        </w:trPr>
        <w:tc>
          <w:tcPr>
            <w:tcW w:w="8820" w:type="dxa"/>
            <w:tcBorders>
              <w:top w:val="nil"/>
              <w:left w:val="nil"/>
              <w:bottom w:val="nil"/>
              <w:right w:val="nil"/>
            </w:tcBorders>
            <w:shd w:val="clear" w:color="auto" w:fill="auto"/>
            <w:noWrap/>
            <w:vAlign w:val="bottom"/>
            <w:hideMark/>
          </w:tcPr>
          <w:p w14:paraId="5566F6E2"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10. Predlog prioritetnih oblasti po stubovima rasta za period 2023-2027</w:t>
            </w:r>
          </w:p>
        </w:tc>
        <w:tc>
          <w:tcPr>
            <w:tcW w:w="960" w:type="dxa"/>
            <w:tcBorders>
              <w:top w:val="nil"/>
              <w:left w:val="nil"/>
              <w:bottom w:val="nil"/>
              <w:right w:val="nil"/>
            </w:tcBorders>
            <w:shd w:val="clear" w:color="auto" w:fill="auto"/>
            <w:noWrap/>
            <w:vAlign w:val="bottom"/>
            <w:hideMark/>
          </w:tcPr>
          <w:p w14:paraId="6A1A20BA"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45</w:t>
            </w:r>
          </w:p>
        </w:tc>
      </w:tr>
      <w:tr w:rsidR="006756A7" w:rsidRPr="0048184E" w14:paraId="478D5497" w14:textId="77777777" w:rsidTr="00A445B6">
        <w:trPr>
          <w:trHeight w:val="300"/>
        </w:trPr>
        <w:tc>
          <w:tcPr>
            <w:tcW w:w="8820" w:type="dxa"/>
            <w:tcBorders>
              <w:top w:val="nil"/>
              <w:left w:val="nil"/>
              <w:bottom w:val="nil"/>
              <w:right w:val="nil"/>
            </w:tcBorders>
            <w:shd w:val="clear" w:color="auto" w:fill="auto"/>
            <w:noWrap/>
            <w:vAlign w:val="bottom"/>
            <w:hideMark/>
          </w:tcPr>
          <w:p w14:paraId="01ED445B" w14:textId="77777777" w:rsidR="006756A7" w:rsidRPr="0048184E" w:rsidRDefault="006756A7" w:rsidP="0048184E">
            <w:pPr>
              <w:spacing w:after="0" w:line="240" w:lineRule="auto"/>
              <w:rPr>
                <w:rFonts w:eastAsia="Times New Roman" w:cs="Calibri"/>
                <w:sz w:val="18"/>
                <w:szCs w:val="18"/>
              </w:rPr>
            </w:pPr>
            <w:r w:rsidRPr="0048184E">
              <w:rPr>
                <w:rFonts w:eastAsia="Times New Roman" w:cs="Calibri"/>
                <w:sz w:val="18"/>
                <w:szCs w:val="18"/>
              </w:rPr>
              <w:t>Tabela 11. Plan implementacije i monitoringa SRR 2023-2027</w:t>
            </w:r>
          </w:p>
        </w:tc>
        <w:tc>
          <w:tcPr>
            <w:tcW w:w="960" w:type="dxa"/>
            <w:tcBorders>
              <w:top w:val="nil"/>
              <w:left w:val="nil"/>
              <w:bottom w:val="nil"/>
              <w:right w:val="nil"/>
            </w:tcBorders>
            <w:shd w:val="clear" w:color="auto" w:fill="auto"/>
            <w:noWrap/>
            <w:vAlign w:val="bottom"/>
            <w:hideMark/>
          </w:tcPr>
          <w:p w14:paraId="06640E82"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64</w:t>
            </w:r>
          </w:p>
        </w:tc>
      </w:tr>
    </w:tbl>
    <w:p w14:paraId="13F2FAA4" w14:textId="77777777" w:rsidR="006756A7" w:rsidRPr="0048184E" w:rsidRDefault="006756A7" w:rsidP="0048184E">
      <w:pPr>
        <w:pStyle w:val="NoSpacing"/>
        <w:jc w:val="both"/>
        <w:rPr>
          <w:rFonts w:asciiTheme="minorHAnsi" w:hAnsiTheme="minorHAnsi"/>
          <w:b/>
          <w:sz w:val="18"/>
          <w:szCs w:val="18"/>
          <w:lang w:val="sr-Latn-ME"/>
        </w:rPr>
      </w:pPr>
      <w:r w:rsidRPr="0048184E">
        <w:rPr>
          <w:rFonts w:asciiTheme="minorHAnsi" w:hAnsiTheme="minorHAnsi"/>
          <w:b/>
          <w:sz w:val="18"/>
          <w:szCs w:val="18"/>
          <w:lang w:val="sr-Latn-ME"/>
        </w:rPr>
        <w:fldChar w:fldCharType="end"/>
      </w:r>
    </w:p>
    <w:p w14:paraId="6B862F4E" w14:textId="77777777" w:rsidR="006756A7" w:rsidRPr="0048184E" w:rsidRDefault="006756A7" w:rsidP="0048184E">
      <w:pPr>
        <w:pStyle w:val="NoSpacing"/>
        <w:jc w:val="both"/>
        <w:rPr>
          <w:rFonts w:asciiTheme="minorHAnsi" w:hAnsiTheme="minorHAnsi"/>
          <w:b/>
          <w:sz w:val="18"/>
          <w:szCs w:val="18"/>
          <w:lang w:val="sr-Latn-ME"/>
        </w:rPr>
      </w:pPr>
    </w:p>
    <w:p w14:paraId="15D1B95A" w14:textId="77777777" w:rsidR="006756A7" w:rsidRPr="0048184E" w:rsidRDefault="006756A7" w:rsidP="0048184E">
      <w:pPr>
        <w:pStyle w:val="NoSpacing"/>
        <w:jc w:val="center"/>
        <w:rPr>
          <w:rFonts w:asciiTheme="minorHAnsi" w:hAnsiTheme="minorHAnsi"/>
          <w:b/>
          <w:sz w:val="18"/>
          <w:szCs w:val="18"/>
          <w:lang w:val="sr-Latn-ME"/>
        </w:rPr>
      </w:pPr>
    </w:p>
    <w:p w14:paraId="29C06878" w14:textId="77777777" w:rsidR="006756A7" w:rsidRPr="0048184E" w:rsidRDefault="006756A7" w:rsidP="0048184E">
      <w:pPr>
        <w:pStyle w:val="NoSpacing"/>
        <w:jc w:val="center"/>
        <w:rPr>
          <w:rFonts w:asciiTheme="minorHAnsi" w:hAnsiTheme="minorHAnsi"/>
          <w:b/>
          <w:sz w:val="18"/>
          <w:szCs w:val="18"/>
          <w:lang w:val="sr-Latn-ME"/>
        </w:rPr>
      </w:pPr>
    </w:p>
    <w:p w14:paraId="557494F7" w14:textId="77777777" w:rsidR="006756A7" w:rsidRPr="0048184E" w:rsidRDefault="006756A7" w:rsidP="0048184E">
      <w:pPr>
        <w:pStyle w:val="NoSpacing"/>
        <w:jc w:val="center"/>
        <w:rPr>
          <w:rFonts w:asciiTheme="minorHAnsi" w:hAnsiTheme="minorHAnsi"/>
          <w:b/>
          <w:sz w:val="18"/>
          <w:szCs w:val="18"/>
          <w:lang w:val="sr-Latn-ME"/>
        </w:rPr>
      </w:pPr>
    </w:p>
    <w:p w14:paraId="7483AB9B" w14:textId="77777777" w:rsidR="006756A7" w:rsidRPr="0048184E" w:rsidRDefault="006756A7" w:rsidP="0048184E">
      <w:pPr>
        <w:pStyle w:val="NoSpacing"/>
        <w:jc w:val="center"/>
        <w:rPr>
          <w:rFonts w:asciiTheme="minorHAnsi" w:hAnsiTheme="minorHAnsi"/>
          <w:b/>
          <w:sz w:val="18"/>
          <w:szCs w:val="18"/>
          <w:lang w:val="sr-Latn-ME"/>
        </w:rPr>
      </w:pPr>
    </w:p>
    <w:p w14:paraId="7A5B5E61" w14:textId="77777777" w:rsidR="006756A7" w:rsidRPr="0048184E" w:rsidRDefault="006756A7" w:rsidP="0048184E">
      <w:pPr>
        <w:pStyle w:val="NoSpacing"/>
        <w:jc w:val="center"/>
        <w:rPr>
          <w:rFonts w:asciiTheme="minorHAnsi" w:hAnsiTheme="minorHAnsi"/>
          <w:b/>
          <w:sz w:val="18"/>
          <w:szCs w:val="18"/>
          <w:lang w:val="sr-Latn-ME"/>
        </w:rPr>
      </w:pPr>
    </w:p>
    <w:p w14:paraId="1E409FDC" w14:textId="77777777" w:rsidR="006756A7" w:rsidRPr="0048184E" w:rsidRDefault="006756A7" w:rsidP="0048184E">
      <w:pPr>
        <w:pStyle w:val="NoSpacing"/>
        <w:jc w:val="center"/>
        <w:rPr>
          <w:rFonts w:asciiTheme="minorHAnsi" w:hAnsiTheme="minorHAnsi"/>
          <w:b/>
          <w:sz w:val="18"/>
          <w:szCs w:val="18"/>
          <w:lang w:val="sr-Latn-ME"/>
        </w:rPr>
      </w:pPr>
    </w:p>
    <w:p w14:paraId="30416EB3" w14:textId="77777777" w:rsidR="006756A7" w:rsidRPr="0048184E" w:rsidRDefault="006756A7" w:rsidP="0048184E">
      <w:pPr>
        <w:pStyle w:val="NoSpacing"/>
        <w:jc w:val="center"/>
        <w:rPr>
          <w:rFonts w:asciiTheme="minorHAnsi" w:hAnsiTheme="minorHAnsi"/>
          <w:b/>
          <w:sz w:val="18"/>
          <w:szCs w:val="18"/>
          <w:lang w:val="sr-Latn-ME"/>
        </w:rPr>
      </w:pPr>
    </w:p>
    <w:p w14:paraId="59409035" w14:textId="77777777" w:rsidR="006756A7" w:rsidRPr="0048184E" w:rsidRDefault="006756A7" w:rsidP="0048184E">
      <w:pPr>
        <w:pStyle w:val="NoSpacing"/>
        <w:jc w:val="center"/>
        <w:rPr>
          <w:rFonts w:asciiTheme="minorHAnsi" w:hAnsiTheme="minorHAnsi"/>
          <w:b/>
          <w:sz w:val="18"/>
          <w:szCs w:val="18"/>
          <w:lang w:val="sr-Latn-ME"/>
        </w:rPr>
      </w:pPr>
    </w:p>
    <w:p w14:paraId="1CE93086" w14:textId="77777777" w:rsidR="00307841" w:rsidRPr="0048184E" w:rsidRDefault="00307841" w:rsidP="0048184E">
      <w:pPr>
        <w:pStyle w:val="NoSpacing"/>
        <w:rPr>
          <w:rFonts w:asciiTheme="minorHAnsi" w:hAnsiTheme="minorHAnsi"/>
          <w:b/>
          <w:sz w:val="18"/>
          <w:szCs w:val="18"/>
          <w:lang w:val="sr-Latn-ME"/>
        </w:rPr>
      </w:pPr>
    </w:p>
    <w:p w14:paraId="38F75467" w14:textId="77777777" w:rsidR="00307841" w:rsidRPr="0048184E" w:rsidRDefault="00307841" w:rsidP="0048184E">
      <w:pPr>
        <w:pStyle w:val="NoSpacing"/>
        <w:jc w:val="center"/>
        <w:rPr>
          <w:rFonts w:asciiTheme="minorHAnsi" w:hAnsiTheme="minorHAnsi"/>
          <w:b/>
          <w:sz w:val="18"/>
          <w:szCs w:val="18"/>
          <w:lang w:val="sr-Latn-ME"/>
        </w:rPr>
      </w:pPr>
    </w:p>
    <w:p w14:paraId="036DD774" w14:textId="77777777" w:rsidR="000F5D44" w:rsidRPr="0048184E" w:rsidRDefault="000F5D44" w:rsidP="0048184E">
      <w:pPr>
        <w:pStyle w:val="NoSpacing"/>
        <w:jc w:val="center"/>
        <w:rPr>
          <w:rFonts w:asciiTheme="minorHAnsi" w:hAnsiTheme="minorHAnsi"/>
          <w:b/>
          <w:sz w:val="18"/>
          <w:szCs w:val="18"/>
          <w:lang w:val="sr-Latn-ME"/>
        </w:rPr>
      </w:pPr>
    </w:p>
    <w:p w14:paraId="27EF1D10" w14:textId="77777777" w:rsidR="000F5D44" w:rsidRDefault="000F5D44" w:rsidP="0048184E">
      <w:pPr>
        <w:pStyle w:val="NoSpacing"/>
        <w:jc w:val="center"/>
        <w:rPr>
          <w:rFonts w:asciiTheme="minorHAnsi" w:hAnsiTheme="minorHAnsi"/>
          <w:b/>
          <w:sz w:val="18"/>
          <w:szCs w:val="18"/>
          <w:lang w:val="sr-Latn-ME"/>
        </w:rPr>
      </w:pPr>
    </w:p>
    <w:p w14:paraId="1B3AB0D4" w14:textId="77777777" w:rsidR="009D2DEA" w:rsidRDefault="009D2DEA" w:rsidP="0048184E">
      <w:pPr>
        <w:pStyle w:val="NoSpacing"/>
        <w:jc w:val="center"/>
        <w:rPr>
          <w:rFonts w:asciiTheme="minorHAnsi" w:hAnsiTheme="minorHAnsi"/>
          <w:b/>
          <w:sz w:val="18"/>
          <w:szCs w:val="18"/>
          <w:lang w:val="sr-Latn-ME"/>
        </w:rPr>
      </w:pPr>
    </w:p>
    <w:p w14:paraId="359E6977" w14:textId="77777777" w:rsidR="009D2DEA" w:rsidRDefault="009D2DEA" w:rsidP="0048184E">
      <w:pPr>
        <w:pStyle w:val="NoSpacing"/>
        <w:jc w:val="center"/>
        <w:rPr>
          <w:rFonts w:asciiTheme="minorHAnsi" w:hAnsiTheme="minorHAnsi"/>
          <w:b/>
          <w:sz w:val="18"/>
          <w:szCs w:val="18"/>
          <w:lang w:val="sr-Latn-ME"/>
        </w:rPr>
      </w:pPr>
    </w:p>
    <w:p w14:paraId="1940D9C4" w14:textId="77777777" w:rsidR="009D2DEA" w:rsidRDefault="009D2DEA" w:rsidP="0048184E">
      <w:pPr>
        <w:pStyle w:val="NoSpacing"/>
        <w:jc w:val="center"/>
        <w:rPr>
          <w:rFonts w:asciiTheme="minorHAnsi" w:hAnsiTheme="minorHAnsi"/>
          <w:b/>
          <w:sz w:val="18"/>
          <w:szCs w:val="18"/>
          <w:lang w:val="sr-Latn-ME"/>
        </w:rPr>
      </w:pPr>
    </w:p>
    <w:p w14:paraId="67EEFE61" w14:textId="77777777" w:rsidR="009D2DEA" w:rsidRDefault="009D2DEA" w:rsidP="0048184E">
      <w:pPr>
        <w:pStyle w:val="NoSpacing"/>
        <w:jc w:val="center"/>
        <w:rPr>
          <w:rFonts w:asciiTheme="minorHAnsi" w:hAnsiTheme="minorHAnsi"/>
          <w:b/>
          <w:sz w:val="18"/>
          <w:szCs w:val="18"/>
          <w:lang w:val="sr-Latn-ME"/>
        </w:rPr>
      </w:pPr>
    </w:p>
    <w:p w14:paraId="56A1C8B2" w14:textId="77777777" w:rsidR="009D2DEA" w:rsidRDefault="009D2DEA" w:rsidP="0048184E">
      <w:pPr>
        <w:pStyle w:val="NoSpacing"/>
        <w:jc w:val="center"/>
        <w:rPr>
          <w:rFonts w:asciiTheme="minorHAnsi" w:hAnsiTheme="minorHAnsi"/>
          <w:b/>
          <w:sz w:val="18"/>
          <w:szCs w:val="18"/>
          <w:lang w:val="sr-Latn-ME"/>
        </w:rPr>
      </w:pPr>
    </w:p>
    <w:p w14:paraId="179D3F5D" w14:textId="77777777" w:rsidR="009D2DEA" w:rsidRDefault="009D2DEA" w:rsidP="0048184E">
      <w:pPr>
        <w:pStyle w:val="NoSpacing"/>
        <w:jc w:val="center"/>
        <w:rPr>
          <w:rFonts w:asciiTheme="minorHAnsi" w:hAnsiTheme="minorHAnsi"/>
          <w:b/>
          <w:sz w:val="18"/>
          <w:szCs w:val="18"/>
          <w:lang w:val="sr-Latn-ME"/>
        </w:rPr>
      </w:pPr>
    </w:p>
    <w:p w14:paraId="06949F71" w14:textId="77777777" w:rsidR="009D2DEA" w:rsidRDefault="009D2DEA" w:rsidP="0048184E">
      <w:pPr>
        <w:pStyle w:val="NoSpacing"/>
        <w:jc w:val="center"/>
        <w:rPr>
          <w:rFonts w:asciiTheme="minorHAnsi" w:hAnsiTheme="minorHAnsi"/>
          <w:b/>
          <w:sz w:val="18"/>
          <w:szCs w:val="18"/>
          <w:lang w:val="sr-Latn-ME"/>
        </w:rPr>
      </w:pPr>
    </w:p>
    <w:p w14:paraId="0EB55E90" w14:textId="77777777" w:rsidR="009D2DEA" w:rsidRDefault="009D2DEA" w:rsidP="0048184E">
      <w:pPr>
        <w:pStyle w:val="NoSpacing"/>
        <w:jc w:val="center"/>
        <w:rPr>
          <w:rFonts w:asciiTheme="minorHAnsi" w:hAnsiTheme="minorHAnsi"/>
          <w:b/>
          <w:sz w:val="18"/>
          <w:szCs w:val="18"/>
          <w:lang w:val="sr-Latn-ME"/>
        </w:rPr>
      </w:pPr>
    </w:p>
    <w:p w14:paraId="5EF969BE" w14:textId="77777777" w:rsidR="009D2DEA" w:rsidRDefault="009D2DEA" w:rsidP="0048184E">
      <w:pPr>
        <w:pStyle w:val="NoSpacing"/>
        <w:jc w:val="center"/>
        <w:rPr>
          <w:rFonts w:asciiTheme="minorHAnsi" w:hAnsiTheme="minorHAnsi"/>
          <w:b/>
          <w:sz w:val="18"/>
          <w:szCs w:val="18"/>
          <w:lang w:val="sr-Latn-ME"/>
        </w:rPr>
      </w:pPr>
    </w:p>
    <w:p w14:paraId="215A770A" w14:textId="77777777" w:rsidR="009D2DEA" w:rsidRDefault="009D2DEA" w:rsidP="0048184E">
      <w:pPr>
        <w:pStyle w:val="NoSpacing"/>
        <w:jc w:val="center"/>
        <w:rPr>
          <w:rFonts w:asciiTheme="minorHAnsi" w:hAnsiTheme="minorHAnsi"/>
          <w:b/>
          <w:sz w:val="18"/>
          <w:szCs w:val="18"/>
          <w:lang w:val="sr-Latn-ME"/>
        </w:rPr>
      </w:pPr>
    </w:p>
    <w:p w14:paraId="26958C62" w14:textId="77777777" w:rsidR="00307841" w:rsidRPr="0048184E" w:rsidRDefault="00307841" w:rsidP="0048184E">
      <w:pPr>
        <w:pStyle w:val="NoSpacing"/>
        <w:jc w:val="center"/>
        <w:rPr>
          <w:rFonts w:asciiTheme="minorHAnsi" w:hAnsiTheme="minorHAnsi"/>
          <w:b/>
          <w:sz w:val="18"/>
          <w:szCs w:val="18"/>
          <w:lang w:val="sr-Latn-ME"/>
        </w:rPr>
      </w:pPr>
    </w:p>
    <w:p w14:paraId="52374598" w14:textId="77777777" w:rsidR="009B6BE0" w:rsidRPr="0048184E" w:rsidRDefault="009B6BE0" w:rsidP="0048184E">
      <w:pPr>
        <w:pStyle w:val="NoSpacing"/>
        <w:jc w:val="center"/>
        <w:rPr>
          <w:rFonts w:asciiTheme="minorHAnsi" w:hAnsiTheme="minorHAnsi"/>
          <w:b/>
          <w:sz w:val="18"/>
          <w:szCs w:val="18"/>
          <w:lang w:val="sr-Latn-ME"/>
        </w:rPr>
      </w:pPr>
    </w:p>
    <w:p w14:paraId="2D75C8B0" w14:textId="77777777" w:rsidR="006756A7" w:rsidRPr="0048184E" w:rsidRDefault="006756A7" w:rsidP="0048184E">
      <w:pPr>
        <w:pStyle w:val="Heading2"/>
        <w:spacing w:before="0" w:line="240" w:lineRule="auto"/>
        <w:jc w:val="center"/>
        <w:rPr>
          <w:rFonts w:asciiTheme="minorHAnsi" w:hAnsiTheme="minorHAnsi"/>
          <w:color w:val="auto"/>
          <w:sz w:val="18"/>
          <w:szCs w:val="18"/>
        </w:rPr>
      </w:pPr>
      <w:bookmarkStart w:id="74" w:name="_Toc205215864"/>
      <w:r w:rsidRPr="0048184E">
        <w:rPr>
          <w:rFonts w:asciiTheme="minorHAnsi" w:hAnsiTheme="minorHAnsi"/>
          <w:color w:val="auto"/>
          <w:sz w:val="18"/>
          <w:szCs w:val="18"/>
        </w:rPr>
        <w:lastRenderedPageBreak/>
        <w:t>ANEKS 1</w:t>
      </w:r>
      <w:bookmarkEnd w:id="74"/>
    </w:p>
    <w:p w14:paraId="1AA0D411" w14:textId="77777777" w:rsidR="006756A7" w:rsidRPr="0048184E" w:rsidRDefault="006756A7" w:rsidP="0048184E">
      <w:pPr>
        <w:pStyle w:val="NoSpacing"/>
        <w:jc w:val="center"/>
        <w:rPr>
          <w:rFonts w:asciiTheme="minorHAnsi" w:hAnsiTheme="minorHAnsi"/>
          <w:b/>
          <w:sz w:val="18"/>
          <w:szCs w:val="18"/>
          <w:lang w:val="sr-Latn-ME"/>
        </w:rPr>
      </w:pPr>
      <w:r w:rsidRPr="0048184E">
        <w:rPr>
          <w:rFonts w:asciiTheme="minorHAnsi" w:hAnsiTheme="minorHAnsi"/>
          <w:b/>
          <w:sz w:val="18"/>
          <w:szCs w:val="18"/>
          <w:lang w:val="sr-Latn-ME"/>
        </w:rPr>
        <w:t>Analiza zainteresovanih strana</w:t>
      </w:r>
    </w:p>
    <w:p w14:paraId="26F458A2" w14:textId="77777777" w:rsidR="006756A7" w:rsidRPr="0048184E" w:rsidRDefault="006756A7" w:rsidP="0048184E">
      <w:pPr>
        <w:pStyle w:val="NoSpacing"/>
        <w:jc w:val="center"/>
        <w:rPr>
          <w:rFonts w:asciiTheme="minorHAnsi" w:hAnsiTheme="minorHAnsi"/>
          <w:b/>
          <w:sz w:val="18"/>
          <w:szCs w:val="18"/>
          <w:lang w:val="sr-Latn-ME"/>
        </w:rPr>
      </w:pPr>
    </w:p>
    <w:p w14:paraId="06F90B22" w14:textId="77777777" w:rsidR="006756A7" w:rsidRPr="0048184E" w:rsidRDefault="006756A7" w:rsidP="0048184E">
      <w:pPr>
        <w:spacing w:after="0" w:line="240" w:lineRule="auto"/>
        <w:rPr>
          <w:rFonts w:eastAsia="Times New Roman" w:cs="Calibri"/>
          <w:sz w:val="18"/>
          <w:szCs w:val="18"/>
          <w:lang w:val="en-GB"/>
        </w:rPr>
      </w:pPr>
    </w:p>
    <w:tbl>
      <w:tblPr>
        <w:tblW w:w="9280" w:type="dxa"/>
        <w:tblLook w:val="04A0" w:firstRow="1" w:lastRow="0" w:firstColumn="1" w:lastColumn="0" w:noHBand="0" w:noVBand="1"/>
      </w:tblPr>
      <w:tblGrid>
        <w:gridCol w:w="1985"/>
        <w:gridCol w:w="4955"/>
        <w:gridCol w:w="900"/>
        <w:gridCol w:w="1440"/>
      </w:tblGrid>
      <w:tr w:rsidR="006756A7" w:rsidRPr="0048184E" w14:paraId="491A7ECD" w14:textId="77777777" w:rsidTr="00A445B6">
        <w:trPr>
          <w:trHeight w:val="360"/>
        </w:trPr>
        <w:tc>
          <w:tcPr>
            <w:tcW w:w="1985" w:type="dxa"/>
            <w:tcBorders>
              <w:top w:val="single" w:sz="4" w:space="0" w:color="auto"/>
              <w:left w:val="single" w:sz="4" w:space="0" w:color="auto"/>
              <w:bottom w:val="single" w:sz="4" w:space="0" w:color="auto"/>
              <w:right w:val="single" w:sz="4" w:space="0" w:color="auto"/>
            </w:tcBorders>
            <w:shd w:val="clear" w:color="000000" w:fill="BDD7EE"/>
            <w:noWrap/>
            <w:hideMark/>
          </w:tcPr>
          <w:p w14:paraId="1B2CC762" w14:textId="77777777" w:rsidR="006756A7" w:rsidRPr="0048184E" w:rsidRDefault="006756A7" w:rsidP="0048184E">
            <w:pPr>
              <w:spacing w:after="0" w:line="240" w:lineRule="auto"/>
              <w:rPr>
                <w:rFonts w:eastAsia="Times New Roman" w:cs="Calibri"/>
                <w:b/>
                <w:sz w:val="18"/>
                <w:szCs w:val="18"/>
                <w:lang w:val="en-GB"/>
              </w:rPr>
            </w:pPr>
            <w:r w:rsidRPr="0048184E">
              <w:rPr>
                <w:rFonts w:eastAsia="Times New Roman" w:cs="Calibri"/>
                <w:b/>
                <w:sz w:val="18"/>
                <w:szCs w:val="18"/>
                <w:lang w:val="en-GB"/>
              </w:rPr>
              <w:t>Zainteresovana strana</w:t>
            </w:r>
          </w:p>
        </w:tc>
        <w:tc>
          <w:tcPr>
            <w:tcW w:w="4955" w:type="dxa"/>
            <w:tcBorders>
              <w:top w:val="single" w:sz="4" w:space="0" w:color="auto"/>
              <w:left w:val="nil"/>
              <w:bottom w:val="single" w:sz="4" w:space="0" w:color="auto"/>
              <w:right w:val="single" w:sz="4" w:space="0" w:color="auto"/>
            </w:tcBorders>
            <w:shd w:val="clear" w:color="000000" w:fill="BDD7EE"/>
            <w:noWrap/>
            <w:hideMark/>
          </w:tcPr>
          <w:p w14:paraId="1FE9BEA4" w14:textId="77777777" w:rsidR="006756A7" w:rsidRPr="0048184E" w:rsidRDefault="006756A7" w:rsidP="0048184E">
            <w:pPr>
              <w:spacing w:after="0" w:line="240" w:lineRule="auto"/>
              <w:rPr>
                <w:rFonts w:eastAsia="Times New Roman" w:cs="Calibri"/>
                <w:b/>
                <w:sz w:val="18"/>
                <w:szCs w:val="18"/>
                <w:lang w:val="pl-PL"/>
              </w:rPr>
            </w:pPr>
            <w:r w:rsidRPr="0048184E">
              <w:rPr>
                <w:rFonts w:eastAsia="Times New Roman" w:cs="Calibri"/>
                <w:b/>
                <w:sz w:val="18"/>
                <w:szCs w:val="18"/>
                <w:lang w:val="pl-PL"/>
              </w:rPr>
              <w:t>Odnos (relacija) prema SRR i mjerama iz AP</w:t>
            </w:r>
          </w:p>
        </w:tc>
        <w:tc>
          <w:tcPr>
            <w:tcW w:w="900" w:type="dxa"/>
            <w:tcBorders>
              <w:top w:val="single" w:sz="4" w:space="0" w:color="auto"/>
              <w:left w:val="nil"/>
              <w:bottom w:val="single" w:sz="4" w:space="0" w:color="auto"/>
              <w:right w:val="single" w:sz="4" w:space="0" w:color="auto"/>
            </w:tcBorders>
            <w:shd w:val="clear" w:color="000000" w:fill="BDD7EE"/>
            <w:noWrap/>
            <w:hideMark/>
          </w:tcPr>
          <w:p w14:paraId="65434A5B" w14:textId="77777777" w:rsidR="006756A7" w:rsidRPr="0048184E" w:rsidRDefault="006756A7" w:rsidP="0048184E">
            <w:pPr>
              <w:spacing w:after="0" w:line="240" w:lineRule="auto"/>
              <w:jc w:val="both"/>
              <w:rPr>
                <w:rFonts w:eastAsia="Times New Roman" w:cs="Calibri"/>
                <w:b/>
                <w:sz w:val="18"/>
                <w:szCs w:val="18"/>
                <w:lang w:val="en-GB"/>
              </w:rPr>
            </w:pPr>
            <w:r w:rsidRPr="0048184E">
              <w:rPr>
                <w:rFonts w:eastAsia="Times New Roman" w:cs="Calibri"/>
                <w:b/>
                <w:sz w:val="18"/>
                <w:szCs w:val="18"/>
                <w:lang w:val="en-GB"/>
              </w:rPr>
              <w:t>Interes</w:t>
            </w:r>
          </w:p>
        </w:tc>
        <w:tc>
          <w:tcPr>
            <w:tcW w:w="1440" w:type="dxa"/>
            <w:tcBorders>
              <w:top w:val="single" w:sz="4" w:space="0" w:color="auto"/>
              <w:left w:val="nil"/>
              <w:bottom w:val="single" w:sz="4" w:space="0" w:color="auto"/>
              <w:right w:val="single" w:sz="4" w:space="0" w:color="auto"/>
            </w:tcBorders>
            <w:shd w:val="clear" w:color="000000" w:fill="BDD7EE"/>
            <w:noWrap/>
            <w:hideMark/>
          </w:tcPr>
          <w:p w14:paraId="61886869" w14:textId="77777777" w:rsidR="006756A7" w:rsidRPr="0048184E" w:rsidRDefault="006756A7" w:rsidP="0048184E">
            <w:pPr>
              <w:spacing w:after="0" w:line="240" w:lineRule="auto"/>
              <w:jc w:val="both"/>
              <w:rPr>
                <w:rFonts w:eastAsia="Times New Roman" w:cs="Calibri"/>
                <w:b/>
                <w:sz w:val="18"/>
                <w:szCs w:val="18"/>
                <w:lang w:val="en-GB"/>
              </w:rPr>
            </w:pPr>
            <w:r w:rsidRPr="0048184E">
              <w:rPr>
                <w:rFonts w:eastAsia="Times New Roman" w:cs="Calibri"/>
                <w:b/>
                <w:sz w:val="18"/>
                <w:szCs w:val="18"/>
                <w:lang w:val="en-GB"/>
              </w:rPr>
              <w:t>Uticaj/Snaga</w:t>
            </w:r>
          </w:p>
        </w:tc>
      </w:tr>
      <w:tr w:rsidR="006756A7" w:rsidRPr="0048184E" w14:paraId="24088053" w14:textId="77777777" w:rsidTr="00A445B6">
        <w:trPr>
          <w:trHeight w:val="1265"/>
        </w:trPr>
        <w:tc>
          <w:tcPr>
            <w:tcW w:w="1985" w:type="dxa"/>
            <w:tcBorders>
              <w:top w:val="nil"/>
              <w:left w:val="single" w:sz="4" w:space="0" w:color="auto"/>
              <w:bottom w:val="single" w:sz="4" w:space="0" w:color="auto"/>
              <w:right w:val="single" w:sz="4" w:space="0" w:color="auto"/>
            </w:tcBorders>
            <w:shd w:val="clear" w:color="auto" w:fill="auto"/>
            <w:hideMark/>
          </w:tcPr>
          <w:p w14:paraId="187F6594"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w:t>
            </w:r>
            <w:r w:rsidR="00756D67" w:rsidRPr="0048184E">
              <w:rPr>
                <w:rFonts w:eastAsia="Times New Roman" w:cs="Calibri"/>
                <w:sz w:val="18"/>
                <w:szCs w:val="18"/>
                <w:lang w:val="pl-PL"/>
              </w:rPr>
              <w:t>vo ivesticiono-regionalnog razvoja i saradnje sa NVO</w:t>
            </w:r>
          </w:p>
        </w:tc>
        <w:tc>
          <w:tcPr>
            <w:tcW w:w="4955" w:type="dxa"/>
            <w:tcBorders>
              <w:top w:val="nil"/>
              <w:left w:val="nil"/>
              <w:bottom w:val="single" w:sz="4" w:space="0" w:color="auto"/>
              <w:right w:val="single" w:sz="4" w:space="0" w:color="auto"/>
            </w:tcBorders>
            <w:shd w:val="clear" w:color="auto" w:fill="auto"/>
            <w:hideMark/>
          </w:tcPr>
          <w:p w14:paraId="6A688FD7"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Resorno ministarstvo, kreiranje politike i praćenje sprovođenja, izvještavanje; Partnerski savjet za regionalni razvoj; komplementarnost i sinergija sa ostalim politikama u nadležnosti Ministarstva ekonomskog razvoja; Koordinacija podrške i programa oporavka od efekata pandemije; Program za unaprjeđenje konkurentnosti privrede</w:t>
            </w:r>
          </w:p>
        </w:tc>
        <w:tc>
          <w:tcPr>
            <w:tcW w:w="900" w:type="dxa"/>
            <w:tcBorders>
              <w:top w:val="nil"/>
              <w:left w:val="nil"/>
              <w:bottom w:val="single" w:sz="4" w:space="0" w:color="auto"/>
              <w:right w:val="single" w:sz="4" w:space="0" w:color="auto"/>
            </w:tcBorders>
            <w:shd w:val="clear" w:color="auto" w:fill="auto"/>
            <w:noWrap/>
            <w:hideMark/>
          </w:tcPr>
          <w:p w14:paraId="48632A5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1F5BE90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3FB127AB"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hideMark/>
          </w:tcPr>
          <w:p w14:paraId="752FB981"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Jedinice lokalne samouprave</w:t>
            </w:r>
          </w:p>
        </w:tc>
        <w:tc>
          <w:tcPr>
            <w:tcW w:w="4955" w:type="dxa"/>
            <w:tcBorders>
              <w:top w:val="nil"/>
              <w:left w:val="nil"/>
              <w:bottom w:val="single" w:sz="4" w:space="0" w:color="auto"/>
              <w:right w:val="single" w:sz="4" w:space="0" w:color="auto"/>
            </w:tcBorders>
            <w:shd w:val="clear" w:color="auto" w:fill="auto"/>
            <w:hideMark/>
          </w:tcPr>
          <w:p w14:paraId="42EC8366"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Korisnici programa i projekata; kofinansijeri određenih ulaganja</w:t>
            </w:r>
          </w:p>
        </w:tc>
        <w:tc>
          <w:tcPr>
            <w:tcW w:w="900" w:type="dxa"/>
            <w:tcBorders>
              <w:top w:val="nil"/>
              <w:left w:val="nil"/>
              <w:bottom w:val="single" w:sz="4" w:space="0" w:color="auto"/>
              <w:right w:val="single" w:sz="4" w:space="0" w:color="auto"/>
            </w:tcBorders>
            <w:shd w:val="clear" w:color="auto" w:fill="auto"/>
            <w:noWrap/>
            <w:hideMark/>
          </w:tcPr>
          <w:p w14:paraId="0679AB8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04B570B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46086708" w14:textId="77777777" w:rsidTr="00A445B6">
        <w:trPr>
          <w:trHeight w:val="441"/>
        </w:trPr>
        <w:tc>
          <w:tcPr>
            <w:tcW w:w="1985" w:type="dxa"/>
            <w:tcBorders>
              <w:top w:val="nil"/>
              <w:left w:val="single" w:sz="4" w:space="0" w:color="auto"/>
              <w:bottom w:val="single" w:sz="4" w:space="0" w:color="auto"/>
              <w:right w:val="single" w:sz="4" w:space="0" w:color="auto"/>
            </w:tcBorders>
            <w:shd w:val="clear" w:color="auto" w:fill="auto"/>
            <w:hideMark/>
          </w:tcPr>
          <w:p w14:paraId="0A4B9E25"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 xml:space="preserve">Zavod za zapošljavanje Crne Gore </w:t>
            </w:r>
          </w:p>
        </w:tc>
        <w:tc>
          <w:tcPr>
            <w:tcW w:w="4955" w:type="dxa"/>
            <w:tcBorders>
              <w:top w:val="nil"/>
              <w:left w:val="nil"/>
              <w:bottom w:val="single" w:sz="4" w:space="0" w:color="auto"/>
              <w:right w:val="single" w:sz="4" w:space="0" w:color="auto"/>
            </w:tcBorders>
            <w:shd w:val="clear" w:color="auto" w:fill="auto"/>
            <w:hideMark/>
          </w:tcPr>
          <w:p w14:paraId="11FEAED0"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Programi za podsticanje zapošljavanja; mjere aktivne politike na tržištu rada</w:t>
            </w:r>
          </w:p>
        </w:tc>
        <w:tc>
          <w:tcPr>
            <w:tcW w:w="900" w:type="dxa"/>
            <w:tcBorders>
              <w:top w:val="nil"/>
              <w:left w:val="nil"/>
              <w:bottom w:val="single" w:sz="4" w:space="0" w:color="auto"/>
              <w:right w:val="single" w:sz="4" w:space="0" w:color="auto"/>
            </w:tcBorders>
            <w:shd w:val="clear" w:color="auto" w:fill="auto"/>
            <w:noWrap/>
            <w:hideMark/>
          </w:tcPr>
          <w:p w14:paraId="72850BF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752921F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43F75BCE" w14:textId="77777777" w:rsidTr="00A445B6">
        <w:trPr>
          <w:trHeight w:val="1200"/>
        </w:trPr>
        <w:tc>
          <w:tcPr>
            <w:tcW w:w="1985" w:type="dxa"/>
            <w:tcBorders>
              <w:top w:val="nil"/>
              <w:left w:val="single" w:sz="4" w:space="0" w:color="auto"/>
              <w:bottom w:val="single" w:sz="4" w:space="0" w:color="auto"/>
              <w:right w:val="single" w:sz="4" w:space="0" w:color="auto"/>
            </w:tcBorders>
            <w:shd w:val="clear" w:color="auto" w:fill="auto"/>
            <w:hideMark/>
          </w:tcPr>
          <w:p w14:paraId="4B656C35" w14:textId="77777777" w:rsidR="006756A7" w:rsidRPr="0048184E" w:rsidRDefault="00756D67" w:rsidP="0048184E">
            <w:pPr>
              <w:spacing w:after="0" w:line="240" w:lineRule="auto"/>
              <w:rPr>
                <w:rFonts w:eastAsia="Times New Roman" w:cs="Calibri"/>
                <w:sz w:val="18"/>
                <w:szCs w:val="18"/>
                <w:lang w:val="fr-FR"/>
              </w:rPr>
            </w:pPr>
            <w:r w:rsidRPr="0048184E">
              <w:rPr>
                <w:rFonts w:eastAsia="Times New Roman" w:cs="Calibri"/>
                <w:sz w:val="18"/>
                <w:szCs w:val="18"/>
                <w:lang w:val="fr-FR"/>
              </w:rPr>
              <w:t>Razvojna banka Crne Gore</w:t>
            </w:r>
          </w:p>
        </w:tc>
        <w:tc>
          <w:tcPr>
            <w:tcW w:w="4955" w:type="dxa"/>
            <w:tcBorders>
              <w:top w:val="nil"/>
              <w:left w:val="nil"/>
              <w:bottom w:val="single" w:sz="4" w:space="0" w:color="auto"/>
              <w:right w:val="single" w:sz="4" w:space="0" w:color="auto"/>
            </w:tcBorders>
            <w:shd w:val="clear" w:color="auto" w:fill="auto"/>
            <w:hideMark/>
          </w:tcPr>
          <w:p w14:paraId="0CF4FFFA"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fr-FR"/>
              </w:rPr>
              <w:t xml:space="preserve">Odobravanje kredita uz brojne podsticajne mjere: 1. Preduzetništvo; 2. Poljoprivreda; 3. Turizam: 4. Proizvodnja; 5. Usluge; 6. </w:t>
            </w:r>
            <w:r w:rsidRPr="0048184E">
              <w:rPr>
                <w:rFonts w:eastAsia="Times New Roman" w:cs="Calibri"/>
                <w:sz w:val="18"/>
                <w:szCs w:val="18"/>
                <w:lang w:val="en-GB"/>
              </w:rPr>
              <w:t xml:space="preserve">Likvidnost; 7. Podsticaj konkurentnosti; 8. Green field; 9. Infrastrukturni projekti; 10. EU Cosme investment support program (garancije). </w:t>
            </w:r>
          </w:p>
        </w:tc>
        <w:tc>
          <w:tcPr>
            <w:tcW w:w="900" w:type="dxa"/>
            <w:tcBorders>
              <w:top w:val="nil"/>
              <w:left w:val="nil"/>
              <w:bottom w:val="single" w:sz="4" w:space="0" w:color="auto"/>
              <w:right w:val="single" w:sz="4" w:space="0" w:color="auto"/>
            </w:tcBorders>
            <w:shd w:val="clear" w:color="auto" w:fill="auto"/>
            <w:noWrap/>
            <w:hideMark/>
          </w:tcPr>
          <w:p w14:paraId="2E0CE1A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F3A8B1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26FF33BA"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hideMark/>
          </w:tcPr>
          <w:p w14:paraId="0389D53E"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finansija</w:t>
            </w:r>
          </w:p>
        </w:tc>
        <w:tc>
          <w:tcPr>
            <w:tcW w:w="4955" w:type="dxa"/>
            <w:tcBorders>
              <w:top w:val="nil"/>
              <w:left w:val="nil"/>
              <w:bottom w:val="single" w:sz="4" w:space="0" w:color="auto"/>
              <w:right w:val="single" w:sz="4" w:space="0" w:color="auto"/>
            </w:tcBorders>
            <w:shd w:val="clear" w:color="auto" w:fill="auto"/>
            <w:hideMark/>
          </w:tcPr>
          <w:p w14:paraId="59C6521C"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 xml:space="preserve">Budžet; Finansiranje lokalne samouprave i Egalizacioni fond </w:t>
            </w:r>
          </w:p>
        </w:tc>
        <w:tc>
          <w:tcPr>
            <w:tcW w:w="900" w:type="dxa"/>
            <w:tcBorders>
              <w:top w:val="nil"/>
              <w:left w:val="nil"/>
              <w:bottom w:val="single" w:sz="4" w:space="0" w:color="auto"/>
              <w:right w:val="single" w:sz="4" w:space="0" w:color="auto"/>
            </w:tcBorders>
            <w:shd w:val="clear" w:color="auto" w:fill="auto"/>
            <w:noWrap/>
            <w:hideMark/>
          </w:tcPr>
          <w:p w14:paraId="2848EAE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1068FEA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6C8A1E32" w14:textId="77777777" w:rsidTr="00A445B6">
        <w:trPr>
          <w:trHeight w:val="414"/>
        </w:trPr>
        <w:tc>
          <w:tcPr>
            <w:tcW w:w="1985" w:type="dxa"/>
            <w:tcBorders>
              <w:top w:val="nil"/>
              <w:left w:val="single" w:sz="4" w:space="0" w:color="auto"/>
              <w:bottom w:val="single" w:sz="4" w:space="0" w:color="auto"/>
              <w:right w:val="single" w:sz="4" w:space="0" w:color="auto"/>
            </w:tcBorders>
            <w:shd w:val="clear" w:color="auto" w:fill="auto"/>
          </w:tcPr>
          <w:p w14:paraId="27702A3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 xml:space="preserve">Ministarstvo rada i </w:t>
            </w:r>
            <w:r w:rsidR="0071272B">
              <w:rPr>
                <w:rFonts w:eastAsia="Times New Roman" w:cs="Calibri"/>
                <w:sz w:val="18"/>
                <w:szCs w:val="18"/>
                <w:lang w:val="pl-PL"/>
              </w:rPr>
              <w:t>zapošljavanja i socijalnog dijaloga</w:t>
            </w:r>
          </w:p>
        </w:tc>
        <w:tc>
          <w:tcPr>
            <w:tcW w:w="4955" w:type="dxa"/>
            <w:tcBorders>
              <w:top w:val="nil"/>
              <w:left w:val="nil"/>
              <w:bottom w:val="single" w:sz="4" w:space="0" w:color="auto"/>
              <w:right w:val="single" w:sz="4" w:space="0" w:color="auto"/>
            </w:tcBorders>
            <w:shd w:val="clear" w:color="auto" w:fill="auto"/>
          </w:tcPr>
          <w:p w14:paraId="1510F41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Politika zapošljavanja i socijalna politika</w:t>
            </w:r>
          </w:p>
        </w:tc>
        <w:tc>
          <w:tcPr>
            <w:tcW w:w="900" w:type="dxa"/>
            <w:tcBorders>
              <w:top w:val="nil"/>
              <w:left w:val="nil"/>
              <w:bottom w:val="single" w:sz="4" w:space="0" w:color="auto"/>
              <w:right w:val="single" w:sz="4" w:space="0" w:color="auto"/>
            </w:tcBorders>
            <w:shd w:val="clear" w:color="auto" w:fill="auto"/>
            <w:noWrap/>
          </w:tcPr>
          <w:p w14:paraId="467134A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7FFEC9A1"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1E37DACC"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09B555FC"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 xml:space="preserve">Zajednica opština Crne Gore </w:t>
            </w:r>
          </w:p>
        </w:tc>
        <w:tc>
          <w:tcPr>
            <w:tcW w:w="4955" w:type="dxa"/>
            <w:tcBorders>
              <w:top w:val="nil"/>
              <w:left w:val="nil"/>
              <w:bottom w:val="single" w:sz="4" w:space="0" w:color="auto"/>
              <w:right w:val="single" w:sz="4" w:space="0" w:color="auto"/>
            </w:tcBorders>
            <w:shd w:val="clear" w:color="auto" w:fill="auto"/>
            <w:hideMark/>
          </w:tcPr>
          <w:p w14:paraId="0CB054B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Nacionalna asocijacija lokalnih zajednica, udruženje JLS na dobrovoljnoj osnovi, preko kojih se zastupaju interesi i potrebe JLS</w:t>
            </w:r>
          </w:p>
        </w:tc>
        <w:tc>
          <w:tcPr>
            <w:tcW w:w="900" w:type="dxa"/>
            <w:tcBorders>
              <w:top w:val="nil"/>
              <w:left w:val="nil"/>
              <w:bottom w:val="single" w:sz="4" w:space="0" w:color="auto"/>
              <w:right w:val="single" w:sz="4" w:space="0" w:color="auto"/>
            </w:tcBorders>
            <w:shd w:val="clear" w:color="auto" w:fill="auto"/>
            <w:noWrap/>
            <w:hideMark/>
          </w:tcPr>
          <w:p w14:paraId="63AF358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53A5E46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755B118"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5FD1915C"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w:t>
            </w:r>
            <w:r w:rsidR="00756D67" w:rsidRPr="0048184E">
              <w:rPr>
                <w:rFonts w:eastAsia="Times New Roman" w:cs="Calibri"/>
                <w:sz w:val="18"/>
                <w:szCs w:val="18"/>
                <w:lang w:val="en-GB"/>
              </w:rPr>
              <w:t>istarstvo saobraćaja</w:t>
            </w:r>
          </w:p>
        </w:tc>
        <w:tc>
          <w:tcPr>
            <w:tcW w:w="4955" w:type="dxa"/>
            <w:tcBorders>
              <w:top w:val="nil"/>
              <w:left w:val="nil"/>
              <w:bottom w:val="single" w:sz="4" w:space="0" w:color="auto"/>
              <w:right w:val="single" w:sz="4" w:space="0" w:color="auto"/>
            </w:tcBorders>
            <w:shd w:val="clear" w:color="auto" w:fill="auto"/>
            <w:hideMark/>
          </w:tcPr>
          <w:p w14:paraId="05C25AAE"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Investicije u saobraćajnu infrastrukturu, u skladu sa raspoloživim budžetom za ove namjene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0C1D7A0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1DF874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3FB38C76" w14:textId="77777777" w:rsidTr="00A445B6">
        <w:trPr>
          <w:trHeight w:val="960"/>
        </w:trPr>
        <w:tc>
          <w:tcPr>
            <w:tcW w:w="1985" w:type="dxa"/>
            <w:tcBorders>
              <w:top w:val="nil"/>
              <w:left w:val="single" w:sz="4" w:space="0" w:color="auto"/>
              <w:bottom w:val="single" w:sz="4" w:space="0" w:color="auto"/>
              <w:right w:val="single" w:sz="4" w:space="0" w:color="auto"/>
            </w:tcBorders>
            <w:shd w:val="clear" w:color="auto" w:fill="auto"/>
            <w:hideMark/>
          </w:tcPr>
          <w:p w14:paraId="0D77BAB1"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poljoprivrede, šumarstva i vodoprivrede</w:t>
            </w:r>
          </w:p>
        </w:tc>
        <w:tc>
          <w:tcPr>
            <w:tcW w:w="4955" w:type="dxa"/>
            <w:tcBorders>
              <w:top w:val="nil"/>
              <w:left w:val="nil"/>
              <w:bottom w:val="single" w:sz="4" w:space="0" w:color="auto"/>
              <w:right w:val="single" w:sz="4" w:space="0" w:color="auto"/>
            </w:tcBorders>
            <w:shd w:val="clear" w:color="auto" w:fill="auto"/>
            <w:hideMark/>
          </w:tcPr>
          <w:p w14:paraId="4541CB07"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Agrobudžet; politika u oblasti šumarstva i podrška drvopreradi; (finansijska ograničenja limitiraju snagu ovih politika); IPARD grantovi i priprema za Zajedničku poljoprivrednu politiku EU</w:t>
            </w:r>
          </w:p>
        </w:tc>
        <w:tc>
          <w:tcPr>
            <w:tcW w:w="900" w:type="dxa"/>
            <w:tcBorders>
              <w:top w:val="nil"/>
              <w:left w:val="nil"/>
              <w:bottom w:val="single" w:sz="4" w:space="0" w:color="auto"/>
              <w:right w:val="single" w:sz="4" w:space="0" w:color="auto"/>
            </w:tcBorders>
            <w:shd w:val="clear" w:color="auto" w:fill="auto"/>
            <w:noWrap/>
            <w:hideMark/>
          </w:tcPr>
          <w:p w14:paraId="0816A44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7A85436"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720132" w:rsidRPr="0048184E" w14:paraId="7DE9E619"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tcPr>
          <w:p w14:paraId="66205378" w14:textId="77777777" w:rsidR="00720132" w:rsidRPr="0048184E" w:rsidRDefault="00720132" w:rsidP="0048184E">
            <w:pPr>
              <w:spacing w:after="0" w:line="240" w:lineRule="auto"/>
              <w:rPr>
                <w:rFonts w:eastAsia="Times New Roman" w:cs="Calibri"/>
                <w:sz w:val="18"/>
                <w:szCs w:val="18"/>
                <w:lang w:val="pl-PL"/>
              </w:rPr>
            </w:pPr>
            <w:r>
              <w:rPr>
                <w:rFonts w:eastAsia="Times New Roman" w:cs="Calibri"/>
                <w:sz w:val="18"/>
                <w:szCs w:val="18"/>
                <w:lang w:val="pl-PL"/>
              </w:rPr>
              <w:t>Ministarstvo javnih radova</w:t>
            </w:r>
          </w:p>
        </w:tc>
        <w:tc>
          <w:tcPr>
            <w:tcW w:w="4955" w:type="dxa"/>
            <w:tcBorders>
              <w:top w:val="nil"/>
              <w:left w:val="nil"/>
              <w:bottom w:val="single" w:sz="4" w:space="0" w:color="auto"/>
              <w:right w:val="single" w:sz="4" w:space="0" w:color="auto"/>
            </w:tcBorders>
            <w:shd w:val="clear" w:color="auto" w:fill="auto"/>
          </w:tcPr>
          <w:p w14:paraId="012F232D" w14:textId="77777777" w:rsidR="00720132" w:rsidRPr="0048184E" w:rsidRDefault="00720132" w:rsidP="0048184E">
            <w:pPr>
              <w:spacing w:after="0" w:line="240" w:lineRule="auto"/>
              <w:rPr>
                <w:rFonts w:eastAsia="Times New Roman" w:cs="Calibri"/>
                <w:sz w:val="18"/>
                <w:szCs w:val="18"/>
                <w:lang w:val="pl-PL"/>
              </w:rPr>
            </w:pPr>
            <w:r>
              <w:rPr>
                <w:rFonts w:eastAsia="Times New Roman" w:cs="Calibri"/>
                <w:sz w:val="18"/>
                <w:szCs w:val="18"/>
                <w:lang w:val="pl-PL"/>
              </w:rPr>
              <w:t>Realizacija kapitalnih investicija</w:t>
            </w:r>
          </w:p>
        </w:tc>
        <w:tc>
          <w:tcPr>
            <w:tcW w:w="900" w:type="dxa"/>
            <w:tcBorders>
              <w:top w:val="nil"/>
              <w:left w:val="nil"/>
              <w:bottom w:val="single" w:sz="4" w:space="0" w:color="auto"/>
              <w:right w:val="single" w:sz="4" w:space="0" w:color="auto"/>
            </w:tcBorders>
            <w:shd w:val="clear" w:color="auto" w:fill="auto"/>
            <w:noWrap/>
          </w:tcPr>
          <w:p w14:paraId="08651D23" w14:textId="77777777" w:rsidR="00720132" w:rsidRPr="0048184E" w:rsidRDefault="00720132" w:rsidP="0048184E">
            <w:pPr>
              <w:spacing w:after="0" w:line="240" w:lineRule="auto"/>
              <w:jc w:val="both"/>
              <w:rPr>
                <w:rFonts w:eastAsia="Times New Roman" w:cs="Calibri"/>
                <w:sz w:val="18"/>
                <w:szCs w:val="18"/>
                <w:lang w:val="en-GB"/>
              </w:rPr>
            </w:pPr>
            <w:r>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2A1B8C80" w14:textId="77777777" w:rsidR="00720132" w:rsidRPr="0048184E" w:rsidRDefault="00720132" w:rsidP="0048184E">
            <w:pPr>
              <w:spacing w:after="0" w:line="240" w:lineRule="auto"/>
              <w:jc w:val="both"/>
              <w:rPr>
                <w:rFonts w:eastAsia="Times New Roman" w:cs="Calibri"/>
                <w:sz w:val="18"/>
                <w:szCs w:val="18"/>
                <w:lang w:val="en-GB"/>
              </w:rPr>
            </w:pPr>
            <w:r>
              <w:rPr>
                <w:rFonts w:eastAsia="Times New Roman" w:cs="Calibri"/>
                <w:sz w:val="18"/>
                <w:szCs w:val="18"/>
                <w:lang w:val="en-GB"/>
              </w:rPr>
              <w:t>4</w:t>
            </w:r>
          </w:p>
        </w:tc>
      </w:tr>
      <w:tr w:rsidR="006756A7" w:rsidRPr="0048184E" w14:paraId="63BF89F3"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112D3C3E" w14:textId="77777777" w:rsidR="006756A7" w:rsidRPr="0048184E" w:rsidRDefault="00756D67"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Ministarstvo prostornog planiranja,</w:t>
            </w:r>
            <w:r w:rsidR="006756A7" w:rsidRPr="0048184E">
              <w:rPr>
                <w:rFonts w:eastAsia="Times New Roman" w:cs="Calibri"/>
                <w:sz w:val="18"/>
                <w:szCs w:val="18"/>
                <w:lang w:val="pl-PL"/>
              </w:rPr>
              <w:t xml:space="preserve"> urbanizma</w:t>
            </w:r>
            <w:r w:rsidRPr="0048184E">
              <w:rPr>
                <w:rFonts w:eastAsia="Times New Roman" w:cs="Calibri"/>
                <w:sz w:val="18"/>
                <w:szCs w:val="18"/>
                <w:lang w:val="pl-PL"/>
              </w:rPr>
              <w:t xml:space="preserve"> i državne imovine</w:t>
            </w:r>
          </w:p>
        </w:tc>
        <w:tc>
          <w:tcPr>
            <w:tcW w:w="4955" w:type="dxa"/>
            <w:tcBorders>
              <w:top w:val="nil"/>
              <w:left w:val="nil"/>
              <w:bottom w:val="single" w:sz="4" w:space="0" w:color="auto"/>
              <w:right w:val="single" w:sz="4" w:space="0" w:color="auto"/>
            </w:tcBorders>
            <w:shd w:val="clear" w:color="auto" w:fill="auto"/>
            <w:hideMark/>
          </w:tcPr>
          <w:p w14:paraId="0F6CC8A7"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Prostorno planiranje; Zaštita životne sredine i klimatske akcije;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5B5A7600"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86DB4D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6F5DA610" w14:textId="77777777" w:rsidTr="00A445B6">
        <w:trPr>
          <w:trHeight w:val="450"/>
        </w:trPr>
        <w:tc>
          <w:tcPr>
            <w:tcW w:w="1985" w:type="dxa"/>
            <w:tcBorders>
              <w:top w:val="nil"/>
              <w:left w:val="single" w:sz="4" w:space="0" w:color="auto"/>
              <w:bottom w:val="single" w:sz="4" w:space="0" w:color="auto"/>
              <w:right w:val="single" w:sz="4" w:space="0" w:color="auto"/>
            </w:tcBorders>
            <w:shd w:val="clear" w:color="auto" w:fill="auto"/>
            <w:hideMark/>
          </w:tcPr>
          <w:p w14:paraId="461C140E"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Ministarstvo prosvjete</w:t>
            </w:r>
            <w:r w:rsidR="00756D67" w:rsidRPr="0048184E">
              <w:rPr>
                <w:rFonts w:eastAsia="Times New Roman" w:cs="Calibri"/>
                <w:sz w:val="18"/>
                <w:szCs w:val="18"/>
                <w:lang w:val="pl-PL"/>
              </w:rPr>
              <w:t>, nauke I inovacija</w:t>
            </w:r>
          </w:p>
        </w:tc>
        <w:tc>
          <w:tcPr>
            <w:tcW w:w="4955" w:type="dxa"/>
            <w:tcBorders>
              <w:top w:val="nil"/>
              <w:left w:val="nil"/>
              <w:bottom w:val="single" w:sz="4" w:space="0" w:color="auto"/>
              <w:right w:val="single" w:sz="4" w:space="0" w:color="auto"/>
            </w:tcBorders>
            <w:shd w:val="clear" w:color="auto" w:fill="auto"/>
            <w:hideMark/>
          </w:tcPr>
          <w:p w14:paraId="3E3A42B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obrazovna politika i sistem obrazovnih ustanova</w:t>
            </w:r>
          </w:p>
        </w:tc>
        <w:tc>
          <w:tcPr>
            <w:tcW w:w="900" w:type="dxa"/>
            <w:tcBorders>
              <w:top w:val="nil"/>
              <w:left w:val="nil"/>
              <w:bottom w:val="single" w:sz="4" w:space="0" w:color="auto"/>
              <w:right w:val="single" w:sz="4" w:space="0" w:color="auto"/>
            </w:tcBorders>
            <w:shd w:val="clear" w:color="auto" w:fill="auto"/>
            <w:noWrap/>
            <w:hideMark/>
          </w:tcPr>
          <w:p w14:paraId="5C1D3F77"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91896C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59A39FC6" w14:textId="77777777" w:rsidTr="00A445B6">
        <w:trPr>
          <w:trHeight w:val="317"/>
        </w:trPr>
        <w:tc>
          <w:tcPr>
            <w:tcW w:w="1985" w:type="dxa"/>
            <w:tcBorders>
              <w:top w:val="nil"/>
              <w:left w:val="single" w:sz="4" w:space="0" w:color="auto"/>
              <w:bottom w:val="single" w:sz="4" w:space="0" w:color="auto"/>
              <w:right w:val="single" w:sz="4" w:space="0" w:color="auto"/>
            </w:tcBorders>
            <w:shd w:val="clear" w:color="auto" w:fill="auto"/>
          </w:tcPr>
          <w:p w14:paraId="76B8961E" w14:textId="77777777" w:rsidR="006756A7" w:rsidRPr="0048184E" w:rsidRDefault="00AD2120"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Ministarstvo ekologije, održivog razvoja i razvoja sjevera</w:t>
            </w:r>
          </w:p>
        </w:tc>
        <w:tc>
          <w:tcPr>
            <w:tcW w:w="4955" w:type="dxa"/>
            <w:tcBorders>
              <w:top w:val="nil"/>
              <w:left w:val="nil"/>
              <w:bottom w:val="single" w:sz="4" w:space="0" w:color="auto"/>
              <w:right w:val="single" w:sz="4" w:space="0" w:color="auto"/>
            </w:tcBorders>
            <w:shd w:val="clear" w:color="auto" w:fill="auto"/>
          </w:tcPr>
          <w:p w14:paraId="2263E2BA"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istraživanje i inovacije</w:t>
            </w:r>
          </w:p>
        </w:tc>
        <w:tc>
          <w:tcPr>
            <w:tcW w:w="900" w:type="dxa"/>
            <w:tcBorders>
              <w:top w:val="nil"/>
              <w:left w:val="nil"/>
              <w:bottom w:val="single" w:sz="4" w:space="0" w:color="auto"/>
              <w:right w:val="single" w:sz="4" w:space="0" w:color="auto"/>
            </w:tcBorders>
            <w:shd w:val="clear" w:color="auto" w:fill="auto"/>
            <w:noWrap/>
          </w:tcPr>
          <w:p w14:paraId="6CFDCDB6"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5FC9BEA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5AEB8591" w14:textId="77777777" w:rsidTr="00A445B6">
        <w:trPr>
          <w:trHeight w:val="420"/>
        </w:trPr>
        <w:tc>
          <w:tcPr>
            <w:tcW w:w="1985" w:type="dxa"/>
            <w:tcBorders>
              <w:top w:val="nil"/>
              <w:left w:val="single" w:sz="4" w:space="0" w:color="auto"/>
              <w:bottom w:val="single" w:sz="4" w:space="0" w:color="auto"/>
              <w:right w:val="single" w:sz="4" w:space="0" w:color="auto"/>
            </w:tcBorders>
            <w:shd w:val="clear" w:color="auto" w:fill="auto"/>
          </w:tcPr>
          <w:p w14:paraId="753554FB"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Minsitarstvo kulture I medija</w:t>
            </w:r>
          </w:p>
        </w:tc>
        <w:tc>
          <w:tcPr>
            <w:tcW w:w="4955" w:type="dxa"/>
            <w:tcBorders>
              <w:top w:val="nil"/>
              <w:left w:val="nil"/>
              <w:bottom w:val="single" w:sz="4" w:space="0" w:color="auto"/>
              <w:right w:val="single" w:sz="4" w:space="0" w:color="auto"/>
            </w:tcBorders>
            <w:shd w:val="clear" w:color="auto" w:fill="auto"/>
          </w:tcPr>
          <w:p w14:paraId="1A0A0A29"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programi podrške; očuvanje kulturne baštine i kreativne industrije</w:t>
            </w:r>
          </w:p>
        </w:tc>
        <w:tc>
          <w:tcPr>
            <w:tcW w:w="900" w:type="dxa"/>
            <w:tcBorders>
              <w:top w:val="nil"/>
              <w:left w:val="nil"/>
              <w:bottom w:val="single" w:sz="4" w:space="0" w:color="auto"/>
              <w:right w:val="single" w:sz="4" w:space="0" w:color="auto"/>
            </w:tcBorders>
            <w:shd w:val="clear" w:color="auto" w:fill="auto"/>
            <w:noWrap/>
          </w:tcPr>
          <w:p w14:paraId="0E348CC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110A805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3D91B35C" w14:textId="77777777" w:rsidTr="00A445B6">
        <w:trPr>
          <w:trHeight w:val="541"/>
        </w:trPr>
        <w:tc>
          <w:tcPr>
            <w:tcW w:w="1985" w:type="dxa"/>
            <w:tcBorders>
              <w:top w:val="nil"/>
              <w:left w:val="single" w:sz="4" w:space="0" w:color="auto"/>
              <w:bottom w:val="single" w:sz="4" w:space="0" w:color="auto"/>
              <w:right w:val="single" w:sz="4" w:space="0" w:color="auto"/>
            </w:tcBorders>
            <w:shd w:val="clear" w:color="auto" w:fill="auto"/>
            <w:hideMark/>
          </w:tcPr>
          <w:p w14:paraId="186FE957"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zdravlja</w:t>
            </w:r>
          </w:p>
        </w:tc>
        <w:tc>
          <w:tcPr>
            <w:tcW w:w="4955" w:type="dxa"/>
            <w:tcBorders>
              <w:top w:val="nil"/>
              <w:left w:val="nil"/>
              <w:bottom w:val="single" w:sz="4" w:space="0" w:color="auto"/>
              <w:right w:val="single" w:sz="4" w:space="0" w:color="auto"/>
            </w:tcBorders>
            <w:shd w:val="clear" w:color="auto" w:fill="auto"/>
            <w:hideMark/>
          </w:tcPr>
          <w:p w14:paraId="18576408"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Mreža zdravstvenih institucija; Javno zdravlje i borba protiv pandemije;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6BA54DF0"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FABD18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DE3C548"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199A944F"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 xml:space="preserve">Ministarstvo javne uprave </w:t>
            </w:r>
          </w:p>
        </w:tc>
        <w:tc>
          <w:tcPr>
            <w:tcW w:w="4955" w:type="dxa"/>
            <w:tcBorders>
              <w:top w:val="nil"/>
              <w:left w:val="nil"/>
              <w:bottom w:val="single" w:sz="4" w:space="0" w:color="auto"/>
              <w:right w:val="single" w:sz="4" w:space="0" w:color="auto"/>
            </w:tcBorders>
            <w:shd w:val="clear" w:color="auto" w:fill="auto"/>
            <w:hideMark/>
          </w:tcPr>
          <w:p w14:paraId="5A3863E7"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Dobra javna uprava, digitalizacija i e-usluge; Infrastruktura i inforamaciona bezbjednost;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405D8084"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5E181B7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674B3818" w14:textId="77777777" w:rsidTr="00A445B6">
        <w:trPr>
          <w:trHeight w:val="558"/>
        </w:trPr>
        <w:tc>
          <w:tcPr>
            <w:tcW w:w="1985" w:type="dxa"/>
            <w:tcBorders>
              <w:top w:val="nil"/>
              <w:left w:val="single" w:sz="4" w:space="0" w:color="auto"/>
              <w:bottom w:val="single" w:sz="4" w:space="0" w:color="auto"/>
              <w:right w:val="single" w:sz="4" w:space="0" w:color="auto"/>
            </w:tcBorders>
            <w:shd w:val="clear" w:color="auto" w:fill="auto"/>
            <w:hideMark/>
          </w:tcPr>
          <w:p w14:paraId="06143573"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vanjskih poslova</w:t>
            </w:r>
          </w:p>
        </w:tc>
        <w:tc>
          <w:tcPr>
            <w:tcW w:w="4955" w:type="dxa"/>
            <w:tcBorders>
              <w:top w:val="nil"/>
              <w:left w:val="nil"/>
              <w:bottom w:val="single" w:sz="4" w:space="0" w:color="auto"/>
              <w:right w:val="single" w:sz="4" w:space="0" w:color="auto"/>
            </w:tcBorders>
            <w:shd w:val="clear" w:color="auto" w:fill="auto"/>
            <w:hideMark/>
          </w:tcPr>
          <w:p w14:paraId="50532B88"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Koordinacija saradnje Crne Gore i međunarodnih donatora; koordinacija prijema međunarodne razvojne pomoći</w:t>
            </w:r>
          </w:p>
        </w:tc>
        <w:tc>
          <w:tcPr>
            <w:tcW w:w="900" w:type="dxa"/>
            <w:tcBorders>
              <w:top w:val="nil"/>
              <w:left w:val="nil"/>
              <w:bottom w:val="single" w:sz="4" w:space="0" w:color="auto"/>
              <w:right w:val="single" w:sz="4" w:space="0" w:color="auto"/>
            </w:tcBorders>
            <w:shd w:val="clear" w:color="auto" w:fill="auto"/>
            <w:noWrap/>
            <w:hideMark/>
          </w:tcPr>
          <w:p w14:paraId="21B9E76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73F05DC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0703F69" w14:textId="77777777" w:rsidTr="00A445B6">
        <w:trPr>
          <w:trHeight w:val="96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BB3DA98"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lastRenderedPageBreak/>
              <w:t>Ministarstvo evropskih poslova</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4DD5C5F2"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NIPAK kancelarija za programiranje i praćenje EU podrške; Programi teritorijalne saradnje u kojima učestvuje Crna Gora; Jačanje pozicije JLS i regionalne politike u okviru pristupnih pregovora</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D17AEC1"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3097F3C9"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43957C47" w14:textId="77777777" w:rsidTr="00A445B6">
        <w:trPr>
          <w:trHeight w:val="444"/>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D3D6D5E"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Agencija za investicije</w:t>
            </w:r>
          </w:p>
        </w:tc>
        <w:tc>
          <w:tcPr>
            <w:tcW w:w="4955" w:type="dxa"/>
            <w:tcBorders>
              <w:top w:val="single" w:sz="4" w:space="0" w:color="auto"/>
              <w:left w:val="nil"/>
              <w:bottom w:val="single" w:sz="4" w:space="0" w:color="auto"/>
              <w:right w:val="single" w:sz="4" w:space="0" w:color="auto"/>
            </w:tcBorders>
            <w:shd w:val="clear" w:color="auto" w:fill="auto"/>
            <w:hideMark/>
          </w:tcPr>
          <w:p w14:paraId="3899A144"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Podsticaji za ulaganja; Jedinstvena lista prioritetnih razvojnih projekata; Unaprjeđenje ambijenta za ulaganja i privlačenje SDI</w:t>
            </w:r>
          </w:p>
        </w:tc>
        <w:tc>
          <w:tcPr>
            <w:tcW w:w="900" w:type="dxa"/>
            <w:tcBorders>
              <w:top w:val="single" w:sz="4" w:space="0" w:color="auto"/>
              <w:left w:val="nil"/>
              <w:bottom w:val="single" w:sz="4" w:space="0" w:color="auto"/>
              <w:right w:val="single" w:sz="4" w:space="0" w:color="auto"/>
            </w:tcBorders>
            <w:shd w:val="clear" w:color="auto" w:fill="auto"/>
            <w:noWrap/>
            <w:hideMark/>
          </w:tcPr>
          <w:p w14:paraId="78CC79C1"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single" w:sz="4" w:space="0" w:color="auto"/>
              <w:left w:val="nil"/>
              <w:bottom w:val="single" w:sz="4" w:space="0" w:color="auto"/>
              <w:right w:val="single" w:sz="4" w:space="0" w:color="auto"/>
            </w:tcBorders>
            <w:shd w:val="clear" w:color="auto" w:fill="auto"/>
            <w:noWrap/>
            <w:hideMark/>
          </w:tcPr>
          <w:p w14:paraId="5767C8F6"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06936CC6"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58CD93BF"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 xml:space="preserve">Biznis asocijacije na nivou Crne Gore </w:t>
            </w:r>
          </w:p>
        </w:tc>
        <w:tc>
          <w:tcPr>
            <w:tcW w:w="4955" w:type="dxa"/>
            <w:tcBorders>
              <w:top w:val="nil"/>
              <w:left w:val="nil"/>
              <w:bottom w:val="single" w:sz="4" w:space="0" w:color="auto"/>
              <w:right w:val="single" w:sz="4" w:space="0" w:color="auto"/>
            </w:tcBorders>
            <w:shd w:val="clear" w:color="auto" w:fill="auto"/>
            <w:hideMark/>
          </w:tcPr>
          <w:p w14:paraId="61A9EC10"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Saradnja sa privredom; rad kroz odbore; zastupanje; međunarodna saradnja; promocija; obuke; privlačenje EU projekata</w:t>
            </w:r>
          </w:p>
        </w:tc>
        <w:tc>
          <w:tcPr>
            <w:tcW w:w="900" w:type="dxa"/>
            <w:tcBorders>
              <w:top w:val="nil"/>
              <w:left w:val="nil"/>
              <w:bottom w:val="single" w:sz="4" w:space="0" w:color="auto"/>
              <w:right w:val="single" w:sz="4" w:space="0" w:color="auto"/>
            </w:tcBorders>
            <w:shd w:val="clear" w:color="auto" w:fill="auto"/>
            <w:noWrap/>
            <w:hideMark/>
          </w:tcPr>
          <w:p w14:paraId="4ED20E4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B7BC72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3FD33BB2" w14:textId="77777777" w:rsidTr="00A445B6">
        <w:trPr>
          <w:trHeight w:val="1200"/>
        </w:trPr>
        <w:tc>
          <w:tcPr>
            <w:tcW w:w="1985" w:type="dxa"/>
            <w:tcBorders>
              <w:top w:val="nil"/>
              <w:left w:val="single" w:sz="4" w:space="0" w:color="auto"/>
              <w:bottom w:val="single" w:sz="4" w:space="0" w:color="auto"/>
              <w:right w:val="single" w:sz="4" w:space="0" w:color="auto"/>
            </w:tcBorders>
            <w:shd w:val="clear" w:color="auto" w:fill="auto"/>
            <w:hideMark/>
          </w:tcPr>
          <w:p w14:paraId="60C0A08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Nevladine organizacije, posebno na lokalnom nivou</w:t>
            </w:r>
          </w:p>
        </w:tc>
        <w:tc>
          <w:tcPr>
            <w:tcW w:w="4955" w:type="dxa"/>
            <w:tcBorders>
              <w:top w:val="nil"/>
              <w:left w:val="nil"/>
              <w:bottom w:val="single" w:sz="4" w:space="0" w:color="auto"/>
              <w:right w:val="single" w:sz="4" w:space="0" w:color="auto"/>
            </w:tcBorders>
            <w:shd w:val="clear" w:color="auto" w:fill="auto"/>
            <w:hideMark/>
          </w:tcPr>
          <w:p w14:paraId="58DA2DA8"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Sve oblasti građanskog aktivizma, posebno one za zaštitu životne sredine (podrška određenim aktivnostima, ali i protest protiv nekih drugih), podršku preduzetnicima i lokalnom ekonomskom razvoju, obuke i neformalno obrazovanje; podršku prekograničnoj saradnji</w:t>
            </w:r>
          </w:p>
        </w:tc>
        <w:tc>
          <w:tcPr>
            <w:tcW w:w="900" w:type="dxa"/>
            <w:tcBorders>
              <w:top w:val="nil"/>
              <w:left w:val="nil"/>
              <w:bottom w:val="single" w:sz="4" w:space="0" w:color="auto"/>
              <w:right w:val="single" w:sz="4" w:space="0" w:color="auto"/>
            </w:tcBorders>
            <w:shd w:val="clear" w:color="auto" w:fill="auto"/>
            <w:noWrap/>
            <w:hideMark/>
          </w:tcPr>
          <w:p w14:paraId="45167A1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0A56D26C"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3D57CB" w:rsidRPr="0048184E" w14:paraId="324A46C9" w14:textId="77777777" w:rsidTr="00A445B6">
        <w:trPr>
          <w:trHeight w:val="1157"/>
        </w:trPr>
        <w:tc>
          <w:tcPr>
            <w:tcW w:w="1985" w:type="dxa"/>
            <w:tcBorders>
              <w:top w:val="nil"/>
              <w:left w:val="single" w:sz="4" w:space="0" w:color="auto"/>
              <w:bottom w:val="single" w:sz="4" w:space="0" w:color="auto"/>
              <w:right w:val="single" w:sz="4" w:space="0" w:color="auto"/>
            </w:tcBorders>
            <w:shd w:val="clear" w:color="auto" w:fill="auto"/>
          </w:tcPr>
          <w:p w14:paraId="25A5F9ED" w14:textId="77777777" w:rsidR="003D57CB" w:rsidRPr="003D57CB" w:rsidRDefault="003D57CB" w:rsidP="003D57CB">
            <w:pPr>
              <w:spacing w:after="0" w:line="240" w:lineRule="auto"/>
              <w:rPr>
                <w:rFonts w:eastAsia="Times New Roman" w:cs="Calibri"/>
                <w:sz w:val="18"/>
                <w:szCs w:val="18"/>
                <w:lang w:val="en-GB"/>
              </w:rPr>
            </w:pPr>
            <w:r>
              <w:rPr>
                <w:rFonts w:eastAsia="Times New Roman" w:cs="Calibri"/>
                <w:sz w:val="18"/>
                <w:szCs w:val="18"/>
                <w:lang w:val="en-GB"/>
              </w:rPr>
              <w:t>Razvojna banka Crne Gore</w:t>
            </w:r>
          </w:p>
        </w:tc>
        <w:tc>
          <w:tcPr>
            <w:tcW w:w="4955" w:type="dxa"/>
            <w:tcBorders>
              <w:top w:val="nil"/>
              <w:left w:val="nil"/>
              <w:bottom w:val="single" w:sz="4" w:space="0" w:color="auto"/>
              <w:right w:val="single" w:sz="4" w:space="0" w:color="auto"/>
            </w:tcBorders>
            <w:shd w:val="clear" w:color="auto" w:fill="auto"/>
          </w:tcPr>
          <w:p w14:paraId="6B71BFE7" w14:textId="77777777" w:rsidR="003D57CB" w:rsidRPr="0048184E" w:rsidRDefault="003D57CB" w:rsidP="0048184E">
            <w:pPr>
              <w:spacing w:after="0" w:line="240" w:lineRule="auto"/>
              <w:rPr>
                <w:rFonts w:eastAsia="Times New Roman" w:cs="Calibri"/>
                <w:sz w:val="18"/>
                <w:szCs w:val="18"/>
                <w:lang w:val="en-GB"/>
              </w:rPr>
            </w:pPr>
            <w:r>
              <w:rPr>
                <w:rFonts w:eastAsia="Times New Roman" w:cs="Calibri"/>
                <w:sz w:val="18"/>
                <w:szCs w:val="18"/>
                <w:lang w:val="en-GB"/>
              </w:rPr>
              <w:t>Podrška MMSP</w:t>
            </w:r>
          </w:p>
        </w:tc>
        <w:tc>
          <w:tcPr>
            <w:tcW w:w="900" w:type="dxa"/>
            <w:tcBorders>
              <w:top w:val="nil"/>
              <w:left w:val="nil"/>
              <w:bottom w:val="single" w:sz="4" w:space="0" w:color="auto"/>
              <w:right w:val="single" w:sz="4" w:space="0" w:color="auto"/>
            </w:tcBorders>
            <w:shd w:val="clear" w:color="auto" w:fill="auto"/>
            <w:noWrap/>
          </w:tcPr>
          <w:p w14:paraId="05DBF3B6" w14:textId="77777777" w:rsidR="003D57CB" w:rsidRPr="0048184E" w:rsidRDefault="003D57CB" w:rsidP="0048184E">
            <w:pPr>
              <w:spacing w:after="0" w:line="240" w:lineRule="auto"/>
              <w:jc w:val="both"/>
              <w:rPr>
                <w:rFonts w:eastAsia="Times New Roman" w:cs="Calibri"/>
                <w:sz w:val="18"/>
                <w:szCs w:val="18"/>
                <w:lang w:val="en-GB"/>
              </w:rPr>
            </w:pPr>
            <w:r>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62214B15" w14:textId="77777777" w:rsidR="003D57CB" w:rsidRPr="0048184E" w:rsidRDefault="003D57CB" w:rsidP="0048184E">
            <w:pPr>
              <w:spacing w:after="0" w:line="240" w:lineRule="auto"/>
              <w:jc w:val="both"/>
              <w:rPr>
                <w:rFonts w:eastAsia="Times New Roman" w:cs="Calibri"/>
                <w:sz w:val="18"/>
                <w:szCs w:val="18"/>
                <w:lang w:val="en-GB"/>
              </w:rPr>
            </w:pPr>
            <w:r>
              <w:rPr>
                <w:rFonts w:eastAsia="Times New Roman" w:cs="Calibri"/>
                <w:sz w:val="18"/>
                <w:szCs w:val="18"/>
                <w:lang w:val="en-GB"/>
              </w:rPr>
              <w:t>5</w:t>
            </w:r>
          </w:p>
        </w:tc>
      </w:tr>
      <w:tr w:rsidR="006756A7" w:rsidRPr="0048184E" w14:paraId="43DEECB7" w14:textId="77777777" w:rsidTr="00A445B6">
        <w:trPr>
          <w:trHeight w:val="1157"/>
        </w:trPr>
        <w:tc>
          <w:tcPr>
            <w:tcW w:w="1985" w:type="dxa"/>
            <w:tcBorders>
              <w:top w:val="nil"/>
              <w:left w:val="single" w:sz="4" w:space="0" w:color="auto"/>
              <w:bottom w:val="single" w:sz="4" w:space="0" w:color="auto"/>
              <w:right w:val="single" w:sz="4" w:space="0" w:color="auto"/>
            </w:tcBorders>
            <w:shd w:val="clear" w:color="auto" w:fill="auto"/>
            <w:hideMark/>
          </w:tcPr>
          <w:p w14:paraId="668A64E9"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Regionalne  razvojne agencije</w:t>
            </w:r>
          </w:p>
        </w:tc>
        <w:tc>
          <w:tcPr>
            <w:tcW w:w="4955" w:type="dxa"/>
            <w:tcBorders>
              <w:top w:val="nil"/>
              <w:left w:val="nil"/>
              <w:bottom w:val="single" w:sz="4" w:space="0" w:color="auto"/>
              <w:right w:val="single" w:sz="4" w:space="0" w:color="auto"/>
            </w:tcBorders>
            <w:shd w:val="clear" w:color="auto" w:fill="auto"/>
            <w:hideMark/>
          </w:tcPr>
          <w:p w14:paraId="664E1AF4"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Npr. za Bjelasicu, Komove i Prokletije; Podsticanje kapaciteta na opštinskom nivou, u nacionalnim parkovima, planinski, kulturni, seoski turizam, podrška poljoprivrednim proizvođačima u povezivanju sa tržištem koristeći lokalno brendiranje, privlačenje EU fondova za lokalne i regionalne projekte</w:t>
            </w:r>
          </w:p>
        </w:tc>
        <w:tc>
          <w:tcPr>
            <w:tcW w:w="900" w:type="dxa"/>
            <w:tcBorders>
              <w:top w:val="nil"/>
              <w:left w:val="nil"/>
              <w:bottom w:val="single" w:sz="4" w:space="0" w:color="auto"/>
              <w:right w:val="single" w:sz="4" w:space="0" w:color="auto"/>
            </w:tcBorders>
            <w:shd w:val="clear" w:color="auto" w:fill="auto"/>
            <w:noWrap/>
            <w:hideMark/>
          </w:tcPr>
          <w:p w14:paraId="5D6CFA7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8D0F8A0"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4E669BC"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hideMark/>
          </w:tcPr>
          <w:p w14:paraId="5A2BF31C"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Nacionalni parkovi Crne Gore</w:t>
            </w:r>
          </w:p>
        </w:tc>
        <w:tc>
          <w:tcPr>
            <w:tcW w:w="4955" w:type="dxa"/>
            <w:tcBorders>
              <w:top w:val="nil"/>
              <w:left w:val="nil"/>
              <w:bottom w:val="single" w:sz="4" w:space="0" w:color="auto"/>
              <w:right w:val="single" w:sz="4" w:space="0" w:color="auto"/>
            </w:tcBorders>
            <w:shd w:val="clear" w:color="auto" w:fill="auto"/>
            <w:hideMark/>
          </w:tcPr>
          <w:p w14:paraId="631A4FB6"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Zaštita životne sredine i zaštićenih područja; Promocija Crne Gore kao turističke destinacije</w:t>
            </w:r>
          </w:p>
        </w:tc>
        <w:tc>
          <w:tcPr>
            <w:tcW w:w="900" w:type="dxa"/>
            <w:tcBorders>
              <w:top w:val="nil"/>
              <w:left w:val="nil"/>
              <w:bottom w:val="single" w:sz="4" w:space="0" w:color="auto"/>
              <w:right w:val="single" w:sz="4" w:space="0" w:color="auto"/>
            </w:tcBorders>
            <w:shd w:val="clear" w:color="auto" w:fill="auto"/>
            <w:noWrap/>
            <w:hideMark/>
          </w:tcPr>
          <w:p w14:paraId="0370F17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1EEBBE0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00B70236"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267344E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NTO i mreža turističkih organizacija na lokalnom nivou</w:t>
            </w:r>
          </w:p>
        </w:tc>
        <w:tc>
          <w:tcPr>
            <w:tcW w:w="4955" w:type="dxa"/>
            <w:tcBorders>
              <w:top w:val="nil"/>
              <w:left w:val="nil"/>
              <w:bottom w:val="single" w:sz="4" w:space="0" w:color="auto"/>
              <w:right w:val="single" w:sz="4" w:space="0" w:color="auto"/>
            </w:tcBorders>
            <w:shd w:val="clear" w:color="auto" w:fill="auto"/>
            <w:hideMark/>
          </w:tcPr>
          <w:p w14:paraId="2F2782E6"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Promocija turizma i uvezivanje lokalnih aktera, od lokalne uprave, do MSP i poljoprivrednika (i agrotrizma, etnoturizma, turizma i kulture, turizma i sporta...)</w:t>
            </w:r>
          </w:p>
        </w:tc>
        <w:tc>
          <w:tcPr>
            <w:tcW w:w="900" w:type="dxa"/>
            <w:tcBorders>
              <w:top w:val="nil"/>
              <w:left w:val="nil"/>
              <w:bottom w:val="single" w:sz="4" w:space="0" w:color="auto"/>
              <w:right w:val="single" w:sz="4" w:space="0" w:color="auto"/>
            </w:tcBorders>
            <w:shd w:val="clear" w:color="auto" w:fill="auto"/>
            <w:noWrap/>
            <w:hideMark/>
          </w:tcPr>
          <w:p w14:paraId="19D58CB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0853109"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244B6E87"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07DC803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Evropska komisija i njeni direktorati i agencije</w:t>
            </w:r>
          </w:p>
        </w:tc>
        <w:tc>
          <w:tcPr>
            <w:tcW w:w="4955" w:type="dxa"/>
            <w:tcBorders>
              <w:top w:val="nil"/>
              <w:left w:val="nil"/>
              <w:bottom w:val="single" w:sz="4" w:space="0" w:color="auto"/>
              <w:right w:val="single" w:sz="4" w:space="0" w:color="auto"/>
            </w:tcBorders>
            <w:shd w:val="clear" w:color="auto" w:fill="auto"/>
            <w:noWrap/>
            <w:hideMark/>
          </w:tcPr>
          <w:p w14:paraId="312FE3CD"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EU standardi; legisaltiva; EU pretpristupna podrška</w:t>
            </w:r>
          </w:p>
        </w:tc>
        <w:tc>
          <w:tcPr>
            <w:tcW w:w="900" w:type="dxa"/>
            <w:tcBorders>
              <w:top w:val="nil"/>
              <w:left w:val="nil"/>
              <w:bottom w:val="single" w:sz="4" w:space="0" w:color="auto"/>
              <w:right w:val="single" w:sz="4" w:space="0" w:color="auto"/>
            </w:tcBorders>
            <w:shd w:val="clear" w:color="auto" w:fill="auto"/>
            <w:noWrap/>
            <w:hideMark/>
          </w:tcPr>
          <w:p w14:paraId="1542ED54"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c>
          <w:tcPr>
            <w:tcW w:w="1440" w:type="dxa"/>
            <w:tcBorders>
              <w:top w:val="nil"/>
              <w:left w:val="nil"/>
              <w:bottom w:val="single" w:sz="4" w:space="0" w:color="auto"/>
              <w:right w:val="single" w:sz="4" w:space="0" w:color="auto"/>
            </w:tcBorders>
            <w:shd w:val="clear" w:color="auto" w:fill="auto"/>
            <w:noWrap/>
            <w:hideMark/>
          </w:tcPr>
          <w:p w14:paraId="4397740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67E6D465" w14:textId="77777777" w:rsidTr="00A445B6">
        <w:trPr>
          <w:trHeight w:val="240"/>
        </w:trPr>
        <w:tc>
          <w:tcPr>
            <w:tcW w:w="1985" w:type="dxa"/>
            <w:tcBorders>
              <w:top w:val="nil"/>
              <w:left w:val="single" w:sz="4" w:space="0" w:color="auto"/>
              <w:bottom w:val="single" w:sz="4" w:space="0" w:color="auto"/>
              <w:right w:val="single" w:sz="4" w:space="0" w:color="auto"/>
            </w:tcBorders>
            <w:shd w:val="clear" w:color="auto" w:fill="auto"/>
            <w:hideMark/>
          </w:tcPr>
          <w:p w14:paraId="7CDBE663"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Evropske banke</w:t>
            </w:r>
          </w:p>
        </w:tc>
        <w:tc>
          <w:tcPr>
            <w:tcW w:w="4955" w:type="dxa"/>
            <w:tcBorders>
              <w:top w:val="nil"/>
              <w:left w:val="nil"/>
              <w:bottom w:val="single" w:sz="4" w:space="0" w:color="auto"/>
              <w:right w:val="single" w:sz="4" w:space="0" w:color="auto"/>
            </w:tcBorders>
            <w:shd w:val="clear" w:color="auto" w:fill="auto"/>
            <w:noWrap/>
            <w:hideMark/>
          </w:tcPr>
          <w:p w14:paraId="1B2270C2"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EIB, EBRD, CEB, KfW i dr.</w:t>
            </w:r>
          </w:p>
        </w:tc>
        <w:tc>
          <w:tcPr>
            <w:tcW w:w="900" w:type="dxa"/>
            <w:tcBorders>
              <w:top w:val="nil"/>
              <w:left w:val="nil"/>
              <w:bottom w:val="single" w:sz="4" w:space="0" w:color="auto"/>
              <w:right w:val="single" w:sz="4" w:space="0" w:color="auto"/>
            </w:tcBorders>
            <w:shd w:val="clear" w:color="auto" w:fill="auto"/>
            <w:noWrap/>
            <w:hideMark/>
          </w:tcPr>
          <w:p w14:paraId="134C81A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c>
          <w:tcPr>
            <w:tcW w:w="1440" w:type="dxa"/>
            <w:tcBorders>
              <w:top w:val="nil"/>
              <w:left w:val="nil"/>
              <w:bottom w:val="single" w:sz="4" w:space="0" w:color="auto"/>
              <w:right w:val="single" w:sz="4" w:space="0" w:color="auto"/>
            </w:tcBorders>
            <w:shd w:val="clear" w:color="auto" w:fill="auto"/>
            <w:noWrap/>
            <w:hideMark/>
          </w:tcPr>
          <w:p w14:paraId="79164F22"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59CA5DCB" w14:textId="77777777" w:rsidTr="00A445B6">
        <w:trPr>
          <w:trHeight w:val="960"/>
        </w:trPr>
        <w:tc>
          <w:tcPr>
            <w:tcW w:w="1985" w:type="dxa"/>
            <w:tcBorders>
              <w:top w:val="nil"/>
              <w:left w:val="single" w:sz="4" w:space="0" w:color="auto"/>
              <w:bottom w:val="single" w:sz="4" w:space="0" w:color="auto"/>
              <w:right w:val="single" w:sz="4" w:space="0" w:color="auto"/>
            </w:tcBorders>
            <w:shd w:val="clear" w:color="auto" w:fill="auto"/>
            <w:noWrap/>
            <w:hideMark/>
          </w:tcPr>
          <w:p w14:paraId="1D6F0913"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UN agencije</w:t>
            </w:r>
          </w:p>
        </w:tc>
        <w:tc>
          <w:tcPr>
            <w:tcW w:w="4955" w:type="dxa"/>
            <w:tcBorders>
              <w:top w:val="nil"/>
              <w:left w:val="nil"/>
              <w:bottom w:val="single" w:sz="4" w:space="0" w:color="auto"/>
              <w:right w:val="single" w:sz="4" w:space="0" w:color="auto"/>
            </w:tcBorders>
            <w:shd w:val="clear" w:color="auto" w:fill="auto"/>
            <w:hideMark/>
          </w:tcPr>
          <w:p w14:paraId="47BBE456"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 xml:space="preserve">Podsticanje ostvarivanja ciljeva održivog razvoja 2030 kroz različite projekte, posebno; obuke, opremanje institucija, podrška MSP, manji projekti infrastrukture, pomoć u krizama i borbi protiv pandemije, i sl. </w:t>
            </w:r>
          </w:p>
        </w:tc>
        <w:tc>
          <w:tcPr>
            <w:tcW w:w="900" w:type="dxa"/>
            <w:tcBorders>
              <w:top w:val="nil"/>
              <w:left w:val="nil"/>
              <w:bottom w:val="single" w:sz="4" w:space="0" w:color="auto"/>
              <w:right w:val="single" w:sz="4" w:space="0" w:color="auto"/>
            </w:tcBorders>
            <w:shd w:val="clear" w:color="auto" w:fill="auto"/>
            <w:noWrap/>
            <w:hideMark/>
          </w:tcPr>
          <w:p w14:paraId="0E338732"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9D6355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215B655B"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noWrap/>
            <w:hideMark/>
          </w:tcPr>
          <w:p w14:paraId="437D1E3F"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Ostali donator i kreditori</w:t>
            </w:r>
          </w:p>
        </w:tc>
        <w:tc>
          <w:tcPr>
            <w:tcW w:w="4955" w:type="dxa"/>
            <w:tcBorders>
              <w:top w:val="nil"/>
              <w:left w:val="nil"/>
              <w:bottom w:val="single" w:sz="4" w:space="0" w:color="auto"/>
              <w:right w:val="single" w:sz="4" w:space="0" w:color="auto"/>
            </w:tcBorders>
            <w:shd w:val="clear" w:color="auto" w:fill="auto"/>
            <w:hideMark/>
          </w:tcPr>
          <w:p w14:paraId="31FE2723"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Različiti projekti u svim strateškim oblastima od značaja za regionalni razvoj</w:t>
            </w:r>
          </w:p>
        </w:tc>
        <w:tc>
          <w:tcPr>
            <w:tcW w:w="900" w:type="dxa"/>
            <w:tcBorders>
              <w:top w:val="nil"/>
              <w:left w:val="nil"/>
              <w:bottom w:val="single" w:sz="4" w:space="0" w:color="auto"/>
              <w:right w:val="single" w:sz="4" w:space="0" w:color="auto"/>
            </w:tcBorders>
            <w:shd w:val="clear" w:color="auto" w:fill="auto"/>
            <w:noWrap/>
            <w:hideMark/>
          </w:tcPr>
          <w:p w14:paraId="7E3031C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c>
          <w:tcPr>
            <w:tcW w:w="1440" w:type="dxa"/>
            <w:tcBorders>
              <w:top w:val="nil"/>
              <w:left w:val="nil"/>
              <w:bottom w:val="single" w:sz="4" w:space="0" w:color="auto"/>
              <w:right w:val="single" w:sz="4" w:space="0" w:color="auto"/>
            </w:tcBorders>
            <w:shd w:val="clear" w:color="auto" w:fill="auto"/>
            <w:noWrap/>
            <w:hideMark/>
          </w:tcPr>
          <w:p w14:paraId="19F32EE9"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bl>
    <w:p w14:paraId="4A4C1D30" w14:textId="77777777" w:rsidR="006756A7" w:rsidRPr="0048184E" w:rsidRDefault="006756A7" w:rsidP="0048184E">
      <w:pPr>
        <w:spacing w:after="0" w:line="240" w:lineRule="auto"/>
        <w:jc w:val="both"/>
        <w:rPr>
          <w:rFonts w:eastAsia="Times New Roman" w:cs="Calibri"/>
          <w:sz w:val="18"/>
          <w:szCs w:val="18"/>
          <w:lang w:val="en-GB"/>
        </w:rPr>
      </w:pPr>
    </w:p>
    <w:p w14:paraId="65089F10" w14:textId="77777777" w:rsidR="00BC60DD" w:rsidRPr="0048184E" w:rsidRDefault="00BC60DD" w:rsidP="0048184E">
      <w:pPr>
        <w:spacing w:after="0" w:line="240" w:lineRule="auto"/>
        <w:rPr>
          <w:rFonts w:cstheme="minorHAnsi"/>
          <w:b/>
          <w:sz w:val="18"/>
          <w:szCs w:val="18"/>
          <w:lang w:val="sr-Latn-ME"/>
        </w:rPr>
      </w:pPr>
    </w:p>
    <w:p w14:paraId="16CB26D8" w14:textId="77777777" w:rsidR="00BC60DD" w:rsidRPr="0048184E" w:rsidRDefault="00BC60DD" w:rsidP="0048184E">
      <w:pPr>
        <w:spacing w:after="0" w:line="240" w:lineRule="auto"/>
        <w:rPr>
          <w:rFonts w:cstheme="minorHAnsi"/>
          <w:b/>
          <w:sz w:val="18"/>
          <w:szCs w:val="18"/>
          <w:lang w:val="sr-Latn-ME"/>
        </w:rPr>
      </w:pPr>
    </w:p>
    <w:p w14:paraId="0A9DF3E1" w14:textId="77777777" w:rsidR="00BC60DD" w:rsidRPr="0048184E" w:rsidRDefault="00BC60DD" w:rsidP="0048184E">
      <w:pPr>
        <w:spacing w:after="0" w:line="240" w:lineRule="auto"/>
        <w:rPr>
          <w:rFonts w:cstheme="minorHAnsi"/>
          <w:b/>
          <w:sz w:val="18"/>
          <w:szCs w:val="18"/>
          <w:lang w:val="sr-Latn-ME"/>
        </w:rPr>
      </w:pPr>
    </w:p>
    <w:p w14:paraId="68A1B62F" w14:textId="77777777" w:rsidR="00BC60DD" w:rsidRPr="0048184E" w:rsidRDefault="00BC60DD" w:rsidP="0048184E">
      <w:pPr>
        <w:spacing w:after="0" w:line="240" w:lineRule="auto"/>
        <w:rPr>
          <w:rFonts w:cstheme="minorHAnsi"/>
          <w:b/>
          <w:sz w:val="18"/>
          <w:szCs w:val="18"/>
          <w:lang w:val="sr-Latn-ME"/>
        </w:rPr>
      </w:pPr>
    </w:p>
    <w:p w14:paraId="1ED712CD" w14:textId="77777777" w:rsidR="00BC60DD" w:rsidRPr="0048184E" w:rsidRDefault="00BC60DD" w:rsidP="0048184E">
      <w:pPr>
        <w:spacing w:after="0" w:line="240" w:lineRule="auto"/>
        <w:rPr>
          <w:rFonts w:cstheme="minorHAnsi"/>
          <w:b/>
          <w:sz w:val="18"/>
          <w:szCs w:val="18"/>
          <w:lang w:val="sr-Latn-ME"/>
        </w:rPr>
      </w:pPr>
    </w:p>
    <w:p w14:paraId="3BF90143" w14:textId="77777777" w:rsidR="00BC60DD" w:rsidRPr="0048184E" w:rsidRDefault="00BC60DD" w:rsidP="0048184E">
      <w:pPr>
        <w:spacing w:after="0" w:line="240" w:lineRule="auto"/>
        <w:rPr>
          <w:rFonts w:cstheme="minorHAnsi"/>
          <w:b/>
          <w:sz w:val="18"/>
          <w:szCs w:val="18"/>
          <w:lang w:val="sr-Latn-ME"/>
        </w:rPr>
      </w:pPr>
    </w:p>
    <w:p w14:paraId="5AB2496B" w14:textId="77777777" w:rsidR="00BC60DD" w:rsidRPr="0048184E" w:rsidRDefault="00BC60DD" w:rsidP="0048184E">
      <w:pPr>
        <w:spacing w:after="0" w:line="240" w:lineRule="auto"/>
        <w:rPr>
          <w:rFonts w:cstheme="minorHAnsi"/>
          <w:b/>
          <w:sz w:val="18"/>
          <w:szCs w:val="18"/>
          <w:lang w:val="sr-Latn-ME"/>
        </w:rPr>
      </w:pPr>
    </w:p>
    <w:p w14:paraId="04B78529" w14:textId="77777777" w:rsidR="00BC60DD" w:rsidRPr="0048184E" w:rsidRDefault="00BC60DD" w:rsidP="0048184E">
      <w:pPr>
        <w:spacing w:after="0" w:line="240" w:lineRule="auto"/>
        <w:rPr>
          <w:rFonts w:cstheme="minorHAnsi"/>
          <w:b/>
          <w:sz w:val="18"/>
          <w:szCs w:val="18"/>
          <w:lang w:val="sr-Latn-ME"/>
        </w:rPr>
      </w:pPr>
    </w:p>
    <w:p w14:paraId="0F7C2FF8" w14:textId="77777777" w:rsidR="00BC60DD" w:rsidRPr="0048184E" w:rsidRDefault="00BC60DD" w:rsidP="0048184E">
      <w:pPr>
        <w:spacing w:after="0" w:line="240" w:lineRule="auto"/>
        <w:rPr>
          <w:rFonts w:cstheme="minorHAnsi"/>
          <w:b/>
          <w:sz w:val="18"/>
          <w:szCs w:val="18"/>
          <w:lang w:val="sr-Latn-ME"/>
        </w:rPr>
      </w:pPr>
    </w:p>
    <w:p w14:paraId="2A48E7CE" w14:textId="77777777" w:rsidR="00BC60DD" w:rsidRPr="0048184E" w:rsidRDefault="00BC60DD" w:rsidP="0048184E">
      <w:pPr>
        <w:spacing w:after="0" w:line="240" w:lineRule="auto"/>
        <w:rPr>
          <w:rFonts w:cstheme="minorHAnsi"/>
          <w:b/>
          <w:sz w:val="18"/>
          <w:szCs w:val="18"/>
          <w:lang w:val="sr-Latn-ME"/>
        </w:rPr>
      </w:pPr>
    </w:p>
    <w:p w14:paraId="49F191D7" w14:textId="77777777" w:rsidR="00BC60DD" w:rsidRPr="0048184E" w:rsidRDefault="00BC60DD" w:rsidP="0048184E">
      <w:pPr>
        <w:spacing w:after="0" w:line="240" w:lineRule="auto"/>
        <w:rPr>
          <w:rFonts w:cstheme="minorHAnsi"/>
          <w:b/>
          <w:sz w:val="18"/>
          <w:szCs w:val="18"/>
          <w:lang w:val="sr-Latn-ME"/>
        </w:rPr>
      </w:pPr>
    </w:p>
    <w:p w14:paraId="5374D44C" w14:textId="77777777" w:rsidR="00BC60DD" w:rsidRPr="0048184E" w:rsidRDefault="00BC60DD" w:rsidP="0048184E">
      <w:pPr>
        <w:spacing w:after="0" w:line="240" w:lineRule="auto"/>
        <w:rPr>
          <w:rFonts w:cstheme="minorHAnsi"/>
          <w:b/>
          <w:sz w:val="18"/>
          <w:szCs w:val="18"/>
          <w:lang w:val="sr-Latn-ME"/>
        </w:rPr>
      </w:pPr>
    </w:p>
    <w:p w14:paraId="440156BA" w14:textId="77777777" w:rsidR="00BC60DD" w:rsidRPr="0048184E" w:rsidRDefault="00BC60DD" w:rsidP="0048184E">
      <w:pPr>
        <w:spacing w:after="0" w:line="240" w:lineRule="auto"/>
        <w:rPr>
          <w:rFonts w:cstheme="minorHAnsi"/>
          <w:b/>
          <w:sz w:val="18"/>
          <w:szCs w:val="18"/>
          <w:lang w:val="sr-Latn-ME"/>
        </w:rPr>
      </w:pPr>
    </w:p>
    <w:p w14:paraId="026905BA" w14:textId="77777777" w:rsidR="00BC60DD" w:rsidRPr="0048184E" w:rsidRDefault="00BC60DD" w:rsidP="0048184E">
      <w:pPr>
        <w:spacing w:after="0" w:line="240" w:lineRule="auto"/>
        <w:rPr>
          <w:rFonts w:cstheme="minorHAnsi"/>
          <w:b/>
          <w:sz w:val="18"/>
          <w:szCs w:val="18"/>
          <w:lang w:val="sr-Latn-ME"/>
        </w:rPr>
      </w:pPr>
    </w:p>
    <w:p w14:paraId="120D501E" w14:textId="77777777" w:rsidR="00BC60DD" w:rsidRPr="0048184E" w:rsidRDefault="00BC60DD" w:rsidP="0048184E">
      <w:pPr>
        <w:spacing w:after="0" w:line="240" w:lineRule="auto"/>
        <w:rPr>
          <w:rFonts w:cstheme="minorHAnsi"/>
          <w:b/>
          <w:sz w:val="18"/>
          <w:szCs w:val="18"/>
          <w:lang w:val="sr-Latn-ME"/>
        </w:rPr>
      </w:pPr>
    </w:p>
    <w:sectPr w:rsidR="00BC60DD" w:rsidRPr="0048184E" w:rsidSect="00F947F4">
      <w:footerReference w:type="default" r:id="rId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2ABD8" w14:textId="77777777" w:rsidR="00DB619D" w:rsidRDefault="00DB619D" w:rsidP="00047530">
      <w:pPr>
        <w:spacing w:after="0" w:line="240" w:lineRule="auto"/>
      </w:pPr>
      <w:r>
        <w:separator/>
      </w:r>
    </w:p>
  </w:endnote>
  <w:endnote w:type="continuationSeparator" w:id="0">
    <w:p w14:paraId="1FDBB348" w14:textId="77777777" w:rsidR="00DB619D" w:rsidRDefault="00DB619D" w:rsidP="000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tillium Web">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Times New Roman"/>
    <w:charset w:val="00"/>
    <w:family w:val="swiss"/>
    <w:pitch w:val="variable"/>
    <w:sig w:usb0="20000287" w:usb1="00000003" w:usb2="00000000" w:usb3="00000000" w:csb0="0000019F" w:csb1="00000000"/>
  </w:font>
  <w:font w:name="Proxima Nova Lt">
    <w:altName w:val="Tahom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501550"/>
      <w:docPartObj>
        <w:docPartGallery w:val="Page Numbers (Bottom of Page)"/>
        <w:docPartUnique/>
      </w:docPartObj>
    </w:sdtPr>
    <w:sdtEndPr>
      <w:rPr>
        <w:noProof/>
      </w:rPr>
    </w:sdtEndPr>
    <w:sdtContent>
      <w:p w14:paraId="7B45C722" w14:textId="752F77B8" w:rsidR="00EB06F2" w:rsidRDefault="00EB06F2">
        <w:pPr>
          <w:pStyle w:val="Footer"/>
          <w:jc w:val="right"/>
        </w:pPr>
        <w:r>
          <w:fldChar w:fldCharType="begin"/>
        </w:r>
        <w:r>
          <w:instrText xml:space="preserve"> PAGE   \* MERGEFORMAT </w:instrText>
        </w:r>
        <w:r>
          <w:fldChar w:fldCharType="separate"/>
        </w:r>
        <w:r>
          <w:rPr>
            <w:noProof/>
          </w:rPr>
          <w:t>63</w:t>
        </w:r>
        <w:r>
          <w:rPr>
            <w:noProof/>
          </w:rPr>
          <w:fldChar w:fldCharType="end"/>
        </w:r>
      </w:p>
    </w:sdtContent>
  </w:sdt>
  <w:p w14:paraId="3EF559E3" w14:textId="77777777" w:rsidR="00EB06F2" w:rsidRDefault="00EB0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D73D" w14:textId="77777777" w:rsidR="00DB619D" w:rsidRDefault="00DB619D" w:rsidP="00047530">
      <w:pPr>
        <w:spacing w:after="0" w:line="240" w:lineRule="auto"/>
      </w:pPr>
      <w:r>
        <w:separator/>
      </w:r>
    </w:p>
  </w:footnote>
  <w:footnote w:type="continuationSeparator" w:id="0">
    <w:p w14:paraId="120AF200" w14:textId="77777777" w:rsidR="00DB619D" w:rsidRDefault="00DB619D" w:rsidP="00047530">
      <w:pPr>
        <w:spacing w:after="0" w:line="240" w:lineRule="auto"/>
      </w:pPr>
      <w:r>
        <w:continuationSeparator/>
      </w:r>
    </w:p>
  </w:footnote>
  <w:footnote w:id="1">
    <w:p w14:paraId="2FE18700" w14:textId="77777777" w:rsidR="00EB06F2" w:rsidRPr="00886119" w:rsidRDefault="00EB06F2">
      <w:pPr>
        <w:pStyle w:val="FootnoteText"/>
        <w:rPr>
          <w:sz w:val="14"/>
          <w:szCs w:val="14"/>
          <w:lang w:val="pl-PL"/>
        </w:rPr>
      </w:pPr>
      <w:r>
        <w:rPr>
          <w:rStyle w:val="FootnoteReference"/>
        </w:rPr>
        <w:footnoteRef/>
      </w:r>
      <w:r w:rsidRPr="00886119">
        <w:rPr>
          <w:lang w:val="pl-PL"/>
        </w:rPr>
        <w:t xml:space="preserve"> </w:t>
      </w:r>
      <w:r w:rsidRPr="00886119">
        <w:rPr>
          <w:sz w:val="14"/>
          <w:szCs w:val="14"/>
          <w:lang w:val="pl-PL"/>
        </w:rPr>
        <w:t>Investiciono razvojni fond C</w:t>
      </w:r>
      <w:r>
        <w:rPr>
          <w:sz w:val="14"/>
          <w:szCs w:val="14"/>
          <w:lang w:val="pl-PL"/>
        </w:rPr>
        <w:t>rne Gore je u toku trajanja Stra</w:t>
      </w:r>
      <w:r w:rsidRPr="00886119">
        <w:rPr>
          <w:sz w:val="14"/>
          <w:szCs w:val="14"/>
          <w:lang w:val="pl-PL"/>
        </w:rPr>
        <w:t xml:space="preserve">tegije transformisan u Razvojnu banku Crne Gore AD Podgorica. </w:t>
      </w:r>
    </w:p>
  </w:footnote>
  <w:footnote w:id="2">
    <w:p w14:paraId="7A04D16E" w14:textId="77777777" w:rsidR="00EB06F2" w:rsidRPr="00B51193" w:rsidRDefault="00EB06F2">
      <w:pPr>
        <w:pStyle w:val="FootnoteText"/>
        <w:rPr>
          <w:b/>
          <w:lang w:val="pl-PL"/>
        </w:rPr>
      </w:pPr>
      <w:r>
        <w:rPr>
          <w:rStyle w:val="FootnoteReference"/>
        </w:rPr>
        <w:footnoteRef/>
      </w:r>
      <w:r w:rsidRPr="00B51193">
        <w:rPr>
          <w:lang w:val="pl-PL"/>
        </w:rPr>
        <w:t xml:space="preserve"> </w:t>
      </w:r>
      <w:r w:rsidRPr="00D74104">
        <w:rPr>
          <w:sz w:val="16"/>
          <w:szCs w:val="16"/>
          <w:lang w:val="pl-PL"/>
        </w:rPr>
        <w:t>Zakon o regionalnom razvoju ("Službeni list CG", br. 20/2011, 26/2011, 20/2015 i 47/2019.)</w:t>
      </w:r>
    </w:p>
  </w:footnote>
  <w:footnote w:id="3">
    <w:p w14:paraId="25E35F46" w14:textId="77777777" w:rsidR="00EB06F2" w:rsidRPr="00D74104" w:rsidRDefault="00EB06F2" w:rsidP="00D74104">
      <w:pPr>
        <w:pStyle w:val="FootnoteText"/>
        <w:spacing w:after="0" w:line="240" w:lineRule="auto"/>
        <w:rPr>
          <w:sz w:val="16"/>
          <w:szCs w:val="16"/>
          <w:lang w:val="sr-Latn-ME"/>
        </w:rPr>
      </w:pPr>
      <w:r>
        <w:rPr>
          <w:rStyle w:val="FootnoteReference"/>
        </w:rPr>
        <w:footnoteRef/>
      </w:r>
      <w:r w:rsidRPr="001838F3">
        <w:rPr>
          <w:lang w:val="pl-PL"/>
        </w:rPr>
        <w:t xml:space="preserve"> </w:t>
      </w:r>
      <w:r w:rsidRPr="00D74104">
        <w:rPr>
          <w:sz w:val="16"/>
          <w:szCs w:val="16"/>
          <w:lang w:val="pl-PL"/>
        </w:rPr>
        <w:t>Zakon o teritorijalnoj organizaciji Crne Gore ("Službeni list CG", br. 54/2011, 26/2012, 27/2013, 62/2013, 12/2014, 3/2016, 31/2017, 86/2018, 3/2020 i 92/2022.)</w:t>
      </w:r>
    </w:p>
  </w:footnote>
  <w:footnote w:id="4">
    <w:p w14:paraId="1ECAD314" w14:textId="77777777" w:rsidR="00EB06F2" w:rsidRPr="00D74104" w:rsidRDefault="00EB06F2" w:rsidP="00D74104">
      <w:pPr>
        <w:pStyle w:val="FootnoteText"/>
        <w:spacing w:after="0" w:line="240" w:lineRule="auto"/>
        <w:rPr>
          <w:sz w:val="16"/>
          <w:szCs w:val="16"/>
          <w:lang w:val="pl-PL"/>
        </w:rPr>
      </w:pPr>
      <w:r w:rsidRPr="00D74104">
        <w:rPr>
          <w:rStyle w:val="FootnoteReference"/>
          <w:sz w:val="16"/>
          <w:szCs w:val="16"/>
        </w:rPr>
        <w:footnoteRef/>
      </w:r>
      <w:r w:rsidRPr="00D74104">
        <w:rPr>
          <w:sz w:val="16"/>
          <w:szCs w:val="16"/>
          <w:lang w:val="pl-PL"/>
        </w:rPr>
        <w:t xml:space="preserve"> Analiza funkcionisanja JLS</w:t>
      </w:r>
    </w:p>
  </w:footnote>
  <w:footnote w:id="5">
    <w:p w14:paraId="66106727" w14:textId="77777777" w:rsidR="00EB06F2" w:rsidRPr="00D74104" w:rsidRDefault="00EB06F2" w:rsidP="00D74104">
      <w:pPr>
        <w:pStyle w:val="FootnoteText"/>
        <w:spacing w:after="0" w:line="240" w:lineRule="auto"/>
        <w:rPr>
          <w:sz w:val="16"/>
          <w:szCs w:val="16"/>
          <w:lang w:val="sr-Latn-ME"/>
        </w:rPr>
      </w:pPr>
      <w:r w:rsidRPr="00D74104">
        <w:rPr>
          <w:rStyle w:val="FootnoteReference"/>
          <w:sz w:val="16"/>
          <w:szCs w:val="16"/>
        </w:rPr>
        <w:footnoteRef/>
      </w:r>
      <w:r w:rsidRPr="00D74104">
        <w:rPr>
          <w:sz w:val="16"/>
          <w:szCs w:val="16"/>
          <w:lang w:val="pl-PL"/>
        </w:rPr>
        <w:t xml:space="preserve"> Zakon o regionalnom razvoju ("Službeni list CG", br. 20/2011, 26/2011, 20/2015 i 47/2019.)</w:t>
      </w:r>
    </w:p>
  </w:footnote>
  <w:footnote w:id="6">
    <w:p w14:paraId="1E52288C" w14:textId="77777777" w:rsidR="00EB06F2" w:rsidRPr="00035849" w:rsidRDefault="00EB06F2">
      <w:pPr>
        <w:pStyle w:val="FootnoteText"/>
        <w:rPr>
          <w:i/>
          <w:sz w:val="16"/>
          <w:szCs w:val="16"/>
          <w:lang w:val="sr-Latn-ME"/>
        </w:rPr>
      </w:pPr>
      <w:r>
        <w:rPr>
          <w:rStyle w:val="FootnoteReference"/>
        </w:rPr>
        <w:footnoteRef/>
      </w:r>
      <w:r w:rsidRPr="00F55052">
        <w:rPr>
          <w:lang w:val="sr-Latn-ME"/>
        </w:rPr>
        <w:t xml:space="preserve"> </w:t>
      </w:r>
      <w:r w:rsidRPr="00035849">
        <w:rPr>
          <w:sz w:val="16"/>
          <w:szCs w:val="16"/>
          <w:lang w:val="sr-Latn-ME"/>
        </w:rPr>
        <w:t xml:space="preserve">Riječ region potiče od latinske riječi </w:t>
      </w:r>
      <w:r w:rsidRPr="00035849">
        <w:rPr>
          <w:i/>
          <w:sz w:val="16"/>
          <w:szCs w:val="16"/>
          <w:lang w:val="sr-Latn-ME"/>
        </w:rPr>
        <w:t xml:space="preserve">regio </w:t>
      </w:r>
      <w:r w:rsidRPr="00035849">
        <w:rPr>
          <w:sz w:val="16"/>
          <w:szCs w:val="16"/>
          <w:lang w:val="sr-Latn-ME"/>
        </w:rPr>
        <w:t>što u prevodu znači područje veće površine</w:t>
      </w:r>
      <w:r w:rsidRPr="00035849">
        <w:rPr>
          <w:i/>
          <w:sz w:val="16"/>
          <w:szCs w:val="16"/>
          <w:lang w:val="sr-Latn-ME"/>
        </w:rPr>
        <w:t>.</w:t>
      </w:r>
    </w:p>
  </w:footnote>
  <w:footnote w:id="7">
    <w:p w14:paraId="50EA537B" w14:textId="77777777" w:rsidR="00EB06F2" w:rsidRPr="007834B1" w:rsidRDefault="00EB06F2">
      <w:pPr>
        <w:pStyle w:val="FootnoteText"/>
        <w:rPr>
          <w:sz w:val="16"/>
          <w:szCs w:val="16"/>
          <w:lang w:val="sr-Latn-ME"/>
        </w:rPr>
      </w:pPr>
      <w:r>
        <w:rPr>
          <w:rStyle w:val="FootnoteReference"/>
        </w:rPr>
        <w:footnoteRef/>
      </w:r>
      <w:r w:rsidRPr="007834B1">
        <w:rPr>
          <w:lang w:val="sr-Latn-ME"/>
        </w:rPr>
        <w:t xml:space="preserve"> </w:t>
      </w:r>
      <w:r w:rsidRPr="007834B1">
        <w:rPr>
          <w:sz w:val="16"/>
          <w:szCs w:val="16"/>
          <w:lang w:val="sr-Latn-ME"/>
        </w:rPr>
        <w:t>U nastavku teksta pod skraćenicom „SRR 2023-2027.“ smatraće se „Revidirana SRR 2023-2027.“</w:t>
      </w:r>
    </w:p>
  </w:footnote>
  <w:footnote w:id="8">
    <w:p w14:paraId="4891809B" w14:textId="77777777" w:rsidR="00EB06F2" w:rsidRPr="00A9495B" w:rsidRDefault="00EB06F2" w:rsidP="000F4C47">
      <w:pPr>
        <w:pStyle w:val="NoSpacing"/>
        <w:jc w:val="both"/>
        <w:rPr>
          <w:rFonts w:asciiTheme="minorHAnsi" w:hAnsiTheme="minorHAnsi" w:cstheme="minorHAnsi"/>
          <w:bCs/>
          <w:sz w:val="16"/>
          <w:szCs w:val="16"/>
          <w:lang w:val="sr-Latn-ME"/>
        </w:rPr>
      </w:pPr>
      <w:r w:rsidRPr="003048F6">
        <w:rPr>
          <w:rStyle w:val="FootnoteReference"/>
          <w:sz w:val="18"/>
          <w:szCs w:val="18"/>
        </w:rPr>
        <w:footnoteRef/>
      </w:r>
      <w:r w:rsidRPr="003048F6">
        <w:rPr>
          <w:sz w:val="18"/>
          <w:szCs w:val="18"/>
          <w:lang w:val="sr-Latn-ME"/>
        </w:rPr>
        <w:t xml:space="preserve"> </w:t>
      </w:r>
      <w:r w:rsidRPr="00A9495B">
        <w:rPr>
          <w:rFonts w:asciiTheme="minorHAnsi" w:hAnsiTheme="minorHAnsi" w:cstheme="minorHAnsi"/>
          <w:sz w:val="16"/>
          <w:szCs w:val="16"/>
          <w:lang w:val="hr-HR"/>
        </w:rPr>
        <w:t>Regionalna politika je usmjerena prema smanjenju ekonomskih i društvenih razlika između EU regija, s ciljem ostvarivanja jedinstvenog tržišta. Strukturna politika ima šire značenje, sadrži regionalne i neregionalne (sektorske) komponente. Koheziona</w:t>
      </w:r>
      <w:r w:rsidRPr="00A9495B">
        <w:rPr>
          <w:rFonts w:asciiTheme="minorHAnsi" w:hAnsiTheme="minorHAnsi" w:cstheme="minorHAnsi"/>
          <w:b/>
          <w:sz w:val="16"/>
          <w:szCs w:val="16"/>
          <w:lang w:val="hr-HR"/>
        </w:rPr>
        <w:t xml:space="preserve"> </w:t>
      </w:r>
      <w:r w:rsidRPr="00A9495B">
        <w:rPr>
          <w:rFonts w:asciiTheme="minorHAnsi" w:hAnsiTheme="minorHAnsi" w:cstheme="minorHAnsi"/>
          <w:bCs/>
          <w:sz w:val="16"/>
          <w:szCs w:val="16"/>
          <w:lang w:val="hr-HR"/>
        </w:rPr>
        <w:t>politika ima najšire značenje, obuhvata niz mjera za postizanje ciljeva ekonomske, socijalne i teritorijalne kohezije EU (formalno u upotrebi od 1986. godine kroz Jedinstveni Evropski Akt).</w:t>
      </w:r>
      <w:r w:rsidRPr="00A9495B">
        <w:rPr>
          <w:rFonts w:asciiTheme="minorHAnsi" w:hAnsiTheme="minorHAnsi" w:cstheme="minorHAnsi"/>
          <w:bCs/>
          <w:sz w:val="16"/>
          <w:szCs w:val="16"/>
          <w:lang w:val="sr-Latn-CS"/>
        </w:rPr>
        <w:t xml:space="preserve"> Izraz koheziona politika, zbog svog obuhvata sve je više u upotrebi.</w:t>
      </w:r>
    </w:p>
  </w:footnote>
  <w:footnote w:id="9">
    <w:p w14:paraId="10FF9BDE" w14:textId="77777777" w:rsidR="00EB06F2" w:rsidRPr="00A9495B" w:rsidRDefault="00EB06F2" w:rsidP="000F4C47">
      <w:pPr>
        <w:pStyle w:val="NoSpacing"/>
        <w:jc w:val="both"/>
        <w:rPr>
          <w:rFonts w:asciiTheme="minorHAnsi" w:hAnsiTheme="minorHAnsi" w:cstheme="minorHAnsi"/>
          <w:bCs/>
          <w:sz w:val="16"/>
          <w:szCs w:val="16"/>
          <w:lang w:val="sr-Latn-ME"/>
        </w:rPr>
      </w:pPr>
      <w:r w:rsidRPr="00A9495B">
        <w:rPr>
          <w:rStyle w:val="FootnoteReference"/>
          <w:rFonts w:asciiTheme="minorHAnsi" w:hAnsiTheme="minorHAnsi" w:cstheme="minorHAnsi"/>
          <w:bCs/>
          <w:sz w:val="16"/>
          <w:szCs w:val="16"/>
        </w:rPr>
        <w:footnoteRef/>
      </w:r>
      <w:r w:rsidRPr="00A9495B">
        <w:rPr>
          <w:rFonts w:asciiTheme="minorHAnsi" w:hAnsiTheme="minorHAnsi" w:cstheme="minorHAnsi"/>
          <w:bCs/>
          <w:sz w:val="16"/>
          <w:szCs w:val="16"/>
          <w:lang w:val="sr-Latn-ME"/>
        </w:rPr>
        <w:t xml:space="preserve"> Broj stanovnika ovih regiona kreće se okvirno od 800.000 do 3.000.000 stanovnika, ali se zbog specifičnosti velikog broja manjih zemalja, nivo NUTS 2 i targetirana podrška odnose i na demografski znatno manje regione ili ostrva.</w:t>
      </w:r>
    </w:p>
  </w:footnote>
  <w:footnote w:id="10">
    <w:p w14:paraId="390B5A28" w14:textId="51F8AD66" w:rsidR="00EB06F2" w:rsidRPr="004759C6" w:rsidRDefault="00EB06F2" w:rsidP="004D1ACA">
      <w:pPr>
        <w:pStyle w:val="NoSpacing"/>
        <w:jc w:val="both"/>
        <w:rPr>
          <w:sz w:val="16"/>
          <w:szCs w:val="16"/>
          <w:lang w:val="sr-Latn-ME"/>
        </w:rPr>
      </w:pPr>
      <w:r w:rsidRPr="00902CC3">
        <w:rPr>
          <w:rStyle w:val="FootnoteReference"/>
          <w:sz w:val="18"/>
          <w:szCs w:val="18"/>
          <w:lang w:val="sr-Latn-ME"/>
        </w:rPr>
        <w:footnoteRef/>
      </w:r>
      <w:r w:rsidRPr="00902CC3">
        <w:rPr>
          <w:sz w:val="18"/>
          <w:szCs w:val="18"/>
          <w:lang w:val="sr-Latn-ME"/>
        </w:rPr>
        <w:t xml:space="preserve"> </w:t>
      </w:r>
      <w:r w:rsidRPr="004759C6">
        <w:rPr>
          <w:sz w:val="16"/>
          <w:szCs w:val="16"/>
          <w:lang w:val="sr-Latn-ME"/>
        </w:rPr>
        <w:t>Namjeravani nacionalno utvrđeni doprinos Crne Gore (INDC) u skladu s odlukom 1/CP 19 i odlukom 1/CP 20 Okvirne konvencije Ujedinjenih nacija o klimatskim promjenama (UNFCCC), Septembar 2015</w:t>
      </w:r>
      <w:r>
        <w:rPr>
          <w:sz w:val="16"/>
          <w:szCs w:val="16"/>
          <w:lang w:val="sr-Latn-ME"/>
        </w:rPr>
        <w:t>; Ažurirani Nacionalni utvrđeni doprinos Crne Gore (NDC) za 2030. i 2035. godinu</w:t>
      </w:r>
    </w:p>
  </w:footnote>
  <w:footnote w:id="11">
    <w:p w14:paraId="038E8774" w14:textId="77777777" w:rsidR="00EB06F2" w:rsidRPr="00035849" w:rsidRDefault="00EB06F2" w:rsidP="004D1ACA">
      <w:pPr>
        <w:pStyle w:val="NoSpacing"/>
        <w:jc w:val="both"/>
        <w:rPr>
          <w:rFonts w:cs="Calibri"/>
          <w:sz w:val="16"/>
          <w:szCs w:val="16"/>
          <w:lang w:val="sr-Latn-ME"/>
        </w:rPr>
      </w:pPr>
      <w:r w:rsidRPr="00C231AE">
        <w:rPr>
          <w:rStyle w:val="FootnoteReference"/>
          <w:rFonts w:cs="Calibri"/>
          <w:sz w:val="18"/>
          <w:szCs w:val="18"/>
        </w:rPr>
        <w:footnoteRef/>
      </w:r>
      <w:r w:rsidRPr="004D1ACA">
        <w:rPr>
          <w:rFonts w:cs="Calibri"/>
          <w:sz w:val="18"/>
          <w:szCs w:val="18"/>
          <w:lang w:val="pl-PL"/>
        </w:rPr>
        <w:t xml:space="preserve"> </w:t>
      </w:r>
      <w:r w:rsidRPr="00035849">
        <w:rPr>
          <w:rFonts w:cs="Calibri"/>
          <w:sz w:val="16"/>
          <w:szCs w:val="16"/>
          <w:lang w:val="pl-PL"/>
        </w:rPr>
        <w:t>Đurović G., Regionalna ekonomija, Ekonomski fakultet, UCG, Podgorica, 2020.</w:t>
      </w:r>
    </w:p>
  </w:footnote>
  <w:footnote w:id="12">
    <w:p w14:paraId="0DEF153B" w14:textId="77777777" w:rsidR="00EB06F2" w:rsidRPr="00035849" w:rsidRDefault="00EB06F2" w:rsidP="004D1ACA">
      <w:pPr>
        <w:pStyle w:val="NoSpacing"/>
        <w:jc w:val="both"/>
        <w:rPr>
          <w:rFonts w:cs="Calibri"/>
          <w:sz w:val="16"/>
          <w:szCs w:val="16"/>
          <w:lang w:val="hr-HR"/>
        </w:rPr>
      </w:pPr>
      <w:r w:rsidRPr="00035849">
        <w:rPr>
          <w:rStyle w:val="FootnoteReference"/>
          <w:rFonts w:cs="Calibri"/>
          <w:sz w:val="16"/>
          <w:szCs w:val="16"/>
        </w:rPr>
        <w:footnoteRef/>
      </w:r>
      <w:r w:rsidRPr="00035849">
        <w:rPr>
          <w:rFonts w:cs="Calibri"/>
          <w:sz w:val="16"/>
          <w:szCs w:val="16"/>
          <w:lang w:val="hr-HR"/>
        </w:rPr>
        <w:t xml:space="preserve"> </w:t>
      </w:r>
      <w:hyperlink r:id="rId1" w:history="1">
        <w:r w:rsidRPr="00035849">
          <w:rPr>
            <w:rStyle w:val="Hyperlink"/>
            <w:rFonts w:cs="Calibri"/>
            <w:sz w:val="16"/>
            <w:szCs w:val="16"/>
            <w:lang w:val="hr-HR"/>
          </w:rPr>
          <w:t>https://digital-strategy.ec.europa.eu/en/policies/digital-compass</w:t>
        </w:r>
      </w:hyperlink>
      <w:r w:rsidRPr="00035849">
        <w:rPr>
          <w:rFonts w:cs="Calibri"/>
          <w:sz w:val="16"/>
          <w:szCs w:val="16"/>
          <w:lang w:val="hr-HR"/>
        </w:rPr>
        <w:t xml:space="preserve"> </w:t>
      </w:r>
    </w:p>
  </w:footnote>
  <w:footnote w:id="13">
    <w:p w14:paraId="280E32BB" w14:textId="77777777" w:rsidR="00EB06F2" w:rsidRPr="00035849" w:rsidRDefault="00EB06F2" w:rsidP="004D1ACA">
      <w:pPr>
        <w:pStyle w:val="NoSpacing"/>
        <w:jc w:val="both"/>
        <w:rPr>
          <w:rFonts w:cs="Calibri"/>
          <w:sz w:val="16"/>
          <w:szCs w:val="16"/>
          <w:lang w:val="hr-HR"/>
        </w:rPr>
      </w:pPr>
      <w:r w:rsidRPr="00035849">
        <w:rPr>
          <w:rStyle w:val="FootnoteReference"/>
          <w:rFonts w:cs="Calibri"/>
          <w:sz w:val="16"/>
          <w:szCs w:val="16"/>
        </w:rPr>
        <w:footnoteRef/>
      </w:r>
      <w:r w:rsidRPr="00035849">
        <w:rPr>
          <w:rFonts w:cs="Calibri"/>
          <w:sz w:val="16"/>
          <w:szCs w:val="16"/>
          <w:lang w:val="hr-HR"/>
        </w:rPr>
        <w:t xml:space="preserve"> Evropska komisija, Strategija EU za Dunavski region, COM(2010) 715/4. </w:t>
      </w:r>
      <w:hyperlink r:id="rId2" w:history="1">
        <w:r w:rsidRPr="00035849">
          <w:rPr>
            <w:rStyle w:val="Hyperlink"/>
            <w:rFonts w:cs="Calibri"/>
            <w:sz w:val="16"/>
            <w:szCs w:val="16"/>
            <w:lang w:val="hr-HR"/>
          </w:rPr>
          <w:t>https://danube-region.eu/</w:t>
        </w:r>
      </w:hyperlink>
      <w:r w:rsidRPr="00035849">
        <w:rPr>
          <w:rFonts w:cs="Calibri"/>
          <w:sz w:val="16"/>
          <w:szCs w:val="16"/>
          <w:lang w:val="hr-HR"/>
        </w:rPr>
        <w:t xml:space="preserve"> </w:t>
      </w:r>
    </w:p>
  </w:footnote>
  <w:footnote w:id="14">
    <w:p w14:paraId="43BCEF8C" w14:textId="77777777" w:rsidR="00EB06F2" w:rsidRPr="00035849" w:rsidRDefault="00EB06F2" w:rsidP="004D1ACA">
      <w:pPr>
        <w:pStyle w:val="NoSpacing"/>
        <w:jc w:val="both"/>
        <w:rPr>
          <w:rFonts w:ascii="Cambria" w:hAnsi="Cambria"/>
          <w:sz w:val="16"/>
          <w:szCs w:val="16"/>
          <w:lang w:val="sr-Latn-ME"/>
        </w:rPr>
      </w:pPr>
      <w:r w:rsidRPr="00035849">
        <w:rPr>
          <w:rStyle w:val="FootnoteReference"/>
          <w:rFonts w:cs="Calibri"/>
          <w:sz w:val="16"/>
          <w:szCs w:val="16"/>
          <w:lang w:val="sr-Latn-ME"/>
        </w:rPr>
        <w:footnoteRef/>
      </w:r>
      <w:r w:rsidRPr="00035849">
        <w:rPr>
          <w:rFonts w:cs="Calibri"/>
          <w:sz w:val="16"/>
          <w:szCs w:val="16"/>
          <w:lang w:val="sr-Latn-ME"/>
        </w:rPr>
        <w:t xml:space="preserve"> </w:t>
      </w:r>
      <w:r w:rsidRPr="00035849">
        <w:rPr>
          <w:rStyle w:val="Strong"/>
          <w:rFonts w:cs="Calibri"/>
          <w:b w:val="0"/>
          <w:bCs w:val="0"/>
          <w:color w:val="000000"/>
          <w:sz w:val="16"/>
          <w:szCs w:val="16"/>
          <w:bdr w:val="none" w:sz="0" w:space="0" w:color="auto" w:frame="1"/>
          <w:lang w:val="sr-Latn-ME"/>
        </w:rPr>
        <w:t>Communication</w:t>
      </w:r>
      <w:r w:rsidRPr="00035849">
        <w:rPr>
          <w:rFonts w:cs="Calibri"/>
          <w:color w:val="000000"/>
          <w:sz w:val="16"/>
          <w:szCs w:val="16"/>
          <w:lang w:val="sr-Latn-ME"/>
        </w:rPr>
        <w:t xml:space="preserve"> concerning the European Union Strategy for the Adriatic and Ionian Region - 17.06.2014 - COM(2014) 357 final. </w:t>
      </w:r>
      <w:hyperlink r:id="rId3" w:history="1">
        <w:r w:rsidRPr="00035849">
          <w:rPr>
            <w:rStyle w:val="Hyperlink"/>
            <w:rFonts w:cs="Calibri"/>
            <w:sz w:val="16"/>
            <w:szCs w:val="16"/>
            <w:lang w:val="sr-Latn-ME"/>
          </w:rPr>
          <w:t>https://www.adriatic-ionian.eu/</w:t>
        </w:r>
      </w:hyperlink>
      <w:r w:rsidRPr="00035849">
        <w:rPr>
          <w:rFonts w:ascii="Cambria" w:hAnsi="Cambria" w:cs="Arial"/>
          <w:color w:val="000000"/>
          <w:sz w:val="16"/>
          <w:szCs w:val="16"/>
          <w:lang w:val="sr-Latn-ME"/>
        </w:rPr>
        <w:t xml:space="preserve"> </w:t>
      </w:r>
    </w:p>
  </w:footnote>
  <w:footnote w:id="15">
    <w:p w14:paraId="423EAFDE" w14:textId="77777777" w:rsidR="00EB06F2" w:rsidRPr="00035849" w:rsidRDefault="00EB06F2" w:rsidP="004D1ACA">
      <w:pPr>
        <w:pStyle w:val="NoSpacing"/>
        <w:jc w:val="both"/>
        <w:rPr>
          <w:sz w:val="16"/>
          <w:szCs w:val="16"/>
          <w:lang w:val="sr-Latn-ME"/>
        </w:rPr>
      </w:pPr>
      <w:r w:rsidRPr="0057324B">
        <w:rPr>
          <w:rStyle w:val="FootnoteReference"/>
          <w:sz w:val="18"/>
          <w:szCs w:val="18"/>
          <w:lang w:val="sr-Latn-ME"/>
        </w:rPr>
        <w:footnoteRef/>
      </w:r>
      <w:r w:rsidRPr="0057324B">
        <w:rPr>
          <w:sz w:val="18"/>
          <w:szCs w:val="18"/>
          <w:lang w:val="sr-Latn-ME"/>
        </w:rPr>
        <w:t xml:space="preserve"> </w:t>
      </w:r>
      <w:r w:rsidRPr="00035849">
        <w:rPr>
          <w:sz w:val="16"/>
          <w:szCs w:val="16"/>
          <w:lang w:val="sr-Latn-ME"/>
        </w:rPr>
        <w:t xml:space="preserve">Commission Staff Working Document, Guidelines for the Implementation of the Green Agenda for the Western Balkans, Accompanzing the Communication from the Commission to the European Parliament, the Council, the European Economic and Social Committee and the Committee of the Regions – An Economic and Investment plan for the Western Balkans, SWD(2020), Brussels, 6.10.2020., 223 final. </w:t>
      </w:r>
    </w:p>
  </w:footnote>
  <w:footnote w:id="16">
    <w:p w14:paraId="79EDA199" w14:textId="77777777" w:rsidR="00EB06F2" w:rsidRPr="00035849" w:rsidRDefault="00EB06F2" w:rsidP="004D1ACA">
      <w:pPr>
        <w:pStyle w:val="NoSpacing"/>
        <w:jc w:val="both"/>
        <w:rPr>
          <w:sz w:val="16"/>
          <w:szCs w:val="16"/>
          <w:lang w:val="sr-Latn-ME"/>
        </w:rPr>
      </w:pPr>
      <w:r w:rsidRPr="00035849">
        <w:rPr>
          <w:rStyle w:val="FootnoteReference"/>
          <w:sz w:val="16"/>
          <w:szCs w:val="16"/>
          <w:lang w:val="sr-Latn-ME"/>
        </w:rPr>
        <w:footnoteRef/>
      </w:r>
      <w:r w:rsidRPr="00035849">
        <w:rPr>
          <w:sz w:val="16"/>
          <w:szCs w:val="16"/>
          <w:lang w:val="sr-Latn-ME"/>
        </w:rPr>
        <w:t xml:space="preserve"> Neighbourhood, Development and International Cooperation Instrument (</w:t>
      </w:r>
      <w:r w:rsidRPr="00035849">
        <w:rPr>
          <w:rStyle w:val="Emphasis"/>
          <w:i w:val="0"/>
          <w:iCs w:val="0"/>
          <w:sz w:val="16"/>
          <w:szCs w:val="16"/>
          <w:lang w:val="sr-Latn-ME"/>
        </w:rPr>
        <w:t>NDICI</w:t>
      </w:r>
      <w:r w:rsidRPr="00035849">
        <w:rPr>
          <w:sz w:val="16"/>
          <w:szCs w:val="16"/>
          <w:lang w:val="sr-Latn-ME"/>
        </w:rPr>
        <w:t>) – Instrument za susjedstvo, razvoj i međunarodnu saradnju.</w:t>
      </w:r>
    </w:p>
  </w:footnote>
  <w:footnote w:id="17">
    <w:p w14:paraId="2C5D7580" w14:textId="77777777" w:rsidR="00EB06F2" w:rsidRPr="00035849" w:rsidRDefault="00EB06F2">
      <w:pPr>
        <w:pStyle w:val="FootnoteText"/>
        <w:rPr>
          <w:sz w:val="16"/>
          <w:szCs w:val="16"/>
          <w:lang w:val="pl-PL"/>
        </w:rPr>
      </w:pPr>
      <w:r w:rsidRPr="00035849">
        <w:rPr>
          <w:rStyle w:val="FootnoteReference"/>
          <w:sz w:val="16"/>
          <w:szCs w:val="16"/>
        </w:rPr>
        <w:footnoteRef/>
      </w:r>
      <w:r w:rsidRPr="00035849">
        <w:rPr>
          <w:sz w:val="16"/>
          <w:szCs w:val="16"/>
          <w:lang w:val="pl-PL"/>
        </w:rPr>
        <w:t xml:space="preserve"> Industrijska politika 2024-2028.</w:t>
      </w:r>
    </w:p>
  </w:footnote>
  <w:footnote w:id="18">
    <w:p w14:paraId="1871805A" w14:textId="77777777" w:rsidR="00EB06F2" w:rsidRPr="00061252" w:rsidRDefault="00EB06F2" w:rsidP="00061252">
      <w:pPr>
        <w:pStyle w:val="FootnoteText"/>
        <w:spacing w:after="0" w:line="240" w:lineRule="auto"/>
        <w:rPr>
          <w:sz w:val="16"/>
          <w:szCs w:val="16"/>
          <w:lang w:val="sr-Latn-ME"/>
        </w:rPr>
      </w:pPr>
      <w:r>
        <w:rPr>
          <w:rStyle w:val="FootnoteReference"/>
        </w:rPr>
        <w:footnoteRef/>
      </w:r>
      <w:r w:rsidRPr="00AF5B0F">
        <w:rPr>
          <w:lang w:val="pl-PL"/>
        </w:rPr>
        <w:t xml:space="preserve"> </w:t>
      </w:r>
      <w:r w:rsidRPr="00061252">
        <w:rPr>
          <w:sz w:val="16"/>
          <w:szCs w:val="16"/>
          <w:lang w:val="pl-PL"/>
        </w:rPr>
        <w:t xml:space="preserve">Izvor: </w:t>
      </w:r>
      <w:r w:rsidRPr="00061252">
        <w:rPr>
          <w:sz w:val="16"/>
          <w:szCs w:val="16"/>
          <w:lang w:val="sr-Latn-ME"/>
        </w:rPr>
        <w:t>Industrijska politika 2024-2028.</w:t>
      </w:r>
    </w:p>
  </w:footnote>
  <w:footnote w:id="19">
    <w:p w14:paraId="5555AFCC" w14:textId="77777777" w:rsidR="00EB06F2" w:rsidRPr="00061252" w:rsidRDefault="00EB06F2" w:rsidP="00061252">
      <w:pPr>
        <w:pStyle w:val="NoSpacing"/>
        <w:rPr>
          <w:sz w:val="16"/>
          <w:szCs w:val="16"/>
          <w:lang w:val="sr-Latn-ME"/>
        </w:rPr>
      </w:pPr>
      <w:r w:rsidRPr="00061252">
        <w:rPr>
          <w:rStyle w:val="FootnoteReference"/>
          <w:sz w:val="16"/>
          <w:szCs w:val="16"/>
        </w:rPr>
        <w:footnoteRef/>
      </w:r>
      <w:r w:rsidRPr="00061252">
        <w:rPr>
          <w:sz w:val="16"/>
          <w:szCs w:val="16"/>
          <w:lang w:val="sr-Latn-ME"/>
        </w:rPr>
        <w:t xml:space="preserve"> Izvor: Program ekonomskih reformi 2023-2025.</w:t>
      </w:r>
    </w:p>
  </w:footnote>
  <w:footnote w:id="20">
    <w:p w14:paraId="5345FA4D" w14:textId="77777777" w:rsidR="00EB06F2" w:rsidRPr="00233293" w:rsidRDefault="00EB06F2" w:rsidP="00223F35">
      <w:pPr>
        <w:pStyle w:val="FootnoteText"/>
        <w:rPr>
          <w:sz w:val="16"/>
          <w:szCs w:val="16"/>
          <w:lang w:val="pl-PL"/>
        </w:rPr>
      </w:pPr>
      <w:r>
        <w:rPr>
          <w:rStyle w:val="FootnoteReference"/>
        </w:rPr>
        <w:footnoteRef/>
      </w:r>
      <w:r w:rsidRPr="00233293">
        <w:rPr>
          <w:lang w:val="pl-PL"/>
        </w:rPr>
        <w:t xml:space="preserve"> </w:t>
      </w:r>
      <w:r w:rsidRPr="00233293">
        <w:rPr>
          <w:sz w:val="16"/>
          <w:szCs w:val="16"/>
          <w:lang w:val="pl-PL"/>
        </w:rPr>
        <w:t>Skupština Crne Gore je 31. oktobra 2023. god</w:t>
      </w:r>
      <w:r>
        <w:rPr>
          <w:sz w:val="16"/>
          <w:szCs w:val="16"/>
          <w:lang w:val="pl-PL"/>
        </w:rPr>
        <w:t>ine izabrala 44. Vladu</w:t>
      </w:r>
    </w:p>
  </w:footnote>
  <w:footnote w:id="21">
    <w:p w14:paraId="3EA049F8" w14:textId="77777777" w:rsidR="00EB06F2" w:rsidRPr="0032275C" w:rsidRDefault="00EB06F2" w:rsidP="00223F35">
      <w:pPr>
        <w:pStyle w:val="FootnoteText"/>
        <w:rPr>
          <w:lang w:val="sr-Latn-ME"/>
        </w:rPr>
      </w:pPr>
      <w:r>
        <w:rPr>
          <w:rStyle w:val="FootnoteReference"/>
        </w:rPr>
        <w:footnoteRef/>
      </w:r>
      <w:r w:rsidRPr="00223F35">
        <w:rPr>
          <w:lang w:val="pl-PL"/>
        </w:rPr>
        <w:t xml:space="preserve"> </w:t>
      </w:r>
      <w:r w:rsidRPr="00061252">
        <w:rPr>
          <w:sz w:val="16"/>
          <w:szCs w:val="16"/>
          <w:lang w:val="sr-Latn-ME"/>
        </w:rPr>
        <w:t>Izvor: CBCG</w:t>
      </w:r>
    </w:p>
  </w:footnote>
  <w:footnote w:id="22">
    <w:p w14:paraId="26427B73" w14:textId="77777777" w:rsidR="00EB06F2" w:rsidRPr="00223F35" w:rsidRDefault="00EB06F2" w:rsidP="00223F35">
      <w:pPr>
        <w:pStyle w:val="FootnoteText"/>
        <w:rPr>
          <w:rFonts w:asciiTheme="minorHAnsi" w:hAnsiTheme="minorHAnsi" w:cstheme="minorHAnsi"/>
          <w:sz w:val="16"/>
          <w:szCs w:val="16"/>
          <w:lang w:val="pl-PL"/>
        </w:rPr>
      </w:pPr>
      <w:r>
        <w:rPr>
          <w:rStyle w:val="FootnoteReference"/>
        </w:rPr>
        <w:footnoteRef/>
      </w:r>
      <w:r w:rsidRPr="00223F35">
        <w:rPr>
          <w:rFonts w:ascii="Garamond" w:hAnsi="Garamond"/>
          <w:lang w:val="pl-PL"/>
        </w:rPr>
        <w:t xml:space="preserve"> </w:t>
      </w:r>
      <w:r w:rsidRPr="00223F35">
        <w:rPr>
          <w:rFonts w:asciiTheme="minorHAnsi" w:hAnsiTheme="minorHAnsi" w:cstheme="minorHAnsi"/>
          <w:sz w:val="16"/>
          <w:szCs w:val="16"/>
          <w:lang w:val="pl-PL"/>
        </w:rPr>
        <w:t>Preliminarni obračun kvartalnog BDP-a za četvrti kvartal 2024. godine objavljen je na internet stranici Uprave za statistiku 07.03.2025. godine</w:t>
      </w:r>
    </w:p>
  </w:footnote>
  <w:footnote w:id="23">
    <w:p w14:paraId="5F86A1C6" w14:textId="77777777" w:rsidR="00EB06F2" w:rsidRPr="006167B2" w:rsidRDefault="00EB06F2" w:rsidP="006167B2">
      <w:pPr>
        <w:pStyle w:val="FootnoteText"/>
        <w:spacing w:after="0" w:line="240" w:lineRule="auto"/>
        <w:rPr>
          <w:sz w:val="16"/>
          <w:szCs w:val="16"/>
          <w:lang w:val="sr-Latn-ME"/>
        </w:rPr>
      </w:pPr>
      <w:r w:rsidRPr="006167B2">
        <w:rPr>
          <w:rStyle w:val="FootnoteReference"/>
          <w:sz w:val="16"/>
          <w:szCs w:val="16"/>
        </w:rPr>
        <w:footnoteRef/>
      </w:r>
      <w:r w:rsidRPr="006167B2">
        <w:rPr>
          <w:sz w:val="16"/>
          <w:szCs w:val="16"/>
          <w:lang w:val="pl-PL"/>
        </w:rPr>
        <w:t xml:space="preserve"> </w:t>
      </w:r>
      <w:r w:rsidRPr="006167B2">
        <w:rPr>
          <w:sz w:val="16"/>
          <w:szCs w:val="16"/>
          <w:lang w:val="sr-Latn-ME"/>
        </w:rPr>
        <w:t xml:space="preserve">Analiza funkcionisanja loklane samouprave </w:t>
      </w:r>
    </w:p>
  </w:footnote>
  <w:footnote w:id="24">
    <w:p w14:paraId="4AF90F35" w14:textId="77777777" w:rsidR="00EB06F2" w:rsidRPr="006167B2" w:rsidRDefault="00EB06F2" w:rsidP="006167B2">
      <w:pPr>
        <w:spacing w:after="0" w:line="240" w:lineRule="auto"/>
        <w:jc w:val="both"/>
        <w:rPr>
          <w:rFonts w:cstheme="minorHAnsi"/>
          <w:color w:val="000000" w:themeColor="text1"/>
          <w:sz w:val="16"/>
          <w:szCs w:val="16"/>
          <w:lang w:val="fr-CH"/>
        </w:rPr>
      </w:pPr>
      <w:r w:rsidRPr="006167B2">
        <w:rPr>
          <w:rStyle w:val="FootnoteReference"/>
          <w:sz w:val="16"/>
          <w:szCs w:val="16"/>
        </w:rPr>
        <w:footnoteRef/>
      </w:r>
      <w:r w:rsidRPr="006167B2">
        <w:rPr>
          <w:sz w:val="16"/>
          <w:szCs w:val="16"/>
          <w:lang w:val="fr-CH"/>
        </w:rPr>
        <w:t xml:space="preserve"> </w:t>
      </w:r>
      <w:r w:rsidRPr="006167B2">
        <w:rPr>
          <w:rFonts w:cstheme="minorHAnsi"/>
          <w:color w:val="000000" w:themeColor="text1"/>
          <w:sz w:val="16"/>
          <w:szCs w:val="16"/>
          <w:lang w:val="fr-CH"/>
        </w:rPr>
        <w:t>Javni dug sastoji se od duga centralnog nivoa države tj. državnog duga i duga lokalnih samouprava.</w:t>
      </w:r>
    </w:p>
    <w:p w14:paraId="4FC93BC5" w14:textId="77777777" w:rsidR="00EB06F2" w:rsidRPr="006167B2" w:rsidRDefault="00EB06F2" w:rsidP="006167B2">
      <w:pPr>
        <w:spacing w:after="0" w:line="240" w:lineRule="auto"/>
        <w:jc w:val="both"/>
        <w:rPr>
          <w:rFonts w:eastAsia="Aptos" w:cstheme="minorHAnsi"/>
          <w:sz w:val="16"/>
          <w:szCs w:val="16"/>
          <w:lang w:val="fr-CH"/>
        </w:rPr>
      </w:pPr>
    </w:p>
    <w:p w14:paraId="7606D466" w14:textId="77777777" w:rsidR="00EB06F2" w:rsidRPr="00223F35" w:rsidRDefault="00EB06F2" w:rsidP="00223F35">
      <w:pPr>
        <w:pStyle w:val="FootnoteText"/>
        <w:rPr>
          <w:lang w:val="pl-PL"/>
        </w:rPr>
      </w:pPr>
    </w:p>
  </w:footnote>
  <w:footnote w:id="25">
    <w:p w14:paraId="7F0F331A" w14:textId="77777777" w:rsidR="00EB06F2" w:rsidRPr="00061252" w:rsidRDefault="00EB06F2" w:rsidP="006167B2">
      <w:pPr>
        <w:pStyle w:val="FootnoteText"/>
        <w:spacing w:after="0" w:line="240" w:lineRule="auto"/>
        <w:rPr>
          <w:rFonts w:asciiTheme="minorHAnsi" w:hAnsiTheme="minorHAnsi"/>
          <w:sz w:val="16"/>
          <w:szCs w:val="16"/>
          <w:lang w:val="fr-CH"/>
        </w:rPr>
      </w:pPr>
      <w:r w:rsidRPr="00FC49C2">
        <w:rPr>
          <w:rStyle w:val="FootnoteReference"/>
          <w:rFonts w:ascii="Times New Roman" w:hAnsi="Times New Roman"/>
        </w:rPr>
        <w:footnoteRef/>
      </w:r>
      <w:r w:rsidRPr="00061252">
        <w:rPr>
          <w:rFonts w:ascii="Times New Roman" w:hAnsi="Times New Roman"/>
          <w:lang w:val="en-US"/>
        </w:rPr>
        <w:t xml:space="preserve"> </w:t>
      </w:r>
      <w:r w:rsidRPr="00061252">
        <w:rPr>
          <w:rFonts w:asciiTheme="minorHAnsi" w:hAnsiTheme="minorHAnsi"/>
          <w:sz w:val="16"/>
          <w:szCs w:val="16"/>
          <w:lang w:val="en-US"/>
        </w:rPr>
        <w:t>Izvor: Monstat</w:t>
      </w:r>
    </w:p>
  </w:footnote>
  <w:footnote w:id="26">
    <w:p w14:paraId="05287BF0" w14:textId="77777777" w:rsidR="00EB06F2" w:rsidRPr="00061252" w:rsidRDefault="00EB06F2" w:rsidP="006167B2">
      <w:pPr>
        <w:pStyle w:val="FootnoteText"/>
        <w:spacing w:after="0" w:line="240" w:lineRule="auto"/>
        <w:rPr>
          <w:rFonts w:asciiTheme="minorHAnsi" w:hAnsiTheme="minorHAnsi"/>
          <w:sz w:val="16"/>
          <w:szCs w:val="16"/>
          <w:lang w:val="fr-CH"/>
        </w:rPr>
      </w:pPr>
      <w:r w:rsidRPr="00061252">
        <w:rPr>
          <w:rStyle w:val="FootnoteReference"/>
          <w:rFonts w:asciiTheme="minorHAnsi" w:hAnsiTheme="minorHAnsi"/>
          <w:sz w:val="16"/>
          <w:szCs w:val="16"/>
        </w:rPr>
        <w:footnoteRef/>
      </w:r>
      <w:r w:rsidRPr="00061252">
        <w:rPr>
          <w:rFonts w:asciiTheme="minorHAnsi" w:hAnsiTheme="minorHAnsi"/>
          <w:sz w:val="16"/>
          <w:szCs w:val="16"/>
          <w:lang w:val="en-US"/>
        </w:rPr>
        <w:t xml:space="preserve">  Izvor:  Monstat</w:t>
      </w:r>
    </w:p>
  </w:footnote>
  <w:footnote w:id="27">
    <w:p w14:paraId="7D2753AA" w14:textId="77777777" w:rsidR="00EB06F2" w:rsidRPr="00061252" w:rsidRDefault="00EB06F2" w:rsidP="00061252">
      <w:pPr>
        <w:pStyle w:val="FootnoteText"/>
        <w:spacing w:after="0" w:line="240" w:lineRule="auto"/>
        <w:rPr>
          <w:rFonts w:asciiTheme="minorHAnsi" w:hAnsiTheme="minorHAnsi"/>
          <w:sz w:val="16"/>
          <w:szCs w:val="16"/>
          <w:lang w:val="en-US"/>
        </w:rPr>
      </w:pPr>
      <w:r w:rsidRPr="00FC49C2">
        <w:rPr>
          <w:rStyle w:val="FootnoteReference"/>
          <w:rFonts w:ascii="Times New Roman" w:hAnsi="Times New Roman"/>
        </w:rPr>
        <w:footnoteRef/>
      </w:r>
      <w:r>
        <w:rPr>
          <w:rFonts w:ascii="Times New Roman" w:hAnsi="Times New Roman"/>
          <w:lang w:val="en-US"/>
        </w:rPr>
        <w:t xml:space="preserve"> </w:t>
      </w:r>
      <w:r w:rsidRPr="00061252">
        <w:rPr>
          <w:rFonts w:asciiTheme="minorHAnsi" w:hAnsiTheme="minorHAnsi"/>
          <w:sz w:val="16"/>
          <w:szCs w:val="16"/>
          <w:lang w:val="en-US"/>
        </w:rPr>
        <w:t>Izvor: Monstat</w:t>
      </w:r>
    </w:p>
  </w:footnote>
  <w:footnote w:id="28">
    <w:p w14:paraId="68C1AAC6" w14:textId="77777777" w:rsidR="00EB06F2" w:rsidRPr="00061252" w:rsidRDefault="00EB06F2" w:rsidP="00AC573F">
      <w:pPr>
        <w:pStyle w:val="FootnoteText"/>
        <w:spacing w:after="0" w:line="240" w:lineRule="auto"/>
        <w:rPr>
          <w:rFonts w:asciiTheme="minorHAnsi" w:hAnsiTheme="minorHAnsi" w:cstheme="minorHAnsi"/>
          <w:sz w:val="16"/>
          <w:szCs w:val="16"/>
          <w:lang w:val="sr-Latn-ME"/>
        </w:rPr>
      </w:pPr>
      <w:r w:rsidRPr="00061252">
        <w:rPr>
          <w:rStyle w:val="FootnoteReference"/>
          <w:rFonts w:asciiTheme="minorHAnsi" w:hAnsiTheme="minorHAnsi"/>
          <w:sz w:val="16"/>
          <w:szCs w:val="16"/>
        </w:rPr>
        <w:footnoteRef/>
      </w:r>
      <w:r w:rsidRPr="00061252">
        <w:rPr>
          <w:rFonts w:asciiTheme="minorHAnsi" w:hAnsiTheme="minorHAnsi"/>
          <w:sz w:val="16"/>
          <w:szCs w:val="16"/>
          <w:lang w:val="pl-PL"/>
        </w:rPr>
        <w:t xml:space="preserve"> Izvor: </w:t>
      </w:r>
      <w:r w:rsidRPr="00061252">
        <w:rPr>
          <w:rFonts w:asciiTheme="minorHAnsi" w:hAnsiTheme="minorHAnsi" w:cstheme="minorHAnsi"/>
          <w:sz w:val="16"/>
          <w:szCs w:val="16"/>
          <w:lang w:val="sr-Latn-ME"/>
        </w:rPr>
        <w:t xml:space="preserve">Nacionalna strategija rodne ravnopravnosti Crne Gore </w:t>
      </w:r>
      <w:r w:rsidRPr="00061252">
        <w:rPr>
          <w:rFonts w:asciiTheme="minorHAnsi" w:hAnsiTheme="minorHAnsi" w:cstheme="minorHAnsi"/>
          <w:sz w:val="16"/>
          <w:szCs w:val="16"/>
          <w:lang w:val="pl-PL"/>
        </w:rPr>
        <w:t>za period 2026-2029</w:t>
      </w:r>
    </w:p>
  </w:footnote>
  <w:footnote w:id="29">
    <w:p w14:paraId="68C15E3F" w14:textId="77777777" w:rsidR="00EB06F2" w:rsidRPr="00061252" w:rsidRDefault="00EB06F2" w:rsidP="00AC573F">
      <w:pPr>
        <w:pStyle w:val="FootnoteText"/>
        <w:spacing w:after="0" w:line="240" w:lineRule="auto"/>
        <w:rPr>
          <w:rFonts w:asciiTheme="minorHAnsi" w:hAnsiTheme="minorHAnsi" w:cstheme="minorHAnsi"/>
          <w:sz w:val="16"/>
          <w:szCs w:val="16"/>
          <w:lang w:val="sr-Latn-ME"/>
        </w:rPr>
      </w:pPr>
      <w:r w:rsidRPr="00061252">
        <w:rPr>
          <w:rStyle w:val="FootnoteReference"/>
          <w:rFonts w:asciiTheme="minorHAnsi" w:hAnsiTheme="minorHAnsi" w:cstheme="minorHAnsi"/>
          <w:sz w:val="16"/>
          <w:szCs w:val="16"/>
        </w:rPr>
        <w:footnoteRef/>
      </w:r>
      <w:r w:rsidRPr="00061252">
        <w:rPr>
          <w:rFonts w:asciiTheme="minorHAnsi" w:hAnsiTheme="minorHAnsi" w:cstheme="minorHAnsi"/>
          <w:sz w:val="16"/>
          <w:szCs w:val="16"/>
          <w:lang w:val="pl-PL"/>
        </w:rPr>
        <w:t xml:space="preserve"> Izvor: </w:t>
      </w:r>
      <w:r w:rsidRPr="00061252">
        <w:rPr>
          <w:rFonts w:asciiTheme="minorHAnsi" w:hAnsiTheme="minorHAnsi" w:cstheme="minorHAnsi"/>
          <w:sz w:val="16"/>
          <w:szCs w:val="16"/>
          <w:lang w:val="sr-Latn-ME"/>
        </w:rPr>
        <w:t>Program podrške investicijama za 2025.godinu</w:t>
      </w:r>
    </w:p>
  </w:footnote>
  <w:footnote w:id="30">
    <w:p w14:paraId="5D497B70" w14:textId="77777777" w:rsidR="00EB06F2" w:rsidRPr="00720629" w:rsidRDefault="00EB06F2" w:rsidP="00223F35">
      <w:pPr>
        <w:pStyle w:val="FootnoteText"/>
        <w:widowControl w:val="0"/>
        <w:rPr>
          <w:rFonts w:asciiTheme="minorHAnsi" w:hAnsiTheme="minorHAnsi" w:cstheme="minorHAnsi"/>
          <w:sz w:val="16"/>
          <w:szCs w:val="16"/>
          <w:lang w:val="pl-PL"/>
        </w:rPr>
      </w:pPr>
      <w:r w:rsidRPr="00720629">
        <w:rPr>
          <w:rStyle w:val="FootnoteReference"/>
          <w:rFonts w:asciiTheme="minorHAnsi" w:hAnsiTheme="minorHAnsi" w:cstheme="minorHAnsi"/>
          <w:sz w:val="16"/>
          <w:szCs w:val="16"/>
        </w:rPr>
        <w:footnoteRef/>
      </w:r>
      <w:r w:rsidRPr="00720629">
        <w:rPr>
          <w:rFonts w:asciiTheme="minorHAnsi" w:eastAsia="Aptos" w:hAnsiTheme="minorHAnsi" w:cstheme="minorHAnsi"/>
          <w:sz w:val="16"/>
          <w:szCs w:val="16"/>
          <w:lang w:val="pl-PL" w:eastAsia="ru-RU"/>
        </w:rPr>
        <w:t xml:space="preserve"> Grupa Svjetske banke (2025). Urbano stanovništvo – Crna Gora.</w:t>
      </w:r>
      <w:r w:rsidRPr="00720629">
        <w:rPr>
          <w:rFonts w:asciiTheme="minorHAnsi" w:hAnsiTheme="minorHAnsi" w:cstheme="minorHAnsi"/>
          <w:sz w:val="16"/>
          <w:szCs w:val="16"/>
          <w:lang w:val="pl-PL"/>
        </w:rPr>
        <w:t xml:space="preserve"> </w:t>
      </w:r>
    </w:p>
  </w:footnote>
  <w:footnote w:id="31">
    <w:p w14:paraId="67116EBF" w14:textId="77777777" w:rsidR="00EB06F2" w:rsidRPr="004D3E60" w:rsidRDefault="00EB06F2" w:rsidP="00223F35">
      <w:pPr>
        <w:pBdr>
          <w:top w:val="nil"/>
          <w:left w:val="nil"/>
          <w:bottom w:val="nil"/>
          <w:right w:val="nil"/>
          <w:between w:val="nil"/>
        </w:pBdr>
        <w:spacing w:after="0" w:line="240" w:lineRule="auto"/>
        <w:rPr>
          <w:color w:val="000000"/>
          <w:sz w:val="16"/>
          <w:szCs w:val="16"/>
          <w:lang w:val="pl-PL"/>
        </w:rPr>
      </w:pPr>
      <w:r w:rsidRPr="004D3E60">
        <w:rPr>
          <w:rStyle w:val="FootnoteReference"/>
          <w:sz w:val="16"/>
          <w:szCs w:val="16"/>
        </w:rPr>
        <w:footnoteRef/>
      </w:r>
      <w:hyperlink r:id="rId4" w:history="1">
        <w:r w:rsidRPr="004D3E60">
          <w:rPr>
            <w:rStyle w:val="Hyperlink"/>
            <w:sz w:val="16"/>
            <w:szCs w:val="16"/>
            <w:lang w:val="pl-PL"/>
          </w:rPr>
          <w:t>https://www.monstat.org/uploads/files/popis%202021/saopstenja/SAOPSTENJE_Popis%20stanovnistva%202023%20I_cg.pdf</w:t>
        </w:r>
      </w:hyperlink>
      <w:r w:rsidRPr="004D3E60">
        <w:rPr>
          <w:color w:val="000000"/>
          <w:sz w:val="16"/>
          <w:szCs w:val="16"/>
          <w:lang w:val="pl-PL"/>
        </w:rPr>
        <w:t>, preuzeto 25.10.2024.</w:t>
      </w:r>
    </w:p>
    <w:p w14:paraId="22D28748" w14:textId="77777777" w:rsidR="00EB06F2" w:rsidRPr="004D3E60" w:rsidRDefault="00EB06F2" w:rsidP="00223F35">
      <w:pPr>
        <w:pBdr>
          <w:top w:val="nil"/>
          <w:left w:val="nil"/>
          <w:bottom w:val="nil"/>
          <w:right w:val="nil"/>
          <w:between w:val="nil"/>
        </w:pBdr>
        <w:spacing w:after="0" w:line="240" w:lineRule="auto"/>
        <w:rPr>
          <w:color w:val="000000"/>
          <w:sz w:val="16"/>
          <w:szCs w:val="16"/>
          <w:lang w:val="pl-PL"/>
        </w:rPr>
      </w:pPr>
    </w:p>
  </w:footnote>
  <w:footnote w:id="32">
    <w:p w14:paraId="019C8C3C" w14:textId="77777777" w:rsidR="00EB06F2" w:rsidRPr="00223F35" w:rsidRDefault="00EB06F2" w:rsidP="00D94DBB">
      <w:pPr>
        <w:pStyle w:val="FootnoteText"/>
        <w:rPr>
          <w:lang w:val="pl-PL"/>
        </w:rPr>
      </w:pPr>
      <w:r w:rsidRPr="004D3E60">
        <w:rPr>
          <w:rStyle w:val="FootnoteReference"/>
          <w:sz w:val="16"/>
          <w:szCs w:val="16"/>
        </w:rPr>
        <w:footnoteRef/>
      </w:r>
      <w:hyperlink r:id="rId5" w:history="1">
        <w:r w:rsidRPr="004D3E60">
          <w:rPr>
            <w:rStyle w:val="Hyperlink"/>
            <w:sz w:val="16"/>
            <w:szCs w:val="16"/>
            <w:lang w:val="pl-PL"/>
          </w:rPr>
          <w:t>http://monstat.org/userfiles/file/popis2011/saopstenje/saopstenje%20starost%204%2009%202011%20prevod.pdf</w:t>
        </w:r>
      </w:hyperlink>
      <w:r w:rsidRPr="004D3E60">
        <w:rPr>
          <w:sz w:val="16"/>
          <w:szCs w:val="16"/>
          <w:lang w:val="pl-PL"/>
        </w:rPr>
        <w:t>, preuzeto  21.09.2023.</w:t>
      </w:r>
      <w:r w:rsidRPr="00223F35">
        <w:rPr>
          <w:lang w:val="pl-PL"/>
        </w:rPr>
        <w:t xml:space="preserve"> </w:t>
      </w:r>
    </w:p>
  </w:footnote>
  <w:footnote w:id="33">
    <w:p w14:paraId="6DBC7A50" w14:textId="77777777" w:rsidR="00EB06F2" w:rsidRPr="004D3E60" w:rsidRDefault="00EB06F2" w:rsidP="00726A49">
      <w:pPr>
        <w:pStyle w:val="FootnoteText"/>
        <w:spacing w:after="0" w:line="240" w:lineRule="auto"/>
        <w:rPr>
          <w:sz w:val="16"/>
          <w:szCs w:val="16"/>
          <w:lang w:val="sr-Latn-ME"/>
        </w:rPr>
      </w:pPr>
      <w:r>
        <w:rPr>
          <w:rStyle w:val="FootnoteReference"/>
        </w:rPr>
        <w:footnoteRef/>
      </w:r>
      <w:r w:rsidRPr="00D94DBB">
        <w:rPr>
          <w:lang w:val="pl-PL"/>
        </w:rPr>
        <w:t xml:space="preserve"> </w:t>
      </w:r>
      <w:r w:rsidRPr="004D3E60">
        <w:rPr>
          <w:sz w:val="16"/>
          <w:szCs w:val="16"/>
          <w:lang w:val="sr-Latn-ME"/>
        </w:rPr>
        <w:t>Odlazak obrazovanih ljudi i stručnjaka iz manje razvijenih zemalja u razvijenije ( „</w:t>
      </w:r>
      <w:r w:rsidRPr="004D3E60">
        <w:rPr>
          <w:i/>
          <w:sz w:val="16"/>
          <w:szCs w:val="16"/>
          <w:lang w:val="sr-Latn-ME"/>
        </w:rPr>
        <w:t>odliv mozgova</w:t>
      </w:r>
      <w:r w:rsidRPr="004D3E60">
        <w:rPr>
          <w:sz w:val="16"/>
          <w:szCs w:val="16"/>
          <w:lang w:val="sr-Latn-ME"/>
        </w:rPr>
        <w:t>“)</w:t>
      </w:r>
    </w:p>
  </w:footnote>
  <w:footnote w:id="34">
    <w:p w14:paraId="72AD48D2" w14:textId="77777777" w:rsidR="00EB06F2" w:rsidRPr="004D3E60" w:rsidRDefault="00EB06F2" w:rsidP="00726A49">
      <w:pPr>
        <w:pStyle w:val="FootnoteText"/>
        <w:spacing w:after="0" w:line="240" w:lineRule="auto"/>
        <w:rPr>
          <w:sz w:val="16"/>
          <w:szCs w:val="16"/>
          <w:lang w:val="sr-Latn-ME"/>
        </w:rPr>
      </w:pPr>
      <w:r w:rsidRPr="004D3E60">
        <w:rPr>
          <w:rStyle w:val="FootnoteReference"/>
          <w:sz w:val="16"/>
          <w:szCs w:val="16"/>
        </w:rPr>
        <w:footnoteRef/>
      </w:r>
      <w:r w:rsidRPr="004D3E60">
        <w:rPr>
          <w:sz w:val="16"/>
          <w:szCs w:val="16"/>
          <w:lang w:val="pl-PL"/>
        </w:rPr>
        <w:t>Izvor</w:t>
      </w:r>
      <w:r w:rsidRPr="004D3E60">
        <w:rPr>
          <w:sz w:val="16"/>
          <w:szCs w:val="16"/>
          <w:lang w:val="sr-Latn-ME"/>
        </w:rPr>
        <w:t xml:space="preserve">:  </w:t>
      </w:r>
      <w:r w:rsidRPr="004D3E60">
        <w:rPr>
          <w:sz w:val="16"/>
          <w:szCs w:val="16"/>
          <w:lang w:val="pl-PL"/>
        </w:rPr>
        <w:t>Strategija</w:t>
      </w:r>
      <w:r w:rsidRPr="004D3E60">
        <w:rPr>
          <w:sz w:val="16"/>
          <w:szCs w:val="16"/>
          <w:lang w:val="sr-Latn-ME"/>
        </w:rPr>
        <w:t xml:space="preserve"> </w:t>
      </w:r>
      <w:r w:rsidRPr="004D3E60">
        <w:rPr>
          <w:sz w:val="16"/>
          <w:szCs w:val="16"/>
          <w:lang w:val="pl-PL"/>
        </w:rPr>
        <w:t>reforme</w:t>
      </w:r>
      <w:r w:rsidRPr="004D3E60">
        <w:rPr>
          <w:sz w:val="16"/>
          <w:szCs w:val="16"/>
          <w:lang w:val="sr-Latn-ME"/>
        </w:rPr>
        <w:t xml:space="preserve"> </w:t>
      </w:r>
      <w:r w:rsidRPr="004D3E60">
        <w:rPr>
          <w:sz w:val="16"/>
          <w:szCs w:val="16"/>
          <w:lang w:val="pl-PL"/>
        </w:rPr>
        <w:t>obrazovanja</w:t>
      </w:r>
      <w:r w:rsidRPr="004D3E60">
        <w:rPr>
          <w:sz w:val="16"/>
          <w:szCs w:val="16"/>
          <w:lang w:val="sr-Latn-ME"/>
        </w:rPr>
        <w:t xml:space="preserve"> 2025-2035</w:t>
      </w:r>
    </w:p>
  </w:footnote>
  <w:footnote w:id="35">
    <w:p w14:paraId="7CCF8C1C" w14:textId="77777777" w:rsidR="00EB06F2" w:rsidRPr="004D3E60" w:rsidRDefault="00EB06F2" w:rsidP="005B402C">
      <w:pPr>
        <w:pBdr>
          <w:top w:val="nil"/>
          <w:left w:val="nil"/>
          <w:bottom w:val="nil"/>
          <w:right w:val="nil"/>
          <w:between w:val="nil"/>
        </w:pBdr>
        <w:spacing w:after="0" w:line="240" w:lineRule="auto"/>
        <w:rPr>
          <w:color w:val="000000"/>
          <w:sz w:val="16"/>
          <w:szCs w:val="16"/>
          <w:lang w:val="sr-Latn-ME"/>
        </w:rPr>
      </w:pPr>
      <w:r w:rsidRPr="004D3E60">
        <w:rPr>
          <w:rStyle w:val="FootnoteReference"/>
          <w:sz w:val="16"/>
          <w:szCs w:val="16"/>
        </w:rPr>
        <w:footnoteRef/>
      </w:r>
      <w:r w:rsidRPr="004D3E60">
        <w:rPr>
          <w:color w:val="000000"/>
          <w:sz w:val="16"/>
          <w:szCs w:val="16"/>
          <w:lang w:val="sr-Latn-ME"/>
        </w:rPr>
        <w:t xml:space="preserve"> </w:t>
      </w:r>
      <w:r w:rsidRPr="004D3E60">
        <w:rPr>
          <w:color w:val="000000"/>
          <w:sz w:val="16"/>
          <w:szCs w:val="16"/>
          <w:lang w:val="pl-PL"/>
        </w:rPr>
        <w:t>Monstat</w:t>
      </w:r>
    </w:p>
  </w:footnote>
  <w:footnote w:id="36">
    <w:p w14:paraId="413EF6B2" w14:textId="77777777" w:rsidR="00EB06F2" w:rsidRPr="00B8125D" w:rsidRDefault="00EB06F2" w:rsidP="00223F35">
      <w:pPr>
        <w:pStyle w:val="FootnoteText"/>
        <w:jc w:val="both"/>
        <w:rPr>
          <w:sz w:val="16"/>
          <w:szCs w:val="16"/>
          <w:lang w:val="sr-Latn-ME"/>
        </w:rPr>
      </w:pPr>
      <w:r>
        <w:rPr>
          <w:rStyle w:val="FootnoteReference"/>
        </w:rPr>
        <w:footnoteRef/>
      </w:r>
      <w:r w:rsidRPr="003C2A72">
        <w:rPr>
          <w:lang w:val="sr-Latn-ME"/>
        </w:rPr>
        <w:t xml:space="preserve"> </w:t>
      </w:r>
      <w:r w:rsidRPr="00223F35">
        <w:rPr>
          <w:sz w:val="16"/>
          <w:szCs w:val="16"/>
          <w:lang w:val="pl-PL"/>
        </w:rPr>
        <w:t>Gini</w:t>
      </w:r>
      <w:r w:rsidRPr="003C2A72">
        <w:rPr>
          <w:sz w:val="16"/>
          <w:szCs w:val="16"/>
          <w:lang w:val="sr-Latn-ME"/>
        </w:rPr>
        <w:t xml:space="preserve"> </w:t>
      </w:r>
      <w:r w:rsidRPr="00223F35">
        <w:rPr>
          <w:sz w:val="16"/>
          <w:szCs w:val="16"/>
          <w:lang w:val="pl-PL"/>
        </w:rPr>
        <w:t>koeficijent</w:t>
      </w:r>
      <w:r w:rsidRPr="003C2A72">
        <w:rPr>
          <w:sz w:val="16"/>
          <w:szCs w:val="16"/>
          <w:lang w:val="sr-Latn-ME"/>
        </w:rPr>
        <w:t xml:space="preserve"> </w:t>
      </w:r>
      <w:r w:rsidRPr="00223F35">
        <w:rPr>
          <w:sz w:val="16"/>
          <w:szCs w:val="16"/>
          <w:lang w:val="pl-PL"/>
        </w:rPr>
        <w:t>predstavlja</w:t>
      </w:r>
      <w:r w:rsidRPr="003C2A72">
        <w:rPr>
          <w:sz w:val="16"/>
          <w:szCs w:val="16"/>
          <w:lang w:val="sr-Latn-ME"/>
        </w:rPr>
        <w:t xml:space="preserve"> </w:t>
      </w:r>
      <w:r w:rsidRPr="00223F35">
        <w:rPr>
          <w:sz w:val="16"/>
          <w:szCs w:val="16"/>
          <w:lang w:val="pl-PL"/>
        </w:rPr>
        <w:t>mjeru</w:t>
      </w:r>
      <w:r w:rsidRPr="003C2A72">
        <w:rPr>
          <w:sz w:val="16"/>
          <w:szCs w:val="16"/>
          <w:lang w:val="sr-Latn-ME"/>
        </w:rPr>
        <w:t xml:space="preserve"> </w:t>
      </w:r>
      <w:r w:rsidRPr="00223F35">
        <w:rPr>
          <w:sz w:val="16"/>
          <w:szCs w:val="16"/>
          <w:lang w:val="pl-PL"/>
        </w:rPr>
        <w:t>nejednakosti</w:t>
      </w:r>
      <w:r w:rsidRPr="003C2A72">
        <w:rPr>
          <w:sz w:val="16"/>
          <w:szCs w:val="16"/>
          <w:lang w:val="sr-Latn-ME"/>
        </w:rPr>
        <w:t xml:space="preserve"> </w:t>
      </w:r>
      <w:r w:rsidRPr="00223F35">
        <w:rPr>
          <w:sz w:val="16"/>
          <w:szCs w:val="16"/>
          <w:lang w:val="pl-PL"/>
        </w:rPr>
        <w:t>raspodjele</w:t>
      </w:r>
      <w:r w:rsidRPr="003C2A72">
        <w:rPr>
          <w:sz w:val="16"/>
          <w:szCs w:val="16"/>
          <w:lang w:val="sr-Latn-ME"/>
        </w:rPr>
        <w:t xml:space="preserve"> </w:t>
      </w:r>
      <w:r w:rsidRPr="00223F35">
        <w:rPr>
          <w:sz w:val="16"/>
          <w:szCs w:val="16"/>
          <w:lang w:val="pl-PL"/>
        </w:rPr>
        <w:t>ekvivalentnog</w:t>
      </w:r>
      <w:r w:rsidRPr="003C2A72">
        <w:rPr>
          <w:sz w:val="16"/>
          <w:szCs w:val="16"/>
          <w:lang w:val="sr-Latn-ME"/>
        </w:rPr>
        <w:t xml:space="preserve"> </w:t>
      </w:r>
      <w:r w:rsidRPr="00223F35">
        <w:rPr>
          <w:sz w:val="16"/>
          <w:szCs w:val="16"/>
          <w:lang w:val="pl-PL"/>
        </w:rPr>
        <w:t>raspolo</w:t>
      </w:r>
      <w:r w:rsidRPr="003C2A72">
        <w:rPr>
          <w:sz w:val="16"/>
          <w:szCs w:val="16"/>
          <w:lang w:val="sr-Latn-ME"/>
        </w:rPr>
        <w:t>ž</w:t>
      </w:r>
      <w:r w:rsidRPr="00223F35">
        <w:rPr>
          <w:sz w:val="16"/>
          <w:szCs w:val="16"/>
          <w:lang w:val="pl-PL"/>
        </w:rPr>
        <w:t>ivog</w:t>
      </w:r>
      <w:r w:rsidRPr="003C2A72">
        <w:rPr>
          <w:sz w:val="16"/>
          <w:szCs w:val="16"/>
          <w:lang w:val="sr-Latn-ME"/>
        </w:rPr>
        <w:t xml:space="preserve"> </w:t>
      </w:r>
      <w:r w:rsidRPr="00223F35">
        <w:rPr>
          <w:sz w:val="16"/>
          <w:szCs w:val="16"/>
          <w:lang w:val="pl-PL"/>
        </w:rPr>
        <w:t>dohotka</w:t>
      </w:r>
      <w:r w:rsidRPr="003C2A72">
        <w:rPr>
          <w:sz w:val="16"/>
          <w:szCs w:val="16"/>
          <w:lang w:val="sr-Latn-ME"/>
        </w:rPr>
        <w:t xml:space="preserve">. </w:t>
      </w:r>
      <w:r w:rsidRPr="00223F35">
        <w:rPr>
          <w:sz w:val="16"/>
          <w:szCs w:val="16"/>
          <w:lang w:val="pl-PL"/>
        </w:rPr>
        <w:t>Vrijednost ovog koeficijenta se kreće od 0 do 100, gdje 0 predstavlja savršenu jednakost, tj. sve osobe u društvu imaju jednak dohodak. Što je vrijednost bliža 100, to je dohodna nejednakost veća.</w:t>
      </w:r>
    </w:p>
  </w:footnote>
  <w:footnote w:id="37">
    <w:p w14:paraId="278AF37E" w14:textId="77777777" w:rsidR="00EB06F2" w:rsidRPr="004D3E60" w:rsidRDefault="00EB06F2" w:rsidP="004D3E60">
      <w:pPr>
        <w:pStyle w:val="NoSpacing"/>
        <w:rPr>
          <w:sz w:val="16"/>
          <w:szCs w:val="16"/>
          <w:lang w:val="sr-Latn-ME"/>
        </w:rPr>
      </w:pPr>
      <w:r w:rsidRPr="00C17167">
        <w:rPr>
          <w:rStyle w:val="FootnoteReference"/>
          <w:sz w:val="18"/>
          <w:szCs w:val="18"/>
        </w:rPr>
        <w:footnoteRef/>
      </w:r>
      <w:r w:rsidRPr="00025468">
        <w:rPr>
          <w:sz w:val="18"/>
          <w:szCs w:val="18"/>
          <w:lang w:val="sr-Latn-ME"/>
        </w:rPr>
        <w:t xml:space="preserve"> </w:t>
      </w:r>
      <w:hyperlink r:id="rId6" w:history="1">
        <w:r w:rsidRPr="004D3E60">
          <w:rPr>
            <w:rStyle w:val="Hyperlink"/>
            <w:color w:val="auto"/>
            <w:sz w:val="16"/>
            <w:szCs w:val="16"/>
            <w:lang w:val="pl-PL"/>
          </w:rPr>
          <w:t>https</w:t>
        </w:r>
        <w:r w:rsidRPr="004D3E60">
          <w:rPr>
            <w:rStyle w:val="Hyperlink"/>
            <w:color w:val="auto"/>
            <w:sz w:val="16"/>
            <w:szCs w:val="16"/>
            <w:lang w:val="sr-Latn-ME"/>
          </w:rPr>
          <w:t>://</w:t>
        </w:r>
        <w:r w:rsidRPr="004D3E60">
          <w:rPr>
            <w:rStyle w:val="Hyperlink"/>
            <w:color w:val="auto"/>
            <w:sz w:val="16"/>
            <w:szCs w:val="16"/>
            <w:lang w:val="pl-PL"/>
          </w:rPr>
          <w:t>cohesiondata</w:t>
        </w:r>
        <w:r w:rsidRPr="004D3E60">
          <w:rPr>
            <w:rStyle w:val="Hyperlink"/>
            <w:color w:val="auto"/>
            <w:sz w:val="16"/>
            <w:szCs w:val="16"/>
            <w:lang w:val="sr-Latn-ME"/>
          </w:rPr>
          <w:t>.</w:t>
        </w:r>
        <w:r w:rsidRPr="004D3E60">
          <w:rPr>
            <w:rStyle w:val="Hyperlink"/>
            <w:color w:val="auto"/>
            <w:sz w:val="16"/>
            <w:szCs w:val="16"/>
            <w:lang w:val="pl-PL"/>
          </w:rPr>
          <w:t>ec</w:t>
        </w:r>
        <w:r w:rsidRPr="004D3E60">
          <w:rPr>
            <w:rStyle w:val="Hyperlink"/>
            <w:color w:val="auto"/>
            <w:sz w:val="16"/>
            <w:szCs w:val="16"/>
            <w:lang w:val="sr-Latn-ME"/>
          </w:rPr>
          <w:t>.</w:t>
        </w:r>
        <w:r w:rsidRPr="004D3E60">
          <w:rPr>
            <w:rStyle w:val="Hyperlink"/>
            <w:color w:val="auto"/>
            <w:sz w:val="16"/>
            <w:szCs w:val="16"/>
            <w:lang w:val="pl-PL"/>
          </w:rPr>
          <w:t>europa</w:t>
        </w:r>
        <w:r w:rsidRPr="004D3E60">
          <w:rPr>
            <w:rStyle w:val="Hyperlink"/>
            <w:color w:val="auto"/>
            <w:sz w:val="16"/>
            <w:szCs w:val="16"/>
            <w:lang w:val="sr-Latn-ME"/>
          </w:rPr>
          <w:t>.</w:t>
        </w:r>
        <w:r w:rsidRPr="004D3E60">
          <w:rPr>
            <w:rStyle w:val="Hyperlink"/>
            <w:color w:val="auto"/>
            <w:sz w:val="16"/>
            <w:szCs w:val="16"/>
            <w:lang w:val="pl-PL"/>
          </w:rPr>
          <w:t>eu</w:t>
        </w:r>
        <w:r w:rsidRPr="004D3E60">
          <w:rPr>
            <w:rStyle w:val="Hyperlink"/>
            <w:color w:val="auto"/>
            <w:sz w:val="16"/>
            <w:szCs w:val="16"/>
            <w:lang w:val="sr-Latn-ME"/>
          </w:rPr>
          <w:t>/</w:t>
        </w:r>
        <w:r w:rsidRPr="004D3E60">
          <w:rPr>
            <w:rStyle w:val="Hyperlink"/>
            <w:color w:val="auto"/>
            <w:sz w:val="16"/>
            <w:szCs w:val="16"/>
            <w:lang w:val="pl-PL"/>
          </w:rPr>
          <w:t>stories</w:t>
        </w:r>
        <w:r w:rsidRPr="004D3E60">
          <w:rPr>
            <w:rStyle w:val="Hyperlink"/>
            <w:color w:val="auto"/>
            <w:sz w:val="16"/>
            <w:szCs w:val="16"/>
            <w:lang w:val="sr-Latn-ME"/>
          </w:rPr>
          <w:t>/</w:t>
        </w:r>
        <w:r w:rsidRPr="004D3E60">
          <w:rPr>
            <w:rStyle w:val="Hyperlink"/>
            <w:color w:val="auto"/>
            <w:sz w:val="16"/>
            <w:szCs w:val="16"/>
            <w:lang w:val="pl-PL"/>
          </w:rPr>
          <w:t>s</w:t>
        </w:r>
        <w:r w:rsidRPr="004D3E60">
          <w:rPr>
            <w:rStyle w:val="Hyperlink"/>
            <w:color w:val="auto"/>
            <w:sz w:val="16"/>
            <w:szCs w:val="16"/>
            <w:lang w:val="sr-Latn-ME"/>
          </w:rPr>
          <w:t>/</w:t>
        </w:r>
        <w:r w:rsidRPr="004D3E60">
          <w:rPr>
            <w:rStyle w:val="Hyperlink"/>
            <w:color w:val="auto"/>
            <w:sz w:val="16"/>
            <w:szCs w:val="16"/>
            <w:lang w:val="pl-PL"/>
          </w:rPr>
          <w:t>Regional</w:t>
        </w:r>
        <w:r w:rsidRPr="004D3E60">
          <w:rPr>
            <w:rStyle w:val="Hyperlink"/>
            <w:color w:val="auto"/>
            <w:sz w:val="16"/>
            <w:szCs w:val="16"/>
            <w:lang w:val="sr-Latn-ME"/>
          </w:rPr>
          <w:t>-</w:t>
        </w:r>
        <w:r w:rsidRPr="004D3E60">
          <w:rPr>
            <w:rStyle w:val="Hyperlink"/>
            <w:color w:val="auto"/>
            <w:sz w:val="16"/>
            <w:szCs w:val="16"/>
            <w:lang w:val="pl-PL"/>
          </w:rPr>
          <w:t>Competitiveness</w:t>
        </w:r>
        <w:r w:rsidRPr="004D3E60">
          <w:rPr>
            <w:rStyle w:val="Hyperlink"/>
            <w:color w:val="auto"/>
            <w:sz w:val="16"/>
            <w:szCs w:val="16"/>
            <w:lang w:val="sr-Latn-ME"/>
          </w:rPr>
          <w:t>-</w:t>
        </w:r>
        <w:r w:rsidRPr="004D3E60">
          <w:rPr>
            <w:rStyle w:val="Hyperlink"/>
            <w:color w:val="auto"/>
            <w:sz w:val="16"/>
            <w:szCs w:val="16"/>
            <w:lang w:val="pl-PL"/>
          </w:rPr>
          <w:t>Index</w:t>
        </w:r>
        <w:r w:rsidRPr="004D3E60">
          <w:rPr>
            <w:rStyle w:val="Hyperlink"/>
            <w:color w:val="auto"/>
            <w:sz w:val="16"/>
            <w:szCs w:val="16"/>
            <w:lang w:val="sr-Latn-ME"/>
          </w:rPr>
          <w:t>-2019/363</w:t>
        </w:r>
        <w:r w:rsidRPr="004D3E60">
          <w:rPr>
            <w:rStyle w:val="Hyperlink"/>
            <w:color w:val="auto"/>
            <w:sz w:val="16"/>
            <w:szCs w:val="16"/>
            <w:lang w:val="pl-PL"/>
          </w:rPr>
          <w:t>v</w:t>
        </w:r>
        <w:r w:rsidRPr="004D3E60">
          <w:rPr>
            <w:rStyle w:val="Hyperlink"/>
            <w:color w:val="auto"/>
            <w:sz w:val="16"/>
            <w:szCs w:val="16"/>
            <w:lang w:val="sr-Latn-ME"/>
          </w:rPr>
          <w:t>-4</w:t>
        </w:r>
        <w:r w:rsidRPr="004D3E60">
          <w:rPr>
            <w:rStyle w:val="Hyperlink"/>
            <w:color w:val="auto"/>
            <w:sz w:val="16"/>
            <w:szCs w:val="16"/>
            <w:lang w:val="pl-PL"/>
          </w:rPr>
          <w:t>uq</w:t>
        </w:r>
        <w:r w:rsidRPr="004D3E60">
          <w:rPr>
            <w:rStyle w:val="Hyperlink"/>
            <w:color w:val="auto"/>
            <w:sz w:val="16"/>
            <w:szCs w:val="16"/>
            <w:lang w:val="sr-Latn-ME"/>
          </w:rPr>
          <w:t>6/</w:t>
        </w:r>
      </w:hyperlink>
      <w:r w:rsidRPr="004D3E60">
        <w:rPr>
          <w:sz w:val="16"/>
          <w:szCs w:val="16"/>
          <w:lang w:val="sr-Latn-ME"/>
        </w:rPr>
        <w:t xml:space="preserve"> </w:t>
      </w:r>
    </w:p>
  </w:footnote>
  <w:footnote w:id="38">
    <w:p w14:paraId="18ABE0AC" w14:textId="77777777" w:rsidR="00EB06F2" w:rsidRPr="004D3E60" w:rsidRDefault="00EB06F2" w:rsidP="004D3E60">
      <w:pPr>
        <w:pStyle w:val="FootnoteText"/>
        <w:spacing w:after="0" w:line="240" w:lineRule="auto"/>
        <w:rPr>
          <w:rFonts w:ascii="Calibri Light" w:hAnsi="Calibri Light" w:cs="Calibri Light"/>
          <w:sz w:val="16"/>
          <w:szCs w:val="16"/>
          <w:lang w:val="sr-Latn-ME"/>
        </w:rPr>
      </w:pPr>
      <w:r w:rsidRPr="004D3E60">
        <w:rPr>
          <w:rStyle w:val="FootnoteReference"/>
          <w:rFonts w:ascii="Calibri Light" w:hAnsi="Calibri Light" w:cs="Calibri Light"/>
          <w:sz w:val="16"/>
          <w:szCs w:val="16"/>
        </w:rPr>
        <w:footnoteRef/>
      </w:r>
      <w:r w:rsidRPr="004D3E60">
        <w:rPr>
          <w:rFonts w:ascii="Calibri Light" w:hAnsi="Calibri Light" w:cs="Calibri Light"/>
          <w:sz w:val="16"/>
          <w:szCs w:val="16"/>
          <w:lang w:val="pl-PL"/>
        </w:rPr>
        <w:t xml:space="preserve"> </w:t>
      </w:r>
      <w:r w:rsidRPr="004D3E60">
        <w:rPr>
          <w:rFonts w:ascii="Calibri Light" w:hAnsi="Calibri Light" w:cs="Calibri Light"/>
          <w:sz w:val="16"/>
          <w:szCs w:val="16"/>
          <w:lang w:val="sr-Latn-ME"/>
        </w:rPr>
        <w:t xml:space="preserve">Indeksom 2025. obuhvaćen je period od druge polovine 2023. </w:t>
      </w:r>
      <w:r w:rsidRPr="004D3E60">
        <w:rPr>
          <w:sz w:val="16"/>
          <w:szCs w:val="16"/>
          <w:lang w:val="sr-Latn-ME"/>
        </w:rPr>
        <w:t>.</w:t>
      </w:r>
      <w:r w:rsidRPr="004D3E60">
        <w:rPr>
          <w:rFonts w:ascii="Calibri Light" w:hAnsi="Calibri Light" w:cs="Calibri Light"/>
          <w:sz w:val="16"/>
          <w:szCs w:val="16"/>
          <w:lang w:val="sr-Latn-ME"/>
        </w:rPr>
        <w:t>do prve polovine 2024. godine</w:t>
      </w:r>
    </w:p>
  </w:footnote>
  <w:footnote w:id="39">
    <w:p w14:paraId="14D6ED4B" w14:textId="77777777" w:rsidR="00EB06F2" w:rsidRPr="004D3E60" w:rsidRDefault="00EB06F2" w:rsidP="004D3E60">
      <w:pPr>
        <w:pStyle w:val="FootnoteText"/>
        <w:spacing w:after="0" w:line="240" w:lineRule="auto"/>
        <w:rPr>
          <w:rFonts w:asciiTheme="minorHAnsi" w:hAnsiTheme="minorHAnsi" w:cs="Calibri Light"/>
          <w:sz w:val="16"/>
          <w:szCs w:val="16"/>
          <w:lang w:val="sr-Latn-ME"/>
        </w:rPr>
      </w:pPr>
      <w:r w:rsidRPr="004D3E60">
        <w:rPr>
          <w:rStyle w:val="FootnoteReference"/>
          <w:rFonts w:ascii="Calibri Light" w:hAnsi="Calibri Light" w:cs="Calibri Light"/>
          <w:sz w:val="16"/>
          <w:szCs w:val="16"/>
        </w:rPr>
        <w:footnoteRef/>
      </w:r>
      <w:r w:rsidRPr="004D3E60">
        <w:rPr>
          <w:rFonts w:ascii="Calibri Light" w:hAnsi="Calibri Light" w:cs="Calibri Light"/>
          <w:sz w:val="16"/>
          <w:szCs w:val="16"/>
          <w:lang w:val="sr-Latn-ME"/>
        </w:rPr>
        <w:t xml:space="preserve"> </w:t>
      </w:r>
      <w:hyperlink r:id="rId7" w:history="1">
        <w:r w:rsidRPr="004D3E60">
          <w:rPr>
            <w:rStyle w:val="Hyperlink"/>
            <w:rFonts w:asciiTheme="minorHAnsi" w:hAnsiTheme="minorHAnsi" w:cs="Calibri Light"/>
            <w:color w:val="auto"/>
            <w:sz w:val="16"/>
            <w:szCs w:val="16"/>
          </w:rPr>
          <w:t>VisaGuide</w:t>
        </w:r>
        <w:r w:rsidRPr="004D3E60">
          <w:rPr>
            <w:rStyle w:val="Hyperlink"/>
            <w:rFonts w:asciiTheme="minorHAnsi" w:hAnsiTheme="minorHAnsi" w:cs="Calibri Light"/>
            <w:color w:val="auto"/>
            <w:sz w:val="16"/>
            <w:szCs w:val="16"/>
            <w:lang w:val="sr-Latn-ME"/>
          </w:rPr>
          <w:t xml:space="preserve"> </w:t>
        </w:r>
        <w:r w:rsidRPr="004D3E60">
          <w:rPr>
            <w:rStyle w:val="Hyperlink"/>
            <w:rFonts w:asciiTheme="minorHAnsi" w:hAnsiTheme="minorHAnsi" w:cs="Calibri Light"/>
            <w:color w:val="auto"/>
            <w:sz w:val="16"/>
            <w:szCs w:val="16"/>
          </w:rPr>
          <w:t>Digital</w:t>
        </w:r>
        <w:r w:rsidRPr="004D3E60">
          <w:rPr>
            <w:rStyle w:val="Hyperlink"/>
            <w:rFonts w:asciiTheme="minorHAnsi" w:hAnsiTheme="minorHAnsi" w:cs="Calibri Light"/>
            <w:color w:val="auto"/>
            <w:sz w:val="16"/>
            <w:szCs w:val="16"/>
            <w:lang w:val="sr-Latn-ME"/>
          </w:rPr>
          <w:t xml:space="preserve"> </w:t>
        </w:r>
        <w:r w:rsidRPr="004D3E60">
          <w:rPr>
            <w:rStyle w:val="Hyperlink"/>
            <w:rFonts w:asciiTheme="minorHAnsi" w:hAnsiTheme="minorHAnsi" w:cs="Calibri Light"/>
            <w:color w:val="auto"/>
            <w:sz w:val="16"/>
            <w:szCs w:val="16"/>
          </w:rPr>
          <w:t>Nomad</w:t>
        </w:r>
        <w:r w:rsidRPr="004D3E60">
          <w:rPr>
            <w:rStyle w:val="Hyperlink"/>
            <w:rFonts w:asciiTheme="minorHAnsi" w:hAnsiTheme="minorHAnsi" w:cs="Calibri Light"/>
            <w:color w:val="auto"/>
            <w:sz w:val="16"/>
            <w:szCs w:val="16"/>
            <w:lang w:val="sr-Latn-ME"/>
          </w:rPr>
          <w:t xml:space="preserve"> </w:t>
        </w:r>
        <w:r w:rsidRPr="004D3E60">
          <w:rPr>
            <w:rStyle w:val="Hyperlink"/>
            <w:rFonts w:asciiTheme="minorHAnsi" w:hAnsiTheme="minorHAnsi" w:cs="Calibri Light"/>
            <w:color w:val="auto"/>
            <w:sz w:val="16"/>
            <w:szCs w:val="16"/>
          </w:rPr>
          <w:t>Index</w:t>
        </w:r>
      </w:hyperlink>
    </w:p>
  </w:footnote>
  <w:footnote w:id="40">
    <w:p w14:paraId="145A22AD" w14:textId="77777777" w:rsidR="00EB06F2" w:rsidRPr="004D3E60" w:rsidRDefault="00EB06F2" w:rsidP="004D3E60">
      <w:pPr>
        <w:pStyle w:val="FootnoteText"/>
        <w:spacing w:after="0" w:line="240" w:lineRule="auto"/>
        <w:rPr>
          <w:rFonts w:asciiTheme="minorHAnsi" w:hAnsiTheme="minorHAnsi"/>
          <w:sz w:val="16"/>
          <w:szCs w:val="16"/>
          <w:lang w:val="sr-Latn-ME"/>
        </w:rPr>
      </w:pPr>
      <w:r w:rsidRPr="004D3E60">
        <w:rPr>
          <w:rStyle w:val="FootnoteReference"/>
          <w:rFonts w:asciiTheme="minorHAnsi" w:hAnsiTheme="minorHAnsi"/>
          <w:sz w:val="16"/>
          <w:szCs w:val="16"/>
        </w:rPr>
        <w:footnoteRef/>
      </w:r>
      <w:r w:rsidRPr="004D3E60">
        <w:rPr>
          <w:rFonts w:asciiTheme="minorHAnsi" w:hAnsiTheme="minorHAnsi"/>
          <w:sz w:val="16"/>
          <w:szCs w:val="16"/>
          <w:lang w:val="sr-Latn-ME"/>
        </w:rPr>
        <w:t xml:space="preserve"> Izvor: Analiza makroekonomskih kretanja i strukturnih reformi za 2024.godinu. </w:t>
      </w:r>
    </w:p>
  </w:footnote>
  <w:footnote w:id="41">
    <w:p w14:paraId="60F104D0" w14:textId="77777777" w:rsidR="00EB06F2" w:rsidRPr="00726A49" w:rsidRDefault="00EB06F2" w:rsidP="00726A49">
      <w:pPr>
        <w:pStyle w:val="FootnoteText"/>
        <w:spacing w:after="0" w:line="240" w:lineRule="auto"/>
        <w:rPr>
          <w:rFonts w:asciiTheme="minorHAnsi" w:hAnsiTheme="minorHAnsi" w:cstheme="majorHAnsi"/>
          <w:sz w:val="16"/>
          <w:szCs w:val="16"/>
          <w:lang w:val="sr-Latn-ME"/>
        </w:rPr>
      </w:pPr>
      <w:r w:rsidRPr="00726A49">
        <w:rPr>
          <w:rStyle w:val="FootnoteReference"/>
          <w:rFonts w:asciiTheme="minorHAnsi" w:hAnsiTheme="minorHAnsi" w:cstheme="majorHAnsi"/>
          <w:sz w:val="16"/>
          <w:szCs w:val="16"/>
        </w:rPr>
        <w:footnoteRef/>
      </w:r>
      <w:r w:rsidRPr="00726A49">
        <w:rPr>
          <w:rFonts w:asciiTheme="minorHAnsi" w:hAnsiTheme="minorHAnsi" w:cstheme="majorHAnsi"/>
          <w:sz w:val="16"/>
          <w:szCs w:val="16"/>
          <w:lang w:val="sr-Latn-ME"/>
        </w:rPr>
        <w:t xml:space="preserve"> </w:t>
      </w:r>
      <w:r w:rsidRPr="00726A49">
        <w:rPr>
          <w:rFonts w:asciiTheme="minorHAnsi" w:hAnsiTheme="minorHAnsi" w:cstheme="majorHAnsi"/>
          <w:sz w:val="16"/>
          <w:szCs w:val="16"/>
          <w:lang w:val="pl-PL"/>
        </w:rPr>
        <w:t>Izvor</w:t>
      </w:r>
      <w:r w:rsidRPr="00726A49">
        <w:rPr>
          <w:rFonts w:asciiTheme="minorHAnsi" w:hAnsiTheme="minorHAnsi" w:cstheme="majorHAnsi"/>
          <w:sz w:val="16"/>
          <w:szCs w:val="16"/>
          <w:lang w:val="sr-Latn-ME"/>
        </w:rPr>
        <w:t>: Jedinstveno područje za plaćanja u eurima.</w:t>
      </w:r>
    </w:p>
  </w:footnote>
  <w:footnote w:id="42">
    <w:p w14:paraId="195281B9" w14:textId="77777777" w:rsidR="00EB06F2" w:rsidRPr="00726A49" w:rsidRDefault="00EB06F2" w:rsidP="00726A49">
      <w:pPr>
        <w:pStyle w:val="FootnoteText"/>
        <w:spacing w:after="0" w:line="240" w:lineRule="auto"/>
        <w:rPr>
          <w:rFonts w:asciiTheme="minorHAnsi" w:hAnsiTheme="minorHAnsi"/>
          <w:sz w:val="16"/>
          <w:szCs w:val="16"/>
          <w:lang w:val="sr-Latn-ME"/>
        </w:rPr>
      </w:pPr>
      <w:r w:rsidRPr="00726A49">
        <w:rPr>
          <w:rStyle w:val="FootnoteReference"/>
          <w:rFonts w:asciiTheme="minorHAnsi" w:hAnsiTheme="minorHAnsi"/>
          <w:sz w:val="16"/>
          <w:szCs w:val="16"/>
        </w:rPr>
        <w:footnoteRef/>
      </w:r>
      <w:r w:rsidRPr="00726A49">
        <w:rPr>
          <w:rFonts w:asciiTheme="minorHAnsi" w:hAnsiTheme="minorHAnsi"/>
          <w:sz w:val="16"/>
          <w:szCs w:val="16"/>
          <w:lang w:val="sr-Latn-ME"/>
        </w:rPr>
        <w:t xml:space="preserve"> Izvor: IP 2024-2028.</w:t>
      </w:r>
    </w:p>
  </w:footnote>
  <w:footnote w:id="43">
    <w:p w14:paraId="0D4747BD" w14:textId="77777777" w:rsidR="00EB06F2" w:rsidRPr="002C623E" w:rsidRDefault="00EB06F2" w:rsidP="00DB7E8E">
      <w:pPr>
        <w:pStyle w:val="NoSpacing"/>
        <w:jc w:val="both"/>
        <w:rPr>
          <w:sz w:val="18"/>
          <w:szCs w:val="18"/>
          <w:lang w:val="sr-Latn-ME"/>
        </w:rPr>
      </w:pPr>
      <w:r>
        <w:rPr>
          <w:rStyle w:val="FootnoteReference"/>
        </w:rPr>
        <w:footnoteRef/>
      </w:r>
      <w:r w:rsidRPr="00DB7E8E">
        <w:rPr>
          <w:lang w:val="sr-Latn-ME"/>
        </w:rPr>
        <w:t xml:space="preserve"> </w:t>
      </w:r>
      <w:r w:rsidRPr="00502E5A">
        <w:rPr>
          <w:sz w:val="16"/>
          <w:szCs w:val="16"/>
        </w:rPr>
        <w:t>U</w:t>
      </w:r>
      <w:r w:rsidRPr="00502E5A">
        <w:rPr>
          <w:sz w:val="16"/>
          <w:szCs w:val="16"/>
          <w:lang w:val="sr-Latn-ME"/>
        </w:rPr>
        <w:t xml:space="preserve"> </w:t>
      </w:r>
      <w:r w:rsidRPr="00502E5A">
        <w:rPr>
          <w:sz w:val="16"/>
          <w:szCs w:val="16"/>
        </w:rPr>
        <w:t>narednom</w:t>
      </w:r>
      <w:r w:rsidRPr="00502E5A">
        <w:rPr>
          <w:sz w:val="16"/>
          <w:szCs w:val="16"/>
          <w:lang w:val="sr-Latn-ME"/>
        </w:rPr>
        <w:t xml:space="preserve"> </w:t>
      </w:r>
      <w:r w:rsidRPr="00502E5A">
        <w:rPr>
          <w:sz w:val="16"/>
          <w:szCs w:val="16"/>
        </w:rPr>
        <w:t>periodu</w:t>
      </w:r>
      <w:r w:rsidRPr="00502E5A">
        <w:rPr>
          <w:sz w:val="16"/>
          <w:szCs w:val="16"/>
          <w:lang w:val="sr-Latn-ME"/>
        </w:rPr>
        <w:t xml:space="preserve"> </w:t>
      </w:r>
      <w:r w:rsidRPr="00502E5A">
        <w:rPr>
          <w:sz w:val="16"/>
          <w:szCs w:val="16"/>
        </w:rPr>
        <w:t>potrebno</w:t>
      </w:r>
      <w:r w:rsidRPr="00502E5A">
        <w:rPr>
          <w:sz w:val="16"/>
          <w:szCs w:val="16"/>
          <w:lang w:val="sr-Latn-ME"/>
        </w:rPr>
        <w:t xml:space="preserve"> </w:t>
      </w:r>
      <w:r w:rsidRPr="00502E5A">
        <w:rPr>
          <w:sz w:val="16"/>
          <w:szCs w:val="16"/>
        </w:rPr>
        <w:t>je</w:t>
      </w:r>
      <w:r w:rsidRPr="00502E5A">
        <w:rPr>
          <w:sz w:val="16"/>
          <w:szCs w:val="16"/>
          <w:lang w:val="sr-Latn-ME"/>
        </w:rPr>
        <w:t xml:space="preserve"> </w:t>
      </w:r>
      <w:r w:rsidRPr="00502E5A">
        <w:rPr>
          <w:sz w:val="16"/>
          <w:szCs w:val="16"/>
        </w:rPr>
        <w:t>sagledati</w:t>
      </w:r>
      <w:r w:rsidRPr="00502E5A">
        <w:rPr>
          <w:sz w:val="16"/>
          <w:szCs w:val="16"/>
          <w:lang w:val="sr-Latn-ME"/>
        </w:rPr>
        <w:t xml:space="preserve"> </w:t>
      </w:r>
      <w:r w:rsidRPr="00502E5A">
        <w:rPr>
          <w:sz w:val="16"/>
          <w:szCs w:val="16"/>
        </w:rPr>
        <w:t>mogu</w:t>
      </w:r>
      <w:r w:rsidRPr="00502E5A">
        <w:rPr>
          <w:sz w:val="16"/>
          <w:szCs w:val="16"/>
          <w:lang w:val="sr-Latn-ME"/>
        </w:rPr>
        <w:t>ć</w:t>
      </w:r>
      <w:r w:rsidRPr="00502E5A">
        <w:rPr>
          <w:sz w:val="16"/>
          <w:szCs w:val="16"/>
        </w:rPr>
        <w:t>nost</w:t>
      </w:r>
      <w:r w:rsidRPr="00502E5A">
        <w:rPr>
          <w:sz w:val="16"/>
          <w:szCs w:val="16"/>
          <w:lang w:val="sr-Latn-ME"/>
        </w:rPr>
        <w:t xml:space="preserve"> </w:t>
      </w:r>
      <w:r w:rsidRPr="00502E5A">
        <w:rPr>
          <w:sz w:val="16"/>
          <w:szCs w:val="16"/>
        </w:rPr>
        <w:t>revidiranja</w:t>
      </w:r>
      <w:r w:rsidRPr="00502E5A">
        <w:rPr>
          <w:sz w:val="16"/>
          <w:szCs w:val="16"/>
          <w:lang w:val="sr-Latn-ME"/>
        </w:rPr>
        <w:t xml:space="preserve"> </w:t>
      </w:r>
      <w:r w:rsidRPr="00502E5A">
        <w:rPr>
          <w:sz w:val="16"/>
          <w:szCs w:val="16"/>
        </w:rPr>
        <w:t>postoje</w:t>
      </w:r>
      <w:r w:rsidRPr="00502E5A">
        <w:rPr>
          <w:sz w:val="16"/>
          <w:szCs w:val="16"/>
          <w:lang w:val="sr-Latn-ME"/>
        </w:rPr>
        <w:t>ć</w:t>
      </w:r>
      <w:r w:rsidRPr="00502E5A">
        <w:rPr>
          <w:sz w:val="16"/>
          <w:szCs w:val="16"/>
        </w:rPr>
        <w:t>e</w:t>
      </w:r>
      <w:r w:rsidRPr="00502E5A">
        <w:rPr>
          <w:sz w:val="16"/>
          <w:szCs w:val="16"/>
          <w:lang w:val="sr-Latn-ME"/>
        </w:rPr>
        <w:t xml:space="preserve"> </w:t>
      </w:r>
      <w:r w:rsidRPr="00502E5A">
        <w:rPr>
          <w:sz w:val="16"/>
          <w:szCs w:val="16"/>
        </w:rPr>
        <w:t>metodologije</w:t>
      </w:r>
      <w:r w:rsidRPr="00502E5A">
        <w:rPr>
          <w:sz w:val="16"/>
          <w:szCs w:val="16"/>
          <w:lang w:val="sr-Latn-ME"/>
        </w:rPr>
        <w:t xml:space="preserve"> </w:t>
      </w:r>
      <w:r w:rsidRPr="00502E5A">
        <w:rPr>
          <w:sz w:val="16"/>
          <w:szCs w:val="16"/>
        </w:rPr>
        <w:t>za</w:t>
      </w:r>
      <w:r w:rsidRPr="00502E5A">
        <w:rPr>
          <w:sz w:val="16"/>
          <w:szCs w:val="16"/>
          <w:lang w:val="sr-Latn-ME"/>
        </w:rPr>
        <w:t xml:space="preserve"> </w:t>
      </w:r>
      <w:r w:rsidRPr="00502E5A">
        <w:rPr>
          <w:sz w:val="16"/>
          <w:szCs w:val="16"/>
        </w:rPr>
        <w:t>obra</w:t>
      </w:r>
      <w:r w:rsidRPr="00502E5A">
        <w:rPr>
          <w:sz w:val="16"/>
          <w:szCs w:val="16"/>
          <w:lang w:val="sr-Latn-ME"/>
        </w:rPr>
        <w:t>č</w:t>
      </w:r>
      <w:r w:rsidRPr="00502E5A">
        <w:rPr>
          <w:sz w:val="16"/>
          <w:szCs w:val="16"/>
        </w:rPr>
        <w:t>un</w:t>
      </w:r>
      <w:r w:rsidRPr="00502E5A">
        <w:rPr>
          <w:sz w:val="16"/>
          <w:szCs w:val="16"/>
          <w:lang w:val="sr-Latn-ME"/>
        </w:rPr>
        <w:t xml:space="preserve"> </w:t>
      </w:r>
      <w:r w:rsidRPr="00502E5A">
        <w:rPr>
          <w:sz w:val="16"/>
          <w:szCs w:val="16"/>
        </w:rPr>
        <w:t>indeksa</w:t>
      </w:r>
      <w:r w:rsidRPr="00502E5A">
        <w:rPr>
          <w:sz w:val="16"/>
          <w:szCs w:val="16"/>
          <w:lang w:val="sr-Latn-ME"/>
        </w:rPr>
        <w:t xml:space="preserve">, </w:t>
      </w:r>
      <w:r w:rsidRPr="00502E5A">
        <w:rPr>
          <w:sz w:val="16"/>
          <w:szCs w:val="16"/>
        </w:rPr>
        <w:t>u</w:t>
      </w:r>
      <w:r w:rsidRPr="00502E5A">
        <w:rPr>
          <w:sz w:val="16"/>
          <w:szCs w:val="16"/>
          <w:lang w:val="sr-Latn-ME"/>
        </w:rPr>
        <w:t xml:space="preserve"> </w:t>
      </w:r>
      <w:r w:rsidRPr="00502E5A">
        <w:rPr>
          <w:sz w:val="16"/>
          <w:szCs w:val="16"/>
        </w:rPr>
        <w:t>cilju</w:t>
      </w:r>
      <w:r w:rsidRPr="00502E5A">
        <w:rPr>
          <w:sz w:val="16"/>
          <w:szCs w:val="16"/>
          <w:lang w:val="sr-Latn-ME"/>
        </w:rPr>
        <w:t xml:space="preserve"> </w:t>
      </w:r>
      <w:r w:rsidRPr="00502E5A">
        <w:rPr>
          <w:sz w:val="16"/>
          <w:szCs w:val="16"/>
        </w:rPr>
        <w:t>obezbje</w:t>
      </w:r>
      <w:r w:rsidRPr="00502E5A">
        <w:rPr>
          <w:sz w:val="16"/>
          <w:szCs w:val="16"/>
          <w:lang w:val="sr-Latn-ME"/>
        </w:rPr>
        <w:t>đ</w:t>
      </w:r>
      <w:r w:rsidRPr="00502E5A">
        <w:rPr>
          <w:sz w:val="16"/>
          <w:szCs w:val="16"/>
        </w:rPr>
        <w:t>enja</w:t>
      </w:r>
      <w:r w:rsidRPr="00502E5A">
        <w:rPr>
          <w:sz w:val="16"/>
          <w:szCs w:val="16"/>
          <w:lang w:val="sr-Latn-ME"/>
        </w:rPr>
        <w:t xml:space="preserve"> </w:t>
      </w:r>
      <w:r w:rsidRPr="00502E5A">
        <w:rPr>
          <w:sz w:val="16"/>
          <w:szCs w:val="16"/>
        </w:rPr>
        <w:t>ve</w:t>
      </w:r>
      <w:r w:rsidRPr="00502E5A">
        <w:rPr>
          <w:sz w:val="16"/>
          <w:szCs w:val="16"/>
          <w:lang w:val="sr-Latn-ME"/>
        </w:rPr>
        <w:t>ć</w:t>
      </w:r>
      <w:r w:rsidRPr="00502E5A">
        <w:rPr>
          <w:sz w:val="16"/>
          <w:szCs w:val="16"/>
        </w:rPr>
        <w:t>e</w:t>
      </w:r>
      <w:r w:rsidRPr="00502E5A">
        <w:rPr>
          <w:sz w:val="16"/>
          <w:szCs w:val="16"/>
          <w:lang w:val="sr-Latn-ME"/>
        </w:rPr>
        <w:t xml:space="preserve"> </w:t>
      </w:r>
      <w:r w:rsidRPr="00502E5A">
        <w:rPr>
          <w:sz w:val="16"/>
          <w:szCs w:val="16"/>
        </w:rPr>
        <w:t>objektivnosti</w:t>
      </w:r>
      <w:r w:rsidRPr="00502E5A">
        <w:rPr>
          <w:sz w:val="16"/>
          <w:szCs w:val="16"/>
          <w:lang w:val="sr-Latn-ME"/>
        </w:rPr>
        <w:t xml:space="preserve"> </w:t>
      </w:r>
      <w:r w:rsidRPr="00502E5A">
        <w:rPr>
          <w:sz w:val="16"/>
          <w:szCs w:val="16"/>
        </w:rPr>
        <w:t>i</w:t>
      </w:r>
      <w:r w:rsidRPr="00502E5A">
        <w:rPr>
          <w:sz w:val="16"/>
          <w:szCs w:val="16"/>
          <w:lang w:val="sr-Latn-ME"/>
        </w:rPr>
        <w:t xml:space="preserve"> </w:t>
      </w:r>
      <w:r w:rsidRPr="00502E5A">
        <w:rPr>
          <w:sz w:val="16"/>
          <w:szCs w:val="16"/>
        </w:rPr>
        <w:t>prisustva</w:t>
      </w:r>
      <w:r w:rsidRPr="00502E5A">
        <w:rPr>
          <w:sz w:val="16"/>
          <w:szCs w:val="16"/>
          <w:lang w:val="sr-Latn-ME"/>
        </w:rPr>
        <w:t xml:space="preserve"> </w:t>
      </w:r>
      <w:r w:rsidRPr="00502E5A">
        <w:rPr>
          <w:sz w:val="16"/>
          <w:szCs w:val="16"/>
        </w:rPr>
        <w:t>spolja</w:t>
      </w:r>
      <w:r w:rsidRPr="00502E5A">
        <w:rPr>
          <w:sz w:val="16"/>
          <w:szCs w:val="16"/>
          <w:lang w:val="sr-Latn-ME"/>
        </w:rPr>
        <w:t>š</w:t>
      </w:r>
      <w:r w:rsidRPr="00502E5A">
        <w:rPr>
          <w:sz w:val="16"/>
          <w:szCs w:val="16"/>
        </w:rPr>
        <w:t>njih</w:t>
      </w:r>
      <w:r w:rsidRPr="00502E5A">
        <w:rPr>
          <w:sz w:val="16"/>
          <w:szCs w:val="16"/>
          <w:lang w:val="sr-Latn-ME"/>
        </w:rPr>
        <w:t xml:space="preserve"> </w:t>
      </w:r>
      <w:r w:rsidRPr="00502E5A">
        <w:rPr>
          <w:sz w:val="16"/>
          <w:szCs w:val="16"/>
        </w:rPr>
        <w:t>faktora</w:t>
      </w:r>
      <w:r w:rsidRPr="00502E5A">
        <w:rPr>
          <w:sz w:val="16"/>
          <w:szCs w:val="16"/>
          <w:lang w:val="sr-Latn-ME"/>
        </w:rPr>
        <w:t xml:space="preserve"> </w:t>
      </w:r>
      <w:r w:rsidRPr="00502E5A">
        <w:rPr>
          <w:sz w:val="16"/>
          <w:szCs w:val="16"/>
        </w:rPr>
        <w:t>poput</w:t>
      </w:r>
      <w:r w:rsidRPr="00502E5A">
        <w:rPr>
          <w:sz w:val="16"/>
          <w:szCs w:val="16"/>
          <w:lang w:val="sr-Latn-ME"/>
        </w:rPr>
        <w:t xml:space="preserve"> </w:t>
      </w:r>
      <w:r w:rsidRPr="00502E5A">
        <w:rPr>
          <w:sz w:val="16"/>
          <w:szCs w:val="16"/>
        </w:rPr>
        <w:t>prihoda</w:t>
      </w:r>
      <w:r w:rsidRPr="00502E5A">
        <w:rPr>
          <w:sz w:val="16"/>
          <w:szCs w:val="16"/>
          <w:lang w:val="sr-Latn-ME"/>
        </w:rPr>
        <w:t xml:space="preserve"> </w:t>
      </w:r>
      <w:r w:rsidRPr="00502E5A">
        <w:rPr>
          <w:sz w:val="16"/>
          <w:szCs w:val="16"/>
        </w:rPr>
        <w:t>koji</w:t>
      </w:r>
      <w:r w:rsidRPr="00502E5A">
        <w:rPr>
          <w:sz w:val="16"/>
          <w:szCs w:val="16"/>
          <w:lang w:val="sr-Latn-ME"/>
        </w:rPr>
        <w:t xml:space="preserve"> </w:t>
      </w:r>
      <w:r w:rsidRPr="00502E5A">
        <w:rPr>
          <w:sz w:val="16"/>
          <w:szCs w:val="16"/>
        </w:rPr>
        <w:t>op</w:t>
      </w:r>
      <w:r w:rsidRPr="00502E5A">
        <w:rPr>
          <w:sz w:val="16"/>
          <w:szCs w:val="16"/>
          <w:lang w:val="sr-Latn-ME"/>
        </w:rPr>
        <w:t>š</w:t>
      </w:r>
      <w:r w:rsidRPr="00502E5A">
        <w:rPr>
          <w:sz w:val="16"/>
          <w:szCs w:val="16"/>
        </w:rPr>
        <w:t>tini</w:t>
      </w:r>
      <w:r w:rsidRPr="00502E5A">
        <w:rPr>
          <w:sz w:val="16"/>
          <w:szCs w:val="16"/>
          <w:lang w:val="sr-Latn-ME"/>
        </w:rPr>
        <w:t xml:space="preserve"> </w:t>
      </w:r>
      <w:r w:rsidRPr="00502E5A">
        <w:rPr>
          <w:sz w:val="16"/>
          <w:szCs w:val="16"/>
        </w:rPr>
        <w:t>pripadaju</w:t>
      </w:r>
      <w:r w:rsidRPr="00502E5A">
        <w:rPr>
          <w:sz w:val="16"/>
          <w:szCs w:val="16"/>
          <w:lang w:val="sr-Latn-ME"/>
        </w:rPr>
        <w:t xml:space="preserve"> </w:t>
      </w:r>
      <w:r w:rsidRPr="00502E5A">
        <w:rPr>
          <w:sz w:val="16"/>
          <w:szCs w:val="16"/>
        </w:rPr>
        <w:t>po</w:t>
      </w:r>
      <w:r w:rsidRPr="00502E5A">
        <w:rPr>
          <w:sz w:val="16"/>
          <w:szCs w:val="16"/>
          <w:lang w:val="sr-Latn-ME"/>
        </w:rPr>
        <w:t xml:space="preserve"> </w:t>
      </w:r>
      <w:r w:rsidRPr="00502E5A">
        <w:rPr>
          <w:sz w:val="16"/>
          <w:szCs w:val="16"/>
        </w:rPr>
        <w:t>osnovu</w:t>
      </w:r>
      <w:r w:rsidRPr="00502E5A">
        <w:rPr>
          <w:sz w:val="16"/>
          <w:szCs w:val="16"/>
          <w:lang w:val="sr-Latn-ME"/>
        </w:rPr>
        <w:t xml:space="preserve"> </w:t>
      </w:r>
      <w:r w:rsidRPr="00502E5A">
        <w:rPr>
          <w:sz w:val="16"/>
          <w:szCs w:val="16"/>
        </w:rPr>
        <w:t>posebnih</w:t>
      </w:r>
      <w:r w:rsidRPr="00502E5A">
        <w:rPr>
          <w:sz w:val="16"/>
          <w:szCs w:val="16"/>
          <w:lang w:val="sr-Latn-ME"/>
        </w:rPr>
        <w:t xml:space="preserve"> </w:t>
      </w:r>
      <w:r w:rsidRPr="00502E5A">
        <w:rPr>
          <w:sz w:val="16"/>
          <w:szCs w:val="16"/>
        </w:rPr>
        <w:t>zakonskih</w:t>
      </w:r>
      <w:r w:rsidRPr="00502E5A">
        <w:rPr>
          <w:sz w:val="16"/>
          <w:szCs w:val="16"/>
          <w:lang w:val="sr-Latn-ME"/>
        </w:rPr>
        <w:t xml:space="preserve"> </w:t>
      </w:r>
      <w:r w:rsidRPr="00502E5A">
        <w:rPr>
          <w:sz w:val="16"/>
          <w:szCs w:val="16"/>
        </w:rPr>
        <w:t>rje</w:t>
      </w:r>
      <w:r w:rsidRPr="00502E5A">
        <w:rPr>
          <w:sz w:val="16"/>
          <w:szCs w:val="16"/>
          <w:lang w:val="sr-Latn-ME"/>
        </w:rPr>
        <w:t>š</w:t>
      </w:r>
      <w:r w:rsidRPr="00502E5A">
        <w:rPr>
          <w:sz w:val="16"/>
          <w:szCs w:val="16"/>
        </w:rPr>
        <w:t>enja</w:t>
      </w:r>
      <w:r w:rsidRPr="00502E5A">
        <w:rPr>
          <w:sz w:val="16"/>
          <w:szCs w:val="16"/>
          <w:lang w:val="sr-Latn-ME"/>
        </w:rPr>
        <w:t xml:space="preserve"> </w:t>
      </w:r>
      <w:r w:rsidRPr="00502E5A">
        <w:rPr>
          <w:sz w:val="16"/>
          <w:szCs w:val="16"/>
        </w:rPr>
        <w:t>i</w:t>
      </w:r>
      <w:r w:rsidRPr="00502E5A">
        <w:rPr>
          <w:sz w:val="16"/>
          <w:szCs w:val="16"/>
          <w:lang w:val="sr-Latn-ME"/>
        </w:rPr>
        <w:t xml:space="preserve"> </w:t>
      </w:r>
      <w:r w:rsidRPr="00502E5A">
        <w:rPr>
          <w:sz w:val="16"/>
          <w:szCs w:val="16"/>
        </w:rPr>
        <w:t>drugih</w:t>
      </w:r>
      <w:r w:rsidRPr="00502E5A">
        <w:rPr>
          <w:sz w:val="16"/>
          <w:szCs w:val="16"/>
          <w:lang w:val="sr-Latn-ME"/>
        </w:rPr>
        <w:t xml:space="preserve"> </w:t>
      </w:r>
      <w:r w:rsidRPr="00502E5A">
        <w:rPr>
          <w:sz w:val="16"/>
          <w:szCs w:val="16"/>
        </w:rPr>
        <w:t>fondova</w:t>
      </w:r>
      <w:r w:rsidRPr="00502E5A">
        <w:rPr>
          <w:sz w:val="16"/>
          <w:szCs w:val="16"/>
          <w:lang w:val="sr-Latn-ME"/>
        </w:rPr>
        <w:t xml:space="preserve"> </w:t>
      </w:r>
      <w:r w:rsidRPr="00502E5A">
        <w:rPr>
          <w:sz w:val="16"/>
          <w:szCs w:val="16"/>
        </w:rPr>
        <w:t>za</w:t>
      </w:r>
      <w:r w:rsidRPr="00502E5A">
        <w:rPr>
          <w:sz w:val="16"/>
          <w:szCs w:val="16"/>
          <w:lang w:val="sr-Latn-ME"/>
        </w:rPr>
        <w:t xml:space="preserve"> </w:t>
      </w:r>
      <w:r w:rsidRPr="00502E5A">
        <w:rPr>
          <w:sz w:val="16"/>
          <w:szCs w:val="16"/>
        </w:rPr>
        <w:t>podr</w:t>
      </w:r>
      <w:r w:rsidRPr="00502E5A">
        <w:rPr>
          <w:sz w:val="16"/>
          <w:szCs w:val="16"/>
          <w:lang w:val="sr-Latn-ME"/>
        </w:rPr>
        <w:t>š</w:t>
      </w:r>
      <w:r w:rsidRPr="00502E5A">
        <w:rPr>
          <w:sz w:val="16"/>
          <w:szCs w:val="16"/>
        </w:rPr>
        <w:t>ku</w:t>
      </w:r>
      <w:r w:rsidRPr="00502E5A">
        <w:rPr>
          <w:sz w:val="16"/>
          <w:szCs w:val="16"/>
          <w:lang w:val="sr-Latn-ME"/>
        </w:rPr>
        <w:t>, š</w:t>
      </w:r>
      <w:r w:rsidRPr="00502E5A">
        <w:rPr>
          <w:sz w:val="16"/>
          <w:szCs w:val="16"/>
        </w:rPr>
        <w:t>to</w:t>
      </w:r>
      <w:r w:rsidRPr="00502E5A">
        <w:rPr>
          <w:sz w:val="16"/>
          <w:szCs w:val="16"/>
          <w:lang w:val="sr-Latn-ME"/>
        </w:rPr>
        <w:t xml:space="preserve"> </w:t>
      </w:r>
      <w:r w:rsidRPr="00502E5A">
        <w:rPr>
          <w:sz w:val="16"/>
          <w:szCs w:val="16"/>
        </w:rPr>
        <w:t>mo</w:t>
      </w:r>
      <w:r w:rsidRPr="00502E5A">
        <w:rPr>
          <w:sz w:val="16"/>
          <w:szCs w:val="16"/>
          <w:lang w:val="sr-Latn-ME"/>
        </w:rPr>
        <w:t>ž</w:t>
      </w:r>
      <w:r w:rsidRPr="00502E5A">
        <w:rPr>
          <w:sz w:val="16"/>
          <w:szCs w:val="16"/>
        </w:rPr>
        <w:t>e</w:t>
      </w:r>
      <w:r w:rsidRPr="00502E5A">
        <w:rPr>
          <w:sz w:val="16"/>
          <w:szCs w:val="16"/>
          <w:lang w:val="sr-Latn-ME"/>
        </w:rPr>
        <w:t xml:space="preserve"> </w:t>
      </w:r>
      <w:r w:rsidRPr="00502E5A">
        <w:rPr>
          <w:sz w:val="16"/>
          <w:szCs w:val="16"/>
        </w:rPr>
        <w:t>uticati</w:t>
      </w:r>
      <w:r w:rsidRPr="00502E5A">
        <w:rPr>
          <w:sz w:val="16"/>
          <w:szCs w:val="16"/>
          <w:lang w:val="sr-Latn-ME"/>
        </w:rPr>
        <w:t xml:space="preserve"> </w:t>
      </w:r>
      <w:r w:rsidRPr="00502E5A">
        <w:rPr>
          <w:sz w:val="16"/>
          <w:szCs w:val="16"/>
        </w:rPr>
        <w:t>na</w:t>
      </w:r>
      <w:r w:rsidRPr="00502E5A">
        <w:rPr>
          <w:sz w:val="16"/>
          <w:szCs w:val="16"/>
          <w:lang w:val="sr-Latn-ME"/>
        </w:rPr>
        <w:t xml:space="preserve"> </w:t>
      </w:r>
      <w:r w:rsidRPr="00502E5A">
        <w:rPr>
          <w:sz w:val="16"/>
          <w:szCs w:val="16"/>
        </w:rPr>
        <w:t>kona</w:t>
      </w:r>
      <w:r w:rsidRPr="00502E5A">
        <w:rPr>
          <w:sz w:val="16"/>
          <w:szCs w:val="16"/>
          <w:lang w:val="sr-Latn-ME"/>
        </w:rPr>
        <w:t>č</w:t>
      </w:r>
      <w:r w:rsidRPr="00502E5A">
        <w:rPr>
          <w:sz w:val="16"/>
          <w:szCs w:val="16"/>
        </w:rPr>
        <w:t>no</w:t>
      </w:r>
      <w:r w:rsidRPr="00502E5A">
        <w:rPr>
          <w:sz w:val="16"/>
          <w:szCs w:val="16"/>
          <w:lang w:val="sr-Latn-ME"/>
        </w:rPr>
        <w:t xml:space="preserve"> </w:t>
      </w:r>
      <w:r w:rsidRPr="00502E5A">
        <w:rPr>
          <w:sz w:val="16"/>
          <w:szCs w:val="16"/>
        </w:rPr>
        <w:t>rangiranje</w:t>
      </w:r>
      <w:r w:rsidRPr="00502E5A">
        <w:rPr>
          <w:sz w:val="16"/>
          <w:szCs w:val="16"/>
          <w:lang w:val="sr-Latn-ME"/>
        </w:rPr>
        <w:t xml:space="preserve"> </w:t>
      </w:r>
      <w:r w:rsidRPr="00502E5A">
        <w:rPr>
          <w:sz w:val="16"/>
          <w:szCs w:val="16"/>
        </w:rPr>
        <w:t>op</w:t>
      </w:r>
      <w:r w:rsidRPr="00502E5A">
        <w:rPr>
          <w:sz w:val="16"/>
          <w:szCs w:val="16"/>
          <w:lang w:val="sr-Latn-ME"/>
        </w:rPr>
        <w:t>š</w:t>
      </w:r>
      <w:r w:rsidRPr="00502E5A">
        <w:rPr>
          <w:sz w:val="16"/>
          <w:szCs w:val="16"/>
        </w:rPr>
        <w:t>tine</w:t>
      </w:r>
      <w:r w:rsidRPr="00DB7E8E">
        <w:rPr>
          <w:sz w:val="18"/>
          <w:szCs w:val="18"/>
          <w:lang w:val="sr-Latn-ME"/>
        </w:rPr>
        <w:t>.</w:t>
      </w:r>
    </w:p>
  </w:footnote>
  <w:footnote w:id="44">
    <w:p w14:paraId="0297D39D" w14:textId="77777777" w:rsidR="00EB06F2" w:rsidRPr="00FF554E" w:rsidRDefault="00EB06F2" w:rsidP="00A13DA5">
      <w:pPr>
        <w:pStyle w:val="NoSpacing"/>
        <w:jc w:val="both"/>
        <w:rPr>
          <w:sz w:val="16"/>
          <w:szCs w:val="16"/>
          <w:lang w:val="sr-Latn-ME"/>
        </w:rPr>
      </w:pPr>
      <w:r w:rsidRPr="00886120">
        <w:rPr>
          <w:rStyle w:val="FootnoteReference"/>
          <w:sz w:val="18"/>
          <w:szCs w:val="18"/>
        </w:rPr>
        <w:footnoteRef/>
      </w:r>
      <w:r w:rsidRPr="00D17217">
        <w:rPr>
          <w:sz w:val="18"/>
          <w:szCs w:val="18"/>
          <w:lang w:val="pl-PL"/>
        </w:rPr>
        <w:t xml:space="preserve"> </w:t>
      </w:r>
      <w:r w:rsidRPr="00FF554E">
        <w:rPr>
          <w:sz w:val="16"/>
          <w:szCs w:val="16"/>
          <w:lang w:val="sr-Latn-ME"/>
        </w:rPr>
        <w:t>EK: “Preporučeno godišnje vrijeme za instrukcije u obaveznom obrazovanju u Evropi 2018/2019.</w:t>
      </w:r>
    </w:p>
  </w:footnote>
  <w:footnote w:id="45">
    <w:p w14:paraId="159DD91F" w14:textId="77777777" w:rsidR="00EB06F2" w:rsidRPr="00FF554E" w:rsidRDefault="00EB06F2" w:rsidP="00A13DA5">
      <w:pPr>
        <w:pStyle w:val="NoSpacing"/>
        <w:jc w:val="both"/>
        <w:rPr>
          <w:sz w:val="16"/>
          <w:szCs w:val="16"/>
          <w:lang w:val="sr-Latn-ME"/>
        </w:rPr>
      </w:pPr>
      <w:r w:rsidRPr="00FF554E">
        <w:rPr>
          <w:rStyle w:val="FootnoteReference"/>
          <w:sz w:val="16"/>
          <w:szCs w:val="16"/>
        </w:rPr>
        <w:footnoteRef/>
      </w:r>
      <w:r w:rsidRPr="00FF554E">
        <w:rPr>
          <w:sz w:val="16"/>
          <w:szCs w:val="16"/>
          <w:lang w:val="pl-PL"/>
        </w:rPr>
        <w:t xml:space="preserve"> </w:t>
      </w:r>
      <w:r w:rsidRPr="00FF554E">
        <w:rPr>
          <w:sz w:val="16"/>
          <w:szCs w:val="16"/>
          <w:lang w:val="sr-Latn-ME"/>
        </w:rPr>
        <w:t>Indeks ljudskog kapitala u Crnoj G</w:t>
      </w:r>
      <w:r w:rsidRPr="00FF554E">
        <w:rPr>
          <w:bCs/>
          <w:sz w:val="16"/>
          <w:szCs w:val="16"/>
          <w:lang w:val="sr-Latn-ME"/>
        </w:rPr>
        <w:t>ori je povećan tokom posljednje decenije sa 0,59  (2010) na 0,63 (2020)</w:t>
      </w:r>
      <w:r w:rsidRPr="00FF554E">
        <w:rPr>
          <w:bCs/>
          <w:sz w:val="16"/>
          <w:szCs w:val="16"/>
          <w:vertAlign w:val="superscript"/>
          <w:lang w:val="sr-Latn-ME"/>
        </w:rPr>
        <w:footnoteRef/>
      </w:r>
      <w:r w:rsidRPr="00FF554E">
        <w:rPr>
          <w:bCs/>
          <w:sz w:val="16"/>
          <w:szCs w:val="16"/>
          <w:lang w:val="sr-Latn-ME"/>
        </w:rPr>
        <w:t xml:space="preserve">. To konkretno znači </w:t>
      </w:r>
      <w:r w:rsidRPr="00FF554E">
        <w:rPr>
          <w:bCs/>
          <w:sz w:val="16"/>
          <w:szCs w:val="16"/>
        </w:rPr>
        <w:t>da</w:t>
      </w:r>
      <w:r w:rsidRPr="00FF554E">
        <w:rPr>
          <w:bCs/>
          <w:sz w:val="16"/>
          <w:szCs w:val="16"/>
          <w:lang w:val="sr-Latn-ME"/>
        </w:rPr>
        <w:t xml:space="preserve"> ć</w:t>
      </w:r>
      <w:r w:rsidRPr="00FF554E">
        <w:rPr>
          <w:bCs/>
          <w:sz w:val="16"/>
          <w:szCs w:val="16"/>
        </w:rPr>
        <w:t>e</w:t>
      </w:r>
      <w:r w:rsidRPr="00FF554E">
        <w:rPr>
          <w:bCs/>
          <w:sz w:val="16"/>
          <w:szCs w:val="16"/>
          <w:lang w:val="sr-Latn-ME"/>
        </w:rPr>
        <w:t xml:space="preserve"> </w:t>
      </w:r>
      <w:r w:rsidRPr="00FF554E">
        <w:rPr>
          <w:bCs/>
          <w:sz w:val="16"/>
          <w:szCs w:val="16"/>
        </w:rPr>
        <w:t>dijete</w:t>
      </w:r>
      <w:r w:rsidRPr="00FF554E">
        <w:rPr>
          <w:bCs/>
          <w:sz w:val="16"/>
          <w:szCs w:val="16"/>
          <w:lang w:val="sr-Latn-ME"/>
        </w:rPr>
        <w:t xml:space="preserve"> </w:t>
      </w:r>
      <w:r w:rsidRPr="00FF554E">
        <w:rPr>
          <w:bCs/>
          <w:sz w:val="16"/>
          <w:szCs w:val="16"/>
        </w:rPr>
        <w:t>koje</w:t>
      </w:r>
      <w:r w:rsidRPr="00FF554E">
        <w:rPr>
          <w:bCs/>
          <w:sz w:val="16"/>
          <w:szCs w:val="16"/>
          <w:lang w:val="sr-Latn-ME"/>
        </w:rPr>
        <w:t xml:space="preserve"> </w:t>
      </w:r>
      <w:r w:rsidRPr="00FF554E">
        <w:rPr>
          <w:bCs/>
          <w:sz w:val="16"/>
          <w:szCs w:val="16"/>
        </w:rPr>
        <w:t>se</w:t>
      </w:r>
      <w:r w:rsidRPr="00FF554E">
        <w:rPr>
          <w:bCs/>
          <w:sz w:val="16"/>
          <w:szCs w:val="16"/>
          <w:lang w:val="sr-Latn-ME"/>
        </w:rPr>
        <w:t xml:space="preserve"> </w:t>
      </w:r>
      <w:r w:rsidRPr="00FF554E">
        <w:rPr>
          <w:bCs/>
          <w:sz w:val="16"/>
          <w:szCs w:val="16"/>
        </w:rPr>
        <w:t>danas</w:t>
      </w:r>
      <w:r w:rsidRPr="00FF554E">
        <w:rPr>
          <w:bCs/>
          <w:sz w:val="16"/>
          <w:szCs w:val="16"/>
          <w:lang w:val="sr-Latn-ME"/>
        </w:rPr>
        <w:t xml:space="preserve"> </w:t>
      </w:r>
      <w:r w:rsidRPr="00FF554E">
        <w:rPr>
          <w:bCs/>
          <w:sz w:val="16"/>
          <w:szCs w:val="16"/>
        </w:rPr>
        <w:t>rodi</w:t>
      </w:r>
      <w:r w:rsidRPr="00FF554E">
        <w:rPr>
          <w:bCs/>
          <w:sz w:val="16"/>
          <w:szCs w:val="16"/>
          <w:lang w:val="sr-Latn-ME"/>
        </w:rPr>
        <w:t xml:space="preserve"> </w:t>
      </w:r>
      <w:r w:rsidRPr="00FF554E">
        <w:rPr>
          <w:bCs/>
          <w:sz w:val="16"/>
          <w:szCs w:val="16"/>
        </w:rPr>
        <w:t>u</w:t>
      </w:r>
      <w:r w:rsidRPr="00FF554E">
        <w:rPr>
          <w:bCs/>
          <w:sz w:val="16"/>
          <w:szCs w:val="16"/>
          <w:lang w:val="sr-Latn-ME"/>
        </w:rPr>
        <w:t xml:space="preserve"> </w:t>
      </w:r>
      <w:r w:rsidRPr="00FF554E">
        <w:rPr>
          <w:bCs/>
          <w:sz w:val="16"/>
          <w:szCs w:val="16"/>
        </w:rPr>
        <w:t>Crnoj</w:t>
      </w:r>
      <w:r w:rsidRPr="00FF554E">
        <w:rPr>
          <w:bCs/>
          <w:sz w:val="16"/>
          <w:szCs w:val="16"/>
          <w:lang w:val="sr-Latn-ME"/>
        </w:rPr>
        <w:t xml:space="preserve"> </w:t>
      </w:r>
      <w:r w:rsidRPr="00FF554E">
        <w:rPr>
          <w:bCs/>
          <w:sz w:val="16"/>
          <w:szCs w:val="16"/>
        </w:rPr>
        <w:t>Gori</w:t>
      </w:r>
      <w:r w:rsidRPr="00FF554E">
        <w:rPr>
          <w:bCs/>
          <w:sz w:val="16"/>
          <w:szCs w:val="16"/>
          <w:lang w:val="sr-Latn-ME"/>
        </w:rPr>
        <w:t xml:space="preserve"> </w:t>
      </w:r>
      <w:r w:rsidRPr="00FF554E">
        <w:rPr>
          <w:bCs/>
          <w:sz w:val="16"/>
          <w:szCs w:val="16"/>
        </w:rPr>
        <w:t>dosti</w:t>
      </w:r>
      <w:r w:rsidRPr="00FF554E">
        <w:rPr>
          <w:bCs/>
          <w:sz w:val="16"/>
          <w:szCs w:val="16"/>
          <w:lang w:val="sr-Latn-ME"/>
        </w:rPr>
        <w:t>ć</w:t>
      </w:r>
      <w:r w:rsidRPr="00FF554E">
        <w:rPr>
          <w:bCs/>
          <w:sz w:val="16"/>
          <w:szCs w:val="16"/>
        </w:rPr>
        <w:t>i</w:t>
      </w:r>
      <w:r w:rsidRPr="00FF554E">
        <w:rPr>
          <w:bCs/>
          <w:sz w:val="16"/>
          <w:szCs w:val="16"/>
          <w:lang w:val="sr-Latn-ME"/>
        </w:rPr>
        <w:t xml:space="preserve"> </w:t>
      </w:r>
      <w:r w:rsidRPr="00FF554E">
        <w:rPr>
          <w:bCs/>
          <w:sz w:val="16"/>
          <w:szCs w:val="16"/>
        </w:rPr>
        <w:t>svega</w:t>
      </w:r>
      <w:r w:rsidRPr="00FF554E">
        <w:rPr>
          <w:bCs/>
          <w:sz w:val="16"/>
          <w:szCs w:val="16"/>
          <w:lang w:val="sr-Latn-ME"/>
        </w:rPr>
        <w:t xml:space="preserve"> 63% </w:t>
      </w:r>
      <w:r w:rsidRPr="00FF554E">
        <w:rPr>
          <w:bCs/>
          <w:sz w:val="16"/>
          <w:szCs w:val="16"/>
        </w:rPr>
        <w:t>svoje</w:t>
      </w:r>
      <w:r w:rsidRPr="00FF554E">
        <w:rPr>
          <w:bCs/>
          <w:sz w:val="16"/>
          <w:szCs w:val="16"/>
          <w:lang w:val="sr-Latn-ME"/>
        </w:rPr>
        <w:t xml:space="preserve"> </w:t>
      </w:r>
      <w:r w:rsidRPr="00FF554E">
        <w:rPr>
          <w:bCs/>
          <w:sz w:val="16"/>
          <w:szCs w:val="16"/>
        </w:rPr>
        <w:t>potencijalne</w:t>
      </w:r>
      <w:r w:rsidRPr="00FF554E">
        <w:rPr>
          <w:bCs/>
          <w:sz w:val="16"/>
          <w:szCs w:val="16"/>
          <w:lang w:val="sr-Latn-ME"/>
        </w:rPr>
        <w:t xml:space="preserve"> </w:t>
      </w:r>
      <w:r w:rsidRPr="00FF554E">
        <w:rPr>
          <w:bCs/>
          <w:sz w:val="16"/>
          <w:szCs w:val="16"/>
        </w:rPr>
        <w:t>produktivnosti</w:t>
      </w:r>
      <w:r w:rsidRPr="00FF554E">
        <w:rPr>
          <w:bCs/>
          <w:sz w:val="16"/>
          <w:szCs w:val="16"/>
          <w:lang w:val="sr-Latn-ME"/>
        </w:rPr>
        <w:t xml:space="preserve"> </w:t>
      </w:r>
      <w:r w:rsidRPr="00FF554E">
        <w:rPr>
          <w:bCs/>
          <w:sz w:val="16"/>
          <w:szCs w:val="16"/>
        </w:rPr>
        <w:t>u</w:t>
      </w:r>
      <w:r w:rsidRPr="00FF554E">
        <w:rPr>
          <w:bCs/>
          <w:sz w:val="16"/>
          <w:szCs w:val="16"/>
          <w:lang w:val="sr-Latn-ME"/>
        </w:rPr>
        <w:t xml:space="preserve"> </w:t>
      </w:r>
      <w:r w:rsidRPr="00FF554E">
        <w:rPr>
          <w:bCs/>
          <w:sz w:val="16"/>
          <w:szCs w:val="16"/>
        </w:rPr>
        <w:t>odrasloj</w:t>
      </w:r>
      <w:r w:rsidRPr="00FF554E">
        <w:rPr>
          <w:bCs/>
          <w:sz w:val="16"/>
          <w:szCs w:val="16"/>
          <w:lang w:val="sr-Latn-ME"/>
        </w:rPr>
        <w:t xml:space="preserve"> </w:t>
      </w:r>
      <w:r w:rsidRPr="00FF554E">
        <w:rPr>
          <w:bCs/>
          <w:sz w:val="16"/>
          <w:szCs w:val="16"/>
        </w:rPr>
        <w:t>dobi</w:t>
      </w:r>
      <w:r w:rsidRPr="00FF554E">
        <w:rPr>
          <w:bCs/>
          <w:sz w:val="16"/>
          <w:szCs w:val="16"/>
          <w:lang w:val="sr-Latn-ME"/>
        </w:rPr>
        <w:t xml:space="preserve"> </w:t>
      </w:r>
      <w:r w:rsidRPr="00FF554E">
        <w:rPr>
          <w:bCs/>
          <w:sz w:val="16"/>
          <w:szCs w:val="16"/>
        </w:rPr>
        <w:t>zbog</w:t>
      </w:r>
      <w:r w:rsidRPr="00FF554E">
        <w:rPr>
          <w:bCs/>
          <w:sz w:val="16"/>
          <w:szCs w:val="16"/>
          <w:lang w:val="sr-Latn-ME"/>
        </w:rPr>
        <w:t xml:space="preserve"> </w:t>
      </w:r>
      <w:r w:rsidRPr="00FF554E">
        <w:rPr>
          <w:bCs/>
          <w:sz w:val="16"/>
          <w:szCs w:val="16"/>
        </w:rPr>
        <w:t>nedostatka</w:t>
      </w:r>
      <w:r w:rsidRPr="00FF554E">
        <w:rPr>
          <w:bCs/>
          <w:sz w:val="16"/>
          <w:szCs w:val="16"/>
          <w:lang w:val="sr-Latn-ME"/>
        </w:rPr>
        <w:t xml:space="preserve"> </w:t>
      </w:r>
      <w:r w:rsidRPr="00FF554E">
        <w:rPr>
          <w:bCs/>
          <w:sz w:val="16"/>
          <w:szCs w:val="16"/>
        </w:rPr>
        <w:t>kvalitetnog</w:t>
      </w:r>
      <w:r w:rsidRPr="00FF554E">
        <w:rPr>
          <w:bCs/>
          <w:sz w:val="16"/>
          <w:szCs w:val="16"/>
          <w:lang w:val="sr-Latn-ME"/>
        </w:rPr>
        <w:t xml:space="preserve"> </w:t>
      </w:r>
      <w:r w:rsidRPr="00FF554E">
        <w:rPr>
          <w:bCs/>
          <w:sz w:val="16"/>
          <w:szCs w:val="16"/>
        </w:rPr>
        <w:t>obrazovanja</w:t>
      </w:r>
      <w:r w:rsidRPr="00FF554E">
        <w:rPr>
          <w:bCs/>
          <w:sz w:val="16"/>
          <w:szCs w:val="16"/>
          <w:lang w:val="sr-Latn-ME"/>
        </w:rPr>
        <w:t xml:space="preserve"> </w:t>
      </w:r>
      <w:r w:rsidRPr="00FF554E">
        <w:rPr>
          <w:bCs/>
          <w:sz w:val="16"/>
          <w:szCs w:val="16"/>
        </w:rPr>
        <w:t>i</w:t>
      </w:r>
      <w:r w:rsidRPr="00FF554E">
        <w:rPr>
          <w:bCs/>
          <w:sz w:val="16"/>
          <w:szCs w:val="16"/>
          <w:lang w:val="sr-Latn-ME"/>
        </w:rPr>
        <w:t xml:space="preserve"> </w:t>
      </w:r>
      <w:r w:rsidRPr="00FF554E">
        <w:rPr>
          <w:bCs/>
          <w:sz w:val="16"/>
          <w:szCs w:val="16"/>
        </w:rPr>
        <w:t>zdravstvene</w:t>
      </w:r>
      <w:r w:rsidRPr="00FF554E">
        <w:rPr>
          <w:bCs/>
          <w:sz w:val="16"/>
          <w:szCs w:val="16"/>
          <w:lang w:val="sr-Latn-ME"/>
        </w:rPr>
        <w:t xml:space="preserve"> </w:t>
      </w:r>
      <w:r w:rsidRPr="00FF554E">
        <w:rPr>
          <w:bCs/>
          <w:sz w:val="16"/>
          <w:szCs w:val="16"/>
        </w:rPr>
        <w:t>za</w:t>
      </w:r>
      <w:r w:rsidRPr="00FF554E">
        <w:rPr>
          <w:bCs/>
          <w:sz w:val="16"/>
          <w:szCs w:val="16"/>
          <w:lang w:val="sr-Latn-ME"/>
        </w:rPr>
        <w:t>š</w:t>
      </w:r>
      <w:r w:rsidRPr="00FF554E">
        <w:rPr>
          <w:bCs/>
          <w:sz w:val="16"/>
          <w:szCs w:val="16"/>
        </w:rPr>
        <w:t>tite</w:t>
      </w:r>
      <w:r w:rsidRPr="00FF554E">
        <w:rPr>
          <w:bCs/>
          <w:sz w:val="16"/>
          <w:szCs w:val="16"/>
          <w:lang w:val="sr-Latn-ME"/>
        </w:rPr>
        <w:t>.</w:t>
      </w:r>
    </w:p>
  </w:footnote>
  <w:footnote w:id="46">
    <w:p w14:paraId="639F3EBF" w14:textId="77777777" w:rsidR="00EB06F2" w:rsidRPr="00FF554E" w:rsidRDefault="00EB06F2" w:rsidP="00A13DA5">
      <w:pPr>
        <w:pStyle w:val="NoSpacing"/>
        <w:rPr>
          <w:sz w:val="16"/>
          <w:szCs w:val="16"/>
          <w:lang w:val="sr-Latn-ME"/>
        </w:rPr>
      </w:pPr>
      <w:r w:rsidRPr="00FF554E">
        <w:rPr>
          <w:rStyle w:val="FootnoteReference"/>
          <w:sz w:val="16"/>
          <w:szCs w:val="16"/>
        </w:rPr>
        <w:footnoteRef/>
      </w:r>
      <w:r w:rsidRPr="00FF554E">
        <w:rPr>
          <w:sz w:val="16"/>
          <w:szCs w:val="16"/>
          <w:lang w:val="pl-PL"/>
        </w:rPr>
        <w:t xml:space="preserve"> </w:t>
      </w:r>
      <w:r w:rsidRPr="00FF554E">
        <w:rPr>
          <w:sz w:val="16"/>
          <w:szCs w:val="16"/>
          <w:lang w:val="sr-Latn-ME"/>
        </w:rPr>
        <w:t>UN projekcije.</w:t>
      </w:r>
    </w:p>
  </w:footnote>
  <w:footnote w:id="47">
    <w:p w14:paraId="6F3716FA" w14:textId="77777777" w:rsidR="00EB06F2" w:rsidRPr="00357E2D" w:rsidRDefault="00EB06F2">
      <w:pPr>
        <w:pStyle w:val="FootnoteText"/>
        <w:rPr>
          <w:sz w:val="16"/>
          <w:szCs w:val="16"/>
          <w:lang w:val="sr-Latn-ME"/>
        </w:rPr>
      </w:pPr>
      <w:r>
        <w:rPr>
          <w:rStyle w:val="FootnoteReference"/>
        </w:rPr>
        <w:footnoteRef/>
      </w:r>
      <w:r w:rsidRPr="00C647A8">
        <w:rPr>
          <w:lang w:val="sr-Latn-ME"/>
        </w:rPr>
        <w:t xml:space="preserve"> </w:t>
      </w:r>
      <w:r w:rsidRPr="00357E2D">
        <w:rPr>
          <w:sz w:val="16"/>
          <w:szCs w:val="16"/>
          <w:lang w:val="sr-Latn-ME"/>
        </w:rPr>
        <w:t>Izvor: Analiza funkcionisanja sistema jedinica lokalne samouprave u Crnoj Gori, januar 2024.godine</w:t>
      </w:r>
    </w:p>
  </w:footnote>
  <w:footnote w:id="48">
    <w:p w14:paraId="2F795CBF" w14:textId="77777777" w:rsidR="00EB06F2" w:rsidRPr="00BC61C3" w:rsidRDefault="00EB06F2">
      <w:pPr>
        <w:pStyle w:val="FootnoteText"/>
        <w:rPr>
          <w:sz w:val="16"/>
          <w:szCs w:val="16"/>
          <w:lang w:val="sr-Latn-ME"/>
        </w:rPr>
      </w:pPr>
      <w:r>
        <w:rPr>
          <w:rStyle w:val="FootnoteReference"/>
        </w:rPr>
        <w:footnoteRef/>
      </w:r>
      <w:r w:rsidRPr="007333FC">
        <w:rPr>
          <w:lang w:val="sr-Latn-ME"/>
        </w:rPr>
        <w:t xml:space="preserve"> </w:t>
      </w:r>
      <w:r w:rsidRPr="00BC61C3">
        <w:rPr>
          <w:sz w:val="16"/>
          <w:szCs w:val="16"/>
          <w:lang w:val="sr-Latn-ME"/>
        </w:rPr>
        <w:t>U reviziji SRR nijesu mij</w:t>
      </w:r>
      <w:r>
        <w:rPr>
          <w:sz w:val="16"/>
          <w:szCs w:val="16"/>
          <w:lang w:val="sr-Latn-ME"/>
        </w:rPr>
        <w:t>enjani ciljevi kako bi se osigurala konzistentnost i uporedivost</w:t>
      </w:r>
      <w:r w:rsidRPr="00BC61C3">
        <w:rPr>
          <w:sz w:val="16"/>
          <w:szCs w:val="16"/>
          <w:lang w:val="sr-Latn-ME"/>
        </w:rPr>
        <w:t xml:space="preserve">. Korigovani </w:t>
      </w:r>
      <w:r>
        <w:rPr>
          <w:sz w:val="16"/>
          <w:szCs w:val="16"/>
          <w:lang w:val="sr-Latn-ME"/>
        </w:rPr>
        <w:t>su pojedini</w:t>
      </w:r>
      <w:r w:rsidRPr="00BC61C3">
        <w:rPr>
          <w:sz w:val="16"/>
          <w:szCs w:val="16"/>
          <w:lang w:val="sr-Latn-ME"/>
        </w:rPr>
        <w:t xml:space="preserve"> indikatori </w:t>
      </w:r>
      <w:r>
        <w:rPr>
          <w:sz w:val="16"/>
          <w:szCs w:val="16"/>
          <w:lang w:val="sr-Latn-ME"/>
        </w:rPr>
        <w:t>zbog</w:t>
      </w:r>
      <w:r w:rsidRPr="00BC61C3">
        <w:rPr>
          <w:sz w:val="16"/>
          <w:szCs w:val="16"/>
          <w:lang w:val="sr-Latn-ME"/>
        </w:rPr>
        <w:t xml:space="preserve"> dostupnosti preciznijih p</w:t>
      </w:r>
      <w:r>
        <w:rPr>
          <w:sz w:val="16"/>
          <w:szCs w:val="16"/>
          <w:lang w:val="sr-Latn-ME"/>
        </w:rPr>
        <w:t>odataka, kao i nove organizacin</w:t>
      </w:r>
      <w:r w:rsidRPr="00BC61C3">
        <w:rPr>
          <w:sz w:val="16"/>
          <w:szCs w:val="16"/>
          <w:lang w:val="sr-Latn-ME"/>
        </w:rPr>
        <w:t xml:space="preserve">e strukture </w:t>
      </w:r>
      <w:r>
        <w:rPr>
          <w:sz w:val="16"/>
          <w:szCs w:val="16"/>
          <w:lang w:val="sr-Latn-ME"/>
        </w:rPr>
        <w:t xml:space="preserve">Vlade i </w:t>
      </w:r>
      <w:r w:rsidRPr="00BC61C3">
        <w:rPr>
          <w:sz w:val="16"/>
          <w:szCs w:val="16"/>
          <w:lang w:val="sr-Latn-ME"/>
        </w:rPr>
        <w:t xml:space="preserve">koordinacije politike RR. Stoga su osnov za nove aktivnosti </w:t>
      </w:r>
      <w:r>
        <w:rPr>
          <w:sz w:val="16"/>
          <w:szCs w:val="16"/>
          <w:lang w:val="sr-Latn-ME"/>
        </w:rPr>
        <w:t>( kao proizvod novog koncepta politike regionalnog razvoja), koje</w:t>
      </w:r>
      <w:r w:rsidRPr="00BC61C3">
        <w:rPr>
          <w:sz w:val="16"/>
          <w:szCs w:val="16"/>
          <w:lang w:val="sr-Latn-ME"/>
        </w:rPr>
        <w:t xml:space="preserve"> će detaljnije biti razrađene kroz godišnje AP</w:t>
      </w:r>
      <w:r>
        <w:rPr>
          <w:sz w:val="16"/>
          <w:szCs w:val="16"/>
          <w:lang w:val="sr-Latn-ME"/>
        </w:rPr>
        <w:t>,</w:t>
      </w:r>
      <w:r w:rsidRPr="00BC61C3">
        <w:rPr>
          <w:sz w:val="16"/>
          <w:szCs w:val="16"/>
          <w:lang w:val="sr-Latn-ME"/>
        </w:rPr>
        <w:t xml:space="preserve"> navedeni u opisnom dijelu ciljeva. </w:t>
      </w:r>
    </w:p>
  </w:footnote>
  <w:footnote w:id="49">
    <w:p w14:paraId="5DE7E2D4" w14:textId="77777777" w:rsidR="00EB06F2" w:rsidRPr="00C231AE" w:rsidRDefault="00EB06F2" w:rsidP="00A13DA5">
      <w:pPr>
        <w:pStyle w:val="NoSpacing"/>
        <w:jc w:val="both"/>
        <w:rPr>
          <w:rFonts w:cs="Calibri"/>
          <w:sz w:val="18"/>
          <w:szCs w:val="18"/>
          <w:lang w:val="sr-Latn-ME"/>
        </w:rPr>
      </w:pPr>
      <w:r w:rsidRPr="00C231AE">
        <w:rPr>
          <w:rStyle w:val="FootnoteReference"/>
          <w:rFonts w:cs="Calibri"/>
          <w:sz w:val="18"/>
          <w:szCs w:val="18"/>
        </w:rPr>
        <w:footnoteRef/>
      </w:r>
      <w:r w:rsidRPr="00C231AE">
        <w:rPr>
          <w:rFonts w:cs="Calibri"/>
          <w:sz w:val="18"/>
          <w:szCs w:val="18"/>
          <w:lang w:val="sr-Latn-ME"/>
        </w:rPr>
        <w:t xml:space="preserve"> </w:t>
      </w:r>
      <w:hyperlink r:id="rId8" w:history="1">
        <w:r w:rsidRPr="00D17217">
          <w:rPr>
            <w:rStyle w:val="Hyperlink"/>
            <w:rFonts w:cs="Calibri"/>
            <w:sz w:val="18"/>
            <w:szCs w:val="18"/>
            <w:lang w:val="pl-PL"/>
          </w:rPr>
          <w:t>https</w:t>
        </w:r>
        <w:r w:rsidRPr="00E56151">
          <w:rPr>
            <w:rStyle w:val="Hyperlink"/>
            <w:rFonts w:cs="Calibri"/>
            <w:sz w:val="18"/>
            <w:szCs w:val="18"/>
            <w:lang w:val="sr-Latn-ME"/>
          </w:rPr>
          <w:t>://</w:t>
        </w:r>
        <w:r w:rsidRPr="00D17217">
          <w:rPr>
            <w:rStyle w:val="Hyperlink"/>
            <w:rFonts w:cs="Calibri"/>
            <w:sz w:val="18"/>
            <w:szCs w:val="18"/>
            <w:lang w:val="pl-PL"/>
          </w:rPr>
          <w:t>www</w:t>
        </w:r>
        <w:r w:rsidRPr="00E56151">
          <w:rPr>
            <w:rStyle w:val="Hyperlink"/>
            <w:rFonts w:cs="Calibri"/>
            <w:sz w:val="18"/>
            <w:szCs w:val="18"/>
            <w:lang w:val="sr-Latn-ME"/>
          </w:rPr>
          <w:t>.</w:t>
        </w:r>
        <w:r w:rsidRPr="00D17217">
          <w:rPr>
            <w:rStyle w:val="Hyperlink"/>
            <w:rFonts w:cs="Calibri"/>
            <w:sz w:val="18"/>
            <w:szCs w:val="18"/>
            <w:lang w:val="pl-PL"/>
          </w:rPr>
          <w:t>monstat</w:t>
        </w:r>
        <w:r w:rsidRPr="00E56151">
          <w:rPr>
            <w:rStyle w:val="Hyperlink"/>
            <w:rFonts w:cs="Calibri"/>
            <w:sz w:val="18"/>
            <w:szCs w:val="18"/>
            <w:lang w:val="sr-Latn-ME"/>
          </w:rPr>
          <w:t>.</w:t>
        </w:r>
        <w:r w:rsidRPr="00D17217">
          <w:rPr>
            <w:rStyle w:val="Hyperlink"/>
            <w:rFonts w:cs="Calibri"/>
            <w:sz w:val="18"/>
            <w:szCs w:val="18"/>
            <w:lang w:val="pl-PL"/>
          </w:rPr>
          <w:t>org</w:t>
        </w:r>
        <w:r w:rsidRPr="00E56151">
          <w:rPr>
            <w:rStyle w:val="Hyperlink"/>
            <w:rFonts w:cs="Calibri"/>
            <w:sz w:val="18"/>
            <w:szCs w:val="18"/>
            <w:lang w:val="sr-Latn-ME"/>
          </w:rPr>
          <w:t>/</w:t>
        </w:r>
        <w:r w:rsidRPr="00D17217">
          <w:rPr>
            <w:rStyle w:val="Hyperlink"/>
            <w:rFonts w:cs="Calibri"/>
            <w:sz w:val="18"/>
            <w:szCs w:val="18"/>
            <w:lang w:val="pl-PL"/>
          </w:rPr>
          <w:t>cg</w:t>
        </w:r>
        <w:r w:rsidRPr="00E56151">
          <w:rPr>
            <w:rStyle w:val="Hyperlink"/>
            <w:rFonts w:cs="Calibri"/>
            <w:sz w:val="18"/>
            <w:szCs w:val="18"/>
            <w:lang w:val="sr-Latn-ME"/>
          </w:rPr>
          <w:t>/</w:t>
        </w:r>
        <w:r w:rsidRPr="00D17217">
          <w:rPr>
            <w:rStyle w:val="Hyperlink"/>
            <w:rFonts w:cs="Calibri"/>
            <w:sz w:val="18"/>
            <w:szCs w:val="18"/>
            <w:lang w:val="pl-PL"/>
          </w:rPr>
          <w:t>page</w:t>
        </w:r>
        <w:r w:rsidRPr="00E56151">
          <w:rPr>
            <w:rStyle w:val="Hyperlink"/>
            <w:rFonts w:cs="Calibri"/>
            <w:sz w:val="18"/>
            <w:szCs w:val="18"/>
            <w:lang w:val="sr-Latn-ME"/>
          </w:rPr>
          <w:t>.</w:t>
        </w:r>
        <w:r w:rsidRPr="00D17217">
          <w:rPr>
            <w:rStyle w:val="Hyperlink"/>
            <w:rFonts w:cs="Calibri"/>
            <w:sz w:val="18"/>
            <w:szCs w:val="18"/>
            <w:lang w:val="pl-PL"/>
          </w:rPr>
          <w:t>php</w:t>
        </w:r>
        <w:r w:rsidRPr="00E56151">
          <w:rPr>
            <w:rStyle w:val="Hyperlink"/>
            <w:rFonts w:cs="Calibri"/>
            <w:sz w:val="18"/>
            <w:szCs w:val="18"/>
            <w:lang w:val="sr-Latn-ME"/>
          </w:rPr>
          <w:t>?</w:t>
        </w:r>
        <w:r w:rsidRPr="00D17217">
          <w:rPr>
            <w:rStyle w:val="Hyperlink"/>
            <w:rFonts w:cs="Calibri"/>
            <w:sz w:val="18"/>
            <w:szCs w:val="18"/>
            <w:lang w:val="pl-PL"/>
          </w:rPr>
          <w:t>id</w:t>
        </w:r>
        <w:r w:rsidRPr="00E56151">
          <w:rPr>
            <w:rStyle w:val="Hyperlink"/>
            <w:rFonts w:cs="Calibri"/>
            <w:sz w:val="18"/>
            <w:szCs w:val="18"/>
            <w:lang w:val="sr-Latn-ME"/>
          </w:rPr>
          <w:t>=1673&amp;</w:t>
        </w:r>
        <w:r w:rsidRPr="00D17217">
          <w:rPr>
            <w:rStyle w:val="Hyperlink"/>
            <w:rFonts w:cs="Calibri"/>
            <w:sz w:val="18"/>
            <w:szCs w:val="18"/>
            <w:lang w:val="pl-PL"/>
          </w:rPr>
          <w:t>pageid</w:t>
        </w:r>
        <w:r w:rsidRPr="00E56151">
          <w:rPr>
            <w:rStyle w:val="Hyperlink"/>
            <w:rFonts w:cs="Calibri"/>
            <w:sz w:val="18"/>
            <w:szCs w:val="18"/>
            <w:lang w:val="sr-Latn-ME"/>
          </w:rPr>
          <w:t>=1673</w:t>
        </w:r>
      </w:hyperlink>
      <w:r>
        <w:rPr>
          <w:rFonts w:cs="Calibri"/>
          <w:sz w:val="18"/>
          <w:szCs w:val="18"/>
          <w:lang w:val="sr-Latn-ME"/>
        </w:rPr>
        <w:t xml:space="preserve"> </w:t>
      </w:r>
    </w:p>
  </w:footnote>
  <w:footnote w:id="50">
    <w:p w14:paraId="23F5B7E2" w14:textId="77777777" w:rsidR="00EB06F2" w:rsidRPr="00C231AE" w:rsidRDefault="00EB06F2" w:rsidP="00A13DA5">
      <w:pPr>
        <w:pStyle w:val="NoSpacing"/>
        <w:jc w:val="both"/>
        <w:rPr>
          <w:rFonts w:cs="Calibri"/>
          <w:sz w:val="18"/>
          <w:szCs w:val="18"/>
          <w:lang w:val="sr-Latn-ME"/>
        </w:rPr>
      </w:pPr>
      <w:r w:rsidRPr="00C231AE">
        <w:rPr>
          <w:rStyle w:val="FootnoteReference"/>
          <w:rFonts w:cs="Calibri"/>
          <w:sz w:val="18"/>
          <w:szCs w:val="18"/>
        </w:rPr>
        <w:footnoteRef/>
      </w:r>
      <w:r w:rsidRPr="00C231AE">
        <w:rPr>
          <w:rFonts w:cs="Calibri"/>
          <w:sz w:val="18"/>
          <w:szCs w:val="18"/>
          <w:lang w:val="sr-Latn-ME"/>
        </w:rPr>
        <w:t xml:space="preserve"> </w:t>
      </w:r>
      <w:hyperlink r:id="rId9" w:history="1">
        <w:r w:rsidRPr="00C231AE">
          <w:rPr>
            <w:rStyle w:val="Hyperlink"/>
            <w:rFonts w:cs="Calibri"/>
            <w:sz w:val="18"/>
            <w:szCs w:val="18"/>
            <w:lang w:val="sr-Latn-ME"/>
          </w:rPr>
          <w:t>https://www.monstat.org/cg/page.php?id=1147&amp;pageid=53</w:t>
        </w:r>
      </w:hyperlink>
      <w:r w:rsidRPr="00C231AE">
        <w:rPr>
          <w:rFonts w:cs="Calibri"/>
          <w:sz w:val="18"/>
          <w:szCs w:val="18"/>
          <w:lang w:val="sr-Latn-ME"/>
        </w:rPr>
        <w:t xml:space="preserve"> </w:t>
      </w:r>
    </w:p>
  </w:footnote>
  <w:footnote w:id="51">
    <w:p w14:paraId="249C1CEA" w14:textId="77777777" w:rsidR="00EB06F2" w:rsidRPr="00C231AE" w:rsidRDefault="00EB06F2" w:rsidP="00A13DA5">
      <w:pPr>
        <w:pStyle w:val="NoSpacing"/>
        <w:jc w:val="both"/>
        <w:rPr>
          <w:rFonts w:cs="Calibri"/>
          <w:sz w:val="18"/>
          <w:szCs w:val="18"/>
          <w:lang w:val="sr-Latn-ME"/>
        </w:rPr>
      </w:pPr>
      <w:r w:rsidRPr="00C231AE">
        <w:rPr>
          <w:rStyle w:val="FootnoteReference"/>
          <w:rFonts w:cs="Calibri"/>
          <w:sz w:val="18"/>
          <w:szCs w:val="18"/>
        </w:rPr>
        <w:footnoteRef/>
      </w:r>
      <w:r w:rsidRPr="00C231AE">
        <w:rPr>
          <w:rFonts w:cs="Calibri"/>
          <w:sz w:val="18"/>
          <w:szCs w:val="18"/>
          <w:lang w:val="sr-Latn-ME"/>
        </w:rPr>
        <w:t xml:space="preserve"> </w:t>
      </w:r>
      <w:hyperlink r:id="rId10" w:history="1">
        <w:r w:rsidRPr="00C231AE">
          <w:rPr>
            <w:rStyle w:val="Hyperlink"/>
            <w:rFonts w:cs="Calibri"/>
            <w:sz w:val="18"/>
            <w:szCs w:val="18"/>
          </w:rPr>
          <w:t>https</w:t>
        </w:r>
        <w:r w:rsidRPr="00C231AE">
          <w:rPr>
            <w:rStyle w:val="Hyperlink"/>
            <w:rFonts w:cs="Calibri"/>
            <w:sz w:val="18"/>
            <w:szCs w:val="18"/>
            <w:lang w:val="sr-Latn-ME"/>
          </w:rPr>
          <w:t>://</w:t>
        </w:r>
        <w:r w:rsidRPr="00C231AE">
          <w:rPr>
            <w:rStyle w:val="Hyperlink"/>
            <w:rFonts w:cs="Calibri"/>
            <w:sz w:val="18"/>
            <w:szCs w:val="18"/>
          </w:rPr>
          <w:t>globaldatalab</w:t>
        </w:r>
        <w:r w:rsidRPr="00C231AE">
          <w:rPr>
            <w:rStyle w:val="Hyperlink"/>
            <w:rFonts w:cs="Calibri"/>
            <w:sz w:val="18"/>
            <w:szCs w:val="18"/>
            <w:lang w:val="sr-Latn-ME"/>
          </w:rPr>
          <w:t>.</w:t>
        </w:r>
        <w:r w:rsidRPr="00C231AE">
          <w:rPr>
            <w:rStyle w:val="Hyperlink"/>
            <w:rFonts w:cs="Calibri"/>
            <w:sz w:val="18"/>
            <w:szCs w:val="18"/>
          </w:rPr>
          <w:t>org</w:t>
        </w:r>
        <w:r w:rsidRPr="00C231AE">
          <w:rPr>
            <w:rStyle w:val="Hyperlink"/>
            <w:rFonts w:cs="Calibri"/>
            <w:sz w:val="18"/>
            <w:szCs w:val="18"/>
            <w:lang w:val="sr-Latn-ME"/>
          </w:rPr>
          <w:t>/</w:t>
        </w:r>
        <w:r w:rsidRPr="00C231AE">
          <w:rPr>
            <w:rStyle w:val="Hyperlink"/>
            <w:rFonts w:cs="Calibri"/>
            <w:sz w:val="18"/>
            <w:szCs w:val="18"/>
          </w:rPr>
          <w:t>shdi</w:t>
        </w:r>
        <w:r w:rsidRPr="00C231AE">
          <w:rPr>
            <w:rStyle w:val="Hyperlink"/>
            <w:rFonts w:cs="Calibri"/>
            <w:sz w:val="18"/>
            <w:szCs w:val="18"/>
            <w:lang w:val="sr-Latn-ME"/>
          </w:rPr>
          <w:t>/</w:t>
        </w:r>
        <w:r w:rsidRPr="00C231AE">
          <w:rPr>
            <w:rStyle w:val="Hyperlink"/>
            <w:rFonts w:cs="Calibri"/>
            <w:sz w:val="18"/>
            <w:szCs w:val="18"/>
          </w:rPr>
          <w:t>shdi</w:t>
        </w:r>
        <w:r w:rsidRPr="00C231AE">
          <w:rPr>
            <w:rStyle w:val="Hyperlink"/>
            <w:rFonts w:cs="Calibri"/>
            <w:sz w:val="18"/>
            <w:szCs w:val="18"/>
            <w:lang w:val="sr-Latn-ME"/>
          </w:rPr>
          <w:t>/</w:t>
        </w:r>
        <w:r w:rsidRPr="00C231AE">
          <w:rPr>
            <w:rStyle w:val="Hyperlink"/>
            <w:rFonts w:cs="Calibri"/>
            <w:sz w:val="18"/>
            <w:szCs w:val="18"/>
          </w:rPr>
          <w:t>MNE</w:t>
        </w:r>
        <w:r w:rsidRPr="00C231AE">
          <w:rPr>
            <w:rStyle w:val="Hyperlink"/>
            <w:rFonts w:cs="Calibri"/>
            <w:sz w:val="18"/>
            <w:szCs w:val="18"/>
            <w:lang w:val="sr-Latn-ME"/>
          </w:rPr>
          <w:t>/</w:t>
        </w:r>
      </w:hyperlink>
      <w:r w:rsidRPr="00C231AE">
        <w:rPr>
          <w:rFonts w:cs="Calibri"/>
          <w:sz w:val="18"/>
          <w:szCs w:val="18"/>
          <w:lang w:val="sr-Latn-ME"/>
        </w:rPr>
        <w:t xml:space="preserve"> </w:t>
      </w:r>
    </w:p>
  </w:footnote>
  <w:footnote w:id="52">
    <w:p w14:paraId="140DFF3F" w14:textId="77777777" w:rsidR="00EB06F2" w:rsidRPr="00C231AE" w:rsidRDefault="00EB06F2" w:rsidP="00A13DA5">
      <w:pPr>
        <w:pStyle w:val="NoSpacing"/>
        <w:rPr>
          <w:rFonts w:cs="Calibri"/>
          <w:sz w:val="18"/>
          <w:szCs w:val="18"/>
          <w:lang w:val="sr-Latn-ME"/>
        </w:rPr>
      </w:pPr>
      <w:r w:rsidRPr="00C231AE">
        <w:rPr>
          <w:rStyle w:val="FootnoteReference"/>
          <w:rFonts w:cs="Calibri"/>
          <w:sz w:val="18"/>
          <w:szCs w:val="18"/>
        </w:rPr>
        <w:footnoteRef/>
      </w:r>
      <w:r>
        <w:rPr>
          <w:rFonts w:cs="Calibri"/>
          <w:sz w:val="18"/>
          <w:szCs w:val="18"/>
          <w:lang w:val="sr-Latn-ME"/>
        </w:rPr>
        <w:t xml:space="preserve"> </w:t>
      </w:r>
      <w:hyperlink r:id="rId11" w:history="1">
        <w:r w:rsidRPr="004D2F33">
          <w:rPr>
            <w:rStyle w:val="Hyperlink"/>
            <w:rFonts w:cs="Calibri"/>
            <w:sz w:val="18"/>
            <w:szCs w:val="18"/>
          </w:rPr>
          <w:t>https</w:t>
        </w:r>
        <w:r w:rsidRPr="004D2F33">
          <w:rPr>
            <w:rStyle w:val="Hyperlink"/>
            <w:rFonts w:cs="Calibri"/>
            <w:sz w:val="18"/>
            <w:szCs w:val="18"/>
            <w:lang w:val="sr-Latn-ME"/>
          </w:rPr>
          <w:t>://</w:t>
        </w:r>
        <w:r w:rsidRPr="004D2F33">
          <w:rPr>
            <w:rStyle w:val="Hyperlink"/>
            <w:rFonts w:cs="Calibri"/>
            <w:sz w:val="18"/>
            <w:szCs w:val="18"/>
          </w:rPr>
          <w:t>globaldatalab</w:t>
        </w:r>
        <w:r w:rsidRPr="004D2F33">
          <w:rPr>
            <w:rStyle w:val="Hyperlink"/>
            <w:rFonts w:cs="Calibri"/>
            <w:sz w:val="18"/>
            <w:szCs w:val="18"/>
            <w:lang w:val="sr-Latn-ME"/>
          </w:rPr>
          <w:t>.</w:t>
        </w:r>
        <w:r w:rsidRPr="004D2F33">
          <w:rPr>
            <w:rStyle w:val="Hyperlink"/>
            <w:rFonts w:cs="Calibri"/>
            <w:sz w:val="18"/>
            <w:szCs w:val="18"/>
          </w:rPr>
          <w:t>org</w:t>
        </w:r>
        <w:r w:rsidRPr="004D2F33">
          <w:rPr>
            <w:rStyle w:val="Hyperlink"/>
            <w:rFonts w:cs="Calibri"/>
            <w:sz w:val="18"/>
            <w:szCs w:val="18"/>
            <w:lang w:val="sr-Latn-ME"/>
          </w:rPr>
          <w:t>/</w:t>
        </w:r>
        <w:r w:rsidRPr="004D2F33">
          <w:rPr>
            <w:rStyle w:val="Hyperlink"/>
            <w:rFonts w:cs="Calibri"/>
            <w:sz w:val="18"/>
            <w:szCs w:val="18"/>
          </w:rPr>
          <w:t>shdi</w:t>
        </w:r>
        <w:r w:rsidRPr="004D2F33">
          <w:rPr>
            <w:rStyle w:val="Hyperlink"/>
            <w:rFonts w:cs="Calibri"/>
            <w:sz w:val="18"/>
            <w:szCs w:val="18"/>
            <w:lang w:val="sr-Latn-ME"/>
          </w:rPr>
          <w:t>/</w:t>
        </w:r>
        <w:r w:rsidRPr="004D2F33">
          <w:rPr>
            <w:rStyle w:val="Hyperlink"/>
            <w:rFonts w:cs="Calibri"/>
            <w:sz w:val="18"/>
            <w:szCs w:val="18"/>
          </w:rPr>
          <w:t>shdi</w:t>
        </w:r>
        <w:r w:rsidRPr="004D2F33">
          <w:rPr>
            <w:rStyle w:val="Hyperlink"/>
            <w:rFonts w:cs="Calibri"/>
            <w:sz w:val="18"/>
            <w:szCs w:val="18"/>
            <w:lang w:val="sr-Latn-ME"/>
          </w:rPr>
          <w:t>/</w:t>
        </w:r>
        <w:r w:rsidRPr="004D2F33">
          <w:rPr>
            <w:rStyle w:val="Hyperlink"/>
            <w:rFonts w:cs="Calibri"/>
            <w:sz w:val="18"/>
            <w:szCs w:val="18"/>
          </w:rPr>
          <w:t>MNE</w:t>
        </w:r>
        <w:r w:rsidRPr="004D2F33">
          <w:rPr>
            <w:rStyle w:val="Hyperlink"/>
            <w:rFonts w:cs="Calibri"/>
            <w:sz w:val="18"/>
            <w:szCs w:val="18"/>
            <w:lang w:val="sr-Latn-ME"/>
          </w:rPr>
          <w:t>/?</w:t>
        </w:r>
        <w:r w:rsidRPr="004D2F33">
          <w:rPr>
            <w:rStyle w:val="Hyperlink"/>
            <w:rFonts w:cs="Calibri"/>
            <w:sz w:val="18"/>
            <w:szCs w:val="18"/>
          </w:rPr>
          <w:t>levels</w:t>
        </w:r>
        <w:r w:rsidRPr="004D2F33">
          <w:rPr>
            <w:rStyle w:val="Hyperlink"/>
            <w:rFonts w:cs="Calibri"/>
            <w:sz w:val="18"/>
            <w:szCs w:val="18"/>
            <w:lang w:val="sr-Latn-ME"/>
          </w:rPr>
          <w:t>=1%2</w:t>
        </w:r>
        <w:r w:rsidRPr="004D2F33">
          <w:rPr>
            <w:rStyle w:val="Hyperlink"/>
            <w:rFonts w:cs="Calibri"/>
            <w:sz w:val="18"/>
            <w:szCs w:val="18"/>
          </w:rPr>
          <w:t>B</w:t>
        </w:r>
        <w:r w:rsidRPr="004D2F33">
          <w:rPr>
            <w:rStyle w:val="Hyperlink"/>
            <w:rFonts w:cs="Calibri"/>
            <w:sz w:val="18"/>
            <w:szCs w:val="18"/>
            <w:lang w:val="sr-Latn-ME"/>
          </w:rPr>
          <w:t>4&amp;</w:t>
        </w:r>
        <w:r w:rsidRPr="004D2F33">
          <w:rPr>
            <w:rStyle w:val="Hyperlink"/>
            <w:rFonts w:cs="Calibri"/>
            <w:sz w:val="18"/>
            <w:szCs w:val="18"/>
          </w:rPr>
          <w:t>interpolation</w:t>
        </w:r>
        <w:r w:rsidRPr="004D2F33">
          <w:rPr>
            <w:rStyle w:val="Hyperlink"/>
            <w:rFonts w:cs="Calibri"/>
            <w:sz w:val="18"/>
            <w:szCs w:val="18"/>
            <w:lang w:val="sr-Latn-ME"/>
          </w:rPr>
          <w:t>=1&amp;</w:t>
        </w:r>
        <w:r w:rsidRPr="004D2F33">
          <w:rPr>
            <w:rStyle w:val="Hyperlink"/>
            <w:rFonts w:cs="Calibri"/>
            <w:sz w:val="18"/>
            <w:szCs w:val="18"/>
          </w:rPr>
          <w:t>extrapolation</w:t>
        </w:r>
        <w:r w:rsidRPr="004D2F33">
          <w:rPr>
            <w:rStyle w:val="Hyperlink"/>
            <w:rFonts w:cs="Calibri"/>
            <w:sz w:val="18"/>
            <w:szCs w:val="18"/>
            <w:lang w:val="sr-Latn-ME"/>
          </w:rPr>
          <w:t>=0&amp;</w:t>
        </w:r>
        <w:r w:rsidRPr="004D2F33">
          <w:rPr>
            <w:rStyle w:val="Hyperlink"/>
            <w:rFonts w:cs="Calibri"/>
            <w:sz w:val="18"/>
            <w:szCs w:val="18"/>
          </w:rPr>
          <w:t>nearest</w:t>
        </w:r>
        <w:r w:rsidRPr="004D2F33">
          <w:rPr>
            <w:rStyle w:val="Hyperlink"/>
            <w:rFonts w:cs="Calibri"/>
            <w:sz w:val="18"/>
            <w:szCs w:val="18"/>
            <w:lang w:val="sr-Latn-ME"/>
          </w:rPr>
          <w:t>_</w:t>
        </w:r>
        <w:r w:rsidRPr="004D2F33">
          <w:rPr>
            <w:rStyle w:val="Hyperlink"/>
            <w:rFonts w:cs="Calibri"/>
            <w:sz w:val="18"/>
            <w:szCs w:val="18"/>
          </w:rPr>
          <w:t>real</w:t>
        </w:r>
        <w:r w:rsidRPr="004D2F33">
          <w:rPr>
            <w:rStyle w:val="Hyperlink"/>
            <w:rFonts w:cs="Calibri"/>
            <w:sz w:val="18"/>
            <w:szCs w:val="18"/>
            <w:lang w:val="sr-Latn-ME"/>
          </w:rPr>
          <w:t>=0</w:t>
        </w:r>
      </w:hyperlink>
    </w:p>
  </w:footnote>
  <w:footnote w:id="53">
    <w:p w14:paraId="7805DD3D" w14:textId="77777777" w:rsidR="00EB06F2" w:rsidRPr="00760B05" w:rsidRDefault="00EB06F2" w:rsidP="00760B05">
      <w:pPr>
        <w:pStyle w:val="NormalWeb"/>
        <w:spacing w:before="120" w:beforeAutospacing="0" w:after="120" w:afterAutospacing="0"/>
        <w:jc w:val="both"/>
        <w:rPr>
          <w:rFonts w:asciiTheme="minorHAnsi" w:eastAsia="Calibri" w:hAnsiTheme="minorHAnsi" w:cstheme="minorHAnsi"/>
          <w:sz w:val="16"/>
          <w:szCs w:val="16"/>
          <w:lang w:val="sr-Latn-BA"/>
        </w:rPr>
      </w:pPr>
      <w:r>
        <w:rPr>
          <w:rStyle w:val="FootnoteReference"/>
        </w:rPr>
        <w:footnoteRef/>
      </w:r>
      <w:r w:rsidRPr="008068F7">
        <w:rPr>
          <w:lang w:val="sr-Latn-ME"/>
        </w:rPr>
        <w:t xml:space="preserve"> </w:t>
      </w:r>
      <w:r w:rsidRPr="00760B05">
        <w:rPr>
          <w:rFonts w:asciiTheme="minorHAnsi" w:hAnsiTheme="minorHAnsi" w:cstheme="minorHAnsi"/>
          <w:sz w:val="16"/>
          <w:szCs w:val="16"/>
          <w:lang w:val="pl-PL"/>
        </w:rPr>
        <w:t>MF</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u</w:t>
      </w:r>
      <w:r w:rsidRPr="00760B05">
        <w:rPr>
          <w:rFonts w:asciiTheme="minorHAnsi" w:hAnsiTheme="minorHAnsi" w:cstheme="minorHAnsi"/>
          <w:sz w:val="16"/>
          <w:szCs w:val="16"/>
          <w:lang w:val="sr-Latn-ME"/>
        </w:rPr>
        <w:t xml:space="preserve"> 2025.</w:t>
      </w:r>
      <w:r w:rsidRPr="00760B05">
        <w:rPr>
          <w:rFonts w:asciiTheme="minorHAnsi" w:hAnsiTheme="minorHAnsi" w:cstheme="minorHAnsi"/>
          <w:sz w:val="16"/>
          <w:szCs w:val="16"/>
          <w:lang w:val="pl-PL"/>
        </w:rPr>
        <w:t>godini</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pripremilo</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Predlog</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zakona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o</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izmjenama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dopunama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Zakona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o</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finansiranju</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lokalne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samouprave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kojima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su</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predvi</w:t>
      </w:r>
      <w:r w:rsidRPr="00760B05">
        <w:rPr>
          <w:rFonts w:asciiTheme="minorHAnsi" w:hAnsiTheme="minorHAnsi" w:cstheme="minorHAnsi"/>
          <w:sz w:val="16"/>
          <w:szCs w:val="16"/>
          <w:lang w:val="sr-Latn-ME"/>
        </w:rPr>
        <w:t>đ</w:t>
      </w:r>
      <w:r w:rsidRPr="00760B05">
        <w:rPr>
          <w:rFonts w:asciiTheme="minorHAnsi" w:hAnsiTheme="minorHAnsi" w:cstheme="minorHAnsi"/>
          <w:sz w:val="16"/>
          <w:szCs w:val="16"/>
          <w:lang w:val="pl-PL"/>
        </w:rPr>
        <w:t>ene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izmjene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u</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raspodjeli</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sredstava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iz</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Egalizacionog</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fonda</w:t>
      </w:r>
      <w:r w:rsidRPr="00760B05">
        <w:rPr>
          <w:rFonts w:asciiTheme="minorHAnsi" w:hAnsiTheme="minorHAnsi" w:cstheme="minorHAnsi"/>
          <w:sz w:val="16"/>
          <w:szCs w:val="16"/>
          <w:lang w:val="sr-Latn-ME"/>
        </w:rPr>
        <w:t xml:space="preserve"> ( </w:t>
      </w:r>
      <w:r w:rsidRPr="00760B05">
        <w:rPr>
          <w:rFonts w:asciiTheme="minorHAnsi" w:hAnsiTheme="minorHAnsi" w:cstheme="minorHAnsi"/>
          <w:sz w:val="16"/>
          <w:szCs w:val="16"/>
          <w:lang w:val="pl-PL"/>
        </w:rPr>
        <w:t>javna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rasprava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zavr</w:t>
      </w:r>
      <w:r w:rsidRPr="00760B05">
        <w:rPr>
          <w:rFonts w:asciiTheme="minorHAnsi" w:hAnsiTheme="minorHAnsi" w:cstheme="minorHAnsi"/>
          <w:sz w:val="16"/>
          <w:szCs w:val="16"/>
          <w:lang w:val="sr-Latn-ME"/>
        </w:rPr>
        <w:t>š</w:t>
      </w:r>
      <w:r w:rsidRPr="00760B05">
        <w:rPr>
          <w:rFonts w:asciiTheme="minorHAnsi" w:hAnsiTheme="minorHAnsi" w:cstheme="minorHAnsi"/>
          <w:sz w:val="16"/>
          <w:szCs w:val="16"/>
          <w:lang w:val="pl-PL"/>
        </w:rPr>
        <w:t>ena</w:t>
      </w:r>
      <w:r w:rsidRPr="00760B05">
        <w:rPr>
          <w:rFonts w:asciiTheme="minorHAnsi" w:hAnsiTheme="minorHAnsi" w:cstheme="minorHAnsi"/>
          <w:sz w:val="16"/>
          <w:szCs w:val="16"/>
          <w:lang w:val="sr-Latn-ME"/>
        </w:rPr>
        <w:t xml:space="preserve"> 13.08.2025.</w:t>
      </w:r>
      <w:r w:rsidRPr="00760B05">
        <w:rPr>
          <w:rFonts w:asciiTheme="minorHAnsi" w:hAnsiTheme="minorHAnsi" w:cstheme="minorHAnsi"/>
          <w:sz w:val="16"/>
          <w:szCs w:val="16"/>
          <w:lang w:val="pl-PL"/>
        </w:rPr>
        <w:t>godine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sr-Latn-BA"/>
        </w:rPr>
        <w:t>Osnovni razlog za predlaganje izmjena</w:t>
      </w:r>
      <w:r w:rsidRPr="00760B05">
        <w:rPr>
          <w:rFonts w:asciiTheme="minorHAnsi" w:hAnsiTheme="minorHAnsi" w:cstheme="minorHAnsi"/>
          <w:b/>
          <w:sz w:val="16"/>
          <w:szCs w:val="16"/>
          <w:lang w:val="sr-Latn-BA"/>
        </w:rPr>
        <w:t xml:space="preserve"> </w:t>
      </w:r>
      <w:r w:rsidRPr="00760B05">
        <w:rPr>
          <w:rFonts w:asciiTheme="minorHAnsi" w:hAnsiTheme="minorHAnsi" w:cstheme="minorHAnsi"/>
          <w:sz w:val="16"/>
          <w:szCs w:val="16"/>
          <w:lang w:val="sr-Latn-BA"/>
        </w:rPr>
        <w:t>je</w:t>
      </w:r>
      <w:r w:rsidRPr="00760B05">
        <w:rPr>
          <w:rFonts w:asciiTheme="minorHAnsi" w:hAnsiTheme="minorHAnsi" w:cstheme="minorHAnsi"/>
          <w:b/>
          <w:sz w:val="16"/>
          <w:szCs w:val="16"/>
          <w:lang w:val="sr-Latn-BA"/>
        </w:rPr>
        <w:t xml:space="preserve"> </w:t>
      </w:r>
      <w:r w:rsidRPr="00760B05">
        <w:rPr>
          <w:rFonts w:asciiTheme="minorHAnsi" w:eastAsia="Calibri" w:hAnsiTheme="minorHAnsi" w:cstheme="minorHAnsi"/>
          <w:sz w:val="16"/>
          <w:szCs w:val="16"/>
          <w:lang w:val="sr-Latn-BA"/>
        </w:rPr>
        <w:t>uvođenje dodatnog kriterijuma na osnovu koga se stiče pravo opštine za korišćenjem sredstava iz Egalizacionog fonda</w:t>
      </w:r>
      <w:r w:rsidRPr="00760B05">
        <w:rPr>
          <w:rFonts w:asciiTheme="minorHAnsi" w:hAnsiTheme="minorHAnsi" w:cstheme="minorHAnsi"/>
          <w:sz w:val="16"/>
          <w:szCs w:val="16"/>
          <w:lang w:val="sr-Latn-BA"/>
        </w:rPr>
        <w:t xml:space="preserve">. </w:t>
      </w:r>
      <w:r>
        <w:rPr>
          <w:rFonts w:asciiTheme="minorHAnsi" w:eastAsia="Calibri" w:hAnsiTheme="minorHAnsi" w:cstheme="minorHAnsi"/>
          <w:sz w:val="16"/>
          <w:szCs w:val="16"/>
          <w:lang w:val="sr-Latn-BA"/>
        </w:rPr>
        <w:t>P</w:t>
      </w:r>
      <w:r w:rsidRPr="00760B05">
        <w:rPr>
          <w:rFonts w:asciiTheme="minorHAnsi" w:eastAsia="Calibri" w:hAnsiTheme="minorHAnsi" w:cstheme="minorHAnsi"/>
          <w:sz w:val="16"/>
          <w:szCs w:val="16"/>
          <w:lang w:val="sr-Latn-BA"/>
        </w:rPr>
        <w:t>ored stepena razvijenosti opštine, predlaže se da procenat učešća tekućih prihoda pojedine opštine u ukupnim tekućim prihodima svih opština, isključujući sredstva iz Egalizacionog fonda, bude ispod 10%. Predloženo rješenje ima za cilj da se sredstva Egalizacionog fonda usmjere na opštine sa manjim fiskalnim kapacitetom, sa manjim mogućnostima za generisanje sopstvenih prihoda</w:t>
      </w:r>
    </w:p>
  </w:footnote>
  <w:footnote w:id="54">
    <w:p w14:paraId="140566B2" w14:textId="77777777" w:rsidR="00EB06F2" w:rsidRPr="00357E2D" w:rsidRDefault="00EB06F2" w:rsidP="00A13DA5">
      <w:pPr>
        <w:pStyle w:val="NoSpacing"/>
        <w:rPr>
          <w:sz w:val="16"/>
          <w:szCs w:val="16"/>
          <w:lang w:val="pl-PL"/>
        </w:rPr>
      </w:pPr>
      <w:r w:rsidRPr="00D647E6">
        <w:rPr>
          <w:rStyle w:val="FootnoteReference"/>
          <w:sz w:val="18"/>
          <w:szCs w:val="18"/>
        </w:rPr>
        <w:footnoteRef/>
      </w:r>
      <w:r w:rsidRPr="00D17217">
        <w:rPr>
          <w:sz w:val="18"/>
          <w:szCs w:val="18"/>
          <w:lang w:val="pl-PL"/>
        </w:rPr>
        <w:t xml:space="preserve"> </w:t>
      </w:r>
      <w:r w:rsidRPr="00357E2D">
        <w:rPr>
          <w:sz w:val="16"/>
          <w:szCs w:val="16"/>
          <w:lang w:val="pl-PL"/>
        </w:rPr>
        <w:t>Odnosi se na zemlju u cjelini.</w:t>
      </w:r>
    </w:p>
  </w:footnote>
  <w:footnote w:id="55">
    <w:p w14:paraId="2E41861E" w14:textId="77777777" w:rsidR="00EB06F2" w:rsidRPr="00103682" w:rsidRDefault="00EB06F2" w:rsidP="00F81906">
      <w:pPr>
        <w:pStyle w:val="FootnoteText"/>
        <w:contextualSpacing/>
        <w:rPr>
          <w:rFonts w:cstheme="minorHAnsi"/>
          <w:sz w:val="16"/>
          <w:szCs w:val="16"/>
          <w:lang w:val="sr-Latn-ME"/>
        </w:rPr>
      </w:pPr>
      <w:r w:rsidRPr="00103682">
        <w:rPr>
          <w:rStyle w:val="FootnoteReference"/>
          <w:sz w:val="16"/>
          <w:szCs w:val="16"/>
        </w:rPr>
        <w:footnoteRef/>
      </w:r>
      <w:r w:rsidRPr="00103682">
        <w:rPr>
          <w:sz w:val="16"/>
          <w:szCs w:val="16"/>
          <w:lang w:val="sr-Latn-ME"/>
        </w:rPr>
        <w:t xml:space="preserve"> </w:t>
      </w:r>
      <w:r w:rsidRPr="00F81906">
        <w:rPr>
          <w:rFonts w:cstheme="minorHAnsi"/>
          <w:sz w:val="16"/>
          <w:szCs w:val="16"/>
          <w:lang w:val="sr-Latn-ME"/>
        </w:rPr>
        <w:t>Očekuje se da će usljed značajnog smanjenja poreskog opterećenja odnosno troškova na zarade, jedan dio poslodavaca prevesti u formalan rad kako neformalno zaposlene tako i dio zarade koji je do sada bio u „sivoj zoni“ i po kojem osnovu je država gubila prihode.</w:t>
      </w:r>
    </w:p>
  </w:footnote>
  <w:footnote w:id="56">
    <w:p w14:paraId="22C3035E" w14:textId="77777777" w:rsidR="00EB06F2" w:rsidRPr="00357E2D" w:rsidRDefault="00EB06F2">
      <w:pPr>
        <w:pStyle w:val="FootnoteText"/>
        <w:rPr>
          <w:sz w:val="16"/>
          <w:szCs w:val="16"/>
          <w:lang w:val="pl-PL"/>
        </w:rPr>
      </w:pPr>
      <w:r w:rsidRPr="00357E2D">
        <w:rPr>
          <w:rStyle w:val="FootnoteReference"/>
          <w:sz w:val="16"/>
          <w:szCs w:val="16"/>
        </w:rPr>
        <w:footnoteRef/>
      </w:r>
      <w:r w:rsidRPr="00357E2D">
        <w:rPr>
          <w:sz w:val="16"/>
          <w:szCs w:val="16"/>
          <w:lang w:val="pl-PL"/>
        </w:rPr>
        <w:t xml:space="preserve"> Donešen Zakon o registraciji privrednih i drugih subjekata</w:t>
      </w:r>
    </w:p>
  </w:footnote>
  <w:footnote w:id="57">
    <w:p w14:paraId="2E64F827" w14:textId="77777777" w:rsidR="00EB06F2" w:rsidRPr="00C83896" w:rsidRDefault="00EB06F2">
      <w:pPr>
        <w:pStyle w:val="FootnoteText"/>
        <w:rPr>
          <w:sz w:val="16"/>
          <w:szCs w:val="16"/>
          <w:lang w:val="pl-PL"/>
        </w:rPr>
      </w:pPr>
      <w:r>
        <w:rPr>
          <w:rStyle w:val="FootnoteReference"/>
        </w:rPr>
        <w:footnoteRef/>
      </w:r>
      <w:r w:rsidRPr="00C83896">
        <w:rPr>
          <w:lang w:val="pl-PL"/>
        </w:rPr>
        <w:t xml:space="preserve"> </w:t>
      </w:r>
      <w:r w:rsidRPr="00C83896">
        <w:rPr>
          <w:sz w:val="16"/>
          <w:szCs w:val="16"/>
          <w:lang w:val="pl-PL"/>
        </w:rPr>
        <w:t>PPCG do 2040.godine</w:t>
      </w:r>
    </w:p>
  </w:footnote>
  <w:footnote w:id="58">
    <w:p w14:paraId="7290C330" w14:textId="77777777" w:rsidR="00EB06F2" w:rsidRPr="00357E2D" w:rsidRDefault="00EB06F2" w:rsidP="00F916FC">
      <w:pPr>
        <w:pStyle w:val="FootnoteText"/>
        <w:rPr>
          <w:sz w:val="16"/>
          <w:szCs w:val="16"/>
          <w:lang w:val="pl-PL"/>
        </w:rPr>
      </w:pPr>
      <w:r>
        <w:rPr>
          <w:rStyle w:val="FootnoteReference"/>
        </w:rPr>
        <w:footnoteRef/>
      </w:r>
      <w:r w:rsidRPr="00F916FC">
        <w:rPr>
          <w:lang w:val="pl-PL"/>
        </w:rPr>
        <w:t xml:space="preserve"> </w:t>
      </w:r>
      <w:r w:rsidRPr="00357E2D">
        <w:rPr>
          <w:rFonts w:cstheme="minorHAnsi"/>
          <w:sz w:val="16"/>
          <w:szCs w:val="16"/>
          <w:lang w:val="pl-PL"/>
        </w:rPr>
        <w:t>Strukturni fondovi EU (kojima će Crna Gora pristupiti nakon pristupanja) zahtijevaju BDP na nivou NUTS-3 i statistiku tržišta rada; bez njih Crna Gora rizikuje smanjenje budžeta.</w:t>
      </w:r>
    </w:p>
  </w:footnote>
  <w:footnote w:id="59">
    <w:p w14:paraId="369CEC2B" w14:textId="77777777" w:rsidR="00EB06F2" w:rsidRPr="00A83D31" w:rsidRDefault="00EB06F2" w:rsidP="00A13DA5">
      <w:pPr>
        <w:pStyle w:val="NoSpacing"/>
        <w:jc w:val="both"/>
        <w:rPr>
          <w:rFonts w:asciiTheme="minorHAnsi" w:hAnsiTheme="minorHAnsi"/>
          <w:sz w:val="16"/>
          <w:szCs w:val="16"/>
          <w:lang w:val="sr-Latn-ME"/>
        </w:rPr>
      </w:pPr>
      <w:r w:rsidRPr="00770977">
        <w:rPr>
          <w:rStyle w:val="FootnoteReference"/>
          <w:sz w:val="18"/>
          <w:szCs w:val="18"/>
        </w:rPr>
        <w:footnoteRef/>
      </w:r>
      <w:r w:rsidRPr="00D17217">
        <w:rPr>
          <w:sz w:val="18"/>
          <w:szCs w:val="18"/>
          <w:lang w:val="pl-PL"/>
        </w:rPr>
        <w:t xml:space="preserve"> </w:t>
      </w:r>
      <w:r w:rsidRPr="00A83D31">
        <w:rPr>
          <w:rFonts w:asciiTheme="minorHAnsi" w:hAnsiTheme="minorHAnsi"/>
          <w:sz w:val="16"/>
          <w:szCs w:val="16"/>
          <w:lang w:val="hr-HR"/>
        </w:rPr>
        <w:t xml:space="preserve">Nacrt </w:t>
      </w:r>
      <w:r w:rsidRPr="00A83D31">
        <w:rPr>
          <w:rFonts w:asciiTheme="minorHAnsi" w:hAnsiTheme="minorHAnsi"/>
          <w:sz w:val="16"/>
          <w:szCs w:val="16"/>
          <w:lang w:val="sr-Latn-ME"/>
        </w:rPr>
        <w:t>Strategije razvoja poljoprivrede i ruralnih područja 2022-2028.</w:t>
      </w:r>
    </w:p>
  </w:footnote>
  <w:footnote w:id="60">
    <w:p w14:paraId="3D1CFE78" w14:textId="77777777" w:rsidR="00EB06F2" w:rsidRPr="00A83D31" w:rsidRDefault="00EB06F2" w:rsidP="00A83D31">
      <w:pPr>
        <w:jc w:val="both"/>
        <w:rPr>
          <w:rFonts w:cs="Calibri Light"/>
          <w:sz w:val="16"/>
          <w:szCs w:val="16"/>
          <w:lang w:val="sr-Latn-ME"/>
        </w:rPr>
      </w:pPr>
      <w:r w:rsidRPr="00A83D31">
        <w:rPr>
          <w:rStyle w:val="FootnoteReference"/>
          <w:sz w:val="16"/>
          <w:szCs w:val="16"/>
        </w:rPr>
        <w:footnoteRef/>
      </w:r>
      <w:r w:rsidRPr="00A83D31">
        <w:rPr>
          <w:sz w:val="16"/>
          <w:szCs w:val="16"/>
          <w:lang w:val="sr-Latn-ME"/>
        </w:rPr>
        <w:t xml:space="preserve"> </w:t>
      </w:r>
      <w:r w:rsidRPr="00A83D31">
        <w:rPr>
          <w:rFonts w:cs="Calibri Light"/>
          <w:sz w:val="16"/>
          <w:szCs w:val="16"/>
          <w:lang w:val="sr-Latn-ME"/>
        </w:rPr>
        <w:t>Analiza makroekonomskih kretanja i strukturnih reformi za 2024.</w:t>
      </w:r>
    </w:p>
    <w:p w14:paraId="1C5B1B10" w14:textId="77777777" w:rsidR="00EB06F2" w:rsidRPr="00A83D31" w:rsidRDefault="00EB06F2">
      <w:pPr>
        <w:pStyle w:val="FootnoteText"/>
        <w:rPr>
          <w:lang w:val="sr-Latn-ME"/>
        </w:rPr>
      </w:pPr>
    </w:p>
  </w:footnote>
  <w:footnote w:id="61">
    <w:p w14:paraId="6E29E3A4" w14:textId="77777777" w:rsidR="00EB06F2" w:rsidRPr="00F95A3D" w:rsidRDefault="00EB06F2" w:rsidP="00A13DA5">
      <w:pPr>
        <w:pStyle w:val="NoSpacing"/>
        <w:jc w:val="both"/>
        <w:rPr>
          <w:sz w:val="18"/>
          <w:szCs w:val="18"/>
          <w:lang w:val="sr-Latn-ME"/>
        </w:rPr>
      </w:pPr>
      <w:r w:rsidRPr="000E23C2">
        <w:rPr>
          <w:rStyle w:val="FootnoteReference"/>
        </w:rPr>
        <w:footnoteRef/>
      </w:r>
      <w:r w:rsidRPr="000E23C2">
        <w:rPr>
          <w:lang w:val="sr-Latn-ME"/>
        </w:rPr>
        <w:t xml:space="preserve"> </w:t>
      </w:r>
      <w:r w:rsidRPr="000E23C2">
        <w:rPr>
          <w:sz w:val="18"/>
          <w:szCs w:val="18"/>
        </w:rPr>
        <w:t>U</w:t>
      </w:r>
      <w:r w:rsidRPr="000E23C2">
        <w:rPr>
          <w:sz w:val="18"/>
          <w:szCs w:val="18"/>
          <w:lang w:val="sr-Latn-ME"/>
        </w:rPr>
        <w:t xml:space="preserve"> </w:t>
      </w:r>
      <w:r w:rsidRPr="000E23C2">
        <w:rPr>
          <w:sz w:val="18"/>
          <w:szCs w:val="18"/>
        </w:rPr>
        <w:t>procesu</w:t>
      </w:r>
      <w:r w:rsidRPr="000E23C2">
        <w:rPr>
          <w:sz w:val="18"/>
          <w:szCs w:val="18"/>
          <w:lang w:val="sr-Latn-ME"/>
        </w:rPr>
        <w:t xml:space="preserve"> </w:t>
      </w:r>
      <w:r w:rsidRPr="000E23C2">
        <w:rPr>
          <w:sz w:val="18"/>
          <w:szCs w:val="18"/>
        </w:rPr>
        <w:t>izvje</w:t>
      </w:r>
      <w:r w:rsidRPr="000E23C2">
        <w:rPr>
          <w:sz w:val="18"/>
          <w:szCs w:val="18"/>
          <w:lang w:val="sr-Latn-ME"/>
        </w:rPr>
        <w:t>š</w:t>
      </w:r>
      <w:r w:rsidRPr="000E23C2">
        <w:rPr>
          <w:sz w:val="18"/>
          <w:szCs w:val="18"/>
        </w:rPr>
        <w:t>tavanja</w:t>
      </w:r>
      <w:r w:rsidRPr="000E23C2">
        <w:rPr>
          <w:sz w:val="18"/>
          <w:szCs w:val="18"/>
          <w:lang w:val="sr-Latn-ME"/>
        </w:rPr>
        <w:t xml:space="preserve"> </w:t>
      </w:r>
      <w:r w:rsidRPr="000E23C2">
        <w:rPr>
          <w:sz w:val="18"/>
          <w:szCs w:val="18"/>
        </w:rPr>
        <w:t>ostvarenosti</w:t>
      </w:r>
      <w:r w:rsidRPr="000E23C2">
        <w:rPr>
          <w:sz w:val="18"/>
          <w:szCs w:val="18"/>
          <w:lang w:val="sr-Latn-ME"/>
        </w:rPr>
        <w:t xml:space="preserve"> </w:t>
      </w:r>
      <w:r w:rsidRPr="000E23C2">
        <w:rPr>
          <w:sz w:val="18"/>
          <w:szCs w:val="18"/>
        </w:rPr>
        <w:t>SRR</w:t>
      </w:r>
      <w:r w:rsidRPr="000E23C2">
        <w:rPr>
          <w:sz w:val="18"/>
          <w:szCs w:val="18"/>
          <w:lang w:val="sr-Latn-ME"/>
        </w:rPr>
        <w:t xml:space="preserve"> 2023-2027 </w:t>
      </w:r>
      <w:r w:rsidRPr="000E23C2">
        <w:rPr>
          <w:sz w:val="18"/>
          <w:szCs w:val="18"/>
        </w:rPr>
        <w:t>posebno</w:t>
      </w:r>
      <w:r w:rsidRPr="000E23C2">
        <w:rPr>
          <w:sz w:val="18"/>
          <w:szCs w:val="18"/>
          <w:lang w:val="sr-Latn-ME"/>
        </w:rPr>
        <w:t xml:space="preserve"> ć</w:t>
      </w:r>
      <w:r w:rsidRPr="000E23C2">
        <w:rPr>
          <w:sz w:val="18"/>
          <w:szCs w:val="18"/>
        </w:rPr>
        <w:t>e</w:t>
      </w:r>
      <w:r w:rsidRPr="000E23C2">
        <w:rPr>
          <w:sz w:val="18"/>
          <w:szCs w:val="18"/>
          <w:lang w:val="sr-Latn-ME"/>
        </w:rPr>
        <w:t xml:space="preserve"> </w:t>
      </w:r>
      <w:r w:rsidRPr="000E23C2">
        <w:rPr>
          <w:sz w:val="18"/>
          <w:szCs w:val="18"/>
        </w:rPr>
        <w:t>se</w:t>
      </w:r>
      <w:r w:rsidRPr="000E23C2">
        <w:rPr>
          <w:sz w:val="18"/>
          <w:szCs w:val="18"/>
          <w:lang w:val="sr-Latn-ME"/>
        </w:rPr>
        <w:t xml:space="preserve"> </w:t>
      </w:r>
      <w:r w:rsidRPr="000E23C2">
        <w:rPr>
          <w:sz w:val="18"/>
          <w:szCs w:val="18"/>
        </w:rPr>
        <w:t>voditi</w:t>
      </w:r>
      <w:r w:rsidRPr="000E23C2">
        <w:rPr>
          <w:sz w:val="18"/>
          <w:szCs w:val="18"/>
          <w:lang w:val="sr-Latn-ME"/>
        </w:rPr>
        <w:t xml:space="preserve"> </w:t>
      </w:r>
      <w:r w:rsidRPr="000E23C2">
        <w:rPr>
          <w:sz w:val="18"/>
          <w:szCs w:val="18"/>
        </w:rPr>
        <w:t>ra</w:t>
      </w:r>
      <w:r w:rsidRPr="000E23C2">
        <w:rPr>
          <w:sz w:val="18"/>
          <w:szCs w:val="18"/>
          <w:lang w:val="sr-Latn-ME"/>
        </w:rPr>
        <w:t>č</w:t>
      </w:r>
      <w:r w:rsidRPr="000E23C2">
        <w:rPr>
          <w:sz w:val="18"/>
          <w:szCs w:val="18"/>
        </w:rPr>
        <w:t>una</w:t>
      </w:r>
      <w:r w:rsidRPr="000E23C2">
        <w:rPr>
          <w:sz w:val="18"/>
          <w:szCs w:val="18"/>
          <w:lang w:val="sr-Latn-ME"/>
        </w:rPr>
        <w:t xml:space="preserve"> </w:t>
      </w:r>
      <w:r w:rsidRPr="000E23C2">
        <w:rPr>
          <w:sz w:val="18"/>
          <w:szCs w:val="18"/>
        </w:rPr>
        <w:t>o</w:t>
      </w:r>
      <w:r w:rsidRPr="000E23C2">
        <w:rPr>
          <w:sz w:val="18"/>
          <w:szCs w:val="18"/>
          <w:lang w:val="sr-Latn-ME"/>
        </w:rPr>
        <w:t xml:space="preserve"> </w:t>
      </w:r>
      <w:r w:rsidRPr="000E23C2">
        <w:rPr>
          <w:sz w:val="18"/>
          <w:szCs w:val="18"/>
        </w:rPr>
        <w:t>prikazu</w:t>
      </w:r>
      <w:r w:rsidRPr="000E23C2">
        <w:rPr>
          <w:sz w:val="18"/>
          <w:szCs w:val="18"/>
          <w:lang w:val="sr-Latn-ME"/>
        </w:rPr>
        <w:t xml:space="preserve"> </w:t>
      </w:r>
      <w:r w:rsidRPr="000E23C2">
        <w:rPr>
          <w:sz w:val="18"/>
          <w:szCs w:val="18"/>
        </w:rPr>
        <w:t>rodno</w:t>
      </w:r>
      <w:r w:rsidRPr="000E23C2">
        <w:rPr>
          <w:sz w:val="18"/>
          <w:szCs w:val="18"/>
          <w:lang w:val="sr-Latn-ME"/>
        </w:rPr>
        <w:t xml:space="preserve"> </w:t>
      </w:r>
      <w:r w:rsidRPr="000E23C2">
        <w:rPr>
          <w:sz w:val="18"/>
          <w:szCs w:val="18"/>
        </w:rPr>
        <w:t>segregiranih</w:t>
      </w:r>
      <w:r w:rsidRPr="000E23C2">
        <w:rPr>
          <w:sz w:val="18"/>
          <w:szCs w:val="18"/>
          <w:lang w:val="sr-Latn-ME"/>
        </w:rPr>
        <w:t xml:space="preserve"> </w:t>
      </w:r>
      <w:r w:rsidRPr="000E23C2">
        <w:rPr>
          <w:sz w:val="18"/>
          <w:szCs w:val="18"/>
        </w:rPr>
        <w:t>podataka</w:t>
      </w:r>
      <w:r w:rsidRPr="000E23C2">
        <w:rPr>
          <w:sz w:val="18"/>
          <w:szCs w:val="18"/>
          <w:lang w:val="sr-Latn-ME"/>
        </w:rPr>
        <w:t xml:space="preserve"> </w:t>
      </w:r>
      <w:r w:rsidRPr="000E23C2">
        <w:rPr>
          <w:sz w:val="18"/>
          <w:szCs w:val="18"/>
        </w:rPr>
        <w:t>i</w:t>
      </w:r>
      <w:r w:rsidRPr="000E23C2">
        <w:rPr>
          <w:sz w:val="18"/>
          <w:szCs w:val="18"/>
          <w:lang w:val="sr-Latn-ME"/>
        </w:rPr>
        <w:t xml:space="preserve"> </w:t>
      </w:r>
      <w:r w:rsidRPr="000E23C2">
        <w:rPr>
          <w:sz w:val="18"/>
          <w:szCs w:val="18"/>
        </w:rPr>
        <w:t>uticaju</w:t>
      </w:r>
      <w:r w:rsidRPr="000E23C2">
        <w:rPr>
          <w:sz w:val="18"/>
          <w:szCs w:val="18"/>
          <w:lang w:val="sr-Latn-ME"/>
        </w:rPr>
        <w:t xml:space="preserve"> </w:t>
      </w:r>
      <w:r w:rsidRPr="000E23C2">
        <w:rPr>
          <w:sz w:val="18"/>
          <w:szCs w:val="18"/>
        </w:rPr>
        <w:t>implementacije</w:t>
      </w:r>
      <w:r w:rsidRPr="000E23C2">
        <w:rPr>
          <w:sz w:val="18"/>
          <w:szCs w:val="18"/>
          <w:lang w:val="sr-Latn-ME"/>
        </w:rPr>
        <w:t xml:space="preserve"> </w:t>
      </w:r>
      <w:r w:rsidRPr="000E23C2">
        <w:rPr>
          <w:sz w:val="18"/>
          <w:szCs w:val="18"/>
        </w:rPr>
        <w:t>politike</w:t>
      </w:r>
      <w:r w:rsidRPr="000E23C2">
        <w:rPr>
          <w:sz w:val="18"/>
          <w:szCs w:val="18"/>
          <w:lang w:val="sr-Latn-ME"/>
        </w:rPr>
        <w:t xml:space="preserve"> </w:t>
      </w:r>
      <w:r w:rsidRPr="000E23C2">
        <w:rPr>
          <w:sz w:val="18"/>
          <w:szCs w:val="18"/>
        </w:rPr>
        <w:t>regionalnog</w:t>
      </w:r>
      <w:r w:rsidRPr="000E23C2">
        <w:rPr>
          <w:sz w:val="18"/>
          <w:szCs w:val="18"/>
          <w:lang w:val="sr-Latn-ME"/>
        </w:rPr>
        <w:t xml:space="preserve"> </w:t>
      </w:r>
      <w:r w:rsidRPr="000E23C2">
        <w:rPr>
          <w:sz w:val="18"/>
          <w:szCs w:val="18"/>
        </w:rPr>
        <w:t>razvoja</w:t>
      </w:r>
      <w:r w:rsidRPr="000E23C2">
        <w:rPr>
          <w:sz w:val="18"/>
          <w:szCs w:val="18"/>
          <w:lang w:val="sr-Latn-ME"/>
        </w:rPr>
        <w:t xml:space="preserve"> </w:t>
      </w:r>
      <w:r w:rsidRPr="000E23C2">
        <w:rPr>
          <w:sz w:val="18"/>
          <w:szCs w:val="18"/>
        </w:rPr>
        <w:t>na</w:t>
      </w:r>
      <w:r w:rsidRPr="000E23C2">
        <w:rPr>
          <w:sz w:val="18"/>
          <w:szCs w:val="18"/>
          <w:lang w:val="sr-Latn-ME"/>
        </w:rPr>
        <w:t xml:space="preserve"> ž</w:t>
      </w:r>
      <w:r w:rsidRPr="000E23C2">
        <w:rPr>
          <w:sz w:val="18"/>
          <w:szCs w:val="18"/>
        </w:rPr>
        <w:t>ene</w:t>
      </w:r>
      <w:r w:rsidRPr="000E23C2">
        <w:rPr>
          <w:sz w:val="18"/>
          <w:szCs w:val="18"/>
          <w:lang w:val="sr-Latn-ME"/>
        </w:rPr>
        <w:t xml:space="preserve">, </w:t>
      </w:r>
      <w:r w:rsidRPr="000E23C2">
        <w:rPr>
          <w:sz w:val="18"/>
          <w:szCs w:val="18"/>
        </w:rPr>
        <w:t>mlade</w:t>
      </w:r>
      <w:r w:rsidRPr="000E23C2">
        <w:rPr>
          <w:sz w:val="18"/>
          <w:szCs w:val="18"/>
          <w:lang w:val="sr-Latn-ME"/>
        </w:rPr>
        <w:t xml:space="preserve"> </w:t>
      </w:r>
      <w:r w:rsidRPr="000E23C2">
        <w:rPr>
          <w:sz w:val="18"/>
          <w:szCs w:val="18"/>
        </w:rPr>
        <w:t>i</w:t>
      </w:r>
      <w:r w:rsidRPr="000E23C2">
        <w:rPr>
          <w:sz w:val="18"/>
          <w:szCs w:val="18"/>
          <w:lang w:val="sr-Latn-ME"/>
        </w:rPr>
        <w:t xml:space="preserve"> </w:t>
      </w:r>
      <w:r w:rsidRPr="000E23C2">
        <w:rPr>
          <w:sz w:val="18"/>
          <w:szCs w:val="18"/>
        </w:rPr>
        <w:t>druge</w:t>
      </w:r>
      <w:r w:rsidRPr="000E23C2">
        <w:rPr>
          <w:sz w:val="18"/>
          <w:szCs w:val="18"/>
          <w:lang w:val="sr-Latn-ME"/>
        </w:rPr>
        <w:t xml:space="preserve"> </w:t>
      </w:r>
      <w:r w:rsidRPr="000E23C2">
        <w:rPr>
          <w:sz w:val="18"/>
          <w:szCs w:val="18"/>
        </w:rPr>
        <w:t>specifi</w:t>
      </w:r>
      <w:r w:rsidRPr="000E23C2">
        <w:rPr>
          <w:sz w:val="18"/>
          <w:szCs w:val="18"/>
          <w:lang w:val="sr-Latn-ME"/>
        </w:rPr>
        <w:t>č</w:t>
      </w:r>
      <w:r w:rsidRPr="000E23C2">
        <w:rPr>
          <w:sz w:val="18"/>
          <w:szCs w:val="18"/>
        </w:rPr>
        <w:t>ne</w:t>
      </w:r>
      <w:r w:rsidRPr="000E23C2">
        <w:rPr>
          <w:sz w:val="18"/>
          <w:szCs w:val="18"/>
          <w:lang w:val="sr-Latn-ME"/>
        </w:rPr>
        <w:t xml:space="preserve"> </w:t>
      </w:r>
      <w:r w:rsidRPr="000E23C2">
        <w:rPr>
          <w:sz w:val="18"/>
          <w:szCs w:val="18"/>
        </w:rPr>
        <w:t>ciljne</w:t>
      </w:r>
      <w:r w:rsidRPr="000E23C2">
        <w:rPr>
          <w:sz w:val="18"/>
          <w:szCs w:val="18"/>
          <w:lang w:val="sr-Latn-ME"/>
        </w:rPr>
        <w:t xml:space="preserve"> </w:t>
      </w:r>
      <w:r w:rsidRPr="000E23C2">
        <w:rPr>
          <w:sz w:val="18"/>
          <w:szCs w:val="18"/>
        </w:rPr>
        <w:t>grupe</w:t>
      </w:r>
      <w:r w:rsidRPr="000E23C2">
        <w:rPr>
          <w:sz w:val="18"/>
          <w:szCs w:val="18"/>
          <w:lang w:val="sr-Latn-M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F66"/>
    <w:multiLevelType w:val="hybridMultilevel"/>
    <w:tmpl w:val="9B56A7A6"/>
    <w:lvl w:ilvl="0" w:tplc="BEF410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75D"/>
    <w:multiLevelType w:val="hybridMultilevel"/>
    <w:tmpl w:val="2CB8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C5067"/>
    <w:multiLevelType w:val="hybridMultilevel"/>
    <w:tmpl w:val="741CEC3C"/>
    <w:lvl w:ilvl="0" w:tplc="58205910">
      <w:start w:val="1"/>
      <w:numFmt w:val="upperRoman"/>
      <w:lvlText w:val="%1."/>
      <w:lvlJc w:val="right"/>
      <w:rPr>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7D81"/>
    <w:multiLevelType w:val="hybridMultilevel"/>
    <w:tmpl w:val="3C5E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3248"/>
    <w:multiLevelType w:val="multilevel"/>
    <w:tmpl w:val="6B58AD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70CB2"/>
    <w:multiLevelType w:val="multilevel"/>
    <w:tmpl w:val="C75CBD20"/>
    <w:lvl w:ilvl="0">
      <w:start w:val="1"/>
      <w:numFmt w:val="decimal"/>
      <w:lvlText w:val="%1."/>
      <w:lvlJc w:val="left"/>
      <w:pPr>
        <w:ind w:left="720" w:hanging="360"/>
      </w:pPr>
      <w:rPr>
        <w:rFonts w:hint="default"/>
        <w:color w:val="4472C4" w:themeColor="accent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4B6E97"/>
    <w:multiLevelType w:val="hybridMultilevel"/>
    <w:tmpl w:val="64B29E14"/>
    <w:lvl w:ilvl="0" w:tplc="7A382F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F7D1B"/>
    <w:multiLevelType w:val="multilevel"/>
    <w:tmpl w:val="55504E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37F9F"/>
    <w:multiLevelType w:val="hybridMultilevel"/>
    <w:tmpl w:val="79C6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20C0"/>
    <w:multiLevelType w:val="multilevel"/>
    <w:tmpl w:val="3630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06CD3"/>
    <w:multiLevelType w:val="hybridMultilevel"/>
    <w:tmpl w:val="B17EBB50"/>
    <w:lvl w:ilvl="0" w:tplc="3ACE626E">
      <w:start w:val="1"/>
      <w:numFmt w:val="decimal"/>
      <w:lvlText w:val="%1."/>
      <w:lvlJc w:val="left"/>
      <w:pPr>
        <w:ind w:left="720" w:hanging="360"/>
      </w:pPr>
      <w:rPr>
        <w:rFonts w:hint="default"/>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729CD"/>
    <w:multiLevelType w:val="hybridMultilevel"/>
    <w:tmpl w:val="73702F44"/>
    <w:lvl w:ilvl="0" w:tplc="C8921A46">
      <w:start w:val="1"/>
      <w:numFmt w:val="bullet"/>
      <w:pStyle w:val="NSOR-LISTBULLETS"/>
      <w:lvlText w:val=""/>
      <w:lvlJc w:val="left"/>
      <w:pPr>
        <w:ind w:left="360" w:hanging="360"/>
      </w:pPr>
      <w:rPr>
        <w:rFonts w:ascii="Wingdings" w:hAnsi="Wingdings" w:hint="default"/>
      </w:rPr>
    </w:lvl>
    <w:lvl w:ilvl="1" w:tplc="091251F6">
      <w:start w:val="1"/>
      <w:numFmt w:val="bullet"/>
      <w:lvlText w:val="­"/>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4C64052"/>
    <w:multiLevelType w:val="hybridMultilevel"/>
    <w:tmpl w:val="BB4E144C"/>
    <w:lvl w:ilvl="0" w:tplc="313048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07770"/>
    <w:multiLevelType w:val="hybridMultilevel"/>
    <w:tmpl w:val="A8D214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0644F5"/>
    <w:multiLevelType w:val="hybridMultilevel"/>
    <w:tmpl w:val="4EC4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84FCC"/>
    <w:multiLevelType w:val="multilevel"/>
    <w:tmpl w:val="D4E4C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C534A"/>
    <w:multiLevelType w:val="hybridMultilevel"/>
    <w:tmpl w:val="79E81C38"/>
    <w:lvl w:ilvl="0" w:tplc="8876B2B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E7A77"/>
    <w:multiLevelType w:val="multilevel"/>
    <w:tmpl w:val="FC12DEDA"/>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CE0857"/>
    <w:multiLevelType w:val="hybridMultilevel"/>
    <w:tmpl w:val="68FC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024C4"/>
    <w:multiLevelType w:val="hybridMultilevel"/>
    <w:tmpl w:val="91B0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653A6"/>
    <w:multiLevelType w:val="hybridMultilevel"/>
    <w:tmpl w:val="B0B2126E"/>
    <w:lvl w:ilvl="0" w:tplc="08090001">
      <w:numFmt w:val="bullet"/>
      <w:pStyle w:val="tablebullets"/>
      <w:lvlText w:val="-"/>
      <w:lvlJc w:val="left"/>
      <w:pPr>
        <w:tabs>
          <w:tab w:val="num" w:pos="360"/>
        </w:tabs>
        <w:ind w:left="360" w:hanging="360"/>
      </w:pPr>
      <w:rPr>
        <w:rFonts w:ascii="Calibri" w:eastAsia="Times New Roman" w:hAnsi="Calibri"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o"/>
      <w:lvlJc w:val="left"/>
      <w:pPr>
        <w:tabs>
          <w:tab w:val="num" w:pos="1800"/>
        </w:tabs>
        <w:ind w:left="1800" w:hanging="360"/>
      </w:pPr>
      <w:rPr>
        <w:rFonts w:ascii="Courier New" w:hAnsi="Courier New" w:hint="default"/>
      </w:rPr>
    </w:lvl>
    <w:lvl w:ilvl="3" w:tplc="08090001">
      <w:numFmt w:val="bullet"/>
      <w:lvlText w:val="•"/>
      <w:lvlJc w:val="left"/>
      <w:pPr>
        <w:ind w:left="2865" w:hanging="705"/>
      </w:pPr>
      <w:rPr>
        <w:rFonts w:ascii="Arial" w:eastAsia="Times New Roman" w:hAnsi="Arial" w:hint="default"/>
      </w:rPr>
    </w:lvl>
    <w:lvl w:ilvl="4" w:tplc="08090003" w:tentative="1">
      <w:start w:val="1"/>
      <w:numFmt w:val="bullet"/>
      <w:lvlText w:val=""/>
      <w:lvlJc w:val="left"/>
      <w:pPr>
        <w:tabs>
          <w:tab w:val="num" w:pos="3240"/>
        </w:tabs>
        <w:ind w:left="3240" w:hanging="360"/>
      </w:pPr>
      <w:rPr>
        <w:rFonts w:ascii="Wingdings 3" w:hAnsi="Wingdings 3" w:hint="default"/>
      </w:rPr>
    </w:lvl>
    <w:lvl w:ilvl="5" w:tplc="08090005" w:tentative="1">
      <w:start w:val="1"/>
      <w:numFmt w:val="bullet"/>
      <w:lvlText w:val=""/>
      <w:lvlJc w:val="left"/>
      <w:pPr>
        <w:tabs>
          <w:tab w:val="num" w:pos="3960"/>
        </w:tabs>
        <w:ind w:left="3960" w:hanging="360"/>
      </w:pPr>
      <w:rPr>
        <w:rFonts w:ascii="Wingdings 3" w:hAnsi="Wingdings 3" w:hint="default"/>
      </w:rPr>
    </w:lvl>
    <w:lvl w:ilvl="6" w:tplc="08090001" w:tentative="1">
      <w:start w:val="1"/>
      <w:numFmt w:val="bullet"/>
      <w:lvlText w:val=""/>
      <w:lvlJc w:val="left"/>
      <w:pPr>
        <w:tabs>
          <w:tab w:val="num" w:pos="4680"/>
        </w:tabs>
        <w:ind w:left="4680" w:hanging="360"/>
      </w:pPr>
      <w:rPr>
        <w:rFonts w:ascii="Wingdings 3" w:hAnsi="Wingdings 3" w:hint="default"/>
      </w:rPr>
    </w:lvl>
    <w:lvl w:ilvl="7" w:tplc="08090003" w:tentative="1">
      <w:start w:val="1"/>
      <w:numFmt w:val="bullet"/>
      <w:lvlText w:val=""/>
      <w:lvlJc w:val="left"/>
      <w:pPr>
        <w:tabs>
          <w:tab w:val="num" w:pos="5400"/>
        </w:tabs>
        <w:ind w:left="5400" w:hanging="360"/>
      </w:pPr>
      <w:rPr>
        <w:rFonts w:ascii="Wingdings 3" w:hAnsi="Wingdings 3" w:hint="default"/>
      </w:rPr>
    </w:lvl>
    <w:lvl w:ilvl="8" w:tplc="08090005" w:tentative="1">
      <w:start w:val="1"/>
      <w:numFmt w:val="bullet"/>
      <w:lvlText w:val=""/>
      <w:lvlJc w:val="left"/>
      <w:pPr>
        <w:tabs>
          <w:tab w:val="num" w:pos="6120"/>
        </w:tabs>
        <w:ind w:left="6120" w:hanging="360"/>
      </w:pPr>
      <w:rPr>
        <w:rFonts w:ascii="Wingdings 3" w:hAnsi="Wingdings 3" w:hint="default"/>
      </w:rPr>
    </w:lvl>
  </w:abstractNum>
  <w:abstractNum w:abstractNumId="21" w15:restartNumberingAfterBreak="0">
    <w:nsid w:val="57104FEC"/>
    <w:multiLevelType w:val="multilevel"/>
    <w:tmpl w:val="4D4242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A46F47"/>
    <w:multiLevelType w:val="hybridMultilevel"/>
    <w:tmpl w:val="8202244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8114747"/>
    <w:multiLevelType w:val="multilevel"/>
    <w:tmpl w:val="13C849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A890912"/>
    <w:multiLevelType w:val="hybridMultilevel"/>
    <w:tmpl w:val="5042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352AC"/>
    <w:multiLevelType w:val="hybridMultilevel"/>
    <w:tmpl w:val="A45A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42C9C"/>
    <w:multiLevelType w:val="hybridMultilevel"/>
    <w:tmpl w:val="8F12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C6CB8"/>
    <w:multiLevelType w:val="multilevel"/>
    <w:tmpl w:val="A7C6D0AA"/>
    <w:lvl w:ilvl="0">
      <w:start w:val="1"/>
      <w:numFmt w:val="decimal"/>
      <w:lvlText w:val="%1."/>
      <w:lvlJc w:val="left"/>
      <w:pPr>
        <w:ind w:left="720" w:hanging="360"/>
      </w:pPr>
      <w:rPr>
        <w:rFonts w:hint="default"/>
        <w:color w:val="4472C4" w:themeColor="accent5"/>
      </w:rPr>
    </w:lvl>
    <w:lvl w:ilvl="1">
      <w:start w:val="1"/>
      <w:numFmt w:val="decimal"/>
      <w:isLgl/>
      <w:lvlText w:val="%1.%2."/>
      <w:lvlJc w:val="left"/>
      <w:pPr>
        <w:ind w:left="630" w:hanging="360"/>
      </w:pPr>
      <w:rPr>
        <w:rFonts w:hint="default"/>
        <w:color w:val="4472C4" w:themeColor="accent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4D17A8"/>
    <w:multiLevelType w:val="hybridMultilevel"/>
    <w:tmpl w:val="6314873C"/>
    <w:lvl w:ilvl="0" w:tplc="27929126">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83BBC"/>
    <w:multiLevelType w:val="multilevel"/>
    <w:tmpl w:val="B21C883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496A69"/>
    <w:multiLevelType w:val="multilevel"/>
    <w:tmpl w:val="0032F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2E2469"/>
    <w:multiLevelType w:val="hybridMultilevel"/>
    <w:tmpl w:val="1C6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6"/>
  </w:num>
  <w:num w:numId="4">
    <w:abstractNumId w:val="13"/>
  </w:num>
  <w:num w:numId="5">
    <w:abstractNumId w:val="23"/>
  </w:num>
  <w:num w:numId="6">
    <w:abstractNumId w:val="14"/>
  </w:num>
  <w:num w:numId="7">
    <w:abstractNumId w:val="25"/>
  </w:num>
  <w:num w:numId="8">
    <w:abstractNumId w:val="15"/>
  </w:num>
  <w:num w:numId="9">
    <w:abstractNumId w:val="10"/>
  </w:num>
  <w:num w:numId="10">
    <w:abstractNumId w:val="20"/>
  </w:num>
  <w:num w:numId="11">
    <w:abstractNumId w:val="11"/>
  </w:num>
  <w:num w:numId="12">
    <w:abstractNumId w:val="0"/>
  </w:num>
  <w:num w:numId="13">
    <w:abstractNumId w:val="12"/>
  </w:num>
  <w:num w:numId="14">
    <w:abstractNumId w:val="3"/>
  </w:num>
  <w:num w:numId="15">
    <w:abstractNumId w:val="2"/>
  </w:num>
  <w:num w:numId="16">
    <w:abstractNumId w:val="8"/>
  </w:num>
  <w:num w:numId="17">
    <w:abstractNumId w:val="1"/>
  </w:num>
  <w:num w:numId="18">
    <w:abstractNumId w:val="28"/>
  </w:num>
  <w:num w:numId="19">
    <w:abstractNumId w:val="26"/>
  </w:num>
  <w:num w:numId="20">
    <w:abstractNumId w:val="22"/>
  </w:num>
  <w:num w:numId="21">
    <w:abstractNumId w:val="7"/>
  </w:num>
  <w:num w:numId="22">
    <w:abstractNumId w:val="4"/>
  </w:num>
  <w:num w:numId="23">
    <w:abstractNumId w:val="18"/>
  </w:num>
  <w:num w:numId="24">
    <w:abstractNumId w:val="29"/>
  </w:num>
  <w:num w:numId="25">
    <w:abstractNumId w:val="17"/>
  </w:num>
  <w:num w:numId="26">
    <w:abstractNumId w:val="21"/>
  </w:num>
  <w:num w:numId="27">
    <w:abstractNumId w:val="27"/>
  </w:num>
  <w:num w:numId="28">
    <w:abstractNumId w:val="30"/>
  </w:num>
  <w:num w:numId="29">
    <w:abstractNumId w:val="19"/>
  </w:num>
  <w:num w:numId="30">
    <w:abstractNumId w:val="9"/>
  </w:num>
  <w:num w:numId="31">
    <w:abstractNumId w:val="16"/>
  </w:num>
  <w:num w:numId="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71"/>
    <w:rsid w:val="00001D9C"/>
    <w:rsid w:val="000176ED"/>
    <w:rsid w:val="00020DEB"/>
    <w:rsid w:val="00022BC7"/>
    <w:rsid w:val="00024C65"/>
    <w:rsid w:val="00025468"/>
    <w:rsid w:val="00033448"/>
    <w:rsid w:val="00035849"/>
    <w:rsid w:val="00037A2B"/>
    <w:rsid w:val="00047530"/>
    <w:rsid w:val="00050CB4"/>
    <w:rsid w:val="00061252"/>
    <w:rsid w:val="00064F14"/>
    <w:rsid w:val="00072225"/>
    <w:rsid w:val="00085045"/>
    <w:rsid w:val="00087084"/>
    <w:rsid w:val="000969A0"/>
    <w:rsid w:val="000B0ADD"/>
    <w:rsid w:val="000B345F"/>
    <w:rsid w:val="000B5CC8"/>
    <w:rsid w:val="000C20FC"/>
    <w:rsid w:val="000C24B7"/>
    <w:rsid w:val="000E0C08"/>
    <w:rsid w:val="000E6861"/>
    <w:rsid w:val="000F4A77"/>
    <w:rsid w:val="000F4C47"/>
    <w:rsid w:val="000F55B0"/>
    <w:rsid w:val="000F5D44"/>
    <w:rsid w:val="000F6FE5"/>
    <w:rsid w:val="001039CC"/>
    <w:rsid w:val="00107CBF"/>
    <w:rsid w:val="00111DC0"/>
    <w:rsid w:val="00117067"/>
    <w:rsid w:val="00122DAF"/>
    <w:rsid w:val="00123FA2"/>
    <w:rsid w:val="00133A29"/>
    <w:rsid w:val="0013456F"/>
    <w:rsid w:val="00153FD1"/>
    <w:rsid w:val="00155394"/>
    <w:rsid w:val="001636B1"/>
    <w:rsid w:val="00164E56"/>
    <w:rsid w:val="00165E0C"/>
    <w:rsid w:val="0017620A"/>
    <w:rsid w:val="00181364"/>
    <w:rsid w:val="00183169"/>
    <w:rsid w:val="001838F3"/>
    <w:rsid w:val="00190093"/>
    <w:rsid w:val="001A0FD2"/>
    <w:rsid w:val="001A11B4"/>
    <w:rsid w:val="001B3527"/>
    <w:rsid w:val="001B5D8F"/>
    <w:rsid w:val="001C272F"/>
    <w:rsid w:val="001D1C10"/>
    <w:rsid w:val="001F0C38"/>
    <w:rsid w:val="00210CCA"/>
    <w:rsid w:val="00221657"/>
    <w:rsid w:val="00223F35"/>
    <w:rsid w:val="002401DC"/>
    <w:rsid w:val="00244894"/>
    <w:rsid w:val="00267341"/>
    <w:rsid w:val="0027011E"/>
    <w:rsid w:val="002811D8"/>
    <w:rsid w:val="00282A7F"/>
    <w:rsid w:val="00283071"/>
    <w:rsid w:val="00285803"/>
    <w:rsid w:val="0029794C"/>
    <w:rsid w:val="002A2822"/>
    <w:rsid w:val="002B564A"/>
    <w:rsid w:val="002C0CBA"/>
    <w:rsid w:val="002D2A84"/>
    <w:rsid w:val="002F031A"/>
    <w:rsid w:val="002F1DC1"/>
    <w:rsid w:val="0030679F"/>
    <w:rsid w:val="00307704"/>
    <w:rsid w:val="00307841"/>
    <w:rsid w:val="00324962"/>
    <w:rsid w:val="00335BF7"/>
    <w:rsid w:val="00350148"/>
    <w:rsid w:val="003510B1"/>
    <w:rsid w:val="003522D8"/>
    <w:rsid w:val="003569A6"/>
    <w:rsid w:val="00357E2D"/>
    <w:rsid w:val="0036199D"/>
    <w:rsid w:val="00393377"/>
    <w:rsid w:val="00394B5A"/>
    <w:rsid w:val="003A09C5"/>
    <w:rsid w:val="003B03E6"/>
    <w:rsid w:val="003B2365"/>
    <w:rsid w:val="003B4B05"/>
    <w:rsid w:val="003B6684"/>
    <w:rsid w:val="003B7696"/>
    <w:rsid w:val="003C2A72"/>
    <w:rsid w:val="003C45E8"/>
    <w:rsid w:val="003C52BF"/>
    <w:rsid w:val="003C6BBC"/>
    <w:rsid w:val="003D57CB"/>
    <w:rsid w:val="003D632D"/>
    <w:rsid w:val="003D643F"/>
    <w:rsid w:val="003F0AF4"/>
    <w:rsid w:val="003F2EA5"/>
    <w:rsid w:val="004004EB"/>
    <w:rsid w:val="004011EB"/>
    <w:rsid w:val="004228FD"/>
    <w:rsid w:val="004244AD"/>
    <w:rsid w:val="004316EF"/>
    <w:rsid w:val="00442ABD"/>
    <w:rsid w:val="004630DF"/>
    <w:rsid w:val="004759C6"/>
    <w:rsid w:val="0048184E"/>
    <w:rsid w:val="00482071"/>
    <w:rsid w:val="00484115"/>
    <w:rsid w:val="00490E3C"/>
    <w:rsid w:val="00497396"/>
    <w:rsid w:val="004A3D05"/>
    <w:rsid w:val="004B0391"/>
    <w:rsid w:val="004B6950"/>
    <w:rsid w:val="004C1B9C"/>
    <w:rsid w:val="004C5F27"/>
    <w:rsid w:val="004C605A"/>
    <w:rsid w:val="004D1ACA"/>
    <w:rsid w:val="004D3E60"/>
    <w:rsid w:val="004D592E"/>
    <w:rsid w:val="004D7179"/>
    <w:rsid w:val="004E05C7"/>
    <w:rsid w:val="004E4DE6"/>
    <w:rsid w:val="004F33D1"/>
    <w:rsid w:val="005026BB"/>
    <w:rsid w:val="00502E5A"/>
    <w:rsid w:val="00507CC3"/>
    <w:rsid w:val="005156A5"/>
    <w:rsid w:val="0052608D"/>
    <w:rsid w:val="00526AB9"/>
    <w:rsid w:val="00540827"/>
    <w:rsid w:val="00542806"/>
    <w:rsid w:val="00543853"/>
    <w:rsid w:val="0054581F"/>
    <w:rsid w:val="00551DEC"/>
    <w:rsid w:val="005563CF"/>
    <w:rsid w:val="00565A65"/>
    <w:rsid w:val="00572401"/>
    <w:rsid w:val="00583C0B"/>
    <w:rsid w:val="0058745D"/>
    <w:rsid w:val="0059119D"/>
    <w:rsid w:val="00594176"/>
    <w:rsid w:val="005A0084"/>
    <w:rsid w:val="005A3F7D"/>
    <w:rsid w:val="005A519B"/>
    <w:rsid w:val="005B402C"/>
    <w:rsid w:val="005B6CF3"/>
    <w:rsid w:val="005C0D17"/>
    <w:rsid w:val="005C60FA"/>
    <w:rsid w:val="005C65E0"/>
    <w:rsid w:val="005E1E74"/>
    <w:rsid w:val="005F5FC6"/>
    <w:rsid w:val="00606961"/>
    <w:rsid w:val="00612729"/>
    <w:rsid w:val="006167B2"/>
    <w:rsid w:val="00621D7A"/>
    <w:rsid w:val="00630D78"/>
    <w:rsid w:val="0063346F"/>
    <w:rsid w:val="0063519F"/>
    <w:rsid w:val="006400D0"/>
    <w:rsid w:val="00640894"/>
    <w:rsid w:val="006459B5"/>
    <w:rsid w:val="00650C22"/>
    <w:rsid w:val="00651FBF"/>
    <w:rsid w:val="006567A8"/>
    <w:rsid w:val="00673A74"/>
    <w:rsid w:val="006756A7"/>
    <w:rsid w:val="00675FEF"/>
    <w:rsid w:val="006829C6"/>
    <w:rsid w:val="006926B6"/>
    <w:rsid w:val="006C6D5F"/>
    <w:rsid w:val="006E514C"/>
    <w:rsid w:val="006F0AEE"/>
    <w:rsid w:val="006F0B90"/>
    <w:rsid w:val="00706C55"/>
    <w:rsid w:val="007079B7"/>
    <w:rsid w:val="0071272B"/>
    <w:rsid w:val="00720132"/>
    <w:rsid w:val="00723D39"/>
    <w:rsid w:val="00726A49"/>
    <w:rsid w:val="00726BE7"/>
    <w:rsid w:val="007320A2"/>
    <w:rsid w:val="007333FC"/>
    <w:rsid w:val="007339B6"/>
    <w:rsid w:val="00735803"/>
    <w:rsid w:val="0074233F"/>
    <w:rsid w:val="00754CEB"/>
    <w:rsid w:val="00756D67"/>
    <w:rsid w:val="00760B05"/>
    <w:rsid w:val="007665E1"/>
    <w:rsid w:val="00767F89"/>
    <w:rsid w:val="00771F1B"/>
    <w:rsid w:val="0077267C"/>
    <w:rsid w:val="00772741"/>
    <w:rsid w:val="0077798A"/>
    <w:rsid w:val="0078066A"/>
    <w:rsid w:val="00781621"/>
    <w:rsid w:val="007834B1"/>
    <w:rsid w:val="00785B32"/>
    <w:rsid w:val="0078731E"/>
    <w:rsid w:val="007933C1"/>
    <w:rsid w:val="00795099"/>
    <w:rsid w:val="007A67F0"/>
    <w:rsid w:val="007B58CA"/>
    <w:rsid w:val="007C047A"/>
    <w:rsid w:val="007C54A3"/>
    <w:rsid w:val="007E1F99"/>
    <w:rsid w:val="007E34F0"/>
    <w:rsid w:val="007F6CB0"/>
    <w:rsid w:val="008068F7"/>
    <w:rsid w:val="00810DC1"/>
    <w:rsid w:val="00817480"/>
    <w:rsid w:val="0082230E"/>
    <w:rsid w:val="00822C8E"/>
    <w:rsid w:val="00833EB7"/>
    <w:rsid w:val="00836C92"/>
    <w:rsid w:val="008406A7"/>
    <w:rsid w:val="008500FB"/>
    <w:rsid w:val="00851203"/>
    <w:rsid w:val="0085124C"/>
    <w:rsid w:val="00853FCC"/>
    <w:rsid w:val="00866016"/>
    <w:rsid w:val="008732E9"/>
    <w:rsid w:val="008805BE"/>
    <w:rsid w:val="00884BCF"/>
    <w:rsid w:val="00886119"/>
    <w:rsid w:val="008926EF"/>
    <w:rsid w:val="008945B0"/>
    <w:rsid w:val="008B4D56"/>
    <w:rsid w:val="008C60F3"/>
    <w:rsid w:val="008C6749"/>
    <w:rsid w:val="008D3FD2"/>
    <w:rsid w:val="008D692E"/>
    <w:rsid w:val="008E5EF4"/>
    <w:rsid w:val="008E7947"/>
    <w:rsid w:val="008F48D1"/>
    <w:rsid w:val="008F7788"/>
    <w:rsid w:val="00904A35"/>
    <w:rsid w:val="00906273"/>
    <w:rsid w:val="00907A97"/>
    <w:rsid w:val="00913E99"/>
    <w:rsid w:val="00916426"/>
    <w:rsid w:val="009179C8"/>
    <w:rsid w:val="00924113"/>
    <w:rsid w:val="00932C2D"/>
    <w:rsid w:val="00933F34"/>
    <w:rsid w:val="0093556F"/>
    <w:rsid w:val="00940D35"/>
    <w:rsid w:val="00942559"/>
    <w:rsid w:val="009438C5"/>
    <w:rsid w:val="00946BC1"/>
    <w:rsid w:val="0095135D"/>
    <w:rsid w:val="0096069A"/>
    <w:rsid w:val="00992AAD"/>
    <w:rsid w:val="009A07B3"/>
    <w:rsid w:val="009A7EC7"/>
    <w:rsid w:val="009B03EA"/>
    <w:rsid w:val="009B6BE0"/>
    <w:rsid w:val="009C4E84"/>
    <w:rsid w:val="009C61D5"/>
    <w:rsid w:val="009D2DEA"/>
    <w:rsid w:val="009D7BEC"/>
    <w:rsid w:val="009E3E00"/>
    <w:rsid w:val="009E56C1"/>
    <w:rsid w:val="009F6851"/>
    <w:rsid w:val="00A0720D"/>
    <w:rsid w:val="00A10AD9"/>
    <w:rsid w:val="00A13DA5"/>
    <w:rsid w:val="00A22811"/>
    <w:rsid w:val="00A31128"/>
    <w:rsid w:val="00A32323"/>
    <w:rsid w:val="00A445B6"/>
    <w:rsid w:val="00A44DD6"/>
    <w:rsid w:val="00A6252D"/>
    <w:rsid w:val="00A650A7"/>
    <w:rsid w:val="00A6631C"/>
    <w:rsid w:val="00A70FEF"/>
    <w:rsid w:val="00A73156"/>
    <w:rsid w:val="00A83D31"/>
    <w:rsid w:val="00A909EA"/>
    <w:rsid w:val="00A912EF"/>
    <w:rsid w:val="00A92D71"/>
    <w:rsid w:val="00A9495B"/>
    <w:rsid w:val="00AA1F43"/>
    <w:rsid w:val="00AA516F"/>
    <w:rsid w:val="00AA68E4"/>
    <w:rsid w:val="00AB76B0"/>
    <w:rsid w:val="00AB7A04"/>
    <w:rsid w:val="00AC4F54"/>
    <w:rsid w:val="00AC573F"/>
    <w:rsid w:val="00AD2120"/>
    <w:rsid w:val="00AD5A9A"/>
    <w:rsid w:val="00AE5DE0"/>
    <w:rsid w:val="00AF006E"/>
    <w:rsid w:val="00AF47FA"/>
    <w:rsid w:val="00AF5B0F"/>
    <w:rsid w:val="00B02710"/>
    <w:rsid w:val="00B03923"/>
    <w:rsid w:val="00B04540"/>
    <w:rsid w:val="00B1282F"/>
    <w:rsid w:val="00B157BD"/>
    <w:rsid w:val="00B26027"/>
    <w:rsid w:val="00B34C25"/>
    <w:rsid w:val="00B369D1"/>
    <w:rsid w:val="00B51193"/>
    <w:rsid w:val="00B578C8"/>
    <w:rsid w:val="00B6065C"/>
    <w:rsid w:val="00B61449"/>
    <w:rsid w:val="00B638BF"/>
    <w:rsid w:val="00B719CC"/>
    <w:rsid w:val="00B72616"/>
    <w:rsid w:val="00B77CE8"/>
    <w:rsid w:val="00B84CAA"/>
    <w:rsid w:val="00B87FD5"/>
    <w:rsid w:val="00B926D7"/>
    <w:rsid w:val="00B94135"/>
    <w:rsid w:val="00BA146C"/>
    <w:rsid w:val="00BC062C"/>
    <w:rsid w:val="00BC60DD"/>
    <w:rsid w:val="00BC61C3"/>
    <w:rsid w:val="00BD00C4"/>
    <w:rsid w:val="00BD2D1E"/>
    <w:rsid w:val="00BF02B1"/>
    <w:rsid w:val="00BF0645"/>
    <w:rsid w:val="00C020DE"/>
    <w:rsid w:val="00C07FEF"/>
    <w:rsid w:val="00C20B66"/>
    <w:rsid w:val="00C259DB"/>
    <w:rsid w:val="00C406CD"/>
    <w:rsid w:val="00C43A75"/>
    <w:rsid w:val="00C471F3"/>
    <w:rsid w:val="00C53B42"/>
    <w:rsid w:val="00C576AA"/>
    <w:rsid w:val="00C622BE"/>
    <w:rsid w:val="00C647A8"/>
    <w:rsid w:val="00C73AE3"/>
    <w:rsid w:val="00C83896"/>
    <w:rsid w:val="00CA1DB5"/>
    <w:rsid w:val="00CB42F8"/>
    <w:rsid w:val="00CB5EC4"/>
    <w:rsid w:val="00CC10E9"/>
    <w:rsid w:val="00CD3945"/>
    <w:rsid w:val="00CF25FC"/>
    <w:rsid w:val="00D0573D"/>
    <w:rsid w:val="00D141DA"/>
    <w:rsid w:val="00D20F86"/>
    <w:rsid w:val="00D25A55"/>
    <w:rsid w:val="00D324AC"/>
    <w:rsid w:val="00D347D8"/>
    <w:rsid w:val="00D40298"/>
    <w:rsid w:val="00D40568"/>
    <w:rsid w:val="00D43747"/>
    <w:rsid w:val="00D46BC9"/>
    <w:rsid w:val="00D51BFB"/>
    <w:rsid w:val="00D565CD"/>
    <w:rsid w:val="00D74104"/>
    <w:rsid w:val="00D90B72"/>
    <w:rsid w:val="00D920FC"/>
    <w:rsid w:val="00D94AD6"/>
    <w:rsid w:val="00D94DBB"/>
    <w:rsid w:val="00D96CF7"/>
    <w:rsid w:val="00DB2402"/>
    <w:rsid w:val="00DB5A38"/>
    <w:rsid w:val="00DB619D"/>
    <w:rsid w:val="00DB7E8E"/>
    <w:rsid w:val="00DC08F3"/>
    <w:rsid w:val="00DC569D"/>
    <w:rsid w:val="00DC5D65"/>
    <w:rsid w:val="00DC7889"/>
    <w:rsid w:val="00DD3D77"/>
    <w:rsid w:val="00DF4A39"/>
    <w:rsid w:val="00E05B74"/>
    <w:rsid w:val="00E1163F"/>
    <w:rsid w:val="00E133D1"/>
    <w:rsid w:val="00E17E8E"/>
    <w:rsid w:val="00E2647A"/>
    <w:rsid w:val="00E33C79"/>
    <w:rsid w:val="00E36284"/>
    <w:rsid w:val="00E40971"/>
    <w:rsid w:val="00E4513C"/>
    <w:rsid w:val="00E501A9"/>
    <w:rsid w:val="00E578EE"/>
    <w:rsid w:val="00E60F3F"/>
    <w:rsid w:val="00E63F00"/>
    <w:rsid w:val="00E82D09"/>
    <w:rsid w:val="00E8400E"/>
    <w:rsid w:val="00E8548A"/>
    <w:rsid w:val="00E94F0E"/>
    <w:rsid w:val="00EA2B0E"/>
    <w:rsid w:val="00EB06F2"/>
    <w:rsid w:val="00EB1B92"/>
    <w:rsid w:val="00EB7B32"/>
    <w:rsid w:val="00EC14B9"/>
    <w:rsid w:val="00EC22C7"/>
    <w:rsid w:val="00ED69A2"/>
    <w:rsid w:val="00ED768F"/>
    <w:rsid w:val="00F05CA2"/>
    <w:rsid w:val="00F10F62"/>
    <w:rsid w:val="00F15BE3"/>
    <w:rsid w:val="00F1679C"/>
    <w:rsid w:val="00F178BC"/>
    <w:rsid w:val="00F21F55"/>
    <w:rsid w:val="00F4339C"/>
    <w:rsid w:val="00F46588"/>
    <w:rsid w:val="00F47394"/>
    <w:rsid w:val="00F55052"/>
    <w:rsid w:val="00F553FA"/>
    <w:rsid w:val="00F55D8F"/>
    <w:rsid w:val="00F81906"/>
    <w:rsid w:val="00F84DB9"/>
    <w:rsid w:val="00F8696A"/>
    <w:rsid w:val="00F916FC"/>
    <w:rsid w:val="00F947F4"/>
    <w:rsid w:val="00FA06C4"/>
    <w:rsid w:val="00FA47C7"/>
    <w:rsid w:val="00FA4DE1"/>
    <w:rsid w:val="00FA5FB4"/>
    <w:rsid w:val="00FB0461"/>
    <w:rsid w:val="00FB3BDC"/>
    <w:rsid w:val="00FC3BF9"/>
    <w:rsid w:val="00FC3C35"/>
    <w:rsid w:val="00FC66BF"/>
    <w:rsid w:val="00FD5794"/>
    <w:rsid w:val="00FE3196"/>
    <w:rsid w:val="00FF554E"/>
    <w:rsid w:val="00FF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26B0"/>
  <w15:chartTrackingRefBased/>
  <w15:docId w15:val="{AA0DBE6C-7D5F-4C8E-B59A-56B2059E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DA5"/>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8F48D1"/>
    <w:pPr>
      <w:keepNext/>
      <w:keepLines/>
      <w:spacing w:before="40" w:after="0"/>
      <w:outlineLvl w:val="1"/>
    </w:pPr>
    <w:rPr>
      <w:rFonts w:ascii="Calibri" w:eastAsia="Times New Roman" w:hAnsi="Calibri" w:cs="Times New Roman"/>
      <w:b/>
      <w:color w:val="4472C4" w:themeColor="accent5"/>
      <w:sz w:val="26"/>
      <w:szCs w:val="26"/>
      <w:lang w:val="sr-Latn-ME"/>
    </w:rPr>
  </w:style>
  <w:style w:type="paragraph" w:styleId="Heading3">
    <w:name w:val="heading 3"/>
    <w:basedOn w:val="Normal"/>
    <w:next w:val="Normal"/>
    <w:link w:val="Heading3Char"/>
    <w:uiPriority w:val="9"/>
    <w:unhideWhenUsed/>
    <w:qFormat/>
    <w:rsid w:val="00A13DA5"/>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A13DA5"/>
    <w:pPr>
      <w:shd w:val="clear" w:color="auto" w:fill="D9E2F3"/>
      <w:spacing w:after="120" w:line="240" w:lineRule="auto"/>
      <w:jc w:val="both"/>
      <w:outlineLvl w:val="3"/>
    </w:pPr>
    <w:rPr>
      <w:rFonts w:ascii="Calibri" w:eastAsia="Calibri" w:hAnsi="Calibri" w:cs="Times New Roman"/>
      <w:lang w:val="hr-BA"/>
    </w:rPr>
  </w:style>
  <w:style w:type="paragraph" w:styleId="Heading5">
    <w:name w:val="heading 5"/>
    <w:basedOn w:val="Normal"/>
    <w:next w:val="Normal"/>
    <w:link w:val="Heading5Char"/>
    <w:uiPriority w:val="9"/>
    <w:unhideWhenUsed/>
    <w:qFormat/>
    <w:rsid w:val="00A13DA5"/>
    <w:pPr>
      <w:keepNext/>
      <w:keepLines/>
      <w:spacing w:before="40" w:after="0" w:line="276" w:lineRule="auto"/>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223F35"/>
    <w:pPr>
      <w:keepNext/>
      <w:keepLines/>
      <w:spacing w:before="40" w:after="0"/>
      <w:outlineLvl w:val="5"/>
    </w:pPr>
    <w:rPr>
      <w:rFonts w:eastAsiaTheme="majorEastAsia" w:cstheme="majorBidi"/>
      <w:i/>
      <w:iCs/>
      <w:color w:val="595959" w:themeColor="text1" w:themeTint="A6"/>
      <w:lang w:val="en-GB" w:eastAsia="ru-RU"/>
    </w:rPr>
  </w:style>
  <w:style w:type="paragraph" w:styleId="Heading7">
    <w:name w:val="heading 7"/>
    <w:basedOn w:val="Normal"/>
    <w:next w:val="Normal"/>
    <w:link w:val="Heading7Char"/>
    <w:uiPriority w:val="9"/>
    <w:semiHidden/>
    <w:unhideWhenUsed/>
    <w:qFormat/>
    <w:rsid w:val="00223F35"/>
    <w:pPr>
      <w:keepNext/>
      <w:keepLines/>
      <w:spacing w:before="40" w:after="0"/>
      <w:outlineLvl w:val="6"/>
    </w:pPr>
    <w:rPr>
      <w:rFonts w:eastAsiaTheme="majorEastAsia" w:cstheme="majorBidi"/>
      <w:color w:val="595959" w:themeColor="text1" w:themeTint="A6"/>
      <w:lang w:val="en-GB" w:eastAsia="ru-RU"/>
    </w:rPr>
  </w:style>
  <w:style w:type="paragraph" w:styleId="Heading8">
    <w:name w:val="heading 8"/>
    <w:basedOn w:val="Normal"/>
    <w:next w:val="Normal"/>
    <w:link w:val="Heading8Char"/>
    <w:uiPriority w:val="9"/>
    <w:semiHidden/>
    <w:unhideWhenUsed/>
    <w:qFormat/>
    <w:rsid w:val="00223F35"/>
    <w:pPr>
      <w:keepNext/>
      <w:keepLines/>
      <w:spacing w:after="0"/>
      <w:outlineLvl w:val="7"/>
    </w:pPr>
    <w:rPr>
      <w:rFonts w:eastAsiaTheme="majorEastAsia" w:cstheme="majorBidi"/>
      <w:i/>
      <w:iCs/>
      <w:color w:val="272727" w:themeColor="text1" w:themeTint="D8"/>
      <w:lang w:val="en-GB" w:eastAsia="ru-RU"/>
    </w:rPr>
  </w:style>
  <w:style w:type="paragraph" w:styleId="Heading9">
    <w:name w:val="heading 9"/>
    <w:basedOn w:val="Normal"/>
    <w:next w:val="Normal"/>
    <w:link w:val="Heading9Char"/>
    <w:uiPriority w:val="9"/>
    <w:semiHidden/>
    <w:unhideWhenUsed/>
    <w:qFormat/>
    <w:rsid w:val="00223F35"/>
    <w:pPr>
      <w:keepNext/>
      <w:keepLines/>
      <w:spacing w:after="0"/>
      <w:outlineLvl w:val="8"/>
    </w:pPr>
    <w:rPr>
      <w:rFonts w:eastAsiaTheme="majorEastAsia" w:cstheme="majorBidi"/>
      <w:color w:val="272727" w:themeColor="text1" w:themeTint="D8"/>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530"/>
    <w:pPr>
      <w:spacing w:after="0" w:line="240" w:lineRule="auto"/>
    </w:pPr>
    <w:rPr>
      <w:rFonts w:ascii="Calibri" w:eastAsia="Calibri" w:hAnsi="Calibri" w:cs="Times New Roman"/>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Footnote text,Ref"/>
    <w:link w:val="BVIfnrChar1Char"/>
    <w:uiPriority w:val="99"/>
    <w:unhideWhenUsed/>
    <w:qFormat/>
    <w:rsid w:val="00047530"/>
    <w:rPr>
      <w:vertAlign w:val="superscript"/>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qFormat/>
    <w:rsid w:val="00047530"/>
    <w:pPr>
      <w:spacing w:before="100" w:beforeAutospacing="1" w:after="100" w:afterAutospacing="1" w:line="240" w:lineRule="exact"/>
      <w:jc w:val="both"/>
    </w:pPr>
    <w:rPr>
      <w:vertAlign w:val="superscript"/>
    </w:rPr>
  </w:style>
  <w:style w:type="paragraph" w:styleId="ListParagraph">
    <w:name w:val="List Paragraph"/>
    <w:aliases w:val="Table of contents numbered,Bullet Points,Liste Paragraf,lp1,List Paragraph (numbered (a)),Normal 1,List Paragraph 1,Akapit z listą BS,Bullets,PDP DOCUMENT SUBTITLE,Paragraphe de liste PBLH,Lapis Bulleted List,Liststycke SKL"/>
    <w:basedOn w:val="Normal"/>
    <w:link w:val="ListParagraphChar"/>
    <w:uiPriority w:val="34"/>
    <w:qFormat/>
    <w:rsid w:val="00047530"/>
    <w:pPr>
      <w:ind w:left="720"/>
      <w:contextualSpacing/>
    </w:pPr>
  </w:style>
  <w:style w:type="paragraph" w:styleId="FootnoteText">
    <w:name w:val="footnote text"/>
    <w:aliases w:val="single space,Footnote Text Char Char,Footnote Text Char Char Char,FOOTNOTES,fn,Footnote Text Char Char1,Footnote Text Char1 Char Char,Footnote Text Char Char1 Char Char,Footnote Text Char Char Char Char Char Char,Fußnote,[txt] Footnote,ft"/>
    <w:basedOn w:val="Normal"/>
    <w:link w:val="FootnoteTextChar"/>
    <w:uiPriority w:val="99"/>
    <w:unhideWhenUsed/>
    <w:qFormat/>
    <w:rsid w:val="001838F3"/>
    <w:rPr>
      <w:rFonts w:ascii="Calibri" w:eastAsia="Calibri" w:hAnsi="Calibri" w:cs="Times New Roman"/>
      <w:sz w:val="20"/>
      <w:szCs w:val="20"/>
      <w:lang w:val="en-GB"/>
    </w:rPr>
  </w:style>
  <w:style w:type="character" w:customStyle="1" w:styleId="FootnoteTextChar">
    <w:name w:val="Footnote Text Char"/>
    <w:aliases w:val="single space Char,Footnote Text Char Char Char1,Footnote Text Char Char Char Char,FOOTNOTES Char,fn Char,Footnote Text Char Char1 Char,Footnote Text Char1 Char Char Char,Footnote Text Char Char1 Char Char Char,Fußnote Char,ft Char"/>
    <w:basedOn w:val="DefaultParagraphFont"/>
    <w:link w:val="FootnoteText"/>
    <w:uiPriority w:val="99"/>
    <w:qFormat/>
    <w:rsid w:val="001838F3"/>
    <w:rPr>
      <w:rFonts w:ascii="Calibri" w:eastAsia="Calibri" w:hAnsi="Calibri" w:cs="Times New Roman"/>
      <w:sz w:val="20"/>
      <w:szCs w:val="20"/>
      <w:lang w:val="en-GB"/>
    </w:rPr>
  </w:style>
  <w:style w:type="paragraph" w:customStyle="1" w:styleId="ftrefChar">
    <w:name w:val="ftref Char"/>
    <w:aliases w:val="Footnote text Char,Ref Char,de nota al pie Char,16 Point Char,Superscript 6 Point Char,Знак сноски 1 Char,样式程脚注引用 Char,Footnotes refss Char,SUPERS Char,nota pié di pagina Char,BVI fnr Char,BVI fnr Car Car Char"/>
    <w:basedOn w:val="Normal"/>
    <w:rsid w:val="001838F3"/>
    <w:pPr>
      <w:spacing w:line="240" w:lineRule="exact"/>
    </w:pPr>
    <w:rPr>
      <w:vertAlign w:val="superscript"/>
    </w:rPr>
  </w:style>
  <w:style w:type="table" w:styleId="TableGrid">
    <w:name w:val="Table Grid"/>
    <w:basedOn w:val="TableNormal"/>
    <w:uiPriority w:val="39"/>
    <w:rsid w:val="001838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Points Char,Liste Paragraf Char,lp1 Char,List Paragraph (numbered (a)) Char,Normal 1 Char,List Paragraph 1 Char,Akapit z listą BS Char,Bullets Char,PDP DOCUMENT SUBTITLE Char,Liststycke SKL Char"/>
    <w:link w:val="ListParagraph"/>
    <w:uiPriority w:val="34"/>
    <w:qFormat/>
    <w:locked/>
    <w:rsid w:val="007B58CA"/>
  </w:style>
  <w:style w:type="character" w:styleId="Hyperlink">
    <w:name w:val="Hyperlink"/>
    <w:uiPriority w:val="99"/>
    <w:unhideWhenUsed/>
    <w:rsid w:val="00DC08F3"/>
    <w:rPr>
      <w:color w:val="0563C1"/>
      <w:u w:val="single"/>
    </w:rPr>
  </w:style>
  <w:style w:type="character" w:styleId="Strong">
    <w:name w:val="Strong"/>
    <w:uiPriority w:val="22"/>
    <w:qFormat/>
    <w:rsid w:val="00DC08F3"/>
    <w:rPr>
      <w:b/>
      <w:bCs/>
    </w:rPr>
  </w:style>
  <w:style w:type="character" w:styleId="Emphasis">
    <w:name w:val="Emphasis"/>
    <w:uiPriority w:val="20"/>
    <w:qFormat/>
    <w:rsid w:val="00DC08F3"/>
    <w:rPr>
      <w:i/>
      <w:iCs/>
    </w:rPr>
  </w:style>
  <w:style w:type="character" w:customStyle="1" w:styleId="Heading1Char">
    <w:name w:val="Heading 1 Char"/>
    <w:basedOn w:val="DefaultParagraphFont"/>
    <w:link w:val="Heading1"/>
    <w:uiPriority w:val="9"/>
    <w:rsid w:val="00A13DA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8F48D1"/>
    <w:rPr>
      <w:rFonts w:ascii="Calibri" w:eastAsia="Times New Roman" w:hAnsi="Calibri" w:cs="Times New Roman"/>
      <w:b/>
      <w:color w:val="4472C4" w:themeColor="accent5"/>
      <w:sz w:val="26"/>
      <w:szCs w:val="26"/>
      <w:lang w:val="sr-Latn-ME"/>
    </w:rPr>
  </w:style>
  <w:style w:type="character" w:customStyle="1" w:styleId="Heading3Char">
    <w:name w:val="Heading 3 Char"/>
    <w:basedOn w:val="DefaultParagraphFont"/>
    <w:link w:val="Heading3"/>
    <w:uiPriority w:val="9"/>
    <w:rsid w:val="00A13DA5"/>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A13DA5"/>
    <w:rPr>
      <w:rFonts w:ascii="Calibri" w:eastAsia="Calibri" w:hAnsi="Calibri" w:cs="Times New Roman"/>
      <w:shd w:val="clear" w:color="auto" w:fill="D9E2F3"/>
      <w:lang w:val="hr-BA"/>
    </w:rPr>
  </w:style>
  <w:style w:type="character" w:customStyle="1" w:styleId="Heading5Char">
    <w:name w:val="Heading 5 Char"/>
    <w:basedOn w:val="DefaultParagraphFont"/>
    <w:link w:val="Heading5"/>
    <w:uiPriority w:val="9"/>
    <w:rsid w:val="00A13DA5"/>
    <w:rPr>
      <w:rFonts w:ascii="Calibri Light" w:eastAsia="Times New Roman" w:hAnsi="Calibri Light" w:cs="Times New Roman"/>
      <w:color w:val="2F5496"/>
    </w:rPr>
  </w:style>
  <w:style w:type="paragraph" w:styleId="Header">
    <w:name w:val="header"/>
    <w:basedOn w:val="Normal"/>
    <w:link w:val="HeaderChar"/>
    <w:uiPriority w:val="99"/>
    <w:unhideWhenUsed/>
    <w:rsid w:val="00A13DA5"/>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A13DA5"/>
    <w:rPr>
      <w:rFonts w:ascii="Calibri" w:eastAsia="Calibri" w:hAnsi="Calibri" w:cs="Times New Roman"/>
    </w:rPr>
  </w:style>
  <w:style w:type="paragraph" w:styleId="Footer">
    <w:name w:val="footer"/>
    <w:basedOn w:val="Normal"/>
    <w:link w:val="FooterChar"/>
    <w:uiPriority w:val="99"/>
    <w:unhideWhenUsed/>
    <w:rsid w:val="00A13DA5"/>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A13DA5"/>
    <w:rPr>
      <w:rFonts w:ascii="Calibri" w:eastAsia="Calibri" w:hAnsi="Calibri" w:cs="Times New Roman"/>
    </w:rPr>
  </w:style>
  <w:style w:type="character" w:customStyle="1" w:styleId="UnresolvedMention1">
    <w:name w:val="Unresolved Mention1"/>
    <w:uiPriority w:val="99"/>
    <w:semiHidden/>
    <w:unhideWhenUsed/>
    <w:rsid w:val="00A13DA5"/>
    <w:rPr>
      <w:color w:val="605E5C"/>
      <w:shd w:val="clear" w:color="auto" w:fill="E1DFDD"/>
    </w:rPr>
  </w:style>
  <w:style w:type="paragraph" w:styleId="BalloonText">
    <w:name w:val="Balloon Text"/>
    <w:basedOn w:val="Normal"/>
    <w:link w:val="BalloonTextChar"/>
    <w:uiPriority w:val="99"/>
    <w:unhideWhenUsed/>
    <w:rsid w:val="00A13DA5"/>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A13DA5"/>
    <w:rPr>
      <w:rFonts w:ascii="Segoe UI" w:eastAsia="Calibri" w:hAnsi="Segoe UI" w:cs="Segoe UI"/>
      <w:sz w:val="18"/>
      <w:szCs w:val="18"/>
    </w:rPr>
  </w:style>
  <w:style w:type="paragraph" w:customStyle="1" w:styleId="N03Y">
    <w:name w:val="N03Y"/>
    <w:basedOn w:val="Normal"/>
    <w:uiPriority w:val="99"/>
    <w:rsid w:val="00A13DA5"/>
    <w:pPr>
      <w:autoSpaceDE w:val="0"/>
      <w:autoSpaceDN w:val="0"/>
      <w:adjustRightInd w:val="0"/>
      <w:spacing w:before="200" w:after="200" w:line="240" w:lineRule="auto"/>
      <w:jc w:val="center"/>
    </w:pPr>
    <w:rPr>
      <w:rFonts w:ascii="Times New Roman" w:eastAsia="Times New Roman" w:hAnsi="Times New Roman" w:cs="Times New Roman"/>
      <w:b/>
      <w:bCs/>
      <w:color w:val="000000"/>
      <w:sz w:val="28"/>
      <w:szCs w:val="28"/>
      <w:lang w:val="en-GB" w:eastAsia="en-GB"/>
    </w:rPr>
  </w:style>
  <w:style w:type="numbering" w:customStyle="1" w:styleId="NoList1">
    <w:name w:val="No List1"/>
    <w:next w:val="NoList"/>
    <w:uiPriority w:val="99"/>
    <w:semiHidden/>
    <w:unhideWhenUsed/>
    <w:rsid w:val="00A13DA5"/>
  </w:style>
  <w:style w:type="table" w:customStyle="1" w:styleId="TableGrid1">
    <w:name w:val="Table Grid1"/>
    <w:basedOn w:val="TableNormal"/>
    <w:next w:val="TableGrid"/>
    <w:uiPriority w:val="3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1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3DA5"/>
    <w:rPr>
      <w:rFonts w:ascii="Courier New" w:eastAsia="Times New Roman" w:hAnsi="Courier New" w:cs="Courier New"/>
      <w:sz w:val="20"/>
      <w:szCs w:val="20"/>
    </w:rPr>
  </w:style>
  <w:style w:type="character" w:customStyle="1" w:styleId="y2iqfc">
    <w:name w:val="y2iqfc"/>
    <w:rsid w:val="00A13DA5"/>
  </w:style>
  <w:style w:type="character" w:styleId="CommentReference">
    <w:name w:val="annotation reference"/>
    <w:uiPriority w:val="99"/>
    <w:unhideWhenUsed/>
    <w:rsid w:val="00A13DA5"/>
    <w:rPr>
      <w:sz w:val="16"/>
      <w:szCs w:val="16"/>
    </w:rPr>
  </w:style>
  <w:style w:type="paragraph" w:styleId="CommentText">
    <w:name w:val="annotation text"/>
    <w:basedOn w:val="Normal"/>
    <w:link w:val="CommentTextChar"/>
    <w:uiPriority w:val="99"/>
    <w:unhideWhenUsed/>
    <w:rsid w:val="00A13DA5"/>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13DA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3DA5"/>
    <w:rPr>
      <w:b/>
      <w:bCs/>
    </w:rPr>
  </w:style>
  <w:style w:type="character" w:customStyle="1" w:styleId="CommentSubjectChar">
    <w:name w:val="Comment Subject Char"/>
    <w:basedOn w:val="CommentTextChar"/>
    <w:link w:val="CommentSubject"/>
    <w:uiPriority w:val="99"/>
    <w:semiHidden/>
    <w:rsid w:val="00A13DA5"/>
    <w:rPr>
      <w:rFonts w:ascii="Calibri" w:eastAsia="Calibri" w:hAnsi="Calibri" w:cs="Times New Roman"/>
      <w:b/>
      <w:bCs/>
      <w:sz w:val="20"/>
      <w:szCs w:val="20"/>
    </w:rPr>
  </w:style>
  <w:style w:type="paragraph" w:styleId="Title">
    <w:name w:val="Title"/>
    <w:basedOn w:val="Normal"/>
    <w:next w:val="Normal"/>
    <w:link w:val="TitleChar"/>
    <w:uiPriority w:val="10"/>
    <w:qFormat/>
    <w:rsid w:val="00A13DA5"/>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A13DA5"/>
    <w:rPr>
      <w:rFonts w:ascii="Calibri Light" w:eastAsia="Times New Roman" w:hAnsi="Calibri Light" w:cs="Times New Roman"/>
      <w:color w:val="323E4F"/>
      <w:spacing w:val="5"/>
      <w:kern w:val="28"/>
      <w:sz w:val="52"/>
      <w:szCs w:val="52"/>
    </w:rPr>
  </w:style>
  <w:style w:type="paragraph" w:customStyle="1" w:styleId="BodyText23">
    <w:name w:val="Body Text 23"/>
    <w:basedOn w:val="Normal"/>
    <w:rsid w:val="00A13DA5"/>
    <w:pPr>
      <w:widowControl w:val="0"/>
      <w:tabs>
        <w:tab w:val="left" w:pos="547"/>
      </w:tabs>
      <w:spacing w:after="0" w:line="240" w:lineRule="auto"/>
    </w:pPr>
    <w:rPr>
      <w:rFonts w:ascii="Times New Roman" w:eastAsia="Times New Roman" w:hAnsi="Times New Roman" w:cs="Times New Roman"/>
      <w:snapToGrid w:val="0"/>
      <w:szCs w:val="20"/>
    </w:rPr>
  </w:style>
  <w:style w:type="table" w:customStyle="1" w:styleId="GridTable5Dark-Accent51">
    <w:name w:val="Grid Table 5 Dark - Accent 5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m168692539939933712m1562602020031427665m1365121621130781357gmail-msolistparagraph">
    <w:name w:val="m_168692539939933712m_1562602020031427665m_1365121621130781357gmail-msolistparagraph"/>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uiPriority w:val="99"/>
    <w:rsid w:val="00A13DA5"/>
    <w:rPr>
      <w:rFonts w:ascii="Trebuchet MS" w:hAnsi="Trebuchet MS" w:cs="Trebuchet MS"/>
      <w:color w:val="000000"/>
      <w:sz w:val="22"/>
      <w:szCs w:val="22"/>
    </w:rPr>
  </w:style>
  <w:style w:type="paragraph" w:customStyle="1" w:styleId="wyq110---naslov-clana">
    <w:name w:val="wyq110---naslov-clana"/>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link w:val="Normal1Char"/>
    <w:qFormat/>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13DA5"/>
    <w:pPr>
      <w:autoSpaceDE w:val="0"/>
      <w:autoSpaceDN w:val="0"/>
      <w:adjustRightInd w:val="0"/>
      <w:spacing w:after="0" w:line="240" w:lineRule="auto"/>
    </w:pPr>
    <w:rPr>
      <w:rFonts w:ascii="Calibri" w:eastAsia="Calibri" w:hAnsi="Calibri" w:cs="Calibri"/>
      <w:color w:val="000000"/>
      <w:sz w:val="24"/>
      <w:szCs w:val="24"/>
    </w:rPr>
  </w:style>
  <w:style w:type="paragraph" w:styleId="TOCHeading">
    <w:name w:val="TOC Heading"/>
    <w:basedOn w:val="Heading1"/>
    <w:next w:val="Normal"/>
    <w:uiPriority w:val="39"/>
    <w:unhideWhenUsed/>
    <w:qFormat/>
    <w:rsid w:val="00A13DA5"/>
    <w:pPr>
      <w:keepLines/>
      <w:spacing w:after="0"/>
      <w:outlineLvl w:val="9"/>
    </w:pPr>
    <w:rPr>
      <w:rFonts w:eastAsia="Calibri"/>
      <w:b w:val="0"/>
      <w:bCs w:val="0"/>
      <w:noProof/>
      <w:color w:val="2F5496"/>
      <w:kern w:val="0"/>
      <w:lang w:val="hr-HR" w:eastAsia="sr-Latn-ME"/>
    </w:rPr>
  </w:style>
  <w:style w:type="paragraph" w:styleId="TOC1">
    <w:name w:val="toc 1"/>
    <w:basedOn w:val="Normal"/>
    <w:next w:val="Normal"/>
    <w:autoRedefine/>
    <w:uiPriority w:val="39"/>
    <w:unhideWhenUsed/>
    <w:rsid w:val="00A13DA5"/>
    <w:pPr>
      <w:spacing w:after="100"/>
    </w:pPr>
    <w:rPr>
      <w:rFonts w:ascii="Calibri" w:eastAsia="Calibri" w:hAnsi="Calibri" w:cs="Times New Roman"/>
    </w:rPr>
  </w:style>
  <w:style w:type="paragraph" w:styleId="TOC2">
    <w:name w:val="toc 2"/>
    <w:basedOn w:val="Normal"/>
    <w:next w:val="Normal"/>
    <w:autoRedefine/>
    <w:uiPriority w:val="39"/>
    <w:unhideWhenUsed/>
    <w:rsid w:val="00A13DA5"/>
    <w:pPr>
      <w:tabs>
        <w:tab w:val="left" w:pos="880"/>
        <w:tab w:val="right" w:leader="underscore" w:pos="9350"/>
      </w:tabs>
      <w:spacing w:after="100"/>
      <w:ind w:left="220"/>
      <w:jc w:val="both"/>
    </w:pPr>
    <w:rPr>
      <w:rFonts w:ascii="Calibri" w:eastAsia="Times New Roman" w:hAnsi="Calibri" w:cs="Calibri"/>
      <w:noProof/>
    </w:rPr>
  </w:style>
  <w:style w:type="table" w:customStyle="1" w:styleId="GridTable5Dark-Accent11">
    <w:name w:val="Grid Table 5 Dark - Accent 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OC3">
    <w:name w:val="toc 3"/>
    <w:basedOn w:val="Normal"/>
    <w:next w:val="Normal"/>
    <w:autoRedefine/>
    <w:uiPriority w:val="39"/>
    <w:unhideWhenUsed/>
    <w:rsid w:val="00A13DA5"/>
    <w:pPr>
      <w:spacing w:after="100"/>
      <w:ind w:left="440"/>
    </w:pPr>
    <w:rPr>
      <w:rFonts w:ascii="Calibri" w:eastAsia="Calibri" w:hAnsi="Calibri" w:cs="Times New Roman"/>
    </w:rPr>
  </w:style>
  <w:style w:type="paragraph" w:customStyle="1" w:styleId="bnr-ttl">
    <w:name w:val="bnr-ttl"/>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13DA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52">
    <w:name w:val="Grid Table 5 Dark - Accent 5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2">
    <w:name w:val="Grid Table 5 Dark - Accent 1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UnresolvedMention10">
    <w:name w:val="Unresolved Mention1"/>
    <w:uiPriority w:val="99"/>
    <w:semiHidden/>
    <w:unhideWhenUsed/>
    <w:rsid w:val="00A13DA5"/>
    <w:rPr>
      <w:color w:val="605E5C"/>
      <w:shd w:val="clear" w:color="auto" w:fill="E1DFDD"/>
    </w:rPr>
  </w:style>
  <w:style w:type="table" w:customStyle="1" w:styleId="GridTable5Dark-Accent13">
    <w:name w:val="Grid Table 5 Dark - Accent 13"/>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
    <w:name w:val="Grid Table 5 Dark - Accent 53"/>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2">
    <w:name w:val="Unresolved Mention2"/>
    <w:uiPriority w:val="99"/>
    <w:semiHidden/>
    <w:unhideWhenUsed/>
    <w:rsid w:val="00A13DA5"/>
    <w:rPr>
      <w:color w:val="605E5C"/>
      <w:shd w:val="clear" w:color="auto" w:fill="E1DFDD"/>
    </w:rPr>
  </w:style>
  <w:style w:type="table" w:customStyle="1" w:styleId="TableGrid11">
    <w:name w:val="Table Grid11"/>
    <w:basedOn w:val="TableNormal"/>
    <w:next w:val="TableGrid"/>
    <w:uiPriority w:val="39"/>
    <w:rsid w:val="00A13DA5"/>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1">
    <w:name w:val="Grid Table 5 Dark - Accent 13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1">
    <w:name w:val="Grid Table 5 Dark - Accent 53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3">
    <w:name w:val="Unresolved Mention3"/>
    <w:uiPriority w:val="99"/>
    <w:semiHidden/>
    <w:unhideWhenUsed/>
    <w:rsid w:val="00A13DA5"/>
    <w:rPr>
      <w:color w:val="605E5C"/>
      <w:shd w:val="clear" w:color="auto" w:fill="E1DFDD"/>
    </w:rPr>
  </w:style>
  <w:style w:type="character" w:customStyle="1" w:styleId="UnresolvedMention4">
    <w:name w:val="Unresolved Mention4"/>
    <w:uiPriority w:val="99"/>
    <w:semiHidden/>
    <w:unhideWhenUsed/>
    <w:rsid w:val="00A13DA5"/>
    <w:rPr>
      <w:color w:val="605E5C"/>
      <w:shd w:val="clear" w:color="auto" w:fill="E1DFDD"/>
    </w:rPr>
  </w:style>
  <w:style w:type="character" w:customStyle="1" w:styleId="apple-converted-space">
    <w:name w:val="apple-converted-space"/>
    <w:rsid w:val="00A13DA5"/>
  </w:style>
  <w:style w:type="character" w:customStyle="1" w:styleId="UnresolvedMention5">
    <w:name w:val="Unresolved Mention5"/>
    <w:uiPriority w:val="99"/>
    <w:semiHidden/>
    <w:unhideWhenUsed/>
    <w:rsid w:val="00A13DA5"/>
    <w:rPr>
      <w:color w:val="605E5C"/>
      <w:shd w:val="clear" w:color="auto" w:fill="E1DFDD"/>
    </w:rPr>
  </w:style>
  <w:style w:type="paragraph" w:styleId="Revision">
    <w:name w:val="Revision"/>
    <w:hidden/>
    <w:uiPriority w:val="99"/>
    <w:semiHidden/>
    <w:rsid w:val="00A13DA5"/>
    <w:pPr>
      <w:spacing w:after="0" w:line="240" w:lineRule="auto"/>
    </w:pPr>
    <w:rPr>
      <w:rFonts w:ascii="Calibri" w:eastAsia="Calibri" w:hAnsi="Calibri" w:cs="Times New Roman"/>
    </w:rPr>
  </w:style>
  <w:style w:type="character" w:customStyle="1" w:styleId="UnresolvedMention6">
    <w:name w:val="Unresolved Mention6"/>
    <w:uiPriority w:val="99"/>
    <w:semiHidden/>
    <w:unhideWhenUsed/>
    <w:rsid w:val="00A13DA5"/>
    <w:rPr>
      <w:color w:val="605E5C"/>
      <w:shd w:val="clear" w:color="auto" w:fill="E1DFDD"/>
    </w:rPr>
  </w:style>
  <w:style w:type="character" w:styleId="FollowedHyperlink">
    <w:name w:val="FollowedHyperlink"/>
    <w:uiPriority w:val="99"/>
    <w:semiHidden/>
    <w:unhideWhenUsed/>
    <w:rsid w:val="00A13DA5"/>
    <w:rPr>
      <w:color w:val="954F72"/>
      <w:u w:val="single"/>
    </w:rPr>
  </w:style>
  <w:style w:type="character" w:customStyle="1" w:styleId="UnresolvedMention7">
    <w:name w:val="Unresolved Mention7"/>
    <w:uiPriority w:val="99"/>
    <w:semiHidden/>
    <w:unhideWhenUsed/>
    <w:rsid w:val="00A13DA5"/>
    <w:rPr>
      <w:color w:val="605E5C"/>
      <w:shd w:val="clear" w:color="auto" w:fill="E1DFDD"/>
    </w:rPr>
  </w:style>
  <w:style w:type="table" w:customStyle="1" w:styleId="TableGrid2">
    <w:name w:val="Table Grid2"/>
    <w:basedOn w:val="TableNormal"/>
    <w:next w:val="TableGrid"/>
    <w:uiPriority w:val="3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
    <w:basedOn w:val="Normal"/>
    <w:next w:val="Normal"/>
    <w:link w:val="CaptionChar"/>
    <w:uiPriority w:val="35"/>
    <w:unhideWhenUsed/>
    <w:qFormat/>
    <w:rsid w:val="00A13DA5"/>
    <w:pPr>
      <w:spacing w:after="200" w:line="240" w:lineRule="auto"/>
    </w:pPr>
    <w:rPr>
      <w:rFonts w:ascii="Calibri" w:eastAsia="Calibri" w:hAnsi="Calibri" w:cs="Times New Roman"/>
      <w:b/>
      <w:bCs/>
      <w:color w:val="4472C4"/>
      <w:sz w:val="18"/>
      <w:szCs w:val="18"/>
    </w:rPr>
  </w:style>
  <w:style w:type="table" w:customStyle="1" w:styleId="TableGrid21">
    <w:name w:val="Table Grid21"/>
    <w:basedOn w:val="TableNormal"/>
    <w:next w:val="TableGrid"/>
    <w:uiPriority w:val="5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A13DA5"/>
    <w:rPr>
      <w:color w:val="808080"/>
    </w:rPr>
  </w:style>
  <w:style w:type="paragraph" w:customStyle="1" w:styleId="v1msonormal">
    <w:name w:val="v1msonormal"/>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uiPriority w:val="99"/>
    <w:semiHidden/>
    <w:unhideWhenUsed/>
    <w:rsid w:val="00A13DA5"/>
    <w:rPr>
      <w:color w:val="605E5C"/>
      <w:shd w:val="clear" w:color="auto" w:fill="E1DFDD"/>
    </w:rPr>
  </w:style>
  <w:style w:type="numbering" w:customStyle="1" w:styleId="NoList11">
    <w:name w:val="No List11"/>
    <w:next w:val="NoList"/>
    <w:uiPriority w:val="99"/>
    <w:semiHidden/>
    <w:unhideWhenUsed/>
    <w:rsid w:val="00A13DA5"/>
  </w:style>
  <w:style w:type="table" w:customStyle="1" w:styleId="TableGrid3">
    <w:name w:val="Table Grid3"/>
    <w:basedOn w:val="TableNormal"/>
    <w:next w:val="TableGrid"/>
    <w:uiPriority w:val="39"/>
    <w:rsid w:val="00A13DA5"/>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13DA5"/>
  </w:style>
  <w:style w:type="table" w:customStyle="1" w:styleId="TableGrid4">
    <w:name w:val="Table Grid4"/>
    <w:basedOn w:val="TableNormal"/>
    <w:next w:val="TableGrid"/>
    <w:uiPriority w:val="3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1">
    <w:name w:val="Grid Table 5 Dark - Accent 5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1">
    <w:name w:val="Grid Table 5 Dark - Accent 1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1">
    <w:name w:val="Grid Table 5 Dark - Accent 52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21">
    <w:name w:val="Grid Table 5 Dark - Accent 12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32">
    <w:name w:val="Grid Table 5 Dark - Accent 13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2">
    <w:name w:val="Grid Table 5 Dark - Accent 53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311">
    <w:name w:val="Grid Table 5 Dark - Accent 13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11">
    <w:name w:val="Grid Table 5 Dark - Accent 53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22">
    <w:name w:val="Table Grid22"/>
    <w:basedOn w:val="TableNormal"/>
    <w:next w:val="TableGrid"/>
    <w:uiPriority w:val="5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13DA5"/>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A13DA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A13DA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A13DA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A13DA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A13DA5"/>
    <w:pPr>
      <w:spacing w:after="100"/>
      <w:ind w:left="1760"/>
    </w:pPr>
    <w:rPr>
      <w:rFonts w:ascii="Calibri" w:eastAsia="Times New Roman" w:hAnsi="Calibri" w:cs="Times New Roman"/>
    </w:rPr>
  </w:style>
  <w:style w:type="character" w:customStyle="1" w:styleId="UnresolvedMention9">
    <w:name w:val="Unresolved Mention9"/>
    <w:uiPriority w:val="99"/>
    <w:semiHidden/>
    <w:unhideWhenUsed/>
    <w:rsid w:val="00A13DA5"/>
    <w:rPr>
      <w:color w:val="605E5C"/>
      <w:shd w:val="clear" w:color="auto" w:fill="E1DFDD"/>
    </w:rPr>
  </w:style>
  <w:style w:type="paragraph" w:customStyle="1" w:styleId="MediumGrid21">
    <w:name w:val="Medium Grid 21"/>
    <w:uiPriority w:val="1"/>
    <w:qFormat/>
    <w:rsid w:val="00A13DA5"/>
    <w:pPr>
      <w:widowControl w:val="0"/>
      <w:overflowPunct w:val="0"/>
      <w:adjustRightInd w:val="0"/>
      <w:spacing w:after="0" w:line="240" w:lineRule="auto"/>
    </w:pPr>
    <w:rPr>
      <w:rFonts w:ascii="Times New Roman" w:eastAsia="Times New Roman" w:hAnsi="Times New Roman" w:cs="Times New Roman"/>
      <w:kern w:val="28"/>
      <w:sz w:val="24"/>
      <w:szCs w:val="24"/>
      <w:lang w:val="sr-Latn-BA" w:eastAsia="sr-Latn-BA"/>
    </w:rPr>
  </w:style>
  <w:style w:type="character" w:customStyle="1" w:styleId="UnresolvedMention100">
    <w:name w:val="Unresolved Mention10"/>
    <w:uiPriority w:val="99"/>
    <w:semiHidden/>
    <w:unhideWhenUsed/>
    <w:rsid w:val="00A13DA5"/>
    <w:rPr>
      <w:color w:val="605E5C"/>
      <w:shd w:val="clear" w:color="auto" w:fill="E1DFDD"/>
    </w:rPr>
  </w:style>
  <w:style w:type="character" w:customStyle="1" w:styleId="UnresolvedMention11">
    <w:name w:val="Unresolved Mention11"/>
    <w:uiPriority w:val="99"/>
    <w:semiHidden/>
    <w:unhideWhenUsed/>
    <w:rsid w:val="00A13DA5"/>
    <w:rPr>
      <w:color w:val="605E5C"/>
      <w:shd w:val="clear" w:color="auto" w:fill="E1DFDD"/>
    </w:rPr>
  </w:style>
  <w:style w:type="character" w:customStyle="1" w:styleId="UnresolvedMention12">
    <w:name w:val="Unresolved Mention12"/>
    <w:uiPriority w:val="99"/>
    <w:semiHidden/>
    <w:unhideWhenUsed/>
    <w:rsid w:val="00A13DA5"/>
    <w:rPr>
      <w:color w:val="605E5C"/>
      <w:shd w:val="clear" w:color="auto" w:fill="E1DFDD"/>
    </w:rPr>
  </w:style>
  <w:style w:type="character" w:customStyle="1" w:styleId="UnresolvedMention13">
    <w:name w:val="Unresolved Mention13"/>
    <w:uiPriority w:val="99"/>
    <w:semiHidden/>
    <w:unhideWhenUsed/>
    <w:rsid w:val="00A13DA5"/>
    <w:rPr>
      <w:color w:val="605E5C"/>
      <w:shd w:val="clear" w:color="auto" w:fill="E1DFDD"/>
    </w:rPr>
  </w:style>
  <w:style w:type="table" w:customStyle="1" w:styleId="ListTable4-Accent11">
    <w:name w:val="List Table 4 - Accent 11"/>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1">
    <w:name w:val="List Table 4 Accent 1"/>
    <w:basedOn w:val="TableNormal"/>
    <w:uiPriority w:val="49"/>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6">
    <w:name w:val="36"/>
    <w:basedOn w:val="TableNormal"/>
    <w:rsid w:val="00A13DA5"/>
    <w:pPr>
      <w:spacing w:after="0" w:line="240" w:lineRule="auto"/>
      <w:ind w:left="144" w:right="144"/>
    </w:pPr>
    <w:rPr>
      <w:rFonts w:ascii="Calibri" w:eastAsia="Calibri" w:hAnsi="Calibri" w:cs="Calibri"/>
      <w:b/>
      <w:color w:val="000000"/>
      <w:sz w:val="20"/>
      <w:szCs w:val="20"/>
      <w:lang w:val="en-GB"/>
    </w:rPr>
    <w:tblPr>
      <w:tblStyleRowBandSize w:val="1"/>
      <w:tblStyleColBandSize w:val="1"/>
      <w:tblCellMar>
        <w:left w:w="115" w:type="dxa"/>
        <w:right w:w="115" w:type="dxa"/>
      </w:tblCellMar>
    </w:tblPr>
    <w:tcPr>
      <w:shd w:val="clear" w:color="auto" w:fill="EBE9E2"/>
    </w:tcPr>
  </w:style>
  <w:style w:type="table" w:customStyle="1" w:styleId="30">
    <w:name w:val="30"/>
    <w:basedOn w:val="TableNormal"/>
    <w:rsid w:val="00A13DA5"/>
    <w:pPr>
      <w:spacing w:after="0" w:line="240" w:lineRule="auto"/>
      <w:ind w:left="144" w:right="144"/>
    </w:pPr>
    <w:rPr>
      <w:rFonts w:ascii="Calibri" w:eastAsia="Calibri" w:hAnsi="Calibri" w:cs="Calibri"/>
      <w:b/>
      <w:color w:val="000000"/>
      <w:sz w:val="20"/>
      <w:szCs w:val="20"/>
      <w:lang w:val="en-GB"/>
    </w:rPr>
    <w:tblPr>
      <w:tblStyleRowBandSize w:val="1"/>
      <w:tblStyleColBandSize w:val="1"/>
      <w:tblCellMar>
        <w:left w:w="115" w:type="dxa"/>
        <w:right w:w="115" w:type="dxa"/>
      </w:tblCellMar>
    </w:tblPr>
    <w:tcPr>
      <w:shd w:val="clear" w:color="auto" w:fill="EBE9E2"/>
    </w:tcPr>
  </w:style>
  <w:style w:type="table" w:customStyle="1" w:styleId="38">
    <w:name w:val="38"/>
    <w:basedOn w:val="TableNormal"/>
    <w:rsid w:val="00A13DA5"/>
    <w:pPr>
      <w:spacing w:after="0" w:line="240" w:lineRule="auto"/>
      <w:ind w:left="144" w:right="144"/>
    </w:pPr>
    <w:rPr>
      <w:rFonts w:ascii="Calibri" w:eastAsia="Calibri" w:hAnsi="Calibri" w:cs="Calibri"/>
      <w:b/>
      <w:color w:val="000000"/>
      <w:sz w:val="20"/>
      <w:szCs w:val="20"/>
      <w:lang w:val="en-GB"/>
    </w:rPr>
    <w:tblPr>
      <w:tblStyleRowBandSize w:val="1"/>
      <w:tblStyleColBandSize w:val="1"/>
      <w:tblCellMar>
        <w:left w:w="115" w:type="dxa"/>
        <w:right w:w="115" w:type="dxa"/>
      </w:tblCellMar>
    </w:tblPr>
    <w:tcPr>
      <w:shd w:val="clear" w:color="auto" w:fill="EBE9E2"/>
    </w:tcPr>
  </w:style>
  <w:style w:type="paragraph" w:customStyle="1" w:styleId="Heading11">
    <w:name w:val="Heading 11"/>
    <w:basedOn w:val="Normal"/>
    <w:next w:val="Normal"/>
    <w:uiPriority w:val="9"/>
    <w:qFormat/>
    <w:rsid w:val="008F48D1"/>
    <w:pPr>
      <w:keepNext/>
      <w:keepLines/>
      <w:spacing w:before="480" w:after="0" w:line="240" w:lineRule="auto"/>
      <w:jc w:val="both"/>
      <w:outlineLvl w:val="0"/>
    </w:pPr>
    <w:rPr>
      <w:rFonts w:eastAsia="Times New Roman" w:cs="Times New Roman"/>
      <w:b/>
      <w:bCs/>
      <w:color w:val="5B9BD5"/>
      <w:sz w:val="32"/>
      <w:szCs w:val="28"/>
    </w:rPr>
  </w:style>
  <w:style w:type="paragraph" w:customStyle="1" w:styleId="Heading21">
    <w:name w:val="Heading 21"/>
    <w:basedOn w:val="Normal"/>
    <w:next w:val="Normal"/>
    <w:uiPriority w:val="9"/>
    <w:qFormat/>
    <w:rsid w:val="008F48D1"/>
    <w:pPr>
      <w:keepNext/>
      <w:keepLines/>
      <w:spacing w:before="200" w:after="0" w:line="240" w:lineRule="auto"/>
      <w:jc w:val="both"/>
      <w:outlineLvl w:val="1"/>
    </w:pPr>
    <w:rPr>
      <w:rFonts w:eastAsia="Times New Roman" w:cs="Times New Roman"/>
      <w:b/>
      <w:bCs/>
      <w:color w:val="2F5496"/>
      <w:szCs w:val="26"/>
      <w:lang w:val="en-GB"/>
    </w:rPr>
  </w:style>
  <w:style w:type="paragraph" w:customStyle="1" w:styleId="Heading31">
    <w:name w:val="Heading 31"/>
    <w:basedOn w:val="Normal"/>
    <w:next w:val="Normal"/>
    <w:uiPriority w:val="9"/>
    <w:qFormat/>
    <w:rsid w:val="00A13DA5"/>
    <w:pPr>
      <w:keepNext/>
      <w:keepLines/>
      <w:spacing w:before="200" w:after="0" w:line="240" w:lineRule="auto"/>
      <w:jc w:val="both"/>
      <w:outlineLvl w:val="2"/>
    </w:pPr>
    <w:rPr>
      <w:rFonts w:ascii="Cambria" w:eastAsia="Times New Roman" w:hAnsi="Cambria" w:cs="Times New Roman"/>
      <w:b/>
      <w:bCs/>
      <w:color w:val="595959"/>
      <w:sz w:val="24"/>
      <w:lang w:val="en-GB"/>
    </w:rPr>
  </w:style>
  <w:style w:type="paragraph" w:customStyle="1" w:styleId="Heading51">
    <w:name w:val="Heading 51"/>
    <w:basedOn w:val="Normal"/>
    <w:next w:val="Normal"/>
    <w:uiPriority w:val="9"/>
    <w:semiHidden/>
    <w:unhideWhenUsed/>
    <w:qFormat/>
    <w:rsid w:val="00A13DA5"/>
    <w:pPr>
      <w:keepNext/>
      <w:keepLines/>
      <w:spacing w:before="40" w:after="0" w:line="240" w:lineRule="auto"/>
      <w:jc w:val="both"/>
      <w:outlineLvl w:val="4"/>
    </w:pPr>
    <w:rPr>
      <w:rFonts w:ascii="Cambria" w:eastAsia="Times New Roman" w:hAnsi="Cambria" w:cs="Times New Roman"/>
      <w:color w:val="2E74B5"/>
      <w:lang w:val="en-GB"/>
    </w:rPr>
  </w:style>
  <w:style w:type="paragraph" w:styleId="TableofFigures">
    <w:name w:val="table of figures"/>
    <w:basedOn w:val="Normal"/>
    <w:next w:val="Normal"/>
    <w:uiPriority w:val="99"/>
    <w:unhideWhenUsed/>
    <w:rsid w:val="00B157BD"/>
    <w:pPr>
      <w:spacing w:after="0" w:line="240" w:lineRule="auto"/>
    </w:pPr>
    <w:rPr>
      <w:rFonts w:eastAsia="Times New Roman" w:cs="Calibri"/>
      <w:lang w:val="en-GB"/>
    </w:rPr>
  </w:style>
  <w:style w:type="character" w:customStyle="1" w:styleId="mw-headline">
    <w:name w:val="mw-headline"/>
    <w:rsid w:val="00A13DA5"/>
  </w:style>
  <w:style w:type="character" w:customStyle="1" w:styleId="rightside">
    <w:name w:val="right_side"/>
    <w:rsid w:val="00A13DA5"/>
  </w:style>
  <w:style w:type="character" w:customStyle="1" w:styleId="taglib-text">
    <w:name w:val="taglib-text"/>
    <w:rsid w:val="00A13DA5"/>
  </w:style>
  <w:style w:type="paragraph" w:customStyle="1" w:styleId="Pa7">
    <w:name w:val="Pa7"/>
    <w:basedOn w:val="Default"/>
    <w:next w:val="Default"/>
    <w:uiPriority w:val="99"/>
    <w:rsid w:val="00A13DA5"/>
    <w:pPr>
      <w:spacing w:line="241" w:lineRule="atLeast"/>
    </w:pPr>
    <w:rPr>
      <w:rFonts w:ascii="Titillium Web" w:hAnsi="Titillium Web" w:cs="Times New Roman"/>
      <w:color w:val="auto"/>
      <w:lang w:val="en-GB"/>
    </w:rPr>
  </w:style>
  <w:style w:type="character" w:customStyle="1" w:styleId="A22">
    <w:name w:val="A22"/>
    <w:uiPriority w:val="99"/>
    <w:rsid w:val="00A13DA5"/>
    <w:rPr>
      <w:rFonts w:cs="Titillium Web"/>
      <w:color w:val="000000"/>
      <w:sz w:val="20"/>
      <w:szCs w:val="20"/>
    </w:rPr>
  </w:style>
  <w:style w:type="paragraph" w:customStyle="1" w:styleId="tablebullets">
    <w:name w:val="table bullets"/>
    <w:basedOn w:val="Normal"/>
    <w:link w:val="tablebulletsChar"/>
    <w:qFormat/>
    <w:rsid w:val="00A13DA5"/>
    <w:pPr>
      <w:numPr>
        <w:numId w:val="10"/>
      </w:numPr>
      <w:overflowPunct w:val="0"/>
      <w:spacing w:after="120" w:line="240" w:lineRule="auto"/>
      <w:contextualSpacing/>
      <w:jc w:val="both"/>
    </w:pPr>
    <w:rPr>
      <w:rFonts w:ascii="Cambria" w:eastAsia="Times New Roman" w:hAnsi="Cambria" w:cs="Times New Roman"/>
      <w:kern w:val="24"/>
      <w:lang w:val="en-GB" w:eastAsia="de-DE"/>
    </w:rPr>
  </w:style>
  <w:style w:type="character" w:customStyle="1" w:styleId="tablebulletsChar">
    <w:name w:val="table bullets Char"/>
    <w:link w:val="tablebullets"/>
    <w:locked/>
    <w:rsid w:val="00A13DA5"/>
    <w:rPr>
      <w:rFonts w:ascii="Cambria" w:eastAsia="Times New Roman" w:hAnsi="Cambria" w:cs="Times New Roman"/>
      <w:kern w:val="24"/>
      <w:lang w:val="en-GB" w:eastAsia="de-DE"/>
    </w:rPr>
  </w:style>
  <w:style w:type="paragraph" w:customStyle="1" w:styleId="NSOR-LISTBULLETS">
    <w:name w:val="__NSOR-LIST BULLETS"/>
    <w:basedOn w:val="Normal"/>
    <w:link w:val="NSOR-LISTBULLETSChar"/>
    <w:qFormat/>
    <w:rsid w:val="00A13DA5"/>
    <w:pPr>
      <w:numPr>
        <w:numId w:val="11"/>
      </w:numPr>
      <w:spacing w:after="0" w:line="200" w:lineRule="atLeast"/>
      <w:contextualSpacing/>
    </w:pPr>
    <w:rPr>
      <w:rFonts w:ascii="Calibri" w:eastAsia="Calibri" w:hAnsi="Calibri" w:cs="Times New Roman"/>
      <w:color w:val="3B3838"/>
      <w:lang w:val="en-GB"/>
    </w:rPr>
  </w:style>
  <w:style w:type="character" w:customStyle="1" w:styleId="NSOR-LISTBULLETSChar">
    <w:name w:val="__NSOR-LIST BULLETS Char"/>
    <w:link w:val="NSOR-LISTBULLETS"/>
    <w:rsid w:val="00A13DA5"/>
    <w:rPr>
      <w:rFonts w:ascii="Calibri" w:eastAsia="Calibri" w:hAnsi="Calibri" w:cs="Times New Roman"/>
      <w:color w:val="3B3838"/>
      <w:lang w:val="en-GB"/>
    </w:rPr>
  </w:style>
  <w:style w:type="paragraph" w:customStyle="1" w:styleId="N05Y">
    <w:name w:val="N05Y"/>
    <w:basedOn w:val="Normal"/>
    <w:uiPriority w:val="99"/>
    <w:rsid w:val="00A13DA5"/>
    <w:pPr>
      <w:autoSpaceDE w:val="0"/>
      <w:autoSpaceDN w:val="0"/>
      <w:adjustRightInd w:val="0"/>
      <w:spacing w:after="200" w:line="240" w:lineRule="auto"/>
      <w:jc w:val="center"/>
    </w:pPr>
    <w:rPr>
      <w:rFonts w:ascii="Times New Roman" w:eastAsia="Times New Roman" w:hAnsi="Times New Roman" w:cs="Times New Roman"/>
      <w:b/>
      <w:bCs/>
      <w:color w:val="000000"/>
      <w:sz w:val="24"/>
      <w:szCs w:val="24"/>
      <w:lang w:val="en-GB" w:eastAsia="en-GB"/>
    </w:rPr>
  </w:style>
  <w:style w:type="character" w:customStyle="1" w:styleId="Heading1Char1">
    <w:name w:val="Heading 1 Char1"/>
    <w:uiPriority w:val="9"/>
    <w:rsid w:val="00A13DA5"/>
    <w:rPr>
      <w:rFonts w:ascii="Calibri Light" w:eastAsia="Times New Roman" w:hAnsi="Calibri Light" w:cs="Times New Roman"/>
      <w:color w:val="2F5496"/>
      <w:sz w:val="32"/>
      <w:szCs w:val="32"/>
    </w:rPr>
  </w:style>
  <w:style w:type="paragraph" w:customStyle="1" w:styleId="Title1">
    <w:name w:val="Title1"/>
    <w:basedOn w:val="Normal"/>
    <w:next w:val="Normal"/>
    <w:uiPriority w:val="10"/>
    <w:qFormat/>
    <w:rsid w:val="00A13DA5"/>
    <w:pPr>
      <w:spacing w:after="0" w:line="240" w:lineRule="auto"/>
      <w:contextualSpacing/>
      <w:jc w:val="both"/>
    </w:pPr>
    <w:rPr>
      <w:rFonts w:ascii="Cambria" w:eastAsia="Times New Roman" w:hAnsi="Cambria" w:cs="Times New Roman"/>
      <w:spacing w:val="-10"/>
      <w:kern w:val="28"/>
      <w:sz w:val="40"/>
      <w:szCs w:val="56"/>
      <w:lang w:val="en-GB"/>
    </w:rPr>
  </w:style>
  <w:style w:type="character" w:customStyle="1" w:styleId="kurziv">
    <w:name w:val="kurziv"/>
    <w:rsid w:val="00A13DA5"/>
  </w:style>
  <w:style w:type="paragraph" w:customStyle="1" w:styleId="t-9-8">
    <w:name w:val="t-9-8"/>
    <w:basedOn w:val="Normal"/>
    <w:rsid w:val="00A13D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30X">
    <w:name w:val="T30X"/>
    <w:basedOn w:val="Normal"/>
    <w:uiPriority w:val="99"/>
    <w:rsid w:val="00A13DA5"/>
    <w:pPr>
      <w:autoSpaceDE w:val="0"/>
      <w:autoSpaceDN w:val="0"/>
      <w:adjustRightInd w:val="0"/>
      <w:spacing w:after="0" w:line="240" w:lineRule="auto"/>
      <w:ind w:firstLine="283"/>
      <w:jc w:val="both"/>
    </w:pPr>
    <w:rPr>
      <w:rFonts w:ascii="Times New Roman" w:eastAsia="Times New Roman" w:hAnsi="Times New Roman" w:cs="Times New Roman"/>
      <w:color w:val="000000"/>
      <w:lang w:val="en-GB" w:eastAsia="en-GB"/>
    </w:rPr>
  </w:style>
  <w:style w:type="character" w:customStyle="1" w:styleId="hps">
    <w:name w:val="hps"/>
    <w:rsid w:val="00A13DA5"/>
  </w:style>
  <w:style w:type="table" w:customStyle="1" w:styleId="ListTable4-Accent12">
    <w:name w:val="List Table 4 - Accent 12"/>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1">
    <w:name w:val="List Table 3 - Accent 11"/>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left">
    <w:name w:val="mainleft"/>
    <w:basedOn w:val="Normal"/>
    <w:rsid w:val="00A13DA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PlainText1">
    <w:name w:val="Plain Text1"/>
    <w:basedOn w:val="Normal"/>
    <w:next w:val="PlainText"/>
    <w:link w:val="PlainTextChar"/>
    <w:uiPriority w:val="99"/>
    <w:semiHidden/>
    <w:unhideWhenUsed/>
    <w:rsid w:val="00A13DA5"/>
    <w:pPr>
      <w:spacing w:after="0" w:line="240" w:lineRule="auto"/>
    </w:pPr>
    <w:rPr>
      <w:rFonts w:ascii="Calibri" w:eastAsia="Calibri" w:hAnsi="Calibri" w:cs="Times New Roman"/>
      <w:szCs w:val="21"/>
    </w:rPr>
  </w:style>
  <w:style w:type="character" w:customStyle="1" w:styleId="PlainTextChar">
    <w:name w:val="Plain Text Char"/>
    <w:link w:val="PlainText1"/>
    <w:uiPriority w:val="99"/>
    <w:semiHidden/>
    <w:rsid w:val="00A13DA5"/>
    <w:rPr>
      <w:rFonts w:ascii="Calibri" w:eastAsia="Calibri" w:hAnsi="Calibri" w:cs="Times New Roman"/>
      <w:szCs w:val="21"/>
    </w:rPr>
  </w:style>
  <w:style w:type="paragraph" w:customStyle="1" w:styleId="box456667">
    <w:name w:val="box_456667"/>
    <w:basedOn w:val="Normal"/>
    <w:rsid w:val="00A13D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itel">
    <w:name w:val="M_Titel"/>
    <w:basedOn w:val="Normal"/>
    <w:autoRedefine/>
    <w:rsid w:val="00A13DA5"/>
    <w:pPr>
      <w:spacing w:after="0" w:line="240" w:lineRule="auto"/>
      <w:jc w:val="both"/>
    </w:pPr>
    <w:rPr>
      <w:rFonts w:ascii="Cambria" w:eastAsia="Times New Roman" w:hAnsi="Cambria" w:cs="Times New Roman"/>
      <w:color w:val="000000"/>
      <w:lang w:val="en-GB" w:eastAsia="de-DE"/>
    </w:rPr>
  </w:style>
  <w:style w:type="character" w:customStyle="1" w:styleId="zadanifontodlomka-000004">
    <w:name w:val="zadanifontodlomka-000004"/>
    <w:rsid w:val="00A13DA5"/>
    <w:rPr>
      <w:rFonts w:ascii="Times New Roman" w:hAnsi="Times New Roman" w:cs="Times New Roman" w:hint="default"/>
      <w:b w:val="0"/>
      <w:bCs w:val="0"/>
      <w:sz w:val="24"/>
      <w:szCs w:val="24"/>
    </w:rPr>
  </w:style>
  <w:style w:type="paragraph" w:customStyle="1" w:styleId="normal-000007">
    <w:name w:val="normal-000007"/>
    <w:basedOn w:val="Normal"/>
    <w:rsid w:val="00A13DA5"/>
    <w:pPr>
      <w:spacing w:after="0" w:line="240" w:lineRule="auto"/>
      <w:jc w:val="both"/>
    </w:pPr>
    <w:rPr>
      <w:rFonts w:ascii="Times New Roman" w:eastAsia="Times New Roman" w:hAnsi="Times New Roman" w:cs="Times New Roman"/>
      <w:sz w:val="24"/>
      <w:szCs w:val="24"/>
      <w:lang w:val="en-GB" w:eastAsia="en-GB"/>
    </w:rPr>
  </w:style>
  <w:style w:type="paragraph" w:customStyle="1" w:styleId="doc-ti">
    <w:name w:val="doc-ti"/>
    <w:basedOn w:val="Normal"/>
    <w:rsid w:val="00A13D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oterCoverPage">
    <w:name w:val="Footer Cover Page"/>
    <w:basedOn w:val="Normal"/>
    <w:link w:val="FooterCoverPageChar"/>
    <w:rsid w:val="00A13DA5"/>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lang w:val="en-GB"/>
    </w:rPr>
  </w:style>
  <w:style w:type="character" w:customStyle="1" w:styleId="FooterCoverPageChar">
    <w:name w:val="Footer Cover Page Char"/>
    <w:link w:val="FooterCoverPage"/>
    <w:rsid w:val="00A13DA5"/>
    <w:rPr>
      <w:rFonts w:ascii="Times New Roman" w:eastAsia="Times New Roman" w:hAnsi="Times New Roman" w:cs="Times New Roman"/>
      <w:sz w:val="24"/>
      <w:lang w:val="en-GB"/>
    </w:rPr>
  </w:style>
  <w:style w:type="paragraph" w:customStyle="1" w:styleId="HeaderCoverPage">
    <w:name w:val="Header Cover Page"/>
    <w:basedOn w:val="Normal"/>
    <w:link w:val="HeaderCoverPageChar"/>
    <w:rsid w:val="00A13DA5"/>
    <w:pPr>
      <w:tabs>
        <w:tab w:val="center" w:pos="4535"/>
        <w:tab w:val="right" w:pos="9071"/>
      </w:tabs>
      <w:spacing w:after="120" w:line="240" w:lineRule="auto"/>
      <w:jc w:val="both"/>
    </w:pPr>
    <w:rPr>
      <w:rFonts w:ascii="Times New Roman" w:eastAsia="Times New Roman" w:hAnsi="Times New Roman" w:cs="Times New Roman"/>
      <w:sz w:val="24"/>
      <w:lang w:val="en-GB"/>
    </w:rPr>
  </w:style>
  <w:style w:type="character" w:customStyle="1" w:styleId="HeaderCoverPageChar">
    <w:name w:val="Header Cover Page Char"/>
    <w:link w:val="HeaderCoverPage"/>
    <w:rsid w:val="00A13DA5"/>
    <w:rPr>
      <w:rFonts w:ascii="Times New Roman" w:eastAsia="Times New Roman" w:hAnsi="Times New Roman" w:cs="Times New Roman"/>
      <w:sz w:val="24"/>
      <w:lang w:val="en-GB"/>
    </w:rPr>
  </w:style>
  <w:style w:type="character" w:customStyle="1" w:styleId="st">
    <w:name w:val="st"/>
    <w:rsid w:val="00A13DA5"/>
  </w:style>
  <w:style w:type="character" w:customStyle="1" w:styleId="Heading2Char1">
    <w:name w:val="Heading 2 Char1"/>
    <w:uiPriority w:val="9"/>
    <w:semiHidden/>
    <w:rsid w:val="00A13DA5"/>
    <w:rPr>
      <w:rFonts w:ascii="Calibri Light" w:eastAsia="Times New Roman" w:hAnsi="Calibri Light" w:cs="Times New Roman"/>
      <w:color w:val="2F5496"/>
      <w:sz w:val="26"/>
      <w:szCs w:val="26"/>
    </w:rPr>
  </w:style>
  <w:style w:type="character" w:customStyle="1" w:styleId="Heading3Char1">
    <w:name w:val="Heading 3 Char1"/>
    <w:uiPriority w:val="9"/>
    <w:semiHidden/>
    <w:rsid w:val="00A13DA5"/>
    <w:rPr>
      <w:rFonts w:ascii="Calibri Light" w:eastAsia="Times New Roman" w:hAnsi="Calibri Light" w:cs="Times New Roman"/>
      <w:color w:val="1F3763"/>
      <w:sz w:val="24"/>
      <w:szCs w:val="24"/>
    </w:rPr>
  </w:style>
  <w:style w:type="character" w:customStyle="1" w:styleId="Heading5Char1">
    <w:name w:val="Heading 5 Char1"/>
    <w:uiPriority w:val="9"/>
    <w:semiHidden/>
    <w:rsid w:val="00A13DA5"/>
    <w:rPr>
      <w:rFonts w:ascii="Calibri Light" w:eastAsia="Times New Roman" w:hAnsi="Calibri Light" w:cs="Times New Roman"/>
      <w:color w:val="2F5496"/>
    </w:rPr>
  </w:style>
  <w:style w:type="character" w:customStyle="1" w:styleId="TitleChar1">
    <w:name w:val="Title Char1"/>
    <w:uiPriority w:val="10"/>
    <w:rsid w:val="00A13DA5"/>
    <w:rPr>
      <w:rFonts w:ascii="Calibri Light" w:eastAsia="Times New Roman" w:hAnsi="Calibri Light" w:cs="Times New Roman"/>
      <w:spacing w:val="-10"/>
      <w:kern w:val="28"/>
      <w:sz w:val="56"/>
      <w:szCs w:val="56"/>
    </w:rPr>
  </w:style>
  <w:style w:type="table" w:styleId="ListTable3-Accent1">
    <w:name w:val="List Table 3 Accent 1"/>
    <w:basedOn w:val="TableNormal"/>
    <w:uiPriority w:val="48"/>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PlainText">
    <w:name w:val="Plain Text"/>
    <w:basedOn w:val="Normal"/>
    <w:link w:val="PlainTextChar1"/>
    <w:uiPriority w:val="99"/>
    <w:unhideWhenUsed/>
    <w:rsid w:val="00A13DA5"/>
    <w:pPr>
      <w:spacing w:after="0" w:line="240" w:lineRule="auto"/>
    </w:pPr>
    <w:rPr>
      <w:rFonts w:ascii="Consolas" w:eastAsia="Calibri" w:hAnsi="Consolas" w:cs="Times New Roman"/>
      <w:sz w:val="21"/>
      <w:szCs w:val="21"/>
    </w:rPr>
  </w:style>
  <w:style w:type="character" w:customStyle="1" w:styleId="PlainTextChar1">
    <w:name w:val="Plain Text Char1"/>
    <w:basedOn w:val="DefaultParagraphFont"/>
    <w:link w:val="PlainText"/>
    <w:uiPriority w:val="99"/>
    <w:rsid w:val="00A13DA5"/>
    <w:rPr>
      <w:rFonts w:ascii="Consolas" w:eastAsia="Calibri" w:hAnsi="Consolas" w:cs="Times New Roman"/>
      <w:sz w:val="21"/>
      <w:szCs w:val="21"/>
    </w:rPr>
  </w:style>
  <w:style w:type="table" w:customStyle="1" w:styleId="ListTable4-Accent13">
    <w:name w:val="List Table 4 - Accent 13"/>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2">
    <w:name w:val="List Table 3 - Accent 12"/>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3">
    <w:name w:val="No List3"/>
    <w:next w:val="NoList"/>
    <w:uiPriority w:val="99"/>
    <w:semiHidden/>
    <w:unhideWhenUsed/>
    <w:rsid w:val="00A13DA5"/>
  </w:style>
  <w:style w:type="table" w:customStyle="1" w:styleId="ListTable4-Accent14">
    <w:name w:val="List Table 4 - Accent 14"/>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3">
    <w:name w:val="List Table 3 - Accent 13"/>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4">
    <w:name w:val="No List4"/>
    <w:next w:val="NoList"/>
    <w:uiPriority w:val="99"/>
    <w:semiHidden/>
    <w:unhideWhenUsed/>
    <w:rsid w:val="00A13DA5"/>
  </w:style>
  <w:style w:type="table" w:customStyle="1" w:styleId="ListTable4-Accent15">
    <w:name w:val="List Table 4 - Accent 15"/>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4">
    <w:name w:val="List Table 3 - Accent 14"/>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81">
    <w:name w:val="381"/>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382">
    <w:name w:val="382"/>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383">
    <w:name w:val="383"/>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384">
    <w:name w:val="384"/>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LightShading-Accent51">
    <w:name w:val="Light Shading - Accent 51"/>
    <w:basedOn w:val="TableNormal"/>
    <w:next w:val="LightShading-Accent5"/>
    <w:uiPriority w:val="60"/>
    <w:unhideWhenUsed/>
    <w:rsid w:val="00A13DA5"/>
    <w:pPr>
      <w:spacing w:after="0" w:line="240" w:lineRule="auto"/>
    </w:pPr>
    <w:rPr>
      <w:rFonts w:ascii="Calibri" w:eastAsia="Calibri" w:hAnsi="Calibri" w:cs="Times New Roman"/>
      <w:color w:val="31849B"/>
      <w:lang w:val="sr-Latn-M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5">
    <w:name w:val="Light Shading Accent 5"/>
    <w:basedOn w:val="TableNormal"/>
    <w:uiPriority w:val="60"/>
    <w:semiHidden/>
    <w:unhideWhenUsed/>
    <w:rsid w:val="00A13DA5"/>
    <w:pPr>
      <w:spacing w:after="0" w:line="240" w:lineRule="auto"/>
    </w:pPr>
    <w:rPr>
      <w:rFonts w:ascii="Arial" w:eastAsia="Calibri" w:hAnsi="Arial"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Char2">
    <w:name w:val="Char2"/>
    <w:basedOn w:val="Normal"/>
    <w:uiPriority w:val="99"/>
    <w:rsid w:val="00933F34"/>
    <w:pPr>
      <w:spacing w:before="120" w:line="240" w:lineRule="exact"/>
    </w:pPr>
    <w:rPr>
      <w:rFonts w:eastAsiaTheme="minorEastAsia"/>
      <w:kern w:val="2"/>
      <w:sz w:val="24"/>
      <w:szCs w:val="24"/>
      <w:vertAlign w:val="superscript"/>
      <w:lang w:val="en-GB" w:eastAsia="zh-TW"/>
      <w14:ligatures w14:val="standardContextual"/>
    </w:rPr>
  </w:style>
  <w:style w:type="character" w:customStyle="1" w:styleId="CaptionChar">
    <w:name w:val="Caption Char"/>
    <w:aliases w:val="Caption Char1 Char,Caption Char Char Char"/>
    <w:link w:val="Caption"/>
    <w:uiPriority w:val="35"/>
    <w:locked/>
    <w:rsid w:val="00CC10E9"/>
    <w:rPr>
      <w:rFonts w:ascii="Calibri" w:eastAsia="Calibri" w:hAnsi="Calibri" w:cs="Times New Roman"/>
      <w:b/>
      <w:bCs/>
      <w:color w:val="4472C4"/>
      <w:sz w:val="18"/>
      <w:szCs w:val="18"/>
    </w:rPr>
  </w:style>
  <w:style w:type="character" w:customStyle="1" w:styleId="Heading6Char">
    <w:name w:val="Heading 6 Char"/>
    <w:basedOn w:val="DefaultParagraphFont"/>
    <w:link w:val="Heading6"/>
    <w:uiPriority w:val="9"/>
    <w:semiHidden/>
    <w:rsid w:val="00223F35"/>
    <w:rPr>
      <w:rFonts w:eastAsiaTheme="majorEastAsia" w:cstheme="majorBidi"/>
      <w:i/>
      <w:iCs/>
      <w:color w:val="595959" w:themeColor="text1" w:themeTint="A6"/>
      <w:lang w:val="en-GB" w:eastAsia="ru-RU"/>
    </w:rPr>
  </w:style>
  <w:style w:type="character" w:customStyle="1" w:styleId="Heading7Char">
    <w:name w:val="Heading 7 Char"/>
    <w:basedOn w:val="DefaultParagraphFont"/>
    <w:link w:val="Heading7"/>
    <w:uiPriority w:val="9"/>
    <w:semiHidden/>
    <w:rsid w:val="00223F35"/>
    <w:rPr>
      <w:rFonts w:eastAsiaTheme="majorEastAsia" w:cstheme="majorBidi"/>
      <w:color w:val="595959" w:themeColor="text1" w:themeTint="A6"/>
      <w:lang w:val="en-GB" w:eastAsia="ru-RU"/>
    </w:rPr>
  </w:style>
  <w:style w:type="character" w:customStyle="1" w:styleId="Heading8Char">
    <w:name w:val="Heading 8 Char"/>
    <w:basedOn w:val="DefaultParagraphFont"/>
    <w:link w:val="Heading8"/>
    <w:uiPriority w:val="9"/>
    <w:semiHidden/>
    <w:rsid w:val="00223F35"/>
    <w:rPr>
      <w:rFonts w:eastAsiaTheme="majorEastAsia" w:cstheme="majorBidi"/>
      <w:i/>
      <w:iCs/>
      <w:color w:val="272727" w:themeColor="text1" w:themeTint="D8"/>
      <w:lang w:val="en-GB" w:eastAsia="ru-RU"/>
    </w:rPr>
  </w:style>
  <w:style w:type="character" w:customStyle="1" w:styleId="Heading9Char">
    <w:name w:val="Heading 9 Char"/>
    <w:basedOn w:val="DefaultParagraphFont"/>
    <w:link w:val="Heading9"/>
    <w:uiPriority w:val="9"/>
    <w:semiHidden/>
    <w:rsid w:val="00223F35"/>
    <w:rPr>
      <w:rFonts w:eastAsiaTheme="majorEastAsia" w:cstheme="majorBidi"/>
      <w:color w:val="272727" w:themeColor="text1" w:themeTint="D8"/>
      <w:lang w:val="en-GB" w:eastAsia="ru-RU"/>
    </w:rPr>
  </w:style>
  <w:style w:type="paragraph" w:styleId="Subtitle">
    <w:name w:val="Subtitle"/>
    <w:basedOn w:val="Normal"/>
    <w:next w:val="Normal"/>
    <w:link w:val="SubtitleChar"/>
    <w:uiPriority w:val="11"/>
    <w:qFormat/>
    <w:rsid w:val="00223F35"/>
    <w:pPr>
      <w:numPr>
        <w:ilvl w:val="1"/>
      </w:numPr>
    </w:pPr>
    <w:rPr>
      <w:rFonts w:eastAsiaTheme="majorEastAsia" w:cstheme="majorBidi"/>
      <w:color w:val="595959" w:themeColor="text1" w:themeTint="A6"/>
      <w:spacing w:val="15"/>
      <w:sz w:val="28"/>
      <w:szCs w:val="28"/>
      <w:lang w:val="en-GB" w:eastAsia="ru-RU"/>
    </w:rPr>
  </w:style>
  <w:style w:type="character" w:customStyle="1" w:styleId="SubtitleChar">
    <w:name w:val="Subtitle Char"/>
    <w:basedOn w:val="DefaultParagraphFont"/>
    <w:link w:val="Subtitle"/>
    <w:uiPriority w:val="11"/>
    <w:rsid w:val="00223F35"/>
    <w:rPr>
      <w:rFonts w:eastAsiaTheme="majorEastAsia" w:cstheme="majorBidi"/>
      <w:color w:val="595959" w:themeColor="text1" w:themeTint="A6"/>
      <w:spacing w:val="15"/>
      <w:sz w:val="28"/>
      <w:szCs w:val="28"/>
      <w:lang w:val="en-GB" w:eastAsia="ru-RU"/>
    </w:rPr>
  </w:style>
  <w:style w:type="paragraph" w:styleId="Quote">
    <w:name w:val="Quote"/>
    <w:basedOn w:val="Normal"/>
    <w:next w:val="Normal"/>
    <w:link w:val="QuoteChar"/>
    <w:uiPriority w:val="29"/>
    <w:qFormat/>
    <w:rsid w:val="00223F35"/>
    <w:pPr>
      <w:spacing w:before="160"/>
      <w:jc w:val="center"/>
    </w:pPr>
    <w:rPr>
      <w:i/>
      <w:iCs/>
      <w:color w:val="404040" w:themeColor="text1" w:themeTint="BF"/>
      <w:lang w:val="en-GB" w:eastAsia="ru-RU"/>
    </w:rPr>
  </w:style>
  <w:style w:type="character" w:customStyle="1" w:styleId="QuoteChar">
    <w:name w:val="Quote Char"/>
    <w:basedOn w:val="DefaultParagraphFont"/>
    <w:link w:val="Quote"/>
    <w:uiPriority w:val="29"/>
    <w:rsid w:val="00223F35"/>
    <w:rPr>
      <w:i/>
      <w:iCs/>
      <w:color w:val="404040" w:themeColor="text1" w:themeTint="BF"/>
      <w:lang w:val="en-GB" w:eastAsia="ru-RU"/>
    </w:rPr>
  </w:style>
  <w:style w:type="character" w:styleId="IntenseEmphasis">
    <w:name w:val="Intense Emphasis"/>
    <w:basedOn w:val="DefaultParagraphFont"/>
    <w:uiPriority w:val="21"/>
    <w:qFormat/>
    <w:rsid w:val="00223F35"/>
    <w:rPr>
      <w:i/>
      <w:iCs/>
      <w:color w:val="2E74B5" w:themeColor="accent1" w:themeShade="BF"/>
    </w:rPr>
  </w:style>
  <w:style w:type="paragraph" w:styleId="IntenseQuote">
    <w:name w:val="Intense Quote"/>
    <w:basedOn w:val="Normal"/>
    <w:next w:val="Normal"/>
    <w:link w:val="IntenseQuoteChar"/>
    <w:uiPriority w:val="30"/>
    <w:qFormat/>
    <w:rsid w:val="00223F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en-GB" w:eastAsia="ru-RU"/>
    </w:rPr>
  </w:style>
  <w:style w:type="character" w:customStyle="1" w:styleId="IntenseQuoteChar">
    <w:name w:val="Intense Quote Char"/>
    <w:basedOn w:val="DefaultParagraphFont"/>
    <w:link w:val="IntenseQuote"/>
    <w:uiPriority w:val="30"/>
    <w:rsid w:val="00223F35"/>
    <w:rPr>
      <w:i/>
      <w:iCs/>
      <w:color w:val="2E74B5" w:themeColor="accent1" w:themeShade="BF"/>
      <w:lang w:val="en-GB" w:eastAsia="ru-RU"/>
    </w:rPr>
  </w:style>
  <w:style w:type="character" w:styleId="IntenseReference">
    <w:name w:val="Intense Reference"/>
    <w:basedOn w:val="DefaultParagraphFont"/>
    <w:uiPriority w:val="32"/>
    <w:qFormat/>
    <w:rsid w:val="00223F35"/>
    <w:rPr>
      <w:b/>
      <w:bCs/>
      <w:smallCaps/>
      <w:color w:val="2E74B5" w:themeColor="accent1" w:themeShade="BF"/>
      <w:spacing w:val="5"/>
    </w:rPr>
  </w:style>
  <w:style w:type="character" w:customStyle="1" w:styleId="Hyperlink1">
    <w:name w:val="Hyperlink1"/>
    <w:basedOn w:val="DefaultParagraphFont"/>
    <w:uiPriority w:val="99"/>
    <w:unhideWhenUsed/>
    <w:rsid w:val="00223F35"/>
    <w:rPr>
      <w:color w:val="467886"/>
      <w:u w:val="single"/>
    </w:rPr>
  </w:style>
  <w:style w:type="character" w:customStyle="1" w:styleId="FollowedHyperlink1">
    <w:name w:val="FollowedHyperlink1"/>
    <w:basedOn w:val="DefaultParagraphFont"/>
    <w:uiPriority w:val="99"/>
    <w:semiHidden/>
    <w:unhideWhenUsed/>
    <w:rsid w:val="00223F35"/>
    <w:rPr>
      <w:color w:val="96607D"/>
      <w:u w:val="single"/>
    </w:rPr>
  </w:style>
  <w:style w:type="table" w:customStyle="1" w:styleId="PlainTable11">
    <w:name w:val="Plain Table 11"/>
    <w:basedOn w:val="TableNormal"/>
    <w:next w:val="PlainTable1"/>
    <w:uiPriority w:val="41"/>
    <w:rsid w:val="00223F35"/>
    <w:pPr>
      <w:spacing w:after="0" w:line="240" w:lineRule="auto"/>
    </w:pPr>
    <w:rPr>
      <w:rFonts w:eastAsiaTheme="minorEastAsia"/>
      <w:kern w:val="2"/>
      <w:sz w:val="24"/>
      <w:szCs w:val="24"/>
      <w:lang w:val="fr-CH" w:eastAsia="zh-CN"/>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223F35"/>
    <w:pPr>
      <w:spacing w:after="0" w:line="240" w:lineRule="auto"/>
    </w:pPr>
    <w:rPr>
      <w:rFonts w:eastAsiaTheme="minorEastAsia"/>
      <w:kern w:val="2"/>
      <w:sz w:val="24"/>
      <w:szCs w:val="24"/>
      <w:lang w:val="fr-CH" w:eastAsia="zh-CN"/>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51">
    <w:name w:val="Grid Table 1 Light - Accent 51"/>
    <w:basedOn w:val="TableNormal"/>
    <w:next w:val="GridTable1Light-Accent5"/>
    <w:uiPriority w:val="46"/>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223F35"/>
    <w:pPr>
      <w:spacing w:after="0" w:line="240" w:lineRule="auto"/>
    </w:pPr>
    <w:rPr>
      <w:rFonts w:eastAsiaTheme="minorEastAsia"/>
      <w:kern w:val="2"/>
      <w:sz w:val="24"/>
      <w:szCs w:val="24"/>
      <w:lang w:val="fr-CH" w:eastAsia="zh-CN"/>
      <w14:ligatures w14:val="standardContextual"/>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styleId="PlainTable1">
    <w:name w:val="Plain Table 1"/>
    <w:basedOn w:val="TableNormal"/>
    <w:uiPriority w:val="41"/>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23F35"/>
    <w:pPr>
      <w:spacing w:after="0" w:line="240" w:lineRule="auto"/>
    </w:pPr>
    <w:rPr>
      <w:rFonts w:eastAsiaTheme="minorEastAsia"/>
      <w:kern w:val="2"/>
      <w:sz w:val="24"/>
      <w:szCs w:val="24"/>
      <w:lang w:val="en-GB" w:eastAsia="zh-T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1">
    <w:name w:val="p1"/>
    <w:basedOn w:val="Normal"/>
    <w:rsid w:val="00223F35"/>
    <w:pPr>
      <w:spacing w:after="0" w:line="240" w:lineRule="auto"/>
    </w:pPr>
    <w:rPr>
      <w:rFonts w:ascii="Times New Roman" w:eastAsia="Times New Roman" w:hAnsi="Times New Roman" w:cs="Times New Roman"/>
      <w:color w:val="000000"/>
      <w:sz w:val="18"/>
      <w:szCs w:val="18"/>
      <w:lang w:val="en-GB" w:eastAsia="en-GB"/>
    </w:rPr>
  </w:style>
  <w:style w:type="character" w:customStyle="1" w:styleId="s1">
    <w:name w:val="s1"/>
    <w:basedOn w:val="DefaultParagraphFont"/>
    <w:rsid w:val="00223F35"/>
    <w:rPr>
      <w:rFonts w:ascii="Helvetica" w:hAnsi="Helvetica" w:hint="default"/>
      <w:sz w:val="17"/>
      <w:szCs w:val="17"/>
    </w:rPr>
  </w:style>
  <w:style w:type="character" w:customStyle="1" w:styleId="s2">
    <w:name w:val="s2"/>
    <w:basedOn w:val="DefaultParagraphFont"/>
    <w:rsid w:val="00223F35"/>
    <w:rPr>
      <w:rFonts w:ascii="Helvetica" w:hAnsi="Helvetica" w:hint="default"/>
      <w:sz w:val="11"/>
      <w:szCs w:val="11"/>
    </w:rPr>
  </w:style>
  <w:style w:type="paragraph" w:customStyle="1" w:styleId="Caption1">
    <w:name w:val="Caption1"/>
    <w:basedOn w:val="Normal"/>
    <w:next w:val="Normal"/>
    <w:uiPriority w:val="35"/>
    <w:unhideWhenUsed/>
    <w:qFormat/>
    <w:rsid w:val="00223F35"/>
    <w:pPr>
      <w:spacing w:after="200" w:line="240" w:lineRule="auto"/>
    </w:pPr>
    <w:rPr>
      <w:rFonts w:ascii="Times New Roman" w:eastAsia="Times New Roman" w:hAnsi="Times New Roman" w:cs="Times New Roman"/>
      <w:i/>
      <w:iCs/>
      <w:color w:val="44546A"/>
      <w:sz w:val="18"/>
      <w:szCs w:val="18"/>
      <w:lang w:val="en-GB" w:eastAsia="fr-FR"/>
    </w:rPr>
  </w:style>
  <w:style w:type="paragraph" w:styleId="EndnoteText">
    <w:name w:val="endnote text"/>
    <w:basedOn w:val="Normal"/>
    <w:link w:val="EndnoteTextChar"/>
    <w:uiPriority w:val="99"/>
    <w:semiHidden/>
    <w:unhideWhenUsed/>
    <w:rsid w:val="00223F35"/>
    <w:pPr>
      <w:spacing w:after="0" w:line="240" w:lineRule="auto"/>
    </w:pPr>
    <w:rPr>
      <w:rFonts w:ascii="Times New Roman" w:eastAsia="Times New Roman" w:hAnsi="Times New Roman" w:cs="Times New Roman"/>
      <w:sz w:val="20"/>
      <w:szCs w:val="20"/>
      <w:lang w:val="en-GB" w:eastAsia="fr-FR"/>
    </w:rPr>
  </w:style>
  <w:style w:type="character" w:customStyle="1" w:styleId="EndnoteTextChar">
    <w:name w:val="Endnote Text Char"/>
    <w:basedOn w:val="DefaultParagraphFont"/>
    <w:link w:val="EndnoteText"/>
    <w:uiPriority w:val="99"/>
    <w:semiHidden/>
    <w:rsid w:val="00223F35"/>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223F35"/>
    <w:rPr>
      <w:vertAlign w:val="superscript"/>
    </w:rPr>
  </w:style>
  <w:style w:type="character" w:customStyle="1" w:styleId="yiv7874583302apple-tab-span">
    <w:name w:val="yiv7874583302apple-tab-span"/>
    <w:basedOn w:val="DefaultParagraphFont"/>
    <w:rsid w:val="00223F35"/>
  </w:style>
  <w:style w:type="paragraph" w:customStyle="1" w:styleId="p2">
    <w:name w:val="p2"/>
    <w:basedOn w:val="Normal"/>
    <w:rsid w:val="00223F35"/>
    <w:pPr>
      <w:spacing w:after="0" w:line="240" w:lineRule="auto"/>
    </w:pPr>
    <w:rPr>
      <w:rFonts w:ascii="Verdana" w:eastAsia="Times New Roman" w:hAnsi="Verdana" w:cs="Times New Roman"/>
      <w:color w:val="000000"/>
      <w:sz w:val="12"/>
      <w:szCs w:val="12"/>
      <w:lang w:val="en-GB" w:eastAsia="en-GB"/>
    </w:rPr>
  </w:style>
  <w:style w:type="paragraph" w:customStyle="1" w:styleId="p3">
    <w:name w:val="p3"/>
    <w:basedOn w:val="Normal"/>
    <w:rsid w:val="00223F35"/>
    <w:pPr>
      <w:spacing w:after="0" w:line="240" w:lineRule="auto"/>
    </w:pPr>
    <w:rPr>
      <w:rFonts w:ascii="Verdana" w:eastAsia="Times New Roman" w:hAnsi="Verdana" w:cs="Times New Roman"/>
      <w:color w:val="6D6D6D"/>
      <w:sz w:val="14"/>
      <w:szCs w:val="14"/>
      <w:lang w:val="en-GB" w:eastAsia="en-GB"/>
    </w:rPr>
  </w:style>
  <w:style w:type="character" w:customStyle="1" w:styleId="s3">
    <w:name w:val="s3"/>
    <w:basedOn w:val="DefaultParagraphFont"/>
    <w:rsid w:val="00223F35"/>
    <w:rPr>
      <w:rFonts w:ascii="Courier New" w:hAnsi="Courier New" w:cs="Courier New" w:hint="default"/>
      <w:sz w:val="15"/>
      <w:szCs w:val="15"/>
    </w:rPr>
  </w:style>
  <w:style w:type="character" w:customStyle="1" w:styleId="s4">
    <w:name w:val="s4"/>
    <w:basedOn w:val="DefaultParagraphFont"/>
    <w:rsid w:val="00223F35"/>
    <w:rPr>
      <w:rFonts w:ascii="Verdana" w:hAnsi="Verdana" w:hint="default"/>
      <w:color w:val="000000"/>
      <w:sz w:val="12"/>
      <w:szCs w:val="12"/>
    </w:rPr>
  </w:style>
  <w:style w:type="table" w:customStyle="1" w:styleId="PlainTable31">
    <w:name w:val="Plain Table 31"/>
    <w:basedOn w:val="TableNormal"/>
    <w:next w:val="PlainTable3"/>
    <w:uiPriority w:val="43"/>
    <w:rsid w:val="00223F35"/>
    <w:pPr>
      <w:spacing w:after="0" w:line="240" w:lineRule="auto"/>
    </w:pPr>
    <w:rPr>
      <w:rFonts w:ascii="Calibri" w:eastAsia="Calibri" w:hAnsi="Calibri" w:cs="Calibri"/>
      <w:lang w:val="e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4">
    <w:name w:val="p4"/>
    <w:basedOn w:val="Normal"/>
    <w:rsid w:val="00223F35"/>
    <w:pPr>
      <w:spacing w:after="0" w:line="240" w:lineRule="auto"/>
    </w:pPr>
    <w:rPr>
      <w:rFonts w:ascii="Helvetica" w:eastAsia="Times New Roman" w:hAnsi="Helvetica" w:cs="Times New Roman"/>
      <w:color w:val="1C2753"/>
      <w:sz w:val="18"/>
      <w:szCs w:val="18"/>
      <w:lang w:val="en-GB" w:eastAsia="en-GB"/>
    </w:rPr>
  </w:style>
  <w:style w:type="paragraph" w:customStyle="1" w:styleId="p5">
    <w:name w:val="p5"/>
    <w:basedOn w:val="Normal"/>
    <w:rsid w:val="00223F35"/>
    <w:pPr>
      <w:spacing w:after="0" w:line="240" w:lineRule="auto"/>
    </w:pPr>
    <w:rPr>
      <w:rFonts w:ascii="Helvetica" w:eastAsia="Times New Roman" w:hAnsi="Helvetica" w:cs="Times New Roman"/>
      <w:color w:val="1C2753"/>
      <w:sz w:val="18"/>
      <w:szCs w:val="18"/>
      <w:lang w:val="en-GB" w:eastAsia="en-GB"/>
    </w:rPr>
  </w:style>
  <w:style w:type="paragraph" w:customStyle="1" w:styleId="p6">
    <w:name w:val="p6"/>
    <w:basedOn w:val="Normal"/>
    <w:rsid w:val="00223F35"/>
    <w:pPr>
      <w:spacing w:after="0" w:line="240" w:lineRule="auto"/>
    </w:pPr>
    <w:rPr>
      <w:rFonts w:ascii="Helvetica" w:eastAsia="Times New Roman" w:hAnsi="Helvetica" w:cs="Times New Roman"/>
      <w:color w:val="1C2753"/>
      <w:sz w:val="18"/>
      <w:szCs w:val="18"/>
      <w:lang w:val="en-GB" w:eastAsia="en-GB"/>
    </w:rPr>
  </w:style>
  <w:style w:type="paragraph" w:customStyle="1" w:styleId="p7">
    <w:name w:val="p7"/>
    <w:basedOn w:val="Normal"/>
    <w:rsid w:val="00223F35"/>
    <w:pPr>
      <w:spacing w:after="0" w:line="240" w:lineRule="auto"/>
    </w:pPr>
    <w:rPr>
      <w:rFonts w:ascii="Helvetica" w:eastAsia="Times New Roman" w:hAnsi="Helvetica" w:cs="Times New Roman"/>
      <w:color w:val="141413"/>
      <w:sz w:val="18"/>
      <w:szCs w:val="18"/>
      <w:lang w:val="en-GB" w:eastAsia="en-GB"/>
    </w:rPr>
  </w:style>
  <w:style w:type="character" w:customStyle="1" w:styleId="s5">
    <w:name w:val="s5"/>
    <w:basedOn w:val="DefaultParagraphFont"/>
    <w:rsid w:val="00223F35"/>
    <w:rPr>
      <w:color w:val="1C2753"/>
    </w:rPr>
  </w:style>
  <w:style w:type="character" w:customStyle="1" w:styleId="s6">
    <w:name w:val="s6"/>
    <w:basedOn w:val="DefaultParagraphFont"/>
    <w:rsid w:val="00223F35"/>
    <w:rPr>
      <w:rFonts w:ascii="Helvetica" w:hAnsi="Helvetica" w:hint="default"/>
      <w:sz w:val="18"/>
      <w:szCs w:val="18"/>
    </w:rPr>
  </w:style>
  <w:style w:type="character" w:customStyle="1" w:styleId="s7">
    <w:name w:val="s7"/>
    <w:basedOn w:val="DefaultParagraphFont"/>
    <w:rsid w:val="00223F35"/>
    <w:rPr>
      <w:rFonts w:ascii="Helvetica" w:hAnsi="Helvetica" w:hint="default"/>
      <w:color w:val="1C2753"/>
      <w:sz w:val="18"/>
      <w:szCs w:val="18"/>
    </w:rPr>
  </w:style>
  <w:style w:type="character" w:customStyle="1" w:styleId="s8">
    <w:name w:val="s8"/>
    <w:basedOn w:val="DefaultParagraphFont"/>
    <w:rsid w:val="00223F35"/>
    <w:rPr>
      <w:rFonts w:ascii="Helvetica" w:hAnsi="Helvetica" w:hint="default"/>
      <w:sz w:val="18"/>
      <w:szCs w:val="18"/>
    </w:rPr>
  </w:style>
  <w:style w:type="character" w:customStyle="1" w:styleId="s9">
    <w:name w:val="s9"/>
    <w:basedOn w:val="DefaultParagraphFont"/>
    <w:rsid w:val="00223F35"/>
    <w:rPr>
      <w:rFonts w:ascii="Helvetica" w:hAnsi="Helvetica" w:hint="default"/>
      <w:color w:val="141413"/>
      <w:sz w:val="18"/>
      <w:szCs w:val="18"/>
    </w:rPr>
  </w:style>
  <w:style w:type="character" w:styleId="PageNumber">
    <w:name w:val="page number"/>
    <w:basedOn w:val="DefaultParagraphFont"/>
    <w:uiPriority w:val="99"/>
    <w:semiHidden/>
    <w:unhideWhenUsed/>
    <w:rsid w:val="00223F35"/>
  </w:style>
  <w:style w:type="paragraph" w:customStyle="1" w:styleId="amozl">
    <w:name w:val="amozl"/>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qyu6v">
    <w:name w:val="qyu6v"/>
    <w:basedOn w:val="DefaultParagraphFont"/>
    <w:rsid w:val="00223F35"/>
  </w:style>
  <w:style w:type="paragraph" w:customStyle="1" w:styleId="text-align-justify">
    <w:name w:val="text-align-justify"/>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xzekf">
    <w:name w:val="oxzekf"/>
    <w:basedOn w:val="DefaultParagraphFont"/>
    <w:rsid w:val="00223F35"/>
  </w:style>
  <w:style w:type="character" w:customStyle="1" w:styleId="uv3um">
    <w:name w:val="uv3um"/>
    <w:basedOn w:val="DefaultParagraphFont"/>
    <w:rsid w:val="00223F35"/>
  </w:style>
  <w:style w:type="paragraph" w:customStyle="1" w:styleId="k3ksmc">
    <w:name w:val="k3ksmc"/>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23F35"/>
  </w:style>
  <w:style w:type="character" w:customStyle="1" w:styleId="eop">
    <w:name w:val="eop"/>
    <w:basedOn w:val="DefaultParagraphFont"/>
    <w:rsid w:val="00223F35"/>
  </w:style>
  <w:style w:type="paragraph" w:customStyle="1" w:styleId="nova-legacy-e-listitem">
    <w:name w:val="nova-legacy-e-list__item"/>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va-legacy-v-person-inline-itemfullname">
    <w:name w:val="nova-legacy-v-person-inline-item__fullname"/>
    <w:basedOn w:val="DefaultParagraphFont"/>
    <w:rsid w:val="00223F35"/>
  </w:style>
  <w:style w:type="paragraph" w:customStyle="1" w:styleId="TOC31">
    <w:name w:val="TOC 31"/>
    <w:basedOn w:val="Normal"/>
    <w:next w:val="Normal"/>
    <w:autoRedefine/>
    <w:uiPriority w:val="39"/>
    <w:semiHidden/>
    <w:unhideWhenUsed/>
    <w:rsid w:val="00223F35"/>
    <w:pPr>
      <w:spacing w:after="0" w:line="240" w:lineRule="auto"/>
      <w:ind w:left="480"/>
    </w:pPr>
    <w:rPr>
      <w:rFonts w:eastAsia="Times New Roman" w:cs="Calibri"/>
      <w:sz w:val="20"/>
      <w:szCs w:val="20"/>
      <w:lang w:val="en-GB" w:eastAsia="en-GB"/>
    </w:rPr>
  </w:style>
  <w:style w:type="paragraph" w:customStyle="1" w:styleId="TOC41">
    <w:name w:val="TOC 41"/>
    <w:basedOn w:val="Normal"/>
    <w:next w:val="Normal"/>
    <w:autoRedefine/>
    <w:uiPriority w:val="39"/>
    <w:semiHidden/>
    <w:unhideWhenUsed/>
    <w:rsid w:val="00223F35"/>
    <w:pPr>
      <w:spacing w:after="0" w:line="240" w:lineRule="auto"/>
      <w:ind w:left="720"/>
    </w:pPr>
    <w:rPr>
      <w:rFonts w:eastAsia="Times New Roman" w:cs="Calibri"/>
      <w:sz w:val="20"/>
      <w:szCs w:val="20"/>
      <w:lang w:val="en-GB" w:eastAsia="en-GB"/>
    </w:rPr>
  </w:style>
  <w:style w:type="paragraph" w:customStyle="1" w:styleId="TOC51">
    <w:name w:val="TOC 51"/>
    <w:basedOn w:val="Normal"/>
    <w:next w:val="Normal"/>
    <w:autoRedefine/>
    <w:uiPriority w:val="39"/>
    <w:semiHidden/>
    <w:unhideWhenUsed/>
    <w:rsid w:val="00223F35"/>
    <w:pPr>
      <w:spacing w:after="0" w:line="240" w:lineRule="auto"/>
      <w:ind w:left="960"/>
    </w:pPr>
    <w:rPr>
      <w:rFonts w:eastAsia="Times New Roman" w:cs="Calibri"/>
      <w:sz w:val="20"/>
      <w:szCs w:val="20"/>
      <w:lang w:val="en-GB" w:eastAsia="en-GB"/>
    </w:rPr>
  </w:style>
  <w:style w:type="paragraph" w:customStyle="1" w:styleId="TOC61">
    <w:name w:val="TOC 61"/>
    <w:basedOn w:val="Normal"/>
    <w:next w:val="Normal"/>
    <w:autoRedefine/>
    <w:uiPriority w:val="39"/>
    <w:semiHidden/>
    <w:unhideWhenUsed/>
    <w:rsid w:val="00223F35"/>
    <w:pPr>
      <w:spacing w:after="0" w:line="240" w:lineRule="auto"/>
      <w:ind w:left="1200"/>
    </w:pPr>
    <w:rPr>
      <w:rFonts w:eastAsia="Times New Roman" w:cs="Calibri"/>
      <w:sz w:val="20"/>
      <w:szCs w:val="20"/>
      <w:lang w:val="en-GB" w:eastAsia="en-GB"/>
    </w:rPr>
  </w:style>
  <w:style w:type="paragraph" w:customStyle="1" w:styleId="TOC71">
    <w:name w:val="TOC 71"/>
    <w:basedOn w:val="Normal"/>
    <w:next w:val="Normal"/>
    <w:autoRedefine/>
    <w:uiPriority w:val="39"/>
    <w:semiHidden/>
    <w:unhideWhenUsed/>
    <w:rsid w:val="00223F35"/>
    <w:pPr>
      <w:spacing w:after="0" w:line="240" w:lineRule="auto"/>
      <w:ind w:left="1440"/>
    </w:pPr>
    <w:rPr>
      <w:rFonts w:eastAsia="Times New Roman" w:cs="Calibri"/>
      <w:sz w:val="20"/>
      <w:szCs w:val="20"/>
      <w:lang w:val="en-GB" w:eastAsia="en-GB"/>
    </w:rPr>
  </w:style>
  <w:style w:type="paragraph" w:customStyle="1" w:styleId="TOC81">
    <w:name w:val="TOC 81"/>
    <w:basedOn w:val="Normal"/>
    <w:next w:val="Normal"/>
    <w:autoRedefine/>
    <w:uiPriority w:val="39"/>
    <w:semiHidden/>
    <w:unhideWhenUsed/>
    <w:rsid w:val="00223F35"/>
    <w:pPr>
      <w:spacing w:after="0" w:line="240" w:lineRule="auto"/>
      <w:ind w:left="1680"/>
    </w:pPr>
    <w:rPr>
      <w:rFonts w:eastAsia="Times New Roman" w:cs="Calibri"/>
      <w:sz w:val="20"/>
      <w:szCs w:val="20"/>
      <w:lang w:val="en-GB" w:eastAsia="en-GB"/>
    </w:rPr>
  </w:style>
  <w:style w:type="paragraph" w:customStyle="1" w:styleId="TOC91">
    <w:name w:val="TOC 91"/>
    <w:basedOn w:val="Normal"/>
    <w:next w:val="Normal"/>
    <w:autoRedefine/>
    <w:uiPriority w:val="39"/>
    <w:semiHidden/>
    <w:unhideWhenUsed/>
    <w:rsid w:val="00223F35"/>
    <w:pPr>
      <w:spacing w:after="0" w:line="240" w:lineRule="auto"/>
      <w:ind w:left="1920"/>
    </w:pPr>
    <w:rPr>
      <w:rFonts w:eastAsia="Times New Roman" w:cs="Calibri"/>
      <w:sz w:val="20"/>
      <w:szCs w:val="20"/>
      <w:lang w:val="en-GB" w:eastAsia="en-GB"/>
    </w:rPr>
  </w:style>
  <w:style w:type="paragraph" w:customStyle="1" w:styleId="paragraph">
    <w:name w:val="paragraph"/>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yiv3819516900apple-tab-span">
    <w:name w:val="yiv3819516900apple-tab-span"/>
    <w:basedOn w:val="DefaultParagraphFont"/>
    <w:rsid w:val="00223F35"/>
  </w:style>
  <w:style w:type="table" w:customStyle="1" w:styleId="GridTable3-Accent11">
    <w:name w:val="Grid Table 3 - Accent 11"/>
    <w:basedOn w:val="TableNormal"/>
    <w:next w:val="GridTable3-Accent1"/>
    <w:uiPriority w:val="48"/>
    <w:rsid w:val="00223F35"/>
    <w:pPr>
      <w:spacing w:after="0" w:line="240" w:lineRule="auto"/>
    </w:pPr>
    <w:rPr>
      <w:rFonts w:ascii="Calibri" w:eastAsia="Calibri" w:hAnsi="Calibri" w:cs="Calibri"/>
      <w:lang w:val="e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yiv7150069894apple-tab-span">
    <w:name w:val="yiv7150069894apple-tab-span"/>
    <w:basedOn w:val="DefaultParagraphFont"/>
    <w:rsid w:val="00223F35"/>
  </w:style>
  <w:style w:type="character" w:customStyle="1" w:styleId="yiv8325505488apple-tab-span">
    <w:name w:val="yiv8325505488apple-tab-span"/>
    <w:basedOn w:val="DefaultParagraphFont"/>
    <w:rsid w:val="00223F35"/>
  </w:style>
  <w:style w:type="character" w:customStyle="1" w:styleId="yiv0662768538apple-tab-span">
    <w:name w:val="yiv0662768538apple-tab-span"/>
    <w:basedOn w:val="DefaultParagraphFont"/>
    <w:rsid w:val="00223F35"/>
  </w:style>
  <w:style w:type="table" w:customStyle="1" w:styleId="TableGridLight2">
    <w:name w:val="Table Grid Light2"/>
    <w:basedOn w:val="TableNormal"/>
    <w:next w:val="TableGridLight"/>
    <w:uiPriority w:val="40"/>
    <w:rsid w:val="00223F35"/>
    <w:pPr>
      <w:spacing w:after="0" w:line="240" w:lineRule="auto"/>
    </w:pPr>
    <w:rPr>
      <w:rFonts w:eastAsia="Calibri"/>
      <w:kern w:val="2"/>
      <w:sz w:val="24"/>
      <w:szCs w:val="24"/>
      <w:lang w:val="en-GB"/>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yiv6864861122apple-tab-span">
    <w:name w:val="yiv6864861122apple-tab-span"/>
    <w:basedOn w:val="DefaultParagraphFont"/>
    <w:rsid w:val="00223F35"/>
  </w:style>
  <w:style w:type="character" w:customStyle="1" w:styleId="yiv5697807374apple-tab-span">
    <w:name w:val="yiv5697807374apple-tab-span"/>
    <w:basedOn w:val="DefaultParagraphFont"/>
    <w:rsid w:val="00223F35"/>
  </w:style>
  <w:style w:type="table" w:styleId="PlainTable3">
    <w:name w:val="Plain Table 3"/>
    <w:basedOn w:val="TableNormal"/>
    <w:uiPriority w:val="43"/>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1">
    <w:name w:val="Grid Table 3 Accent 1"/>
    <w:basedOn w:val="TableNormal"/>
    <w:uiPriority w:val="48"/>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1Light-Accent21">
    <w:name w:val="Grid Table 1 Light - Accent 21"/>
    <w:basedOn w:val="TableNormal"/>
    <w:next w:val="GridTable1Light-Accent2"/>
    <w:uiPriority w:val="46"/>
    <w:rsid w:val="00223F35"/>
    <w:pPr>
      <w:spacing w:after="0" w:line="240" w:lineRule="auto"/>
    </w:pPr>
    <w:rPr>
      <w:rFonts w:eastAsia="Aptos"/>
      <w:kern w:val="2"/>
      <w:sz w:val="24"/>
      <w:szCs w:val="24"/>
      <w:lang w:val="mk"/>
      <w14:ligatures w14:val="standardContextual"/>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customStyle="1" w:styleId="Caption2">
    <w:name w:val="Caption2"/>
    <w:basedOn w:val="Normal"/>
    <w:next w:val="Normal"/>
    <w:uiPriority w:val="35"/>
    <w:unhideWhenUsed/>
    <w:qFormat/>
    <w:rsid w:val="00223F35"/>
    <w:pPr>
      <w:spacing w:after="200" w:line="240" w:lineRule="auto"/>
    </w:pPr>
    <w:rPr>
      <w:i/>
      <w:iCs/>
      <w:color w:val="0E2841"/>
      <w:kern w:val="2"/>
      <w:sz w:val="18"/>
      <w:szCs w:val="18"/>
      <w14:ligatures w14:val="standardContextual"/>
    </w:rPr>
  </w:style>
  <w:style w:type="table" w:customStyle="1" w:styleId="TableGridLight3">
    <w:name w:val="Table Grid Light3"/>
    <w:basedOn w:val="TableNormal"/>
    <w:next w:val="TableGridLight"/>
    <w:uiPriority w:val="40"/>
    <w:rsid w:val="00223F35"/>
    <w:pPr>
      <w:spacing w:after="0" w:line="240" w:lineRule="auto"/>
    </w:pPr>
    <w:rPr>
      <w:rFonts w:eastAsia="Aptos"/>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2">
    <w:name w:val="Grid Table 1 Light Accent 2"/>
    <w:basedOn w:val="TableNormal"/>
    <w:uiPriority w:val="46"/>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5">
    <w:name w:val="Grid Table 2 Accent 5"/>
    <w:basedOn w:val="TableNormal"/>
    <w:uiPriority w:val="47"/>
    <w:rsid w:val="00223F35"/>
    <w:pPr>
      <w:spacing w:after="0" w:line="240" w:lineRule="auto"/>
    </w:pPr>
    <w:rPr>
      <w:rFonts w:eastAsiaTheme="minorEastAsia"/>
      <w:kern w:val="2"/>
      <w:lang w:val="en-GB" w:eastAsia="zh-TW"/>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5">
    <w:name w:val="No List5"/>
    <w:next w:val="NoList"/>
    <w:uiPriority w:val="99"/>
    <w:semiHidden/>
    <w:unhideWhenUsed/>
    <w:rsid w:val="00223F35"/>
  </w:style>
  <w:style w:type="character" w:customStyle="1" w:styleId="apple-tab-span">
    <w:name w:val="apple-tab-span"/>
    <w:basedOn w:val="DefaultParagraphFont"/>
    <w:rsid w:val="00223F35"/>
  </w:style>
  <w:style w:type="character" w:customStyle="1" w:styleId="Normal1Char">
    <w:name w:val="Normal1 Char"/>
    <w:basedOn w:val="Heading1Char"/>
    <w:link w:val="Normal1"/>
    <w:rsid w:val="00223F35"/>
    <w:rPr>
      <w:rFonts w:ascii="Times New Roman" w:eastAsia="Times New Roman" w:hAnsi="Times New Roman" w:cs="Times New Roman"/>
      <w:b w:val="0"/>
      <w:bCs w:val="0"/>
      <w:kern w:val="32"/>
      <w:sz w:val="24"/>
      <w:szCs w:val="24"/>
    </w:rPr>
  </w:style>
  <w:style w:type="paragraph" w:customStyle="1" w:styleId="Pa2">
    <w:name w:val="Pa2"/>
    <w:basedOn w:val="Normal"/>
    <w:next w:val="Normal"/>
    <w:uiPriority w:val="99"/>
    <w:rsid w:val="00223F35"/>
    <w:pPr>
      <w:autoSpaceDE w:val="0"/>
      <w:autoSpaceDN w:val="0"/>
      <w:adjustRightInd w:val="0"/>
      <w:spacing w:after="0" w:line="171" w:lineRule="atLeast"/>
    </w:pPr>
    <w:rPr>
      <w:rFonts w:ascii="Proxima Nova Lt" w:hAnsi="Proxima Nova Lt"/>
      <w:sz w:val="24"/>
      <w:szCs w:val="24"/>
      <w:lang w:val="en-GB"/>
    </w:rPr>
  </w:style>
  <w:style w:type="paragraph" w:customStyle="1" w:styleId="Pa3">
    <w:name w:val="Pa3"/>
    <w:basedOn w:val="Normal"/>
    <w:next w:val="Normal"/>
    <w:uiPriority w:val="99"/>
    <w:rsid w:val="00223F35"/>
    <w:pPr>
      <w:autoSpaceDE w:val="0"/>
      <w:autoSpaceDN w:val="0"/>
      <w:adjustRightInd w:val="0"/>
      <w:spacing w:after="0" w:line="171" w:lineRule="atLeast"/>
    </w:pPr>
    <w:rPr>
      <w:rFonts w:ascii="Proxima Nova Lt" w:hAnsi="Proxima Nova Lt"/>
      <w:sz w:val="24"/>
      <w:szCs w:val="24"/>
      <w:lang w:val="en-GB"/>
    </w:rPr>
  </w:style>
  <w:style w:type="paragraph" w:customStyle="1" w:styleId="Pa4">
    <w:name w:val="Pa4"/>
    <w:basedOn w:val="Normal"/>
    <w:next w:val="Normal"/>
    <w:uiPriority w:val="99"/>
    <w:rsid w:val="00223F35"/>
    <w:pPr>
      <w:autoSpaceDE w:val="0"/>
      <w:autoSpaceDN w:val="0"/>
      <w:adjustRightInd w:val="0"/>
      <w:spacing w:after="0" w:line="171" w:lineRule="atLeast"/>
    </w:pPr>
    <w:rPr>
      <w:rFonts w:ascii="Proxima Nova Lt" w:hAnsi="Proxima Nova Lt"/>
      <w:sz w:val="24"/>
      <w:szCs w:val="24"/>
      <w:lang w:val="en-GB"/>
    </w:rPr>
  </w:style>
  <w:style w:type="paragraph" w:customStyle="1" w:styleId="SingleTxt">
    <w:name w:val="__Single Txt"/>
    <w:basedOn w:val="Normal"/>
    <w:rsid w:val="00223F3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rPr>
  </w:style>
  <w:style w:type="paragraph" w:styleId="BodyText3">
    <w:name w:val="Body Text 3"/>
    <w:basedOn w:val="Normal"/>
    <w:link w:val="BodyText3Char"/>
    <w:rsid w:val="00223F3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23F35"/>
    <w:rPr>
      <w:rFonts w:ascii="Times New Roman" w:eastAsia="Times New Roman" w:hAnsi="Times New Roman" w:cs="Times New Roman"/>
      <w:sz w:val="16"/>
      <w:szCs w:val="16"/>
    </w:rPr>
  </w:style>
  <w:style w:type="character" w:customStyle="1" w:styleId="Mention1">
    <w:name w:val="Mention1"/>
    <w:basedOn w:val="DefaultParagraphFont"/>
    <w:uiPriority w:val="99"/>
    <w:unhideWhenUsed/>
    <w:rsid w:val="00223F35"/>
    <w:rPr>
      <w:color w:val="2B579A"/>
      <w:shd w:val="clear" w:color="auto" w:fill="E1DFDD"/>
    </w:rPr>
  </w:style>
  <w:style w:type="table" w:customStyle="1" w:styleId="TableGridLight4">
    <w:name w:val="Table Grid Light4"/>
    <w:basedOn w:val="TableNormal"/>
    <w:next w:val="TableGridLight"/>
    <w:uiPriority w:val="40"/>
    <w:rsid w:val="00223F35"/>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stTable7Colorful-Accent1">
    <w:name w:val="List Table 7 Colorful Accent 1"/>
    <w:basedOn w:val="TableNormal"/>
    <w:uiPriority w:val="52"/>
    <w:rsid w:val="00223F35"/>
    <w:pPr>
      <w:spacing w:after="0" w:line="240" w:lineRule="auto"/>
    </w:pPr>
    <w:rPr>
      <w:rFonts w:ascii="Calibri" w:eastAsia="Calibri" w:hAnsi="Calibri" w:cs="Calibri"/>
      <w:color w:val="2E74B5" w:themeColor="accent1" w:themeShade="BF"/>
      <w:lang w:val="sr-Latn-M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81">
    <w:name w:val="font81"/>
    <w:basedOn w:val="DefaultParagraphFont"/>
    <w:rsid w:val="00223F35"/>
    <w:rPr>
      <w:rFonts w:ascii="Arial" w:hAnsi="Arial" w:cs="Arial" w:hint="default"/>
      <w:b/>
      <w:bCs/>
      <w:i w:val="0"/>
      <w:iCs w:val="0"/>
      <w:strike w:val="0"/>
      <w:dstrike w:val="0"/>
      <w:color w:val="auto"/>
      <w:sz w:val="18"/>
      <w:szCs w:val="18"/>
      <w:u w:val="none"/>
      <w:effect w:val="none"/>
    </w:rPr>
  </w:style>
  <w:style w:type="character" w:customStyle="1" w:styleId="font121">
    <w:name w:val="font121"/>
    <w:basedOn w:val="DefaultParagraphFont"/>
    <w:rsid w:val="00223F35"/>
    <w:rPr>
      <w:rFonts w:ascii="Arial" w:hAnsi="Arial" w:cs="Arial" w:hint="default"/>
      <w:b w:val="0"/>
      <w:bCs w:val="0"/>
      <w:i/>
      <w:iCs/>
      <w:strike w:val="0"/>
      <w:dstrike w:val="0"/>
      <w:color w:val="000000"/>
      <w:sz w:val="16"/>
      <w:szCs w:val="16"/>
      <w:u w:val="none"/>
      <w:effect w:val="none"/>
    </w:rPr>
  </w:style>
  <w:style w:type="character" w:customStyle="1" w:styleId="font111">
    <w:name w:val="font111"/>
    <w:basedOn w:val="DefaultParagraphFont"/>
    <w:rsid w:val="00223F35"/>
    <w:rPr>
      <w:rFonts w:ascii="Arial" w:hAnsi="Arial" w:cs="Arial" w:hint="default"/>
      <w:b w:val="0"/>
      <w:bCs w:val="0"/>
      <w:i/>
      <w:iCs/>
      <w:strike w:val="0"/>
      <w:dstrike w:val="0"/>
      <w:color w:val="000000"/>
      <w:sz w:val="16"/>
      <w:szCs w:val="16"/>
      <w:u w:val="none"/>
      <w:effect w:val="none"/>
    </w:rPr>
  </w:style>
  <w:style w:type="paragraph" w:styleId="BodyText">
    <w:name w:val="Body Text"/>
    <w:basedOn w:val="Normal"/>
    <w:link w:val="BodyTextChar"/>
    <w:uiPriority w:val="99"/>
    <w:semiHidden/>
    <w:unhideWhenUsed/>
    <w:rsid w:val="00223F35"/>
    <w:pPr>
      <w:spacing w:after="120"/>
    </w:pPr>
    <w:rPr>
      <w:lang w:val="en-GB" w:eastAsia="ru-RU"/>
    </w:rPr>
  </w:style>
  <w:style w:type="character" w:customStyle="1" w:styleId="BodyTextChar">
    <w:name w:val="Body Text Char"/>
    <w:basedOn w:val="DefaultParagraphFont"/>
    <w:link w:val="BodyText"/>
    <w:uiPriority w:val="99"/>
    <w:semiHidden/>
    <w:rsid w:val="00223F35"/>
    <w:rPr>
      <w:lang w:val="en-GB" w:eastAsia="ru-RU"/>
    </w:rPr>
  </w:style>
  <w:style w:type="character" w:customStyle="1" w:styleId="relative">
    <w:name w:val="relative"/>
    <w:basedOn w:val="DefaultParagraphFont"/>
    <w:rsid w:val="00223F35"/>
  </w:style>
  <w:style w:type="character" w:customStyle="1" w:styleId="ms-1">
    <w:name w:val="ms-1"/>
    <w:basedOn w:val="DefaultParagraphFont"/>
    <w:rsid w:val="00223F35"/>
  </w:style>
  <w:style w:type="character" w:customStyle="1" w:styleId="max-w-full">
    <w:name w:val="max-w-full"/>
    <w:basedOn w:val="DefaultParagraphFont"/>
    <w:rsid w:val="00223F35"/>
  </w:style>
  <w:style w:type="character" w:customStyle="1" w:styleId="-me-1">
    <w:name w:val="-me-1"/>
    <w:basedOn w:val="DefaultParagraphFont"/>
    <w:rsid w:val="0022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79702">
      <w:bodyDiv w:val="1"/>
      <w:marLeft w:val="0"/>
      <w:marRight w:val="0"/>
      <w:marTop w:val="0"/>
      <w:marBottom w:val="0"/>
      <w:divBdr>
        <w:top w:val="none" w:sz="0" w:space="0" w:color="auto"/>
        <w:left w:val="none" w:sz="0" w:space="0" w:color="auto"/>
        <w:bottom w:val="none" w:sz="0" w:space="0" w:color="auto"/>
        <w:right w:val="none" w:sz="0" w:space="0" w:color="auto"/>
      </w:divBdr>
    </w:div>
    <w:div w:id="17970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chart" Target="charts/chart8.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4.png"/><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gional_policy/en/2021_2027/" TargetMode="External"/><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image" Target="media/image3.png"/><Relationship Id="rId19" Type="http://schemas.openxmlformats.org/officeDocument/2006/relationships/chart" Target="charts/chart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monstat.org/cg/page.php?id=1673&amp;pageid=1673" TargetMode="External"/><Relationship Id="rId3" Type="http://schemas.openxmlformats.org/officeDocument/2006/relationships/hyperlink" Target="https://www.adriatic-ionian.eu/" TargetMode="External"/><Relationship Id="rId7" Type="http://schemas.openxmlformats.org/officeDocument/2006/relationships/hyperlink" Target="https://visaguide.world/digital-nomad-visa/digital-nomad-index/" TargetMode="External"/><Relationship Id="rId2" Type="http://schemas.openxmlformats.org/officeDocument/2006/relationships/hyperlink" Target="https://danube-region.eu/" TargetMode="External"/><Relationship Id="rId1" Type="http://schemas.openxmlformats.org/officeDocument/2006/relationships/hyperlink" Target="https://digital-strategy.ec.europa.eu/en/policies/digital-compass" TargetMode="External"/><Relationship Id="rId6" Type="http://schemas.openxmlformats.org/officeDocument/2006/relationships/hyperlink" Target="https://cohesiondata.ec.europa.eu/stories/s/Regional-Competitiveness-Index-2019/363v-4uq6/" TargetMode="External"/><Relationship Id="rId11" Type="http://schemas.openxmlformats.org/officeDocument/2006/relationships/hyperlink" Target="https://globaldatalab.org/shdi/shdi/MNE/?levels=1%2B4&amp;interpolation=1&amp;extrapolation=0&amp;nearest_real=0" TargetMode="External"/><Relationship Id="rId5" Type="http://schemas.openxmlformats.org/officeDocument/2006/relationships/hyperlink" Target="http://monstat.org/userfiles/file/popis2011/saopstenje/saopstenje%20starost%204%2009%202011%20prevod.pdf" TargetMode="External"/><Relationship Id="rId10" Type="http://schemas.openxmlformats.org/officeDocument/2006/relationships/hyperlink" Target="https://globaldatalab.org/shdi/shdi/MNE/" TargetMode="External"/><Relationship Id="rId4" Type="http://schemas.openxmlformats.org/officeDocument/2006/relationships/hyperlink" Target="https://www.monstat.org/uploads/files/popis%202021/saopstenja/SAOPSTENJE_Popis%20stanovnistva%202023%20I_cg.pdf" TargetMode="External"/><Relationship Id="rId9" Type="http://schemas.openxmlformats.org/officeDocument/2006/relationships/hyperlink" Target="https://www.monstat.org/cg/page.php?id=1147&amp;pageid=5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19\AppData\Local\Temp\3ecbef58-8db8-42cd-98bc-5b57c0e86973_grafikoni_tabele_2024%20(1).zip.973\Grafikoni%20i%20tabele%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19\AppData\Local\Temp\3ecbef58-8db8-42cd-98bc-5b57c0e86973_grafikoni_tabele_2024%20(1).zip.973\Grafikoni%20i%20tabele%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tjana.jaukovic\Desktop\Izvjestaj%20o%20preliminarnim%20nivoima%20deficita%20i%20duga%20za%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tatjana%20popovic\Desktop\TANJA\tanja,%20posao\jelena%20dopuna%20podataka\Grafici_JZ%20(Recovered).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SynologyDrive\Stambena%20politika_MEPPU\Grafici_JZ.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atjana%20popovic\Desktop\TANJA\tanja,%20posao\jelena%20dopuna%20podataka\Grafici_JZ%20(Recover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58254615011725E-2"/>
          <c:y val="3.1568854169604331E-2"/>
          <c:w val="0.88901908892004144"/>
          <c:h val="0.89187617387501805"/>
        </c:manualLayout>
      </c:layout>
      <c:barChart>
        <c:barDir val="col"/>
        <c:grouping val="clustered"/>
        <c:varyColors val="0"/>
        <c:ser>
          <c:idx val="0"/>
          <c:order val="0"/>
          <c:tx>
            <c:strRef>
              <c:f>'[Grafikoni i tabele 2024.xlsx]Grafikon 3.1'!$A$14</c:f>
              <c:strCache>
                <c:ptCount val="1"/>
                <c:pt idx="0">
                  <c:v>Robe</c:v>
                </c:pt>
              </c:strCache>
            </c:strRef>
          </c:tx>
          <c:spPr>
            <a:solidFill>
              <a:schemeClr val="accent1"/>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3.1'!$B$14:$P$14</c:f>
              <c:numCache>
                <c:formatCode>0.00</c:formatCode>
                <c:ptCount val="15"/>
                <c:pt idx="0">
                  <c:v>-40.71</c:v>
                </c:pt>
                <c:pt idx="1">
                  <c:v>-39.9</c:v>
                </c:pt>
                <c:pt idx="2">
                  <c:v>-43.51</c:v>
                </c:pt>
                <c:pt idx="3">
                  <c:v>-39.51</c:v>
                </c:pt>
                <c:pt idx="4">
                  <c:v>-39.799999999999997</c:v>
                </c:pt>
                <c:pt idx="5">
                  <c:v>-40.049999999999997</c:v>
                </c:pt>
                <c:pt idx="6">
                  <c:v>-41.92</c:v>
                </c:pt>
                <c:pt idx="7">
                  <c:v>-43.27</c:v>
                </c:pt>
                <c:pt idx="8">
                  <c:v>-43.94</c:v>
                </c:pt>
                <c:pt idx="9">
                  <c:v>-41.72</c:v>
                </c:pt>
                <c:pt idx="10">
                  <c:v>-39.229999999999997</c:v>
                </c:pt>
                <c:pt idx="11">
                  <c:v>-38.65</c:v>
                </c:pt>
                <c:pt idx="12">
                  <c:v>-45.07</c:v>
                </c:pt>
                <c:pt idx="13">
                  <c:v>-42.88</c:v>
                </c:pt>
                <c:pt idx="14">
                  <c:v>-44.05</c:v>
                </c:pt>
              </c:numCache>
            </c:numRef>
          </c:val>
          <c:extLst>
            <c:ext xmlns:c16="http://schemas.microsoft.com/office/drawing/2014/chart" uri="{C3380CC4-5D6E-409C-BE32-E72D297353CC}">
              <c16:uniqueId val="{00000000-673E-4551-871F-5C55F58B18D2}"/>
            </c:ext>
          </c:extLst>
        </c:ser>
        <c:ser>
          <c:idx val="1"/>
          <c:order val="1"/>
          <c:tx>
            <c:strRef>
              <c:f>'[Grafikoni i tabele 2024.xlsx]Grafikon 3.1'!$A$15</c:f>
              <c:strCache>
                <c:ptCount val="1"/>
                <c:pt idx="0">
                  <c:v>Usluge</c:v>
                </c:pt>
              </c:strCache>
            </c:strRef>
          </c:tx>
          <c:spPr>
            <a:solidFill>
              <a:schemeClr val="accent3"/>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3.1'!$B$15:$P$15</c:f>
              <c:numCache>
                <c:formatCode>0.00</c:formatCode>
                <c:ptCount val="15"/>
                <c:pt idx="0">
                  <c:v>15.3</c:v>
                </c:pt>
                <c:pt idx="1">
                  <c:v>18.21</c:v>
                </c:pt>
                <c:pt idx="2">
                  <c:v>19.260000000000002</c:v>
                </c:pt>
                <c:pt idx="3">
                  <c:v>19.43</c:v>
                </c:pt>
                <c:pt idx="4">
                  <c:v>19.96</c:v>
                </c:pt>
                <c:pt idx="5">
                  <c:v>21.59</c:v>
                </c:pt>
                <c:pt idx="6">
                  <c:v>19.45</c:v>
                </c:pt>
                <c:pt idx="7">
                  <c:v>19.809999999999999</c:v>
                </c:pt>
                <c:pt idx="8">
                  <c:v>20.079999999999998</c:v>
                </c:pt>
                <c:pt idx="9">
                  <c:v>20.57</c:v>
                </c:pt>
                <c:pt idx="10">
                  <c:v>4.22</c:v>
                </c:pt>
                <c:pt idx="11">
                  <c:v>19.3</c:v>
                </c:pt>
                <c:pt idx="12">
                  <c:v>22.23</c:v>
                </c:pt>
                <c:pt idx="13">
                  <c:v>24.25</c:v>
                </c:pt>
                <c:pt idx="14">
                  <c:v>21.22</c:v>
                </c:pt>
              </c:numCache>
            </c:numRef>
          </c:val>
          <c:extLst>
            <c:ext xmlns:c16="http://schemas.microsoft.com/office/drawing/2014/chart" uri="{C3380CC4-5D6E-409C-BE32-E72D297353CC}">
              <c16:uniqueId val="{00000001-673E-4551-871F-5C55F58B18D2}"/>
            </c:ext>
          </c:extLst>
        </c:ser>
        <c:ser>
          <c:idx val="2"/>
          <c:order val="2"/>
          <c:tx>
            <c:strRef>
              <c:f>'[Grafikoni i tabele 2024.xlsx]Grafikon 3.1'!$A$16</c:f>
              <c:strCache>
                <c:ptCount val="1"/>
                <c:pt idx="0">
                  <c:v>Primarni dohodak</c:v>
                </c:pt>
              </c:strCache>
            </c:strRef>
          </c:tx>
          <c:spPr>
            <a:solidFill>
              <a:schemeClr val="accent5"/>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3.1'!$B$16:$P$16</c:f>
              <c:numCache>
                <c:formatCode>0.00</c:formatCode>
                <c:ptCount val="15"/>
                <c:pt idx="0">
                  <c:v>-0.7</c:v>
                </c:pt>
                <c:pt idx="1">
                  <c:v>0.8</c:v>
                </c:pt>
                <c:pt idx="2">
                  <c:v>1.69</c:v>
                </c:pt>
                <c:pt idx="3">
                  <c:v>1.95</c:v>
                </c:pt>
                <c:pt idx="4">
                  <c:v>1.33</c:v>
                </c:pt>
                <c:pt idx="5">
                  <c:v>2.19</c:v>
                </c:pt>
                <c:pt idx="6">
                  <c:v>0.87</c:v>
                </c:pt>
                <c:pt idx="7">
                  <c:v>2.0499999999999998</c:v>
                </c:pt>
                <c:pt idx="8">
                  <c:v>1.18</c:v>
                </c:pt>
                <c:pt idx="9">
                  <c:v>1.1200000000000001</c:v>
                </c:pt>
                <c:pt idx="10">
                  <c:v>1.59</c:v>
                </c:pt>
                <c:pt idx="11">
                  <c:v>2.06</c:v>
                </c:pt>
                <c:pt idx="12">
                  <c:v>2</c:v>
                </c:pt>
                <c:pt idx="13">
                  <c:v>0.97</c:v>
                </c:pt>
                <c:pt idx="14">
                  <c:v>-0.28999999999999998</c:v>
                </c:pt>
              </c:numCache>
            </c:numRef>
          </c:val>
          <c:extLst>
            <c:ext xmlns:c16="http://schemas.microsoft.com/office/drawing/2014/chart" uri="{C3380CC4-5D6E-409C-BE32-E72D297353CC}">
              <c16:uniqueId val="{00000002-673E-4551-871F-5C55F58B18D2}"/>
            </c:ext>
          </c:extLst>
        </c:ser>
        <c:ser>
          <c:idx val="3"/>
          <c:order val="3"/>
          <c:tx>
            <c:strRef>
              <c:f>'[Grafikoni i tabele 2024.xlsx]Grafikon 3.1'!$A$17</c:f>
              <c:strCache>
                <c:ptCount val="1"/>
                <c:pt idx="0">
                  <c:v>Sekundarni dohodak</c:v>
                </c:pt>
              </c:strCache>
            </c:strRef>
          </c:tx>
          <c:spPr>
            <a:solidFill>
              <a:schemeClr val="accent1">
                <a:lumMod val="60000"/>
              </a:schemeClr>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3.1'!$B$17:$P$17</c:f>
              <c:numCache>
                <c:formatCode>0.00</c:formatCode>
                <c:ptCount val="15"/>
                <c:pt idx="0">
                  <c:v>5.79</c:v>
                </c:pt>
                <c:pt idx="1">
                  <c:v>6.11</c:v>
                </c:pt>
                <c:pt idx="2">
                  <c:v>7.27</c:v>
                </c:pt>
                <c:pt idx="3">
                  <c:v>6.75</c:v>
                </c:pt>
                <c:pt idx="4">
                  <c:v>6.1</c:v>
                </c:pt>
                <c:pt idx="5">
                  <c:v>5.28</c:v>
                </c:pt>
                <c:pt idx="6">
                  <c:v>5.36</c:v>
                </c:pt>
                <c:pt idx="7">
                  <c:v>5.31</c:v>
                </c:pt>
                <c:pt idx="8">
                  <c:v>5.68</c:v>
                </c:pt>
                <c:pt idx="9">
                  <c:v>5.74</c:v>
                </c:pt>
                <c:pt idx="10">
                  <c:v>7.37</c:v>
                </c:pt>
                <c:pt idx="11">
                  <c:v>8.09</c:v>
                </c:pt>
                <c:pt idx="12">
                  <c:v>7.91</c:v>
                </c:pt>
                <c:pt idx="13">
                  <c:v>6.29</c:v>
                </c:pt>
                <c:pt idx="14">
                  <c:v>5.79</c:v>
                </c:pt>
              </c:numCache>
            </c:numRef>
          </c:val>
          <c:extLst>
            <c:ext xmlns:c16="http://schemas.microsoft.com/office/drawing/2014/chart" uri="{C3380CC4-5D6E-409C-BE32-E72D297353CC}">
              <c16:uniqueId val="{00000003-673E-4551-871F-5C55F58B18D2}"/>
            </c:ext>
          </c:extLst>
        </c:ser>
        <c:dLbls>
          <c:showLegendKey val="0"/>
          <c:showVal val="0"/>
          <c:showCatName val="0"/>
          <c:showSerName val="0"/>
          <c:showPercent val="0"/>
          <c:showBubbleSize val="0"/>
        </c:dLbls>
        <c:gapWidth val="50"/>
        <c:axId val="163865760"/>
        <c:axId val="208033648"/>
      </c:barChart>
      <c:lineChart>
        <c:grouping val="standard"/>
        <c:varyColors val="0"/>
        <c:ser>
          <c:idx val="4"/>
          <c:order val="4"/>
          <c:tx>
            <c:strRef>
              <c:f>'[Grafikoni i tabele 2024.xlsx]Grafikon 3.1'!$A$18</c:f>
              <c:strCache>
                <c:ptCount val="1"/>
                <c:pt idx="0">
                  <c:v>Tekući račun</c:v>
                </c:pt>
              </c:strCache>
            </c:strRef>
          </c:tx>
          <c:spPr>
            <a:ln w="19050" cap="rnd" cmpd="sng" algn="ctr">
              <a:solidFill>
                <a:schemeClr val="accent3">
                  <a:lumMod val="60000"/>
                </a:schemeClr>
              </a:solidFill>
              <a:prstDash val="solid"/>
              <a:round/>
            </a:ln>
            <a:effectLst/>
          </c:spPr>
          <c:marker>
            <c:symbol val="circle"/>
            <c:size val="5"/>
            <c:spPr>
              <a:solidFill>
                <a:schemeClr val="accent3">
                  <a:lumMod val="60000"/>
                </a:schemeClr>
              </a:solidFill>
              <a:ln w="6350" cap="flat" cmpd="sng" algn="ctr">
                <a:solidFill>
                  <a:schemeClr val="accent3">
                    <a:lumMod val="60000"/>
                  </a:schemeClr>
                </a:solidFill>
                <a:prstDash val="solid"/>
                <a:round/>
              </a:ln>
              <a:effectLst/>
            </c:spPr>
          </c:marker>
          <c:dLbls>
            <c:dLbl>
              <c:idx val="0"/>
              <c:layout>
                <c:manualLayout>
                  <c:x val="-3.4158841662023993E-2"/>
                  <c:y val="6.6230927729788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3E-4551-871F-5C55F58B18D2}"/>
                </c:ext>
              </c:extLst>
            </c:dLbl>
            <c:dLbl>
              <c:idx val="1"/>
              <c:layout>
                <c:manualLayout>
                  <c:x val="-3.1881585551222412E-2"/>
                  <c:y val="5.92592511266530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3E-4551-871F-5C55F58B18D2}"/>
                </c:ext>
              </c:extLst>
            </c:dLbl>
            <c:dLbl>
              <c:idx val="2"/>
              <c:layout>
                <c:manualLayout>
                  <c:x val="-3.4158841662023993E-2"/>
                  <c:y val="5.5773412825085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3E-4551-871F-5C55F58B18D2}"/>
                </c:ext>
              </c:extLst>
            </c:dLbl>
            <c:dLbl>
              <c:idx val="3"/>
              <c:layout>
                <c:manualLayout>
                  <c:x val="-1.821804888641284E-2"/>
                  <c:y val="4.1830059618813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3E-4551-871F-5C55F58B18D2}"/>
                </c:ext>
              </c:extLst>
            </c:dLbl>
            <c:dLbl>
              <c:idx val="4"/>
              <c:layout>
                <c:manualLayout>
                  <c:x val="-3.1881585551222433E-2"/>
                  <c:y val="6.2745089428220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3E-4551-871F-5C55F58B18D2}"/>
                </c:ext>
              </c:extLst>
            </c:dLbl>
            <c:dLbl>
              <c:idx val="5"/>
              <c:layout>
                <c:manualLayout>
                  <c:x val="-3.1881585551222474E-2"/>
                  <c:y val="3.4858383015678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3E-4551-871F-5C55F58B18D2}"/>
                </c:ext>
              </c:extLst>
            </c:dLbl>
            <c:dLbl>
              <c:idx val="6"/>
              <c:layout>
                <c:manualLayout>
                  <c:x val="-2.7327073329619193E-2"/>
                  <c:y val="5.2287574523517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3E-4551-871F-5C55F58B18D2}"/>
                </c:ext>
              </c:extLst>
            </c:dLbl>
            <c:dLbl>
              <c:idx val="7"/>
              <c:layout>
                <c:manualLayout>
                  <c:x val="-3.4158841662023993E-2"/>
                  <c:y val="2.0915029809406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3E-4551-871F-5C55F58B18D2}"/>
                </c:ext>
              </c:extLst>
            </c:dLbl>
            <c:dLbl>
              <c:idx val="8"/>
              <c:layout>
                <c:manualLayout>
                  <c:x val="-3.4158841662023993E-2"/>
                  <c:y val="3.83442213172461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73E-4551-871F-5C55F58B18D2}"/>
                </c:ext>
              </c:extLst>
            </c:dLbl>
            <c:dLbl>
              <c:idx val="9"/>
              <c:layout>
                <c:manualLayout>
                  <c:x val="-3.1764207510666984E-2"/>
                  <c:y val="6.7188481447202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73E-4551-871F-5C55F58B18D2}"/>
                </c:ext>
              </c:extLst>
            </c:dLbl>
            <c:dLbl>
              <c:idx val="10"/>
              <c:layout>
                <c:manualLayout>
                  <c:x val="-5.2593009900384746E-3"/>
                  <c:y val="4.2289814869413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73E-4551-871F-5C55F58B18D2}"/>
                </c:ext>
              </c:extLst>
            </c:dLbl>
            <c:dLbl>
              <c:idx val="11"/>
              <c:layout>
                <c:manualLayout>
                  <c:x val="-2.9604329440420792E-2"/>
                  <c:y val="4.1830059618813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73E-4551-871F-5C55F58B18D2}"/>
                </c:ext>
              </c:extLst>
            </c:dLbl>
            <c:dLbl>
              <c:idx val="12"/>
              <c:layout>
                <c:manualLayout>
                  <c:x val="-3.5234364423249089E-4"/>
                  <c:y val="4.5315844932303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73E-4551-871F-5C55F58B18D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3.1'!$B$18:$P$18</c:f>
              <c:numCache>
                <c:formatCode>0.00</c:formatCode>
                <c:ptCount val="15"/>
                <c:pt idx="0">
                  <c:v>-20.309999999999999</c:v>
                </c:pt>
                <c:pt idx="1">
                  <c:v>-14.78</c:v>
                </c:pt>
                <c:pt idx="2">
                  <c:v>-15.28</c:v>
                </c:pt>
                <c:pt idx="3">
                  <c:v>-11.39</c:v>
                </c:pt>
                <c:pt idx="4">
                  <c:v>-12.41</c:v>
                </c:pt>
                <c:pt idx="5">
                  <c:v>-10.99</c:v>
                </c:pt>
                <c:pt idx="6">
                  <c:v>-16.239999999999998</c:v>
                </c:pt>
                <c:pt idx="7">
                  <c:v>-16.079999999999998</c:v>
                </c:pt>
                <c:pt idx="8">
                  <c:v>-17</c:v>
                </c:pt>
                <c:pt idx="9">
                  <c:v>-14.28</c:v>
                </c:pt>
                <c:pt idx="10">
                  <c:v>-26.05</c:v>
                </c:pt>
                <c:pt idx="11">
                  <c:v>-9.1999999999999993</c:v>
                </c:pt>
                <c:pt idx="12">
                  <c:v>-12.93</c:v>
                </c:pt>
                <c:pt idx="13">
                  <c:v>-11.36</c:v>
                </c:pt>
                <c:pt idx="14">
                  <c:v>-17.329999999999998</c:v>
                </c:pt>
              </c:numCache>
            </c:numRef>
          </c:val>
          <c:smooth val="0"/>
          <c:extLst>
            <c:ext xmlns:c16="http://schemas.microsoft.com/office/drawing/2014/chart" uri="{C3380CC4-5D6E-409C-BE32-E72D297353CC}">
              <c16:uniqueId val="{00000011-673E-4551-871F-5C55F58B18D2}"/>
            </c:ext>
          </c:extLst>
        </c:ser>
        <c:dLbls>
          <c:showLegendKey val="0"/>
          <c:showVal val="0"/>
          <c:showCatName val="0"/>
          <c:showSerName val="0"/>
          <c:showPercent val="0"/>
          <c:showBubbleSize val="0"/>
        </c:dLbls>
        <c:marker val="1"/>
        <c:smooth val="0"/>
        <c:axId val="163865760"/>
        <c:axId val="208033648"/>
      </c:lineChart>
      <c:catAx>
        <c:axId val="1638657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208033648"/>
        <c:crosses val="autoZero"/>
        <c:auto val="1"/>
        <c:lblAlgn val="ctr"/>
        <c:lblOffset val="100"/>
        <c:noMultiLvlLbl val="0"/>
      </c:catAx>
      <c:valAx>
        <c:axId val="208033648"/>
        <c:scaling>
          <c:orientation val="minMax"/>
          <c:min val="-60"/>
        </c:scaling>
        <c:delete val="0"/>
        <c:axPos val="l"/>
        <c:majorGridlines>
          <c:spPr>
            <a:ln w="9525" cap="flat" cmpd="sng" algn="ctr">
              <a:solidFill>
                <a:schemeClr val="tx1">
                  <a:lumMod val="15000"/>
                  <a:lumOff val="85000"/>
                </a:schemeClr>
              </a:solidFill>
              <a:prstDash val="solid"/>
              <a:round/>
            </a:ln>
            <a:effectLst/>
          </c:spPr>
        </c:majorGridlines>
        <c:numFmt formatCode="0.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63865760"/>
        <c:crosses val="autoZero"/>
        <c:crossBetween val="between"/>
      </c:valAx>
      <c:spPr>
        <a:noFill/>
        <a:ln>
          <a:noFill/>
        </a:ln>
        <a:effectLst/>
      </c:spPr>
    </c:plotArea>
    <c:legend>
      <c:legendPos val="b"/>
      <c:layout>
        <c:manualLayout>
          <c:xMode val="edge"/>
          <c:yMode val="edge"/>
          <c:x val="8.4109161895528445E-2"/>
          <c:y val="0.81568520878146078"/>
          <c:w val="0.91589083810447158"/>
          <c:h val="0.13042566446779763"/>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'Tabela 2'!$A$4</c:f>
              <c:strCache>
                <c:ptCount val="1"/>
                <c:pt idx="0">
                  <c:v>Stopa rizika od siromaštva ili socijalne isključenosti - AROPE,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'Tabela 2'!$B$1:$F$2</c:f>
              <c:strCache>
                <c:ptCount val="5"/>
                <c:pt idx="0">
                  <c:v>2020</c:v>
                </c:pt>
                <c:pt idx="1">
                  <c:v>2021</c:v>
                </c:pt>
                <c:pt idx="2">
                  <c:v>2022</c:v>
                </c:pt>
                <c:pt idx="3">
                  <c:v>2023(p)</c:v>
                </c:pt>
                <c:pt idx="4">
                  <c:v>2024(p)</c:v>
                </c:pt>
              </c:strCache>
            </c:strRef>
          </c:cat>
          <c:val>
            <c:numRef>
              <c:f>'Tabela 2'!$B$4:$F$4</c:f>
              <c:numCache>
                <c:formatCode>General</c:formatCode>
                <c:ptCount val="5"/>
                <c:pt idx="0">
                  <c:v>37.6</c:v>
                </c:pt>
                <c:pt idx="1">
                  <c:v>38.9</c:v>
                </c:pt>
                <c:pt idx="2">
                  <c:v>34.1</c:v>
                </c:pt>
                <c:pt idx="3" formatCode="0.0">
                  <c:v>31</c:v>
                </c:pt>
                <c:pt idx="4" formatCode="0.0">
                  <c:v>29.2</c:v>
                </c:pt>
              </c:numCache>
            </c:numRef>
          </c:val>
          <c:extLst>
            <c:ext xmlns:c16="http://schemas.microsoft.com/office/drawing/2014/chart" uri="{C3380CC4-5D6E-409C-BE32-E72D297353CC}">
              <c16:uniqueId val="{00000000-E04B-47E8-A71C-3391A323EA17}"/>
            </c:ext>
          </c:extLst>
        </c:ser>
        <c:ser>
          <c:idx val="2"/>
          <c:order val="2"/>
          <c:tx>
            <c:strRef>
              <c:f>'Tabela 2'!$A$5</c:f>
              <c:strCache>
                <c:ptCount val="1"/>
                <c:pt idx="0">
                  <c:v>Stopa izrazite materijalne i socijalne deprivacije, %</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'Tabela 2'!$B$1:$F$2</c:f>
              <c:strCache>
                <c:ptCount val="5"/>
                <c:pt idx="0">
                  <c:v>2020</c:v>
                </c:pt>
                <c:pt idx="1">
                  <c:v>2021</c:v>
                </c:pt>
                <c:pt idx="2">
                  <c:v>2022</c:v>
                </c:pt>
                <c:pt idx="3">
                  <c:v>2023(p)</c:v>
                </c:pt>
                <c:pt idx="4">
                  <c:v>2024(p)</c:v>
                </c:pt>
              </c:strCache>
            </c:strRef>
          </c:cat>
          <c:val>
            <c:numRef>
              <c:f>'Tabela 2'!$B$5:$F$5</c:f>
              <c:numCache>
                <c:formatCode>0.0</c:formatCode>
                <c:ptCount val="5"/>
                <c:pt idx="0">
                  <c:v>23</c:v>
                </c:pt>
                <c:pt idx="1">
                  <c:v>24</c:v>
                </c:pt>
                <c:pt idx="2">
                  <c:v>18</c:v>
                </c:pt>
                <c:pt idx="3">
                  <c:v>12.3</c:v>
                </c:pt>
                <c:pt idx="4">
                  <c:v>11</c:v>
                </c:pt>
              </c:numCache>
            </c:numRef>
          </c:val>
          <c:extLst>
            <c:ext xmlns:c16="http://schemas.microsoft.com/office/drawing/2014/chart" uri="{C3380CC4-5D6E-409C-BE32-E72D297353CC}">
              <c16:uniqueId val="{00000001-E04B-47E8-A71C-3391A323EA17}"/>
            </c:ext>
          </c:extLst>
        </c:ser>
        <c:dLbls>
          <c:dLblPos val="outEnd"/>
          <c:showLegendKey val="0"/>
          <c:showVal val="1"/>
          <c:showCatName val="0"/>
          <c:showSerName val="0"/>
          <c:showPercent val="0"/>
          <c:showBubbleSize val="0"/>
        </c:dLbls>
        <c:gapWidth val="444"/>
        <c:overlap val="-90"/>
        <c:axId val="2114723055"/>
        <c:axId val="2114723887"/>
        <c:extLst>
          <c:ext xmlns:c15="http://schemas.microsoft.com/office/drawing/2012/chart" uri="{02D57815-91ED-43cb-92C2-25804820EDAC}">
            <c15:filteredBarSeries>
              <c15:ser>
                <c:idx val="0"/>
                <c:order val="0"/>
                <c:tx>
                  <c:strRef>
                    <c:extLst>
                      <c:ext uri="{02D57815-91ED-43cb-92C2-25804820EDAC}">
                        <c15:formulaRef>
                          <c15:sqref>'Tabela 2'!$A$3</c15:sqref>
                        </c15:formulaRef>
                      </c:ext>
                    </c:extLst>
                    <c:strCache>
                      <c:ptCount val="1"/>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'Tabela 2'!$B$1:$F$2</c15:sqref>
                        </c15:formulaRef>
                      </c:ext>
                    </c:extLst>
                    <c:strCache>
                      <c:ptCount val="5"/>
                      <c:pt idx="0">
                        <c:v>2020</c:v>
                      </c:pt>
                      <c:pt idx="1">
                        <c:v>2021</c:v>
                      </c:pt>
                      <c:pt idx="2">
                        <c:v>2022</c:v>
                      </c:pt>
                      <c:pt idx="3">
                        <c:v>2023(p)</c:v>
                      </c:pt>
                      <c:pt idx="4">
                        <c:v>2024(p)</c:v>
                      </c:pt>
                    </c:strCache>
                  </c:strRef>
                </c:cat>
                <c:val>
                  <c:numRef>
                    <c:extLst>
                      <c:ext uri="{02D57815-91ED-43cb-92C2-25804820EDAC}">
                        <c15:formulaRef>
                          <c15:sqref>'Tabela 2'!$B$3:$F$3</c15:sqref>
                        </c15:formulaRef>
                      </c:ext>
                    </c:extLst>
                    <c:numCache>
                      <c:formatCode>General</c:formatCode>
                      <c:ptCount val="5"/>
                    </c:numCache>
                  </c:numRef>
                </c:val>
                <c:extLst>
                  <c:ext xmlns:c16="http://schemas.microsoft.com/office/drawing/2014/chart" uri="{C3380CC4-5D6E-409C-BE32-E72D297353CC}">
                    <c16:uniqueId val="{00000002-E04B-47E8-A71C-3391A323EA17}"/>
                  </c:ext>
                </c:extLst>
              </c15:ser>
            </c15:filteredBarSeries>
          </c:ext>
        </c:extLst>
      </c:barChart>
      <c:catAx>
        <c:axId val="21147230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14723887"/>
        <c:crosses val="autoZero"/>
        <c:auto val="1"/>
        <c:lblAlgn val="ctr"/>
        <c:lblOffset val="100"/>
        <c:noMultiLvlLbl val="0"/>
      </c:catAx>
      <c:valAx>
        <c:axId val="2114723887"/>
        <c:scaling>
          <c:orientation val="minMax"/>
        </c:scaling>
        <c:delete val="1"/>
        <c:axPos val="l"/>
        <c:numFmt formatCode="General" sourceLinked="1"/>
        <c:majorTickMark val="none"/>
        <c:minorTickMark val="none"/>
        <c:tickLblPos val="nextTo"/>
        <c:crossAx val="2114723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'Tabela 5'!$B$1:$B$2</c:f>
              <c:strCache>
                <c:ptCount val="2"/>
                <c:pt idx="0">
                  <c:v>Tabela 5. Stopa rizika od siromaštva prema starosti, %</c:v>
                </c:pt>
                <c:pt idx="1">
                  <c:v>2024(p)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'Tabela 5'!$A$3:$A$7</c:f>
              <c:strCache>
                <c:ptCount val="5"/>
                <c:pt idx="0">
                  <c:v>0-17 godina</c:v>
                </c:pt>
                <c:pt idx="1">
                  <c:v>18-24 godine</c:v>
                </c:pt>
                <c:pt idx="2">
                  <c:v>25-54 godine</c:v>
                </c:pt>
                <c:pt idx="3">
                  <c:v>55-64 godine</c:v>
                </c:pt>
                <c:pt idx="4">
                  <c:v>65 ili više godina</c:v>
                </c:pt>
              </c:strCache>
            </c:strRef>
          </c:cat>
          <c:val>
            <c:numRef>
              <c:f>'Tabela 5'!$B$3:$B$7</c:f>
              <c:numCache>
                <c:formatCode>_-* #,##0.0\ _z_ł_-;\-* #,##0.0\ _z_ł_-;_-* "-"??\ _z_ł_-;_-@_-</c:formatCode>
                <c:ptCount val="5"/>
                <c:pt idx="0">
                  <c:v>25.6</c:v>
                </c:pt>
                <c:pt idx="1">
                  <c:v>22.1</c:v>
                </c:pt>
                <c:pt idx="2" formatCode="General">
                  <c:v>17.3</c:v>
                </c:pt>
                <c:pt idx="3">
                  <c:v>16.8</c:v>
                </c:pt>
                <c:pt idx="4">
                  <c:v>20.5</c:v>
                </c:pt>
              </c:numCache>
            </c:numRef>
          </c:val>
          <c:extLst>
            <c:ext xmlns:c16="http://schemas.microsoft.com/office/drawing/2014/chart" uri="{C3380CC4-5D6E-409C-BE32-E72D297353CC}">
              <c16:uniqueId val="{00000000-1BD1-45D8-A237-491A761773A4}"/>
            </c:ext>
          </c:extLst>
        </c:ser>
        <c:dLbls>
          <c:dLblPos val="inEnd"/>
          <c:showLegendKey val="0"/>
          <c:showVal val="1"/>
          <c:showCatName val="0"/>
          <c:showSerName val="0"/>
          <c:showPercent val="0"/>
          <c:showBubbleSize val="0"/>
        </c:dLbls>
        <c:gapWidth val="100"/>
        <c:axId val="2054847119"/>
        <c:axId val="2054852111"/>
      </c:barChart>
      <c:catAx>
        <c:axId val="2054847119"/>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54852111"/>
        <c:crosses val="autoZero"/>
        <c:auto val="1"/>
        <c:lblAlgn val="ctr"/>
        <c:lblOffset val="100"/>
        <c:noMultiLvlLbl val="0"/>
      </c:catAx>
      <c:valAx>
        <c:axId val="2054852111"/>
        <c:scaling>
          <c:orientation val="minMax"/>
        </c:scaling>
        <c:delete val="0"/>
        <c:axPos val="b"/>
        <c:majorGridlines>
          <c:spPr>
            <a:ln w="9525" cap="flat" cmpd="sng" algn="ctr">
              <a:solidFill>
                <a:schemeClr val="tx2">
                  <a:lumMod val="15000"/>
                  <a:lumOff val="85000"/>
                </a:schemeClr>
              </a:solidFill>
              <a:round/>
            </a:ln>
            <a:effectLst/>
          </c:spPr>
        </c:majorGridlines>
        <c:numFmt formatCode="_-* #,##0.0\ _z_ł_-;\-* #,##0.0\ _z_ł_-;_-* &quot;-&quot;??\ _z_ł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54847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 6'!$A$3</c:f>
              <c:strCache>
                <c:ptCount val="1"/>
                <c:pt idx="0">
                  <c:v>Muškarci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'Tabela 6'!$B$1:$D$2</c:f>
              <c:strCache>
                <c:ptCount val="3"/>
                <c:pt idx="0">
                  <c:v>2022</c:v>
                </c:pt>
                <c:pt idx="1">
                  <c:v>2023(p)</c:v>
                </c:pt>
                <c:pt idx="2">
                  <c:v>2024(p)</c:v>
                </c:pt>
              </c:strCache>
            </c:strRef>
          </c:cat>
          <c:val>
            <c:numRef>
              <c:f>'Tabela 6'!$B$3:$D$3</c:f>
              <c:numCache>
                <c:formatCode>_-* #,##0.0\ _z_ł_-;\-* #,##0.0\ _z_ł_-;_-* "-"??\ _z_ł_-;_-@_-</c:formatCode>
                <c:ptCount val="3"/>
                <c:pt idx="0">
                  <c:v>20</c:v>
                </c:pt>
                <c:pt idx="1">
                  <c:v>20.2</c:v>
                </c:pt>
                <c:pt idx="2">
                  <c:v>19.8</c:v>
                </c:pt>
              </c:numCache>
            </c:numRef>
          </c:val>
          <c:extLst>
            <c:ext xmlns:c16="http://schemas.microsoft.com/office/drawing/2014/chart" uri="{C3380CC4-5D6E-409C-BE32-E72D297353CC}">
              <c16:uniqueId val="{00000000-D822-4687-96CB-95465844C09F}"/>
            </c:ext>
          </c:extLst>
        </c:ser>
        <c:ser>
          <c:idx val="1"/>
          <c:order val="1"/>
          <c:tx>
            <c:strRef>
              <c:f>'Tabela 6'!$A$4</c:f>
              <c:strCache>
                <c:ptCount val="1"/>
                <c:pt idx="0">
                  <c:v>Žene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'Tabela 6'!$B$1:$D$2</c:f>
              <c:strCache>
                <c:ptCount val="3"/>
                <c:pt idx="0">
                  <c:v>2022</c:v>
                </c:pt>
                <c:pt idx="1">
                  <c:v>2023(p)</c:v>
                </c:pt>
                <c:pt idx="2">
                  <c:v>2024(p)</c:v>
                </c:pt>
              </c:strCache>
            </c:strRef>
          </c:cat>
          <c:val>
            <c:numRef>
              <c:f>'Tabela 6'!$B$4:$D$4</c:f>
              <c:numCache>
                <c:formatCode>_-* #,##0.0\ _z_ł_-;\-* #,##0.0\ _z_ł_-;_-* "-"??\ _z_ł_-;_-@_-</c:formatCode>
                <c:ptCount val="3"/>
                <c:pt idx="0">
                  <c:v>20.6</c:v>
                </c:pt>
                <c:pt idx="1">
                  <c:v>19.899999999999999</c:v>
                </c:pt>
                <c:pt idx="2">
                  <c:v>20.100000000000001</c:v>
                </c:pt>
              </c:numCache>
            </c:numRef>
          </c:val>
          <c:extLst>
            <c:ext xmlns:c16="http://schemas.microsoft.com/office/drawing/2014/chart" uri="{C3380CC4-5D6E-409C-BE32-E72D297353CC}">
              <c16:uniqueId val="{00000001-D822-4687-96CB-95465844C09F}"/>
            </c:ext>
          </c:extLst>
        </c:ser>
        <c:dLbls>
          <c:dLblPos val="inEnd"/>
          <c:showLegendKey val="0"/>
          <c:showVal val="1"/>
          <c:showCatName val="0"/>
          <c:showSerName val="0"/>
          <c:showPercent val="0"/>
          <c:showBubbleSize val="0"/>
        </c:dLbls>
        <c:gapWidth val="65"/>
        <c:axId val="2111967407"/>
        <c:axId val="2111966991"/>
      </c:barChart>
      <c:catAx>
        <c:axId val="21119674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11966991"/>
        <c:crosses val="autoZero"/>
        <c:auto val="1"/>
        <c:lblAlgn val="ctr"/>
        <c:lblOffset val="100"/>
        <c:noMultiLvlLbl val="0"/>
      </c:catAx>
      <c:valAx>
        <c:axId val="21119669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_-* #,##0.0\ _z_ł_-;\-* #,##0.0\ _z_ł_-;_-* &quot;-&quot;??\ _z_ł_-;_-@_-" sourceLinked="1"/>
        <c:majorTickMark val="none"/>
        <c:minorTickMark val="none"/>
        <c:tickLblPos val="nextTo"/>
        <c:crossAx val="211196740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 8'!$B$1:$B$3</c:f>
              <c:strCache>
                <c:ptCount val="3"/>
                <c:pt idx="0">
                  <c:v>Tabela 8. Stopa rizika od siromaštva po regionima i tipu naselja, %</c:v>
                </c:pt>
                <c:pt idx="1">
                  <c:v>2024(p)</c:v>
                </c:pt>
                <c:pt idx="2">
                  <c:v>Region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 8'!$A$4:$A$6</c:f>
              <c:strCache>
                <c:ptCount val="3"/>
                <c:pt idx="0">
                  <c:v>Centar</c:v>
                </c:pt>
                <c:pt idx="1">
                  <c:v>Jug</c:v>
                </c:pt>
                <c:pt idx="2">
                  <c:v>Sjever</c:v>
                </c:pt>
              </c:strCache>
            </c:strRef>
          </c:cat>
          <c:val>
            <c:numRef>
              <c:f>'Tabela 8'!$B$4:$B$6</c:f>
              <c:numCache>
                <c:formatCode>0.0</c:formatCode>
                <c:ptCount val="3"/>
                <c:pt idx="0" formatCode="General">
                  <c:v>17.5</c:v>
                </c:pt>
                <c:pt idx="1">
                  <c:v>15</c:v>
                </c:pt>
                <c:pt idx="2">
                  <c:v>29.7</c:v>
                </c:pt>
              </c:numCache>
            </c:numRef>
          </c:val>
          <c:extLst>
            <c:ext xmlns:c16="http://schemas.microsoft.com/office/drawing/2014/chart" uri="{C3380CC4-5D6E-409C-BE32-E72D297353CC}">
              <c16:uniqueId val="{00000000-84F8-41AC-B26D-F61145A952AD}"/>
            </c:ext>
          </c:extLst>
        </c:ser>
        <c:dLbls>
          <c:dLblPos val="outEnd"/>
          <c:showLegendKey val="0"/>
          <c:showVal val="1"/>
          <c:showCatName val="0"/>
          <c:showSerName val="0"/>
          <c:showPercent val="0"/>
          <c:showBubbleSize val="0"/>
        </c:dLbls>
        <c:gapWidth val="219"/>
        <c:overlap val="-27"/>
        <c:axId val="2115515535"/>
        <c:axId val="2115513455"/>
      </c:barChart>
      <c:catAx>
        <c:axId val="211551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3455"/>
        <c:crosses val="autoZero"/>
        <c:auto val="1"/>
        <c:lblAlgn val="ctr"/>
        <c:lblOffset val="100"/>
        <c:noMultiLvlLbl val="0"/>
      </c:catAx>
      <c:valAx>
        <c:axId val="2115513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5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846494670481299E-2"/>
          <c:y val="3.5140721369586118E-2"/>
          <c:w val="0.86251104227222897"/>
          <c:h val="0.83714517923702303"/>
        </c:manualLayout>
      </c:layout>
      <c:lineChart>
        <c:grouping val="standard"/>
        <c:varyColors val="0"/>
        <c:ser>
          <c:idx val="0"/>
          <c:order val="0"/>
          <c:tx>
            <c:strRef>
              <c:f>'[Grafikoni i tabele 2024.xlsx]Grafikon 3.3'!$B$10</c:f>
              <c:strCache>
                <c:ptCount val="1"/>
                <c:pt idx="0">
                  <c:v>Bruto zarade</c:v>
                </c:pt>
              </c:strCache>
            </c:strRef>
          </c:tx>
          <c:spPr>
            <a:ln w="28575" cap="rnd">
              <a:solidFill>
                <a:schemeClr val="accent1"/>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3.3'!$C$10:$JF$10</c:f>
              <c:numCache>
                <c:formatCode>#,##0.00</c:formatCode>
                <c:ptCount val="264"/>
                <c:pt idx="0">
                  <c:v>242.51</c:v>
                </c:pt>
                <c:pt idx="1">
                  <c:v>198.88</c:v>
                </c:pt>
                <c:pt idx="2">
                  <c:v>259.20999999999998</c:v>
                </c:pt>
                <c:pt idx="3">
                  <c:v>276.39</c:v>
                </c:pt>
                <c:pt idx="4">
                  <c:v>273.3</c:v>
                </c:pt>
                <c:pt idx="5">
                  <c:v>273.10000000000002</c:v>
                </c:pt>
                <c:pt idx="6">
                  <c:v>275.45999999999998</c:v>
                </c:pt>
                <c:pt idx="7">
                  <c:v>280.55</c:v>
                </c:pt>
                <c:pt idx="8">
                  <c:v>289.77</c:v>
                </c:pt>
                <c:pt idx="9">
                  <c:v>288.12</c:v>
                </c:pt>
                <c:pt idx="10">
                  <c:v>275.79000000000002</c:v>
                </c:pt>
                <c:pt idx="11">
                  <c:v>321.14999999999998</c:v>
                </c:pt>
                <c:pt idx="12">
                  <c:v>266.98</c:v>
                </c:pt>
                <c:pt idx="13">
                  <c:v>292.12</c:v>
                </c:pt>
                <c:pt idx="14">
                  <c:v>292.42</c:v>
                </c:pt>
                <c:pt idx="15">
                  <c:v>301.43</c:v>
                </c:pt>
                <c:pt idx="16">
                  <c:v>297.12</c:v>
                </c:pt>
                <c:pt idx="17">
                  <c:v>304.74</c:v>
                </c:pt>
                <c:pt idx="18">
                  <c:v>307.08</c:v>
                </c:pt>
                <c:pt idx="19">
                  <c:v>312.77999999999997</c:v>
                </c:pt>
                <c:pt idx="20">
                  <c:v>310.31</c:v>
                </c:pt>
                <c:pt idx="21">
                  <c:v>298.45</c:v>
                </c:pt>
                <c:pt idx="22">
                  <c:v>306.77</c:v>
                </c:pt>
                <c:pt idx="23">
                  <c:v>344.8</c:v>
                </c:pt>
                <c:pt idx="24">
                  <c:v>283.37</c:v>
                </c:pt>
                <c:pt idx="25">
                  <c:v>299.23</c:v>
                </c:pt>
                <c:pt idx="26">
                  <c:v>309.44</c:v>
                </c:pt>
                <c:pt idx="27">
                  <c:v>325.63</c:v>
                </c:pt>
                <c:pt idx="28">
                  <c:v>297.77999999999997</c:v>
                </c:pt>
                <c:pt idx="29">
                  <c:v>329.56</c:v>
                </c:pt>
                <c:pt idx="30">
                  <c:v>329.78</c:v>
                </c:pt>
                <c:pt idx="31">
                  <c:v>338.82</c:v>
                </c:pt>
                <c:pt idx="32">
                  <c:v>336.53</c:v>
                </c:pt>
                <c:pt idx="33">
                  <c:v>336.86</c:v>
                </c:pt>
                <c:pt idx="34">
                  <c:v>343.28</c:v>
                </c:pt>
                <c:pt idx="35">
                  <c:v>387.8</c:v>
                </c:pt>
                <c:pt idx="36">
                  <c:v>413</c:v>
                </c:pt>
                <c:pt idx="37">
                  <c:v>415</c:v>
                </c:pt>
                <c:pt idx="38">
                  <c:v>425</c:v>
                </c:pt>
                <c:pt idx="39">
                  <c:v>433</c:v>
                </c:pt>
                <c:pt idx="40">
                  <c:v>440</c:v>
                </c:pt>
                <c:pt idx="41">
                  <c:v>440</c:v>
                </c:pt>
                <c:pt idx="42">
                  <c:v>431</c:v>
                </c:pt>
                <c:pt idx="43">
                  <c:v>429</c:v>
                </c:pt>
                <c:pt idx="44">
                  <c:v>441</c:v>
                </c:pt>
                <c:pt idx="45">
                  <c:v>432</c:v>
                </c:pt>
                <c:pt idx="46">
                  <c:v>440</c:v>
                </c:pt>
                <c:pt idx="47">
                  <c:v>471</c:v>
                </c:pt>
                <c:pt idx="48">
                  <c:v>447</c:v>
                </c:pt>
                <c:pt idx="49">
                  <c:v>473</c:v>
                </c:pt>
                <c:pt idx="50">
                  <c:v>467</c:v>
                </c:pt>
                <c:pt idx="51">
                  <c:v>479</c:v>
                </c:pt>
                <c:pt idx="52">
                  <c:v>484</c:v>
                </c:pt>
                <c:pt idx="53">
                  <c:v>493</c:v>
                </c:pt>
                <c:pt idx="54">
                  <c:v>487</c:v>
                </c:pt>
                <c:pt idx="55">
                  <c:v>497</c:v>
                </c:pt>
                <c:pt idx="56">
                  <c:v>508</c:v>
                </c:pt>
                <c:pt idx="57">
                  <c:v>522</c:v>
                </c:pt>
                <c:pt idx="58">
                  <c:v>539</c:v>
                </c:pt>
                <c:pt idx="59">
                  <c:v>554</c:v>
                </c:pt>
                <c:pt idx="60">
                  <c:v>564</c:v>
                </c:pt>
                <c:pt idx="61">
                  <c:v>584</c:v>
                </c:pt>
                <c:pt idx="62">
                  <c:v>578</c:v>
                </c:pt>
                <c:pt idx="63">
                  <c:v>588</c:v>
                </c:pt>
                <c:pt idx="64">
                  <c:v>602</c:v>
                </c:pt>
                <c:pt idx="65">
                  <c:v>623</c:v>
                </c:pt>
                <c:pt idx="66">
                  <c:v>610</c:v>
                </c:pt>
                <c:pt idx="67">
                  <c:v>625</c:v>
                </c:pt>
                <c:pt idx="68">
                  <c:v>630</c:v>
                </c:pt>
                <c:pt idx="69">
                  <c:v>621</c:v>
                </c:pt>
                <c:pt idx="70">
                  <c:v>629</c:v>
                </c:pt>
                <c:pt idx="71">
                  <c:v>651</c:v>
                </c:pt>
                <c:pt idx="72">
                  <c:v>655</c:v>
                </c:pt>
                <c:pt idx="73">
                  <c:v>650</c:v>
                </c:pt>
                <c:pt idx="74">
                  <c:v>642</c:v>
                </c:pt>
                <c:pt idx="75">
                  <c:v>647</c:v>
                </c:pt>
                <c:pt idx="76">
                  <c:v>651</c:v>
                </c:pt>
                <c:pt idx="77">
                  <c:v>648</c:v>
                </c:pt>
                <c:pt idx="78">
                  <c:v>636</c:v>
                </c:pt>
                <c:pt idx="79">
                  <c:v>641</c:v>
                </c:pt>
                <c:pt idx="80">
                  <c:v>631</c:v>
                </c:pt>
                <c:pt idx="81">
                  <c:v>633</c:v>
                </c:pt>
                <c:pt idx="82">
                  <c:v>633</c:v>
                </c:pt>
                <c:pt idx="83">
                  <c:v>653</c:v>
                </c:pt>
                <c:pt idx="84">
                  <c:v>702</c:v>
                </c:pt>
                <c:pt idx="85">
                  <c:v>691</c:v>
                </c:pt>
                <c:pt idx="86">
                  <c:v>693</c:v>
                </c:pt>
                <c:pt idx="87">
                  <c:v>693</c:v>
                </c:pt>
                <c:pt idx="88">
                  <c:v>727</c:v>
                </c:pt>
                <c:pt idx="89">
                  <c:v>706</c:v>
                </c:pt>
                <c:pt idx="90">
                  <c:v>696</c:v>
                </c:pt>
                <c:pt idx="91">
                  <c:v>752</c:v>
                </c:pt>
                <c:pt idx="92">
                  <c:v>717</c:v>
                </c:pt>
                <c:pt idx="93">
                  <c:v>711</c:v>
                </c:pt>
                <c:pt idx="94">
                  <c:v>716</c:v>
                </c:pt>
                <c:pt idx="95">
                  <c:v>768</c:v>
                </c:pt>
                <c:pt idx="96">
                  <c:v>772</c:v>
                </c:pt>
                <c:pt idx="97">
                  <c:v>754</c:v>
                </c:pt>
                <c:pt idx="98">
                  <c:v>722</c:v>
                </c:pt>
                <c:pt idx="99">
                  <c:v>705</c:v>
                </c:pt>
                <c:pt idx="100">
                  <c:v>714</c:v>
                </c:pt>
                <c:pt idx="101">
                  <c:v>708</c:v>
                </c:pt>
                <c:pt idx="102">
                  <c:v>710</c:v>
                </c:pt>
                <c:pt idx="103">
                  <c:v>709</c:v>
                </c:pt>
                <c:pt idx="104">
                  <c:v>712</c:v>
                </c:pt>
                <c:pt idx="105">
                  <c:v>711</c:v>
                </c:pt>
                <c:pt idx="106">
                  <c:v>721</c:v>
                </c:pt>
                <c:pt idx="107">
                  <c:v>722</c:v>
                </c:pt>
                <c:pt idx="108">
                  <c:v>754</c:v>
                </c:pt>
                <c:pt idx="109">
                  <c:v>739</c:v>
                </c:pt>
                <c:pt idx="110">
                  <c:v>730</c:v>
                </c:pt>
                <c:pt idx="111">
                  <c:v>733</c:v>
                </c:pt>
                <c:pt idx="112">
                  <c:v>727</c:v>
                </c:pt>
                <c:pt idx="113">
                  <c:v>722</c:v>
                </c:pt>
                <c:pt idx="114">
                  <c:v>716</c:v>
                </c:pt>
                <c:pt idx="115">
                  <c:v>716</c:v>
                </c:pt>
                <c:pt idx="116">
                  <c:v>721</c:v>
                </c:pt>
                <c:pt idx="117">
                  <c:v>717</c:v>
                </c:pt>
                <c:pt idx="118">
                  <c:v>713</c:v>
                </c:pt>
                <c:pt idx="119">
                  <c:v>741</c:v>
                </c:pt>
                <c:pt idx="120">
                  <c:v>731</c:v>
                </c:pt>
                <c:pt idx="121">
                  <c:v>734</c:v>
                </c:pt>
                <c:pt idx="122">
                  <c:v>723</c:v>
                </c:pt>
                <c:pt idx="123">
                  <c:v>724</c:v>
                </c:pt>
                <c:pt idx="124">
                  <c:v>728</c:v>
                </c:pt>
                <c:pt idx="125">
                  <c:v>730</c:v>
                </c:pt>
                <c:pt idx="126">
                  <c:v>712</c:v>
                </c:pt>
                <c:pt idx="127">
                  <c:v>721</c:v>
                </c:pt>
                <c:pt idx="128">
                  <c:v>721</c:v>
                </c:pt>
                <c:pt idx="129">
                  <c:v>721</c:v>
                </c:pt>
                <c:pt idx="130">
                  <c:v>727</c:v>
                </c:pt>
                <c:pt idx="131">
                  <c:v>738</c:v>
                </c:pt>
                <c:pt idx="132">
                  <c:v>726</c:v>
                </c:pt>
                <c:pt idx="133">
                  <c:v>729</c:v>
                </c:pt>
                <c:pt idx="134">
                  <c:v>720</c:v>
                </c:pt>
                <c:pt idx="135">
                  <c:v>720</c:v>
                </c:pt>
                <c:pt idx="136">
                  <c:v>726</c:v>
                </c:pt>
                <c:pt idx="137">
                  <c:v>725</c:v>
                </c:pt>
                <c:pt idx="138">
                  <c:v>713</c:v>
                </c:pt>
                <c:pt idx="139">
                  <c:v>718</c:v>
                </c:pt>
                <c:pt idx="140">
                  <c:v>722</c:v>
                </c:pt>
                <c:pt idx="141">
                  <c:v>724</c:v>
                </c:pt>
                <c:pt idx="142">
                  <c:v>723</c:v>
                </c:pt>
                <c:pt idx="143">
                  <c:v>734</c:v>
                </c:pt>
                <c:pt idx="144">
                  <c:v>731</c:v>
                </c:pt>
                <c:pt idx="145">
                  <c:v>732</c:v>
                </c:pt>
                <c:pt idx="146">
                  <c:v>721</c:v>
                </c:pt>
                <c:pt idx="147">
                  <c:v>723</c:v>
                </c:pt>
                <c:pt idx="148">
                  <c:v>726</c:v>
                </c:pt>
                <c:pt idx="149">
                  <c:v>727</c:v>
                </c:pt>
                <c:pt idx="150">
                  <c:v>719</c:v>
                </c:pt>
                <c:pt idx="151">
                  <c:v>720</c:v>
                </c:pt>
                <c:pt idx="152">
                  <c:v>720</c:v>
                </c:pt>
                <c:pt idx="153">
                  <c:v>721</c:v>
                </c:pt>
                <c:pt idx="154">
                  <c:v>727</c:v>
                </c:pt>
                <c:pt idx="155">
                  <c:v>737</c:v>
                </c:pt>
                <c:pt idx="156">
                  <c:v>739</c:v>
                </c:pt>
                <c:pt idx="157">
                  <c:v>739</c:v>
                </c:pt>
                <c:pt idx="158">
                  <c:v>734</c:v>
                </c:pt>
                <c:pt idx="159">
                  <c:v>751</c:v>
                </c:pt>
                <c:pt idx="160">
                  <c:v>752</c:v>
                </c:pt>
                <c:pt idx="161">
                  <c:v>755</c:v>
                </c:pt>
                <c:pt idx="162">
                  <c:v>754</c:v>
                </c:pt>
                <c:pt idx="163">
                  <c:v>755</c:v>
                </c:pt>
                <c:pt idx="164">
                  <c:v>753</c:v>
                </c:pt>
                <c:pt idx="165">
                  <c:v>754</c:v>
                </c:pt>
                <c:pt idx="166">
                  <c:v>756</c:v>
                </c:pt>
                <c:pt idx="167">
                  <c:v>764</c:v>
                </c:pt>
                <c:pt idx="168">
                  <c:v>767</c:v>
                </c:pt>
                <c:pt idx="169">
                  <c:v>767</c:v>
                </c:pt>
                <c:pt idx="170">
                  <c:v>762</c:v>
                </c:pt>
                <c:pt idx="171">
                  <c:v>769</c:v>
                </c:pt>
                <c:pt idx="172">
                  <c:v>766</c:v>
                </c:pt>
                <c:pt idx="173">
                  <c:v>764</c:v>
                </c:pt>
                <c:pt idx="174">
                  <c:v>757</c:v>
                </c:pt>
                <c:pt idx="175">
                  <c:v>763</c:v>
                </c:pt>
                <c:pt idx="176">
                  <c:v>767</c:v>
                </c:pt>
                <c:pt idx="177">
                  <c:v>767</c:v>
                </c:pt>
                <c:pt idx="178">
                  <c:v>768</c:v>
                </c:pt>
                <c:pt idx="179">
                  <c:v>768</c:v>
                </c:pt>
                <c:pt idx="180" formatCode="General">
                  <c:v>767</c:v>
                </c:pt>
                <c:pt idx="181" formatCode="General">
                  <c:v>766</c:v>
                </c:pt>
                <c:pt idx="182" formatCode="General">
                  <c:v>761</c:v>
                </c:pt>
                <c:pt idx="183" formatCode="General">
                  <c:v>765</c:v>
                </c:pt>
                <c:pt idx="184" formatCode="General">
                  <c:v>768</c:v>
                </c:pt>
                <c:pt idx="185" formatCode="General">
                  <c:v>767</c:v>
                </c:pt>
                <c:pt idx="186" formatCode="General">
                  <c:v>761</c:v>
                </c:pt>
                <c:pt idx="187" formatCode="General">
                  <c:v>766</c:v>
                </c:pt>
                <c:pt idx="188" formatCode="General">
                  <c:v>768</c:v>
                </c:pt>
                <c:pt idx="189" formatCode="General">
                  <c:v>766</c:v>
                </c:pt>
                <c:pt idx="190" formatCode="General">
                  <c:v>769</c:v>
                </c:pt>
                <c:pt idx="191" formatCode="General">
                  <c:v>771</c:v>
                </c:pt>
                <c:pt idx="192" formatCode="General">
                  <c:v>771</c:v>
                </c:pt>
                <c:pt idx="193" formatCode="General">
                  <c:v>772</c:v>
                </c:pt>
                <c:pt idx="194" formatCode="General">
                  <c:v>765</c:v>
                </c:pt>
                <c:pt idx="195" formatCode="General">
                  <c:v>767</c:v>
                </c:pt>
                <c:pt idx="196" formatCode="General">
                  <c:v>770</c:v>
                </c:pt>
                <c:pt idx="197" formatCode="General">
                  <c:v>775</c:v>
                </c:pt>
                <c:pt idx="198" formatCode="General">
                  <c:v>767</c:v>
                </c:pt>
                <c:pt idx="199" formatCode="General">
                  <c:v>776</c:v>
                </c:pt>
                <c:pt idx="200" formatCode="General">
                  <c:v>775</c:v>
                </c:pt>
                <c:pt idx="201" formatCode="General">
                  <c:v>776</c:v>
                </c:pt>
                <c:pt idx="202" formatCode="General">
                  <c:v>778</c:v>
                </c:pt>
                <c:pt idx="203" formatCode="General">
                  <c:v>781</c:v>
                </c:pt>
                <c:pt idx="204" formatCode="General">
                  <c:v>787</c:v>
                </c:pt>
                <c:pt idx="205" formatCode="General">
                  <c:v>785</c:v>
                </c:pt>
                <c:pt idx="206" formatCode="General">
                  <c:v>786</c:v>
                </c:pt>
                <c:pt idx="207" formatCode="General">
                  <c:v>779</c:v>
                </c:pt>
                <c:pt idx="208" formatCode="General">
                  <c:v>773</c:v>
                </c:pt>
                <c:pt idx="209" formatCode="General">
                  <c:v>787</c:v>
                </c:pt>
                <c:pt idx="210" formatCode="General">
                  <c:v>778</c:v>
                </c:pt>
                <c:pt idx="211" formatCode="General">
                  <c:v>782</c:v>
                </c:pt>
                <c:pt idx="212" formatCode="General">
                  <c:v>783</c:v>
                </c:pt>
                <c:pt idx="213" formatCode="General">
                  <c:v>784</c:v>
                </c:pt>
                <c:pt idx="214" formatCode="General">
                  <c:v>784</c:v>
                </c:pt>
                <c:pt idx="215" formatCode="General">
                  <c:v>786</c:v>
                </c:pt>
                <c:pt idx="216" formatCode="General">
                  <c:v>791</c:v>
                </c:pt>
                <c:pt idx="217" formatCode="General">
                  <c:v>790</c:v>
                </c:pt>
                <c:pt idx="218" formatCode="General">
                  <c:v>785</c:v>
                </c:pt>
                <c:pt idx="219" formatCode="General">
                  <c:v>790</c:v>
                </c:pt>
                <c:pt idx="220" formatCode="General">
                  <c:v>792</c:v>
                </c:pt>
                <c:pt idx="221" formatCode="General">
                  <c:v>792</c:v>
                </c:pt>
                <c:pt idx="222" formatCode="General">
                  <c:v>791</c:v>
                </c:pt>
                <c:pt idx="223" formatCode="General">
                  <c:v>795</c:v>
                </c:pt>
                <c:pt idx="224" formatCode="General">
                  <c:v>796</c:v>
                </c:pt>
                <c:pt idx="225" formatCode="General">
                  <c:v>798</c:v>
                </c:pt>
                <c:pt idx="226" formatCode="General">
                  <c:v>799</c:v>
                </c:pt>
                <c:pt idx="227" formatCode="General">
                  <c:v>802</c:v>
                </c:pt>
                <c:pt idx="228" formatCode="General">
                  <c:v>890</c:v>
                </c:pt>
                <c:pt idx="229" formatCode="General">
                  <c:v>875</c:v>
                </c:pt>
                <c:pt idx="230" formatCode="General">
                  <c:v>868</c:v>
                </c:pt>
                <c:pt idx="231" formatCode="General">
                  <c:v>873</c:v>
                </c:pt>
                <c:pt idx="232" formatCode="General">
                  <c:v>876</c:v>
                </c:pt>
                <c:pt idx="233" formatCode="General">
                  <c:v>873</c:v>
                </c:pt>
                <c:pt idx="234" formatCode="General">
                  <c:v>881</c:v>
                </c:pt>
                <c:pt idx="235" formatCode="General">
                  <c:v>886</c:v>
                </c:pt>
                <c:pt idx="236" formatCode="General">
                  <c:v>887</c:v>
                </c:pt>
                <c:pt idx="237" formatCode="General">
                  <c:v>891</c:v>
                </c:pt>
                <c:pt idx="238" formatCode="General">
                  <c:v>892</c:v>
                </c:pt>
                <c:pt idx="239" formatCode="General">
                  <c:v>900</c:v>
                </c:pt>
                <c:pt idx="240" formatCode="General">
                  <c:v>940</c:v>
                </c:pt>
                <c:pt idx="241" formatCode="General">
                  <c:v>958</c:v>
                </c:pt>
                <c:pt idx="242" formatCode="General">
                  <c:v>970</c:v>
                </c:pt>
                <c:pt idx="243" formatCode="General">
                  <c:v>978</c:v>
                </c:pt>
                <c:pt idx="244" formatCode="General">
                  <c:v>988</c:v>
                </c:pt>
                <c:pt idx="245" formatCode="General">
                  <c:v>991</c:v>
                </c:pt>
                <c:pt idx="246" formatCode="General">
                  <c:v>993</c:v>
                </c:pt>
                <c:pt idx="247" formatCode="General">
                  <c:v>995</c:v>
                </c:pt>
                <c:pt idx="248" formatCode="General">
                  <c:v>998</c:v>
                </c:pt>
                <c:pt idx="249" formatCode="General">
                  <c:v>1002</c:v>
                </c:pt>
                <c:pt idx="250" formatCode="General">
                  <c:v>1007</c:v>
                </c:pt>
                <c:pt idx="251" formatCode="General">
                  <c:v>1018</c:v>
                </c:pt>
                <c:pt idx="252" formatCode="General">
                  <c:v>1024</c:v>
                </c:pt>
                <c:pt idx="253" formatCode="General">
                  <c:v>1026</c:v>
                </c:pt>
                <c:pt idx="254" formatCode="General">
                  <c:v>1032</c:v>
                </c:pt>
                <c:pt idx="255" formatCode="General">
                  <c:v>1036</c:v>
                </c:pt>
                <c:pt idx="256" formatCode="General">
                  <c:v>1042</c:v>
                </c:pt>
                <c:pt idx="257" formatCode="General">
                  <c:v>1050</c:v>
                </c:pt>
                <c:pt idx="258" formatCode="General">
                  <c:v>1067</c:v>
                </c:pt>
                <c:pt idx="259" formatCode="General">
                  <c:v>1080</c:v>
                </c:pt>
                <c:pt idx="260" formatCode="General">
                  <c:v>1102</c:v>
                </c:pt>
                <c:pt idx="261" formatCode="General">
                  <c:v>1137</c:v>
                </c:pt>
                <c:pt idx="262" formatCode="General">
                  <c:v>1183</c:v>
                </c:pt>
                <c:pt idx="263" formatCode="General">
                  <c:v>1205</c:v>
                </c:pt>
              </c:numCache>
            </c:numRef>
          </c:val>
          <c:smooth val="0"/>
          <c:extLst>
            <c:ext xmlns:c16="http://schemas.microsoft.com/office/drawing/2014/chart" uri="{C3380CC4-5D6E-409C-BE32-E72D297353CC}">
              <c16:uniqueId val="{00000000-8C66-4C53-B459-6627D7C52258}"/>
            </c:ext>
          </c:extLst>
        </c:ser>
        <c:ser>
          <c:idx val="1"/>
          <c:order val="1"/>
          <c:tx>
            <c:strRef>
              <c:f>'[Grafikoni i tabele 2024.xlsx]Grafikon 3.3'!$B$11</c:f>
              <c:strCache>
                <c:ptCount val="1"/>
                <c:pt idx="0">
                  <c:v>Neto zarade</c:v>
                </c:pt>
              </c:strCache>
            </c:strRef>
          </c:tx>
          <c:spPr>
            <a:ln w="28575" cap="rnd">
              <a:solidFill>
                <a:schemeClr val="accent2"/>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3.3'!$C$11:$JF$11</c:f>
              <c:numCache>
                <c:formatCode>#,##0.00</c:formatCode>
                <c:ptCount val="264"/>
                <c:pt idx="0">
                  <c:v>154.47</c:v>
                </c:pt>
                <c:pt idx="1">
                  <c:v>126.73</c:v>
                </c:pt>
                <c:pt idx="2">
                  <c:v>167.61</c:v>
                </c:pt>
                <c:pt idx="3">
                  <c:v>175.97</c:v>
                </c:pt>
                <c:pt idx="4">
                  <c:v>174.96</c:v>
                </c:pt>
                <c:pt idx="5">
                  <c:v>174.55</c:v>
                </c:pt>
                <c:pt idx="6">
                  <c:v>177.68</c:v>
                </c:pt>
                <c:pt idx="7">
                  <c:v>180.53</c:v>
                </c:pt>
                <c:pt idx="8">
                  <c:v>185.6</c:v>
                </c:pt>
                <c:pt idx="9">
                  <c:v>185.81</c:v>
                </c:pt>
                <c:pt idx="10">
                  <c:v>178.48</c:v>
                </c:pt>
                <c:pt idx="11">
                  <c:v>206.54</c:v>
                </c:pt>
                <c:pt idx="12">
                  <c:v>169.61</c:v>
                </c:pt>
                <c:pt idx="13">
                  <c:v>187.52</c:v>
                </c:pt>
                <c:pt idx="14">
                  <c:v>189.32</c:v>
                </c:pt>
                <c:pt idx="15">
                  <c:v>192.52</c:v>
                </c:pt>
                <c:pt idx="16">
                  <c:v>189.56</c:v>
                </c:pt>
                <c:pt idx="17">
                  <c:v>194.37</c:v>
                </c:pt>
                <c:pt idx="18">
                  <c:v>200.61</c:v>
                </c:pt>
                <c:pt idx="19">
                  <c:v>203.14</c:v>
                </c:pt>
                <c:pt idx="20">
                  <c:v>200.62</c:v>
                </c:pt>
                <c:pt idx="21">
                  <c:v>191.86</c:v>
                </c:pt>
                <c:pt idx="22">
                  <c:v>199.26</c:v>
                </c:pt>
                <c:pt idx="23">
                  <c:v>226.25</c:v>
                </c:pt>
                <c:pt idx="24">
                  <c:v>185.14</c:v>
                </c:pt>
                <c:pt idx="25">
                  <c:v>196.44</c:v>
                </c:pt>
                <c:pt idx="26">
                  <c:v>203</c:v>
                </c:pt>
                <c:pt idx="27">
                  <c:v>212.22</c:v>
                </c:pt>
                <c:pt idx="28">
                  <c:v>194.6</c:v>
                </c:pt>
                <c:pt idx="29">
                  <c:v>214.7</c:v>
                </c:pt>
                <c:pt idx="30">
                  <c:v>215.08</c:v>
                </c:pt>
                <c:pt idx="31">
                  <c:v>220.51</c:v>
                </c:pt>
                <c:pt idx="32">
                  <c:v>219.39</c:v>
                </c:pt>
                <c:pt idx="33">
                  <c:v>219.58</c:v>
                </c:pt>
                <c:pt idx="34">
                  <c:v>223.63</c:v>
                </c:pt>
                <c:pt idx="35">
                  <c:v>253.65</c:v>
                </c:pt>
                <c:pt idx="36">
                  <c:v>271</c:v>
                </c:pt>
                <c:pt idx="37">
                  <c:v>270</c:v>
                </c:pt>
                <c:pt idx="38">
                  <c:v>276</c:v>
                </c:pt>
                <c:pt idx="39">
                  <c:v>282</c:v>
                </c:pt>
                <c:pt idx="40">
                  <c:v>286</c:v>
                </c:pt>
                <c:pt idx="41">
                  <c:v>288</c:v>
                </c:pt>
                <c:pt idx="42">
                  <c:v>281</c:v>
                </c:pt>
                <c:pt idx="43">
                  <c:v>280</c:v>
                </c:pt>
                <c:pt idx="44">
                  <c:v>287</c:v>
                </c:pt>
                <c:pt idx="45">
                  <c:v>282</c:v>
                </c:pt>
                <c:pt idx="46">
                  <c:v>286</c:v>
                </c:pt>
                <c:pt idx="47">
                  <c:v>307</c:v>
                </c:pt>
                <c:pt idx="48">
                  <c:v>303</c:v>
                </c:pt>
                <c:pt idx="49">
                  <c:v>321</c:v>
                </c:pt>
                <c:pt idx="50">
                  <c:v>317</c:v>
                </c:pt>
                <c:pt idx="51">
                  <c:v>326</c:v>
                </c:pt>
                <c:pt idx="52">
                  <c:v>329</c:v>
                </c:pt>
                <c:pt idx="53">
                  <c:v>335</c:v>
                </c:pt>
                <c:pt idx="54">
                  <c:v>331</c:v>
                </c:pt>
                <c:pt idx="55">
                  <c:v>338</c:v>
                </c:pt>
                <c:pt idx="56">
                  <c:v>345</c:v>
                </c:pt>
                <c:pt idx="57">
                  <c:v>355</c:v>
                </c:pt>
                <c:pt idx="58">
                  <c:v>366</c:v>
                </c:pt>
                <c:pt idx="59">
                  <c:v>376</c:v>
                </c:pt>
                <c:pt idx="60">
                  <c:v>386</c:v>
                </c:pt>
                <c:pt idx="61">
                  <c:v>399</c:v>
                </c:pt>
                <c:pt idx="62">
                  <c:v>395</c:v>
                </c:pt>
                <c:pt idx="63">
                  <c:v>402</c:v>
                </c:pt>
                <c:pt idx="64">
                  <c:v>411</c:v>
                </c:pt>
                <c:pt idx="65">
                  <c:v>425</c:v>
                </c:pt>
                <c:pt idx="66">
                  <c:v>416</c:v>
                </c:pt>
                <c:pt idx="67">
                  <c:v>426</c:v>
                </c:pt>
                <c:pt idx="68">
                  <c:v>429</c:v>
                </c:pt>
                <c:pt idx="69">
                  <c:v>423</c:v>
                </c:pt>
                <c:pt idx="70">
                  <c:v>428</c:v>
                </c:pt>
                <c:pt idx="71">
                  <c:v>443</c:v>
                </c:pt>
                <c:pt idx="72">
                  <c:v>470</c:v>
                </c:pt>
                <c:pt idx="73">
                  <c:v>467</c:v>
                </c:pt>
                <c:pt idx="74">
                  <c:v>461</c:v>
                </c:pt>
                <c:pt idx="75">
                  <c:v>465</c:v>
                </c:pt>
                <c:pt idx="76">
                  <c:v>468</c:v>
                </c:pt>
                <c:pt idx="77">
                  <c:v>466</c:v>
                </c:pt>
                <c:pt idx="78">
                  <c:v>457</c:v>
                </c:pt>
                <c:pt idx="79">
                  <c:v>461</c:v>
                </c:pt>
                <c:pt idx="80">
                  <c:v>454</c:v>
                </c:pt>
                <c:pt idx="81">
                  <c:v>456</c:v>
                </c:pt>
                <c:pt idx="82">
                  <c:v>456</c:v>
                </c:pt>
                <c:pt idx="83">
                  <c:v>470</c:v>
                </c:pt>
                <c:pt idx="84">
                  <c:v>471</c:v>
                </c:pt>
                <c:pt idx="85">
                  <c:v>463</c:v>
                </c:pt>
                <c:pt idx="86">
                  <c:v>465</c:v>
                </c:pt>
                <c:pt idx="87">
                  <c:v>465</c:v>
                </c:pt>
                <c:pt idx="88">
                  <c:v>487</c:v>
                </c:pt>
                <c:pt idx="89">
                  <c:v>473</c:v>
                </c:pt>
                <c:pt idx="90">
                  <c:v>466</c:v>
                </c:pt>
                <c:pt idx="91">
                  <c:v>504</c:v>
                </c:pt>
                <c:pt idx="92">
                  <c:v>481</c:v>
                </c:pt>
                <c:pt idx="93">
                  <c:v>477</c:v>
                </c:pt>
                <c:pt idx="94">
                  <c:v>480</c:v>
                </c:pt>
                <c:pt idx="95">
                  <c:v>515</c:v>
                </c:pt>
                <c:pt idx="96">
                  <c:v>518</c:v>
                </c:pt>
                <c:pt idx="97">
                  <c:v>506</c:v>
                </c:pt>
                <c:pt idx="98">
                  <c:v>484</c:v>
                </c:pt>
                <c:pt idx="99">
                  <c:v>473</c:v>
                </c:pt>
                <c:pt idx="100">
                  <c:v>479</c:v>
                </c:pt>
                <c:pt idx="101">
                  <c:v>475</c:v>
                </c:pt>
                <c:pt idx="102">
                  <c:v>476</c:v>
                </c:pt>
                <c:pt idx="103">
                  <c:v>475</c:v>
                </c:pt>
                <c:pt idx="104">
                  <c:v>477</c:v>
                </c:pt>
                <c:pt idx="105">
                  <c:v>477</c:v>
                </c:pt>
                <c:pt idx="106">
                  <c:v>483</c:v>
                </c:pt>
                <c:pt idx="107">
                  <c:v>484</c:v>
                </c:pt>
                <c:pt idx="108">
                  <c:v>505</c:v>
                </c:pt>
                <c:pt idx="109">
                  <c:v>495</c:v>
                </c:pt>
                <c:pt idx="110">
                  <c:v>489</c:v>
                </c:pt>
                <c:pt idx="111">
                  <c:v>491</c:v>
                </c:pt>
                <c:pt idx="112">
                  <c:v>487</c:v>
                </c:pt>
                <c:pt idx="113">
                  <c:v>484</c:v>
                </c:pt>
                <c:pt idx="114">
                  <c:v>480</c:v>
                </c:pt>
                <c:pt idx="115">
                  <c:v>480</c:v>
                </c:pt>
                <c:pt idx="116">
                  <c:v>483</c:v>
                </c:pt>
                <c:pt idx="117">
                  <c:v>480</c:v>
                </c:pt>
                <c:pt idx="118">
                  <c:v>478</c:v>
                </c:pt>
                <c:pt idx="119">
                  <c:v>497</c:v>
                </c:pt>
                <c:pt idx="120">
                  <c:v>490</c:v>
                </c:pt>
                <c:pt idx="121">
                  <c:v>485</c:v>
                </c:pt>
                <c:pt idx="122">
                  <c:v>476</c:v>
                </c:pt>
                <c:pt idx="123">
                  <c:v>477</c:v>
                </c:pt>
                <c:pt idx="124">
                  <c:v>480</c:v>
                </c:pt>
                <c:pt idx="125">
                  <c:v>481</c:v>
                </c:pt>
                <c:pt idx="126">
                  <c:v>469</c:v>
                </c:pt>
                <c:pt idx="127">
                  <c:v>475</c:v>
                </c:pt>
                <c:pt idx="128">
                  <c:v>475</c:v>
                </c:pt>
                <c:pt idx="129">
                  <c:v>475</c:v>
                </c:pt>
                <c:pt idx="130">
                  <c:v>479</c:v>
                </c:pt>
                <c:pt idx="131">
                  <c:v>486</c:v>
                </c:pt>
                <c:pt idx="132">
                  <c:v>478</c:v>
                </c:pt>
                <c:pt idx="133">
                  <c:v>480</c:v>
                </c:pt>
                <c:pt idx="134">
                  <c:v>474</c:v>
                </c:pt>
                <c:pt idx="135">
                  <c:v>474</c:v>
                </c:pt>
                <c:pt idx="136">
                  <c:v>478</c:v>
                </c:pt>
                <c:pt idx="137">
                  <c:v>478</c:v>
                </c:pt>
                <c:pt idx="138">
                  <c:v>470</c:v>
                </c:pt>
                <c:pt idx="139">
                  <c:v>473</c:v>
                </c:pt>
                <c:pt idx="140">
                  <c:v>476</c:v>
                </c:pt>
                <c:pt idx="141">
                  <c:v>478</c:v>
                </c:pt>
                <c:pt idx="142">
                  <c:v>477</c:v>
                </c:pt>
                <c:pt idx="143">
                  <c:v>484</c:v>
                </c:pt>
                <c:pt idx="144">
                  <c:v>482</c:v>
                </c:pt>
                <c:pt idx="145">
                  <c:v>483</c:v>
                </c:pt>
                <c:pt idx="146">
                  <c:v>476</c:v>
                </c:pt>
                <c:pt idx="147">
                  <c:v>478</c:v>
                </c:pt>
                <c:pt idx="148">
                  <c:v>480</c:v>
                </c:pt>
                <c:pt idx="149">
                  <c:v>481</c:v>
                </c:pt>
                <c:pt idx="150">
                  <c:v>476</c:v>
                </c:pt>
                <c:pt idx="151">
                  <c:v>477</c:v>
                </c:pt>
                <c:pt idx="152">
                  <c:v>477</c:v>
                </c:pt>
                <c:pt idx="153">
                  <c:v>478</c:v>
                </c:pt>
                <c:pt idx="154">
                  <c:v>482</c:v>
                </c:pt>
                <c:pt idx="155">
                  <c:v>489</c:v>
                </c:pt>
                <c:pt idx="156">
                  <c:v>490</c:v>
                </c:pt>
                <c:pt idx="157">
                  <c:v>491</c:v>
                </c:pt>
                <c:pt idx="158">
                  <c:v>488</c:v>
                </c:pt>
                <c:pt idx="159">
                  <c:v>499</c:v>
                </c:pt>
                <c:pt idx="160">
                  <c:v>500</c:v>
                </c:pt>
                <c:pt idx="161">
                  <c:v>502</c:v>
                </c:pt>
                <c:pt idx="162">
                  <c:v>501</c:v>
                </c:pt>
                <c:pt idx="163">
                  <c:v>502</c:v>
                </c:pt>
                <c:pt idx="164">
                  <c:v>501</c:v>
                </c:pt>
                <c:pt idx="165">
                  <c:v>502</c:v>
                </c:pt>
                <c:pt idx="166">
                  <c:v>503</c:v>
                </c:pt>
                <c:pt idx="167">
                  <c:v>509</c:v>
                </c:pt>
                <c:pt idx="168">
                  <c:v>511</c:v>
                </c:pt>
                <c:pt idx="169">
                  <c:v>511</c:v>
                </c:pt>
                <c:pt idx="170">
                  <c:v>508</c:v>
                </c:pt>
                <c:pt idx="171">
                  <c:v>512</c:v>
                </c:pt>
                <c:pt idx="172">
                  <c:v>511</c:v>
                </c:pt>
                <c:pt idx="173">
                  <c:v>510</c:v>
                </c:pt>
                <c:pt idx="174">
                  <c:v>505</c:v>
                </c:pt>
                <c:pt idx="175">
                  <c:v>509</c:v>
                </c:pt>
                <c:pt idx="176">
                  <c:v>511</c:v>
                </c:pt>
                <c:pt idx="177">
                  <c:v>511</c:v>
                </c:pt>
                <c:pt idx="178">
                  <c:v>512</c:v>
                </c:pt>
                <c:pt idx="179">
                  <c:v>512</c:v>
                </c:pt>
                <c:pt idx="180" formatCode="General">
                  <c:v>511</c:v>
                </c:pt>
                <c:pt idx="181" formatCode="General">
                  <c:v>511</c:v>
                </c:pt>
                <c:pt idx="182" formatCode="General">
                  <c:v>508</c:v>
                </c:pt>
                <c:pt idx="183" formatCode="General">
                  <c:v>510</c:v>
                </c:pt>
                <c:pt idx="184" formatCode="General">
                  <c:v>512</c:v>
                </c:pt>
                <c:pt idx="185" formatCode="General">
                  <c:v>511</c:v>
                </c:pt>
                <c:pt idx="186" formatCode="General">
                  <c:v>508</c:v>
                </c:pt>
                <c:pt idx="187" formatCode="General">
                  <c:v>511</c:v>
                </c:pt>
                <c:pt idx="188" formatCode="General">
                  <c:v>512</c:v>
                </c:pt>
                <c:pt idx="189" formatCode="General">
                  <c:v>510</c:v>
                </c:pt>
                <c:pt idx="190" formatCode="General">
                  <c:v>512</c:v>
                </c:pt>
                <c:pt idx="191" formatCode="General">
                  <c:v>513</c:v>
                </c:pt>
                <c:pt idx="192" formatCode="General">
                  <c:v>513</c:v>
                </c:pt>
                <c:pt idx="193" formatCode="General">
                  <c:v>514</c:v>
                </c:pt>
                <c:pt idx="194" formatCode="General">
                  <c:v>510</c:v>
                </c:pt>
                <c:pt idx="195" formatCode="General">
                  <c:v>511</c:v>
                </c:pt>
                <c:pt idx="196" formatCode="General">
                  <c:v>513</c:v>
                </c:pt>
                <c:pt idx="197" formatCode="General">
                  <c:v>516</c:v>
                </c:pt>
                <c:pt idx="198" formatCode="General">
                  <c:v>511</c:v>
                </c:pt>
                <c:pt idx="199" formatCode="General">
                  <c:v>517</c:v>
                </c:pt>
                <c:pt idx="200" formatCode="General">
                  <c:v>516</c:v>
                </c:pt>
                <c:pt idx="201" formatCode="General">
                  <c:v>517</c:v>
                </c:pt>
                <c:pt idx="202" formatCode="General">
                  <c:v>518</c:v>
                </c:pt>
                <c:pt idx="203" formatCode="General">
                  <c:v>520</c:v>
                </c:pt>
                <c:pt idx="204" formatCode="General">
                  <c:v>524</c:v>
                </c:pt>
                <c:pt idx="205" formatCode="General">
                  <c:v>523</c:v>
                </c:pt>
                <c:pt idx="206" formatCode="General">
                  <c:v>524</c:v>
                </c:pt>
                <c:pt idx="207" formatCode="General">
                  <c:v>521</c:v>
                </c:pt>
                <c:pt idx="208" formatCode="General">
                  <c:v>518</c:v>
                </c:pt>
                <c:pt idx="209" formatCode="General">
                  <c:v>527</c:v>
                </c:pt>
                <c:pt idx="210" formatCode="General">
                  <c:v>521</c:v>
                </c:pt>
                <c:pt idx="211" formatCode="General">
                  <c:v>523</c:v>
                </c:pt>
                <c:pt idx="212" formatCode="General">
                  <c:v>524</c:v>
                </c:pt>
                <c:pt idx="213" formatCode="General">
                  <c:v>525</c:v>
                </c:pt>
                <c:pt idx="214" formatCode="General">
                  <c:v>525</c:v>
                </c:pt>
                <c:pt idx="215" formatCode="General">
                  <c:v>527</c:v>
                </c:pt>
                <c:pt idx="216" formatCode="General">
                  <c:v>530</c:v>
                </c:pt>
                <c:pt idx="217" formatCode="General">
                  <c:v>529</c:v>
                </c:pt>
                <c:pt idx="218" formatCode="General">
                  <c:v>526</c:v>
                </c:pt>
                <c:pt idx="219" formatCode="General">
                  <c:v>529</c:v>
                </c:pt>
                <c:pt idx="220" formatCode="General">
                  <c:v>530</c:v>
                </c:pt>
                <c:pt idx="221" formatCode="General">
                  <c:v>530</c:v>
                </c:pt>
                <c:pt idx="222" formatCode="General">
                  <c:v>530</c:v>
                </c:pt>
                <c:pt idx="223" formatCode="General">
                  <c:v>532</c:v>
                </c:pt>
                <c:pt idx="224" formatCode="General">
                  <c:v>533</c:v>
                </c:pt>
                <c:pt idx="225" formatCode="General">
                  <c:v>534</c:v>
                </c:pt>
                <c:pt idx="226" formatCode="General">
                  <c:v>535</c:v>
                </c:pt>
                <c:pt idx="227" formatCode="General">
                  <c:v>537</c:v>
                </c:pt>
                <c:pt idx="228" formatCode="General">
                  <c:v>686</c:v>
                </c:pt>
                <c:pt idx="229" formatCode="General">
                  <c:v>706</c:v>
                </c:pt>
                <c:pt idx="230" formatCode="General">
                  <c:v>704</c:v>
                </c:pt>
                <c:pt idx="231" formatCode="General">
                  <c:v>707</c:v>
                </c:pt>
                <c:pt idx="232" formatCode="General">
                  <c:v>710</c:v>
                </c:pt>
                <c:pt idx="233" formatCode="General">
                  <c:v>708</c:v>
                </c:pt>
                <c:pt idx="234" formatCode="General">
                  <c:v>714</c:v>
                </c:pt>
                <c:pt idx="235" formatCode="General">
                  <c:v>718</c:v>
                </c:pt>
                <c:pt idx="236" formatCode="General">
                  <c:v>718</c:v>
                </c:pt>
                <c:pt idx="237" formatCode="General">
                  <c:v>720</c:v>
                </c:pt>
                <c:pt idx="238" formatCode="General">
                  <c:v>721</c:v>
                </c:pt>
                <c:pt idx="239" formatCode="General">
                  <c:v>727</c:v>
                </c:pt>
                <c:pt idx="240" formatCode="General">
                  <c:v>757</c:v>
                </c:pt>
                <c:pt idx="241" formatCode="General">
                  <c:v>771</c:v>
                </c:pt>
                <c:pt idx="242" formatCode="General">
                  <c:v>781</c:v>
                </c:pt>
                <c:pt idx="243" formatCode="General">
                  <c:v>786</c:v>
                </c:pt>
                <c:pt idx="244" formatCode="General">
                  <c:v>793</c:v>
                </c:pt>
                <c:pt idx="245" formatCode="General">
                  <c:v>795</c:v>
                </c:pt>
                <c:pt idx="246" formatCode="General">
                  <c:v>797</c:v>
                </c:pt>
                <c:pt idx="247" formatCode="General">
                  <c:v>799</c:v>
                </c:pt>
                <c:pt idx="248" formatCode="General">
                  <c:v>800</c:v>
                </c:pt>
                <c:pt idx="249" formatCode="General">
                  <c:v>803</c:v>
                </c:pt>
                <c:pt idx="250" formatCode="General">
                  <c:v>807</c:v>
                </c:pt>
                <c:pt idx="251" formatCode="General">
                  <c:v>814</c:v>
                </c:pt>
                <c:pt idx="252" formatCode="General">
                  <c:v>819</c:v>
                </c:pt>
                <c:pt idx="253" formatCode="General">
                  <c:v>821</c:v>
                </c:pt>
                <c:pt idx="254" formatCode="General">
                  <c:v>825</c:v>
                </c:pt>
                <c:pt idx="255" formatCode="General">
                  <c:v>828</c:v>
                </c:pt>
                <c:pt idx="256" formatCode="General">
                  <c:v>832</c:v>
                </c:pt>
                <c:pt idx="257" formatCode="General">
                  <c:v>838</c:v>
                </c:pt>
                <c:pt idx="258" formatCode="General">
                  <c:v>851</c:v>
                </c:pt>
                <c:pt idx="259" formatCode="General">
                  <c:v>861</c:v>
                </c:pt>
                <c:pt idx="260" formatCode="General">
                  <c:v>877</c:v>
                </c:pt>
                <c:pt idx="261" formatCode="General">
                  <c:v>944</c:v>
                </c:pt>
                <c:pt idx="262" formatCode="General">
                  <c:v>993</c:v>
                </c:pt>
                <c:pt idx="263" formatCode="General">
                  <c:v>1012</c:v>
                </c:pt>
              </c:numCache>
            </c:numRef>
          </c:val>
          <c:smooth val="0"/>
          <c:extLst>
            <c:ext xmlns:c16="http://schemas.microsoft.com/office/drawing/2014/chart" uri="{C3380CC4-5D6E-409C-BE32-E72D297353CC}">
              <c16:uniqueId val="{00000001-8C66-4C53-B459-6627D7C52258}"/>
            </c:ext>
          </c:extLst>
        </c:ser>
        <c:ser>
          <c:idx val="2"/>
          <c:order val="2"/>
          <c:tx>
            <c:strRef>
              <c:f>'[Grafikoni i tabele 2024.xlsx]Grafikon 3.3'!$B$12</c:f>
              <c:strCache>
                <c:ptCount val="1"/>
                <c:pt idx="0">
                  <c:v>Bruto zarade, 2015 = 100</c:v>
                </c:pt>
              </c:strCache>
            </c:strRef>
          </c:tx>
          <c:spPr>
            <a:ln w="28575" cap="rnd">
              <a:solidFill>
                <a:schemeClr val="accent3"/>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3.3'!$C$12:$JF$12</c:f>
              <c:numCache>
                <c:formatCode>#,##0.00</c:formatCode>
                <c:ptCount val="264"/>
                <c:pt idx="0">
                  <c:v>355.97318399525943</c:v>
                </c:pt>
                <c:pt idx="1">
                  <c:v>291.63837207276327</c:v>
                </c:pt>
                <c:pt idx="2">
                  <c:v>379.34781294701912</c:v>
                </c:pt>
                <c:pt idx="3">
                  <c:v>392.32817052913867</c:v>
                </c:pt>
                <c:pt idx="4">
                  <c:v>387.16766331880399</c:v>
                </c:pt>
                <c:pt idx="5">
                  <c:v>381.91938337061094</c:v>
                </c:pt>
                <c:pt idx="6">
                  <c:v>388.32635947805227</c:v>
                </c:pt>
                <c:pt idx="7">
                  <c:v>394.71249960533299</c:v>
                </c:pt>
                <c:pt idx="8">
                  <c:v>405.65605765731067</c:v>
                </c:pt>
                <c:pt idx="9">
                  <c:v>402.54110039996755</c:v>
                </c:pt>
                <c:pt idx="10">
                  <c:v>384.92955773681786</c:v>
                </c:pt>
                <c:pt idx="11">
                  <c:v>446.89936668539298</c:v>
                </c:pt>
                <c:pt idx="12">
                  <c:v>371.14743552466922</c:v>
                </c:pt>
                <c:pt idx="13">
                  <c:v>405.28572365145499</c:v>
                </c:pt>
                <c:pt idx="14">
                  <c:v>405.29664539950829</c:v>
                </c:pt>
                <c:pt idx="15">
                  <c:v>417.78458321172894</c:v>
                </c:pt>
                <c:pt idx="16">
                  <c:v>410.17020516900294</c:v>
                </c:pt>
                <c:pt idx="17">
                  <c:v>423.22888706499197</c:v>
                </c:pt>
                <c:pt idx="18">
                  <c:v>429.48512079112345</c:v>
                </c:pt>
                <c:pt idx="19">
                  <c:v>437.02017690869638</c:v>
                </c:pt>
                <c:pt idx="20">
                  <c:v>433.56906162970006</c:v>
                </c:pt>
                <c:pt idx="21">
                  <c:v>415.75086683934535</c:v>
                </c:pt>
                <c:pt idx="22">
                  <c:v>426.91399209035552</c:v>
                </c:pt>
                <c:pt idx="23">
                  <c:v>472.28162829148516</c:v>
                </c:pt>
                <c:pt idx="24">
                  <c:v>387.75159008322942</c:v>
                </c:pt>
                <c:pt idx="25">
                  <c:v>409.04470234428993</c:v>
                </c:pt>
                <c:pt idx="26">
                  <c:v>422.15736522615987</c:v>
                </c:pt>
                <c:pt idx="27">
                  <c:v>442.03460090509986</c:v>
                </c:pt>
                <c:pt idx="28">
                  <c:v>401.8180126547187</c:v>
                </c:pt>
                <c:pt idx="29">
                  <c:v>443.37115676440737</c:v>
                </c:pt>
                <c:pt idx="30">
                  <c:v>448.14861835298683</c:v>
                </c:pt>
                <c:pt idx="31">
                  <c:v>459.51433560303423</c:v>
                </c:pt>
                <c:pt idx="32">
                  <c:v>454.59023171962735</c:v>
                </c:pt>
                <c:pt idx="33">
                  <c:v>453.67497619190004</c:v>
                </c:pt>
                <c:pt idx="34">
                  <c:v>459.56389498653579</c:v>
                </c:pt>
                <c:pt idx="35">
                  <c:v>518.12850201420338</c:v>
                </c:pt>
                <c:pt idx="36">
                  <c:v>550.14706096220368</c:v>
                </c:pt>
                <c:pt idx="37">
                  <c:v>551.1577381639936</c:v>
                </c:pt>
                <c:pt idx="38">
                  <c:v>563.31202347040187</c:v>
                </c:pt>
                <c:pt idx="39">
                  <c:v>569.92606148182495</c:v>
                </c:pt>
                <c:pt idx="40">
                  <c:v>575.1138498226112</c:v>
                </c:pt>
                <c:pt idx="41">
                  <c:v>574.53931051209918</c:v>
                </c:pt>
                <c:pt idx="42">
                  <c:v>569.0468858137574</c:v>
                </c:pt>
                <c:pt idx="43">
                  <c:v>564.71216053487319</c:v>
                </c:pt>
                <c:pt idx="44">
                  <c:v>578.77198891874298</c:v>
                </c:pt>
                <c:pt idx="45">
                  <c:v>564.70150963695551</c:v>
                </c:pt>
                <c:pt idx="46">
                  <c:v>573.43862911326312</c:v>
                </c:pt>
                <c:pt idx="47">
                  <c:v>612.0039751480715</c:v>
                </c:pt>
                <c:pt idx="48">
                  <c:v>579.08181377563267</c:v>
                </c:pt>
                <c:pt idx="49">
                  <c:v>612.15227259513267</c:v>
                </c:pt>
                <c:pt idx="50">
                  <c:v>603.18076595630498</c:v>
                </c:pt>
                <c:pt idx="51">
                  <c:v>616.21519679967514</c:v>
                </c:pt>
                <c:pt idx="52">
                  <c:v>618.93390232932836</c:v>
                </c:pt>
                <c:pt idx="53">
                  <c:v>634.24849478764895</c:v>
                </c:pt>
                <c:pt idx="54">
                  <c:v>616.05648590908913</c:v>
                </c:pt>
                <c:pt idx="55">
                  <c:v>624.95677576597348</c:v>
                </c:pt>
                <c:pt idx="56">
                  <c:v>625.65016364418545</c:v>
                </c:pt>
                <c:pt idx="57">
                  <c:v>638.42352630457833</c:v>
                </c:pt>
                <c:pt idx="58">
                  <c:v>652.68821493525979</c:v>
                </c:pt>
                <c:pt idx="59">
                  <c:v>668.84554328505033</c:v>
                </c:pt>
                <c:pt idx="60">
                  <c:v>672.18022461211535</c:v>
                </c:pt>
                <c:pt idx="61">
                  <c:v>693.93459899287143</c:v>
                </c:pt>
                <c:pt idx="62">
                  <c:v>684.06885850072263</c:v>
                </c:pt>
                <c:pt idx="63">
                  <c:v>690.38091255839947</c:v>
                </c:pt>
                <c:pt idx="64">
                  <c:v>701.90521681588802</c:v>
                </c:pt>
                <c:pt idx="65">
                  <c:v>714.24806540685131</c:v>
                </c:pt>
                <c:pt idx="66">
                  <c:v>699.34401267765531</c:v>
                </c:pt>
                <c:pt idx="67">
                  <c:v>715.82517142453401</c:v>
                </c:pt>
                <c:pt idx="68">
                  <c:v>714.4076958375548</c:v>
                </c:pt>
                <c:pt idx="69">
                  <c:v>704.201871611304</c:v>
                </c:pt>
                <c:pt idx="70">
                  <c:v>717.5791905110375</c:v>
                </c:pt>
                <c:pt idx="71">
                  <c:v>735.32410871048728</c:v>
                </c:pt>
                <c:pt idx="72">
                  <c:v>741.32487895201939</c:v>
                </c:pt>
                <c:pt idx="73">
                  <c:v>730.55204608778638</c:v>
                </c:pt>
                <c:pt idx="74">
                  <c:v>718.68589271890733</c:v>
                </c:pt>
                <c:pt idx="75">
                  <c:v>719.96335474556543</c:v>
                </c:pt>
                <c:pt idx="76">
                  <c:v>723.6907511952702</c:v>
                </c:pt>
                <c:pt idx="77">
                  <c:v>722.52334079740763</c:v>
                </c:pt>
                <c:pt idx="78">
                  <c:v>713.42382186196073</c:v>
                </c:pt>
                <c:pt idx="79">
                  <c:v>711.20919852303416</c:v>
                </c:pt>
                <c:pt idx="80">
                  <c:v>702.22055287239971</c:v>
                </c:pt>
                <c:pt idx="81">
                  <c:v>704.4462915502836</c:v>
                </c:pt>
                <c:pt idx="82">
                  <c:v>703.74254900128244</c:v>
                </c:pt>
                <c:pt idx="83">
                  <c:v>725.25244818031501</c:v>
                </c:pt>
                <c:pt idx="84">
                  <c:v>782.02020859297829</c:v>
                </c:pt>
                <c:pt idx="85">
                  <c:v>769.36918670389241</c:v>
                </c:pt>
                <c:pt idx="86">
                  <c:v>769.10301223672877</c:v>
                </c:pt>
                <c:pt idx="87">
                  <c:v>768.92133520019547</c:v>
                </c:pt>
                <c:pt idx="88">
                  <c:v>806.96404878238468</c:v>
                </c:pt>
                <c:pt idx="89">
                  <c:v>786.48925069803147</c:v>
                </c:pt>
                <c:pt idx="90">
                  <c:v>774.16547205653751</c:v>
                </c:pt>
                <c:pt idx="91">
                  <c:v>836.02309058967853</c:v>
                </c:pt>
                <c:pt idx="92">
                  <c:v>795.83245146521392</c:v>
                </c:pt>
                <c:pt idx="93">
                  <c:v>787.43799158730519</c:v>
                </c:pt>
                <c:pt idx="94">
                  <c:v>791.69723752678817</c:v>
                </c:pt>
                <c:pt idx="95">
                  <c:v>848.79313944804744</c:v>
                </c:pt>
                <c:pt idx="96">
                  <c:v>850.39517848493756</c:v>
                </c:pt>
                <c:pt idx="97">
                  <c:v>822.99974807346587</c:v>
                </c:pt>
                <c:pt idx="98">
                  <c:v>773.27798895937974</c:v>
                </c:pt>
                <c:pt idx="99">
                  <c:v>754.67848763593395</c:v>
                </c:pt>
                <c:pt idx="100">
                  <c:v>764.31703995798352</c:v>
                </c:pt>
                <c:pt idx="101">
                  <c:v>759.27086258263739</c:v>
                </c:pt>
                <c:pt idx="102">
                  <c:v>764.12755839258568</c:v>
                </c:pt>
                <c:pt idx="103">
                  <c:v>756.30868437120409</c:v>
                </c:pt>
                <c:pt idx="104">
                  <c:v>759.36184174292168</c:v>
                </c:pt>
                <c:pt idx="105">
                  <c:v>755.92001329855907</c:v>
                </c:pt>
                <c:pt idx="106">
                  <c:v>767.24708030578086</c:v>
                </c:pt>
                <c:pt idx="107">
                  <c:v>769.57477513576146</c:v>
                </c:pt>
                <c:pt idx="108">
                  <c:v>797.73139737051849</c:v>
                </c:pt>
                <c:pt idx="109">
                  <c:v>773.81304057690977</c:v>
                </c:pt>
                <c:pt idx="110">
                  <c:v>761.6107751913994</c:v>
                </c:pt>
                <c:pt idx="111">
                  <c:v>761.12170423865768</c:v>
                </c:pt>
                <c:pt idx="112">
                  <c:v>752.06988455095188</c:v>
                </c:pt>
                <c:pt idx="113">
                  <c:v>745.58431318251485</c:v>
                </c:pt>
                <c:pt idx="114">
                  <c:v>737.91470232650113</c:v>
                </c:pt>
                <c:pt idx="115">
                  <c:v>734.74367880861519</c:v>
                </c:pt>
                <c:pt idx="116">
                  <c:v>736.72530390173313</c:v>
                </c:pt>
                <c:pt idx="117">
                  <c:v>724.39820940565778</c:v>
                </c:pt>
                <c:pt idx="118">
                  <c:v>720.87977829413569</c:v>
                </c:pt>
                <c:pt idx="119">
                  <c:v>751.81908754876213</c:v>
                </c:pt>
                <c:pt idx="120">
                  <c:v>742.15871144076254</c:v>
                </c:pt>
                <c:pt idx="121">
                  <c:v>744.38268077545433</c:v>
                </c:pt>
                <c:pt idx="122">
                  <c:v>730.09612583366982</c:v>
                </c:pt>
                <c:pt idx="123">
                  <c:v>728.68168935690096</c:v>
                </c:pt>
                <c:pt idx="124">
                  <c:v>731.1288416261832</c:v>
                </c:pt>
                <c:pt idx="125">
                  <c:v>737.81772027127715</c:v>
                </c:pt>
                <c:pt idx="126">
                  <c:v>714.61043007013166</c:v>
                </c:pt>
                <c:pt idx="127">
                  <c:v>724.15938409260525</c:v>
                </c:pt>
                <c:pt idx="128">
                  <c:v>723.58432556541982</c:v>
                </c:pt>
                <c:pt idx="129">
                  <c:v>724.69717754139731</c:v>
                </c:pt>
                <c:pt idx="130">
                  <c:v>734.83716823999384</c:v>
                </c:pt>
                <c:pt idx="131">
                  <c:v>746.27567975278725</c:v>
                </c:pt>
                <c:pt idx="132">
                  <c:v>740.00045232724096</c:v>
                </c:pt>
                <c:pt idx="133">
                  <c:v>743.40589403624256</c:v>
                </c:pt>
                <c:pt idx="134">
                  <c:v>733.67800771284601</c:v>
                </c:pt>
                <c:pt idx="135">
                  <c:v>734.90410570631843</c:v>
                </c:pt>
                <c:pt idx="136">
                  <c:v>738.45111986401787</c:v>
                </c:pt>
                <c:pt idx="137">
                  <c:v>733.49149806809919</c:v>
                </c:pt>
                <c:pt idx="138">
                  <c:v>724.59661622627368</c:v>
                </c:pt>
                <c:pt idx="139">
                  <c:v>729.30534068477505</c:v>
                </c:pt>
                <c:pt idx="140">
                  <c:v>729.80693824264847</c:v>
                </c:pt>
                <c:pt idx="141">
                  <c:v>731.31983276626147</c:v>
                </c:pt>
                <c:pt idx="142">
                  <c:v>730.83949027784001</c:v>
                </c:pt>
                <c:pt idx="143">
                  <c:v>744.73222785053986</c:v>
                </c:pt>
                <c:pt idx="144">
                  <c:v>743.53801031589626</c:v>
                </c:pt>
                <c:pt idx="145">
                  <c:v>742.10512710087573</c:v>
                </c:pt>
                <c:pt idx="146">
                  <c:v>722.83970323939957</c:v>
                </c:pt>
                <c:pt idx="147">
                  <c:v>722.74113177600452</c:v>
                </c:pt>
                <c:pt idx="148">
                  <c:v>721.63027364955678</c:v>
                </c:pt>
                <c:pt idx="149">
                  <c:v>721.98858480244996</c:v>
                </c:pt>
                <c:pt idx="150">
                  <c:v>717.33913246223983</c:v>
                </c:pt>
                <c:pt idx="151">
                  <c:v>717.76748294909055</c:v>
                </c:pt>
                <c:pt idx="152">
                  <c:v>715.27891937586048</c:v>
                </c:pt>
                <c:pt idx="153">
                  <c:v>717.29695419119935</c:v>
                </c:pt>
                <c:pt idx="154">
                  <c:v>724.89553993596371</c:v>
                </c:pt>
                <c:pt idx="155">
                  <c:v>737.31093347975673</c:v>
                </c:pt>
                <c:pt idx="156">
                  <c:v>744.37404539114584</c:v>
                </c:pt>
                <c:pt idx="157">
                  <c:v>747.18303354372699</c:v>
                </c:pt>
                <c:pt idx="158">
                  <c:v>742.67443571307535</c:v>
                </c:pt>
                <c:pt idx="159">
                  <c:v>756.65477568971801</c:v>
                </c:pt>
                <c:pt idx="160">
                  <c:v>756.58128316334398</c:v>
                </c:pt>
                <c:pt idx="161">
                  <c:v>759.44251872361394</c:v>
                </c:pt>
                <c:pt idx="162">
                  <c:v>758.98316980461402</c:v>
                </c:pt>
                <c:pt idx="163">
                  <c:v>759.0599373972866</c:v>
                </c:pt>
                <c:pt idx="164">
                  <c:v>750.32063590367659</c:v>
                </c:pt>
                <c:pt idx="165">
                  <c:v>748.48260626619617</c:v>
                </c:pt>
                <c:pt idx="166">
                  <c:v>750.05881594037953</c:v>
                </c:pt>
                <c:pt idx="167">
                  <c:v>756.64960087505472</c:v>
                </c:pt>
                <c:pt idx="168">
                  <c:v>757.26762260846192</c:v>
                </c:pt>
                <c:pt idx="169">
                  <c:v>756.36146914502854</c:v>
                </c:pt>
                <c:pt idx="170">
                  <c:v>750.72224510898695</c:v>
                </c:pt>
                <c:pt idx="171">
                  <c:v>757.20638610447531</c:v>
                </c:pt>
                <c:pt idx="172">
                  <c:v>753.62759128377729</c:v>
                </c:pt>
                <c:pt idx="173">
                  <c:v>752.71438359758213</c:v>
                </c:pt>
                <c:pt idx="174">
                  <c:v>744.04773093623066</c:v>
                </c:pt>
                <c:pt idx="175">
                  <c:v>745.96650721833555</c:v>
                </c:pt>
                <c:pt idx="176">
                  <c:v>743.24909683170802</c:v>
                </c:pt>
                <c:pt idx="177">
                  <c:v>744.34418651881128</c:v>
                </c:pt>
                <c:pt idx="178">
                  <c:v>744.43664991016772</c:v>
                </c:pt>
                <c:pt idx="179">
                  <c:v>746.3018929797347</c:v>
                </c:pt>
                <c:pt idx="180">
                  <c:v>737.99919066117434</c:v>
                </c:pt>
                <c:pt idx="181">
                  <c:v>735.19878601841378</c:v>
                </c:pt>
                <c:pt idx="182">
                  <c:v>728.73068941991073</c:v>
                </c:pt>
                <c:pt idx="183">
                  <c:v>731.98736582189497</c:v>
                </c:pt>
                <c:pt idx="184">
                  <c:v>732.57947444878312</c:v>
                </c:pt>
                <c:pt idx="185">
                  <c:v>730.51129355241699</c:v>
                </c:pt>
                <c:pt idx="186">
                  <c:v>723.38187884621527</c:v>
                </c:pt>
                <c:pt idx="187">
                  <c:v>728.61365135834615</c:v>
                </c:pt>
                <c:pt idx="188">
                  <c:v>730.07998083038979</c:v>
                </c:pt>
                <c:pt idx="189">
                  <c:v>729.36431560606218</c:v>
                </c:pt>
                <c:pt idx="190">
                  <c:v>730.97413269072649</c:v>
                </c:pt>
                <c:pt idx="191">
                  <c:v>737.2000117588201</c:v>
                </c:pt>
                <c:pt idx="192">
                  <c:v>739.7043690897699</c:v>
                </c:pt>
                <c:pt idx="193">
                  <c:v>737.81107765598324</c:v>
                </c:pt>
                <c:pt idx="194">
                  <c:v>726.49315216382774</c:v>
                </c:pt>
                <c:pt idx="195">
                  <c:v>727.46290644239275</c:v>
                </c:pt>
                <c:pt idx="196">
                  <c:v>729.08273095780112</c:v>
                </c:pt>
                <c:pt idx="197">
                  <c:v>738.89229561808008</c:v>
                </c:pt>
                <c:pt idx="198">
                  <c:v>731.73830424516711</c:v>
                </c:pt>
                <c:pt idx="199">
                  <c:v>739.92552596675387</c:v>
                </c:pt>
                <c:pt idx="200">
                  <c:v>738.05099665629928</c:v>
                </c:pt>
                <c:pt idx="201">
                  <c:v>735.04277810613553</c:v>
                </c:pt>
                <c:pt idx="202">
                  <c:v>735.86524596004631</c:v>
                </c:pt>
                <c:pt idx="203">
                  <c:v>739.08348329200021</c:v>
                </c:pt>
                <c:pt idx="204">
                  <c:v>744.17665199907742</c:v>
                </c:pt>
                <c:pt idx="205">
                  <c:v>743.36272034790488</c:v>
                </c:pt>
                <c:pt idx="206">
                  <c:v>746.42961368997169</c:v>
                </c:pt>
                <c:pt idx="207">
                  <c:v>745.34804823022989</c:v>
                </c:pt>
                <c:pt idx="208">
                  <c:v>739.20011869023233</c:v>
                </c:pt>
                <c:pt idx="209">
                  <c:v>751.87399103104985</c:v>
                </c:pt>
                <c:pt idx="210">
                  <c:v>745.8504117111089</c:v>
                </c:pt>
                <c:pt idx="211">
                  <c:v>749.29758253141722</c:v>
                </c:pt>
                <c:pt idx="212">
                  <c:v>744.98820802229352</c:v>
                </c:pt>
                <c:pt idx="213">
                  <c:v>746.92563884236597</c:v>
                </c:pt>
                <c:pt idx="214">
                  <c:v>749.04854038748863</c:v>
                </c:pt>
                <c:pt idx="215">
                  <c:v>750.57482614670198</c:v>
                </c:pt>
                <c:pt idx="216">
                  <c:v>753.12771636097807</c:v>
                </c:pt>
                <c:pt idx="217">
                  <c:v>748.77721132155955</c:v>
                </c:pt>
                <c:pt idx="218">
                  <c:v>739.54984202072512</c:v>
                </c:pt>
                <c:pt idx="219">
                  <c:v>739.93449760330907</c:v>
                </c:pt>
                <c:pt idx="220">
                  <c:v>739.79646662366292</c:v>
                </c:pt>
                <c:pt idx="221">
                  <c:v>738.62086826024654</c:v>
                </c:pt>
                <c:pt idx="222">
                  <c:v>735.32496431107518</c:v>
                </c:pt>
                <c:pt idx="223">
                  <c:v>738.55173300679496</c:v>
                </c:pt>
                <c:pt idx="224">
                  <c:v>735.70302232296865</c:v>
                </c:pt>
                <c:pt idx="225">
                  <c:v>732.58895389518068</c:v>
                </c:pt>
                <c:pt idx="226">
                  <c:v>731.30623412752595</c:v>
                </c:pt>
                <c:pt idx="227">
                  <c:v>732.02657056478904</c:v>
                </c:pt>
                <c:pt idx="228">
                  <c:v>802.0564467350722</c:v>
                </c:pt>
                <c:pt idx="229">
                  <c:v>777.12480912122771</c:v>
                </c:pt>
                <c:pt idx="230">
                  <c:v>745.21223629912345</c:v>
                </c:pt>
                <c:pt idx="231">
                  <c:v>735.37203437453729</c:v>
                </c:pt>
                <c:pt idx="232">
                  <c:v>732.34078297263602</c:v>
                </c:pt>
                <c:pt idx="233">
                  <c:v>717.17794451290638</c:v>
                </c:pt>
                <c:pt idx="234">
                  <c:v>712.96895978305963</c:v>
                </c:pt>
                <c:pt idx="235">
                  <c:v>715.87655767825163</c:v>
                </c:pt>
                <c:pt idx="236">
                  <c:v>706.950840937301</c:v>
                </c:pt>
                <c:pt idx="237">
                  <c:v>700.05700351430426</c:v>
                </c:pt>
                <c:pt idx="238">
                  <c:v>694.9204277189923</c:v>
                </c:pt>
                <c:pt idx="239">
                  <c:v>700.78672855945183</c:v>
                </c:pt>
                <c:pt idx="240">
                  <c:v>728.80918276870534</c:v>
                </c:pt>
                <c:pt idx="241">
                  <c:v>738.99690862876696</c:v>
                </c:pt>
                <c:pt idx="242">
                  <c:v>753.48452008053698</c:v>
                </c:pt>
                <c:pt idx="243">
                  <c:v>758.38572618495755</c:v>
                </c:pt>
                <c:pt idx="244">
                  <c:v>762.08151982173615</c:v>
                </c:pt>
                <c:pt idx="245">
                  <c:v>757.42026069957728</c:v>
                </c:pt>
                <c:pt idx="246">
                  <c:v>751.73584975032895</c:v>
                </c:pt>
                <c:pt idx="247">
                  <c:v>740.61128849305499</c:v>
                </c:pt>
                <c:pt idx="248">
                  <c:v>737.26335073662176</c:v>
                </c:pt>
                <c:pt idx="249">
                  <c:v>742.23909589080722</c:v>
                </c:pt>
                <c:pt idx="250">
                  <c:v>748.44742201756992</c:v>
                </c:pt>
                <c:pt idx="251">
                  <c:v>760.30015793116456</c:v>
                </c:pt>
                <c:pt idx="252">
                  <c:v>760.73733360633037</c:v>
                </c:pt>
                <c:pt idx="253">
                  <c:v>759.13312463230739</c:v>
                </c:pt>
                <c:pt idx="254">
                  <c:v>759.68850231085071</c:v>
                </c:pt>
                <c:pt idx="255">
                  <c:v>762.02045009877031</c:v>
                </c:pt>
                <c:pt idx="256">
                  <c:v>765.86801470283058</c:v>
                </c:pt>
                <c:pt idx="257">
                  <c:v>770.83367657634176</c:v>
                </c:pt>
                <c:pt idx="258">
                  <c:v>780.2453856304968</c:v>
                </c:pt>
                <c:pt idx="259">
                  <c:v>786.74770160303672</c:v>
                </c:pt>
                <c:pt idx="260">
                  <c:v>806.29280355750984</c:v>
                </c:pt>
                <c:pt idx="261">
                  <c:v>831.95129695342894</c:v>
                </c:pt>
                <c:pt idx="262">
                  <c:v>864.18019511716955</c:v>
                </c:pt>
                <c:pt idx="263">
                  <c:v>881.28477364831531</c:v>
                </c:pt>
              </c:numCache>
            </c:numRef>
          </c:val>
          <c:smooth val="0"/>
          <c:extLst>
            <c:ext xmlns:c16="http://schemas.microsoft.com/office/drawing/2014/chart" uri="{C3380CC4-5D6E-409C-BE32-E72D297353CC}">
              <c16:uniqueId val="{00000002-8C66-4C53-B459-6627D7C52258}"/>
            </c:ext>
          </c:extLst>
        </c:ser>
        <c:ser>
          <c:idx val="3"/>
          <c:order val="3"/>
          <c:tx>
            <c:strRef>
              <c:f>'[Grafikoni i tabele 2024.xlsx]Grafikon 3.3'!$B$13</c:f>
              <c:strCache>
                <c:ptCount val="1"/>
                <c:pt idx="0">
                  <c:v>Neto zarade, 2015 = 100</c:v>
                </c:pt>
              </c:strCache>
            </c:strRef>
          </c:tx>
          <c:spPr>
            <a:ln w="28575" cap="rnd">
              <a:solidFill>
                <a:schemeClr val="accent4"/>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3.3'!$C$13:$JF$13</c:f>
              <c:numCache>
                <c:formatCode>#,##0.00</c:formatCode>
                <c:ptCount val="264"/>
                <c:pt idx="0">
                  <c:v>226.74189819697222</c:v>
                </c:pt>
                <c:pt idx="1">
                  <c:v>185.83734358799927</c:v>
                </c:pt>
                <c:pt idx="2">
                  <c:v>245.2933410287022</c:v>
                </c:pt>
                <c:pt idx="3">
                  <c:v>249.78468167449091</c:v>
                </c:pt>
                <c:pt idx="4">
                  <c:v>247.85530323548463</c:v>
                </c:pt>
                <c:pt idx="5">
                  <c:v>244.10116575371711</c:v>
                </c:pt>
                <c:pt idx="6">
                  <c:v>250.48220268663451</c:v>
                </c:pt>
                <c:pt idx="7">
                  <c:v>253.99197131973179</c:v>
                </c:pt>
                <c:pt idx="8">
                  <c:v>259.82594575420808</c:v>
                </c:pt>
                <c:pt idx="9">
                  <c:v>259.60072839552259</c:v>
                </c:pt>
                <c:pt idx="10">
                  <c:v>249.11065471868898</c:v>
                </c:pt>
                <c:pt idx="11">
                  <c:v>287.41272052063232</c:v>
                </c:pt>
                <c:pt idx="12">
                  <c:v>235.786637723197</c:v>
                </c:pt>
                <c:pt idx="13">
                  <c:v>260.1642438009066</c:v>
                </c:pt>
                <c:pt idx="14">
                  <c:v>262.39915500661681</c:v>
                </c:pt>
                <c:pt idx="15">
                  <c:v>266.83438264247769</c:v>
                </c:pt>
                <c:pt idx="16">
                  <c:v>261.68505685189888</c:v>
                </c:pt>
                <c:pt idx="17">
                  <c:v>269.94486703032914</c:v>
                </c:pt>
                <c:pt idx="18">
                  <c:v>280.57512726946487</c:v>
                </c:pt>
                <c:pt idx="19">
                  <c:v>283.82978047583788</c:v>
                </c:pt>
                <c:pt idx="20">
                  <c:v>280.3088045636635</c:v>
                </c:pt>
                <c:pt idx="21">
                  <c:v>267.26741937274852</c:v>
                </c:pt>
                <c:pt idx="22">
                  <c:v>277.29856916883733</c:v>
                </c:pt>
                <c:pt idx="23">
                  <c:v>309.90057540878342</c:v>
                </c:pt>
                <c:pt idx="24">
                  <c:v>253.33778942022471</c:v>
                </c:pt>
                <c:pt idx="25">
                  <c:v>268.53170246470046</c:v>
                </c:pt>
                <c:pt idx="26">
                  <c:v>276.94527255981922</c:v>
                </c:pt>
                <c:pt idx="27">
                  <c:v>288.08335535448299</c:v>
                </c:pt>
                <c:pt idx="28">
                  <c:v>262.58911029151812</c:v>
                </c:pt>
                <c:pt idx="29">
                  <c:v>288.84508847347445</c:v>
                </c:pt>
                <c:pt idx="30">
                  <c:v>292.27910981672755</c:v>
                </c:pt>
                <c:pt idx="31">
                  <c:v>299.05999097994538</c:v>
                </c:pt>
                <c:pt idx="32">
                  <c:v>296.3556025821444</c:v>
                </c:pt>
                <c:pt idx="33">
                  <c:v>295.72508244439058</c:v>
                </c:pt>
                <c:pt idx="34">
                  <c:v>299.38322604241148</c:v>
                </c:pt>
                <c:pt idx="35">
                  <c:v>338.89451917458143</c:v>
                </c:pt>
                <c:pt idx="36">
                  <c:v>360.99238140619178</c:v>
                </c:pt>
                <c:pt idx="37">
                  <c:v>358.58455254042957</c:v>
                </c:pt>
                <c:pt idx="38">
                  <c:v>365.82145524195511</c:v>
                </c:pt>
                <c:pt idx="39">
                  <c:v>371.17586452165045</c:v>
                </c:pt>
                <c:pt idx="40">
                  <c:v>373.82400238469728</c:v>
                </c:pt>
                <c:pt idx="41">
                  <c:v>376.06209415337401</c:v>
                </c:pt>
                <c:pt idx="42">
                  <c:v>371.00272601778619</c:v>
                </c:pt>
                <c:pt idx="43">
                  <c:v>368.57670151460258</c:v>
                </c:pt>
                <c:pt idx="44">
                  <c:v>376.66113564553115</c:v>
                </c:pt>
                <c:pt idx="45">
                  <c:v>368.62459656856811</c:v>
                </c:pt>
                <c:pt idx="46">
                  <c:v>372.73510892362094</c:v>
                </c:pt>
                <c:pt idx="47">
                  <c:v>398.9070496188067</c:v>
                </c:pt>
                <c:pt idx="48">
                  <c:v>392.53196772710675</c:v>
                </c:pt>
                <c:pt idx="49">
                  <c:v>415.43526321995262</c:v>
                </c:pt>
                <c:pt idx="50">
                  <c:v>409.43962057419412</c:v>
                </c:pt>
                <c:pt idx="51">
                  <c:v>419.38654312462234</c:v>
                </c:pt>
                <c:pt idx="52">
                  <c:v>420.72159889741539</c:v>
                </c:pt>
                <c:pt idx="53">
                  <c:v>430.98021451087709</c:v>
                </c:pt>
                <c:pt idx="54">
                  <c:v>418.71600992999686</c:v>
                </c:pt>
                <c:pt idx="55">
                  <c:v>425.02090585291558</c:v>
                </c:pt>
                <c:pt idx="56">
                  <c:v>424.90020956150391</c:v>
                </c:pt>
                <c:pt idx="57">
                  <c:v>434.17691923012518</c:v>
                </c:pt>
                <c:pt idx="58">
                  <c:v>443.19830550334893</c:v>
                </c:pt>
                <c:pt idx="59">
                  <c:v>453.94571168804856</c:v>
                </c:pt>
                <c:pt idx="60">
                  <c:v>460.03823883027752</c:v>
                </c:pt>
                <c:pt idx="61">
                  <c:v>474.10942636670495</c:v>
                </c:pt>
                <c:pt idx="62">
                  <c:v>467.48650364668765</c:v>
                </c:pt>
                <c:pt idx="63">
                  <c:v>471.99511368788529</c:v>
                </c:pt>
                <c:pt idx="64">
                  <c:v>479.20771447064777</c:v>
                </c:pt>
                <c:pt idx="65">
                  <c:v>487.24787768525164</c:v>
                </c:pt>
                <c:pt idx="66">
                  <c:v>476.92968733426994</c:v>
                </c:pt>
                <c:pt idx="67">
                  <c:v>487.90643684296242</c:v>
                </c:pt>
                <c:pt idx="68">
                  <c:v>486.47762145128735</c:v>
                </c:pt>
                <c:pt idx="69">
                  <c:v>479.6737386337868</c:v>
                </c:pt>
                <c:pt idx="70">
                  <c:v>488.273280665698</c:v>
                </c:pt>
                <c:pt idx="71">
                  <c:v>500.3818435618216</c:v>
                </c:pt>
                <c:pt idx="72">
                  <c:v>531.94304291213598</c:v>
                </c:pt>
                <c:pt idx="73">
                  <c:v>524.87354695845579</c:v>
                </c:pt>
                <c:pt idx="74">
                  <c:v>516.06572670314051</c:v>
                </c:pt>
                <c:pt idx="75">
                  <c:v>517.43888710461817</c:v>
                </c:pt>
                <c:pt idx="76">
                  <c:v>520.25694555973348</c:v>
                </c:pt>
                <c:pt idx="77">
                  <c:v>519.59240248702463</c:v>
                </c:pt>
                <c:pt idx="78">
                  <c:v>512.63315501716363</c:v>
                </c:pt>
                <c:pt idx="79">
                  <c:v>511.49366695650355</c:v>
                </c:pt>
                <c:pt idx="80">
                  <c:v>505.2426798796663</c:v>
                </c:pt>
                <c:pt idx="81">
                  <c:v>507.46841855755031</c:v>
                </c:pt>
                <c:pt idx="82">
                  <c:v>506.96145710044993</c:v>
                </c:pt>
                <c:pt idx="83">
                  <c:v>522.00405918031856</c:v>
                </c:pt>
                <c:pt idx="84">
                  <c:v>524.68877243204099</c:v>
                </c:pt>
                <c:pt idx="85">
                  <c:v>515.51075751650103</c:v>
                </c:pt>
                <c:pt idx="86">
                  <c:v>516.06479176057553</c:v>
                </c:pt>
                <c:pt idx="87">
                  <c:v>515.94288725554236</c:v>
                </c:pt>
                <c:pt idx="88">
                  <c:v>540.56601342093722</c:v>
                </c:pt>
                <c:pt idx="89">
                  <c:v>526.9255178189361</c:v>
                </c:pt>
                <c:pt idx="90">
                  <c:v>518.33492812980819</c:v>
                </c:pt>
                <c:pt idx="91">
                  <c:v>560.31334794840154</c:v>
                </c:pt>
                <c:pt idx="92">
                  <c:v>533.88481053663577</c:v>
                </c:pt>
                <c:pt idx="93">
                  <c:v>528.28118422945784</c:v>
                </c:pt>
                <c:pt idx="94">
                  <c:v>530.74675141460659</c:v>
                </c:pt>
                <c:pt idx="95">
                  <c:v>569.17769116633394</c:v>
                </c:pt>
                <c:pt idx="96">
                  <c:v>570.60194618548917</c:v>
                </c:pt>
                <c:pt idx="97">
                  <c:v>552.30487072304209</c:v>
                </c:pt>
                <c:pt idx="98">
                  <c:v>518.37471836058148</c:v>
                </c:pt>
                <c:pt idx="99">
                  <c:v>506.33038957701666</c:v>
                </c:pt>
                <c:pt idx="100">
                  <c:v>512.75610943959964</c:v>
                </c:pt>
                <c:pt idx="101">
                  <c:v>509.3978244728147</c:v>
                </c:pt>
                <c:pt idx="102">
                  <c:v>512.28833492235322</c:v>
                </c:pt>
                <c:pt idx="103">
                  <c:v>506.69481675080669</c:v>
                </c:pt>
                <c:pt idx="104">
                  <c:v>508.72977319013148</c:v>
                </c:pt>
                <c:pt idx="105">
                  <c:v>507.13621145346366</c:v>
                </c:pt>
                <c:pt idx="106">
                  <c:v>513.98105379707647</c:v>
                </c:pt>
                <c:pt idx="107">
                  <c:v>515.89223153145235</c:v>
                </c:pt>
                <c:pt idx="108">
                  <c:v>534.2895963821112</c:v>
                </c:pt>
                <c:pt idx="109">
                  <c:v>518.31861310631973</c:v>
                </c:pt>
                <c:pt idx="110">
                  <c:v>510.17488913506065</c:v>
                </c:pt>
                <c:pt idx="111">
                  <c:v>509.83732166600396</c:v>
                </c:pt>
                <c:pt idx="112">
                  <c:v>503.79371908708885</c:v>
                </c:pt>
                <c:pt idx="113">
                  <c:v>499.80998279825099</c:v>
                </c:pt>
                <c:pt idx="114">
                  <c:v>494.69142055407895</c:v>
                </c:pt>
                <c:pt idx="115">
                  <c:v>492.56559473203254</c:v>
                </c:pt>
                <c:pt idx="116">
                  <c:v>493.53442688562706</c:v>
                </c:pt>
                <c:pt idx="117">
                  <c:v>484.95277617115164</c:v>
                </c:pt>
                <c:pt idx="118">
                  <c:v>483.28265641598438</c:v>
                </c:pt>
                <c:pt idx="119">
                  <c:v>504.25652700638972</c:v>
                </c:pt>
                <c:pt idx="120">
                  <c:v>497.47984761419099</c:v>
                </c:pt>
                <c:pt idx="121">
                  <c:v>491.86049070312714</c:v>
                </c:pt>
                <c:pt idx="122">
                  <c:v>480.6718615447121</c:v>
                </c:pt>
                <c:pt idx="123">
                  <c:v>480.08448318127319</c:v>
                </c:pt>
                <c:pt idx="124">
                  <c:v>482.06297250078018</c:v>
                </c:pt>
                <c:pt idx="125">
                  <c:v>486.15112801436203</c:v>
                </c:pt>
                <c:pt idx="126">
                  <c:v>470.71951081866825</c:v>
                </c:pt>
                <c:pt idx="127">
                  <c:v>477.08142502633495</c:v>
                </c:pt>
                <c:pt idx="128">
                  <c:v>476.70257232118507</c:v>
                </c:pt>
                <c:pt idx="129">
                  <c:v>477.43572722907589</c:v>
                </c:pt>
                <c:pt idx="130">
                  <c:v>484.16369131630955</c:v>
                </c:pt>
                <c:pt idx="131">
                  <c:v>491.44983788598194</c:v>
                </c:pt>
                <c:pt idx="132">
                  <c:v>487.21792866724678</c:v>
                </c:pt>
                <c:pt idx="133">
                  <c:v>489.48536232839024</c:v>
                </c:pt>
                <c:pt idx="134">
                  <c:v>483.00468841095687</c:v>
                </c:pt>
                <c:pt idx="135">
                  <c:v>483.81186958999297</c:v>
                </c:pt>
                <c:pt idx="136">
                  <c:v>486.19784475895392</c:v>
                </c:pt>
                <c:pt idx="137">
                  <c:v>483.59853251938125</c:v>
                </c:pt>
                <c:pt idx="138">
                  <c:v>477.64433327678626</c:v>
                </c:pt>
                <c:pt idx="139">
                  <c:v>480.44766872409275</c:v>
                </c:pt>
                <c:pt idx="140">
                  <c:v>481.14695651454389</c:v>
                </c:pt>
                <c:pt idx="141">
                  <c:v>482.83270726833285</c:v>
                </c:pt>
                <c:pt idx="142">
                  <c:v>482.17211184305626</c:v>
                </c:pt>
                <c:pt idx="143">
                  <c:v>491.07683689327143</c:v>
                </c:pt>
                <c:pt idx="144">
                  <c:v>490.2671969524788</c:v>
                </c:pt>
                <c:pt idx="145">
                  <c:v>489.66772730836476</c:v>
                </c:pt>
                <c:pt idx="146">
                  <c:v>477.21456136193376</c:v>
                </c:pt>
                <c:pt idx="147">
                  <c:v>477.82885337334744</c:v>
                </c:pt>
                <c:pt idx="148">
                  <c:v>477.11092472697965</c:v>
                </c:pt>
                <c:pt idx="149">
                  <c:v>477.68433189818217</c:v>
                </c:pt>
                <c:pt idx="150">
                  <c:v>474.90045487069006</c:v>
                </c:pt>
                <c:pt idx="151">
                  <c:v>475.5209574537725</c:v>
                </c:pt>
                <c:pt idx="152">
                  <c:v>473.87228408650753</c:v>
                </c:pt>
                <c:pt idx="153">
                  <c:v>475.54499875644012</c:v>
                </c:pt>
                <c:pt idx="154">
                  <c:v>480.60474587226201</c:v>
                </c:pt>
                <c:pt idx="155">
                  <c:v>489.20630457476386</c:v>
                </c:pt>
                <c:pt idx="156">
                  <c:v>493.56330479250533</c:v>
                </c:pt>
                <c:pt idx="157">
                  <c:v>496.43690050063594</c:v>
                </c:pt>
                <c:pt idx="158">
                  <c:v>493.76719976564135</c:v>
                </c:pt>
                <c:pt idx="159">
                  <c:v>502.75730102419345</c:v>
                </c:pt>
                <c:pt idx="160">
                  <c:v>503.04606593307443</c:v>
                </c:pt>
                <c:pt idx="161">
                  <c:v>504.95383364139633</c:v>
                </c:pt>
                <c:pt idx="162">
                  <c:v>504.31109823887488</c:v>
                </c:pt>
                <c:pt idx="163">
                  <c:v>504.69945506415615</c:v>
                </c:pt>
                <c:pt idx="164">
                  <c:v>499.21731552156967</c:v>
                </c:pt>
                <c:pt idx="165">
                  <c:v>498.32661584301121</c:v>
                </c:pt>
                <c:pt idx="166">
                  <c:v>499.04706933599323</c:v>
                </c:pt>
                <c:pt idx="167">
                  <c:v>504.10294089712409</c:v>
                </c:pt>
                <c:pt idx="168">
                  <c:v>504.51597803510299</c:v>
                </c:pt>
                <c:pt idx="169">
                  <c:v>503.912269534693</c:v>
                </c:pt>
                <c:pt idx="170">
                  <c:v>500.48149673932471</c:v>
                </c:pt>
                <c:pt idx="171">
                  <c:v>504.14781493561946</c:v>
                </c:pt>
                <c:pt idx="172">
                  <c:v>502.74634353265037</c:v>
                </c:pt>
                <c:pt idx="173">
                  <c:v>502.46640789890955</c:v>
                </c:pt>
                <c:pt idx="174">
                  <c:v>496.35945062456608</c:v>
                </c:pt>
                <c:pt idx="175">
                  <c:v>497.63689668955806</c:v>
                </c:pt>
                <c:pt idx="176">
                  <c:v>495.17638654628786</c:v>
                </c:pt>
                <c:pt idx="177">
                  <c:v>495.90597041866039</c:v>
                </c:pt>
                <c:pt idx="178">
                  <c:v>496.29109994011185</c:v>
                </c:pt>
                <c:pt idx="179">
                  <c:v>497.53459531982321</c:v>
                </c:pt>
                <c:pt idx="180">
                  <c:v>491.6787306751761</c:v>
                </c:pt>
                <c:pt idx="181">
                  <c:v>490.45245385823682</c:v>
                </c:pt>
                <c:pt idx="182">
                  <c:v>486.45885706348838</c:v>
                </c:pt>
                <c:pt idx="183">
                  <c:v>487.99157721459665</c:v>
                </c:pt>
                <c:pt idx="184">
                  <c:v>488.38631629918876</c:v>
                </c:pt>
                <c:pt idx="185">
                  <c:v>486.69005346191011</c:v>
                </c:pt>
                <c:pt idx="186">
                  <c:v>482.88829757408331</c:v>
                </c:pt>
                <c:pt idx="187">
                  <c:v>486.05949849101171</c:v>
                </c:pt>
                <c:pt idx="188">
                  <c:v>486.71998722025984</c:v>
                </c:pt>
                <c:pt idx="189">
                  <c:v>485.60809524685595</c:v>
                </c:pt>
                <c:pt idx="190">
                  <c:v>486.68238743517816</c:v>
                </c:pt>
                <c:pt idx="191">
                  <c:v>490.51051366053792</c:v>
                </c:pt>
                <c:pt idx="192">
                  <c:v>492.17683702081968</c:v>
                </c:pt>
                <c:pt idx="193">
                  <c:v>491.23690921654838</c:v>
                </c:pt>
                <c:pt idx="194">
                  <c:v>484.32876810921846</c:v>
                </c:pt>
                <c:pt idx="195">
                  <c:v>484.65912019825652</c:v>
                </c:pt>
                <c:pt idx="196">
                  <c:v>485.73953374201551</c:v>
                </c:pt>
                <c:pt idx="197">
                  <c:v>491.95925746958613</c:v>
                </c:pt>
                <c:pt idx="198">
                  <c:v>487.50752733934866</c:v>
                </c:pt>
                <c:pt idx="199">
                  <c:v>492.96584655259244</c:v>
                </c:pt>
                <c:pt idx="200">
                  <c:v>491.39911519309737</c:v>
                </c:pt>
                <c:pt idx="201">
                  <c:v>489.71277871246394</c:v>
                </c:pt>
                <c:pt idx="202">
                  <c:v>489.94626916105909</c:v>
                </c:pt>
                <c:pt idx="203">
                  <c:v>492.09143573859171</c:v>
                </c:pt>
                <c:pt idx="204">
                  <c:v>495.4873769345827</c:v>
                </c:pt>
                <c:pt idx="205">
                  <c:v>495.25949393879529</c:v>
                </c:pt>
                <c:pt idx="206">
                  <c:v>497.61974245998113</c:v>
                </c:pt>
                <c:pt idx="207">
                  <c:v>498.49336730160428</c:v>
                </c:pt>
                <c:pt idx="208">
                  <c:v>495.35014421932777</c:v>
                </c:pt>
                <c:pt idx="209">
                  <c:v>503.47851750109697</c:v>
                </c:pt>
                <c:pt idx="210">
                  <c:v>499.47051992479146</c:v>
                </c:pt>
                <c:pt idx="211">
                  <c:v>501.12869010732891</c:v>
                </c:pt>
                <c:pt idx="212">
                  <c:v>498.56171264838036</c:v>
                </c:pt>
                <c:pt idx="213">
                  <c:v>500.1734188676557</c:v>
                </c:pt>
                <c:pt idx="214">
                  <c:v>501.5950047237647</c:v>
                </c:pt>
                <c:pt idx="215">
                  <c:v>503.24800684390834</c:v>
                </c:pt>
                <c:pt idx="216">
                  <c:v>504.62413359205857</c:v>
                </c:pt>
                <c:pt idx="217">
                  <c:v>501.39638580899361</c:v>
                </c:pt>
                <c:pt idx="218">
                  <c:v>495.54549923936486</c:v>
                </c:pt>
                <c:pt idx="219">
                  <c:v>495.47512561031715</c:v>
                </c:pt>
                <c:pt idx="220">
                  <c:v>495.06581731128961</c:v>
                </c:pt>
                <c:pt idx="221">
                  <c:v>494.27911638627603</c:v>
                </c:pt>
                <c:pt idx="222">
                  <c:v>492.69561451943088</c:v>
                </c:pt>
                <c:pt idx="223">
                  <c:v>494.22581378567918</c:v>
                </c:pt>
                <c:pt idx="224">
                  <c:v>492.62526494741491</c:v>
                </c:pt>
                <c:pt idx="225">
                  <c:v>490.22869847121109</c:v>
                </c:pt>
                <c:pt idx="226">
                  <c:v>489.67313549214822</c:v>
                </c:pt>
                <c:pt idx="227">
                  <c:v>490.14746682455331</c:v>
                </c:pt>
                <c:pt idx="228">
                  <c:v>618.21429489916795</c:v>
                </c:pt>
                <c:pt idx="229">
                  <c:v>627.02870313095627</c:v>
                </c:pt>
                <c:pt idx="230">
                  <c:v>604.41176768961168</c:v>
                </c:pt>
                <c:pt idx="231">
                  <c:v>595.54184227124608</c:v>
                </c:pt>
                <c:pt idx="232">
                  <c:v>593.56387661024155</c:v>
                </c:pt>
                <c:pt idx="233">
                  <c:v>581.62884847094813</c:v>
                </c:pt>
                <c:pt idx="234">
                  <c:v>577.82047364938092</c:v>
                </c:pt>
                <c:pt idx="235">
                  <c:v>580.13472732842513</c:v>
                </c:pt>
                <c:pt idx="236">
                  <c:v>572.25558488498552</c:v>
                </c:pt>
                <c:pt idx="237">
                  <c:v>565.70262910246822</c:v>
                </c:pt>
                <c:pt idx="238">
                  <c:v>561.70137711366976</c:v>
                </c:pt>
                <c:pt idx="239">
                  <c:v>566.07994629191273</c:v>
                </c:pt>
                <c:pt idx="240">
                  <c:v>586.92399080415953</c:v>
                </c:pt>
                <c:pt idx="241">
                  <c:v>594.74594629726437</c:v>
                </c:pt>
                <c:pt idx="242">
                  <c:v>606.6715568895869</c:v>
                </c:pt>
                <c:pt idx="243">
                  <c:v>609.50018484803343</c:v>
                </c:pt>
                <c:pt idx="244">
                  <c:v>611.67069354113039</c:v>
                </c:pt>
                <c:pt idx="245">
                  <c:v>607.61766625243592</c:v>
                </c:pt>
                <c:pt idx="246">
                  <c:v>603.3569710483506</c:v>
                </c:pt>
                <c:pt idx="247">
                  <c:v>594.72202965422207</c:v>
                </c:pt>
                <c:pt idx="248">
                  <c:v>590.99266592113975</c:v>
                </c:pt>
                <c:pt idx="249">
                  <c:v>594.82833732566678</c:v>
                </c:pt>
                <c:pt idx="250">
                  <c:v>599.79848020673182</c:v>
                </c:pt>
                <c:pt idx="251">
                  <c:v>607.94138365026322</c:v>
                </c:pt>
                <c:pt idx="252">
                  <c:v>608.44128537459437</c:v>
                </c:pt>
                <c:pt idx="253">
                  <c:v>607.45447887244086</c:v>
                </c:pt>
                <c:pt idx="254">
                  <c:v>607.30912248687196</c:v>
                </c:pt>
                <c:pt idx="255">
                  <c:v>609.02792729901716</c:v>
                </c:pt>
                <c:pt idx="256">
                  <c:v>611.51841481070551</c:v>
                </c:pt>
                <c:pt idx="257">
                  <c:v>615.19868663902321</c:v>
                </c:pt>
                <c:pt idx="258">
                  <c:v>622.29505451879368</c:v>
                </c:pt>
                <c:pt idx="259">
                  <c:v>627.21275100019864</c:v>
                </c:pt>
                <c:pt idx="260">
                  <c:v>641.66859230484215</c:v>
                </c:pt>
                <c:pt idx="261">
                  <c:v>690.7317716130492</c:v>
                </c:pt>
                <c:pt idx="262">
                  <c:v>725.38540469260306</c:v>
                </c:pt>
                <c:pt idx="263">
                  <c:v>740.13293853285904</c:v>
                </c:pt>
              </c:numCache>
            </c:numRef>
          </c:val>
          <c:smooth val="0"/>
          <c:extLst>
            <c:ext xmlns:c16="http://schemas.microsoft.com/office/drawing/2014/chart" uri="{C3380CC4-5D6E-409C-BE32-E72D297353CC}">
              <c16:uniqueId val="{00000003-8C66-4C53-B459-6627D7C52258}"/>
            </c:ext>
          </c:extLst>
        </c:ser>
        <c:dLbls>
          <c:showLegendKey val="0"/>
          <c:showVal val="0"/>
          <c:showCatName val="0"/>
          <c:showSerName val="0"/>
          <c:showPercent val="0"/>
          <c:showBubbleSize val="0"/>
        </c:dLbls>
        <c:smooth val="0"/>
        <c:axId val="769357392"/>
        <c:axId val="769358176"/>
      </c:lineChart>
      <c:catAx>
        <c:axId val="76935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69358176"/>
        <c:crosses val="autoZero"/>
        <c:auto val="1"/>
        <c:lblAlgn val="ctr"/>
        <c:lblOffset val="100"/>
        <c:noMultiLvlLbl val="0"/>
      </c:catAx>
      <c:valAx>
        <c:axId val="7693581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69357392"/>
        <c:crosses val="autoZero"/>
        <c:crossBetween val="between"/>
      </c:valAx>
      <c:spPr>
        <a:noFill/>
        <a:ln>
          <a:noFill/>
        </a:ln>
        <a:effectLst/>
      </c:spPr>
    </c:plotArea>
    <c:legend>
      <c:legendPos val="b"/>
      <c:layout>
        <c:manualLayout>
          <c:xMode val="edge"/>
          <c:yMode val="edge"/>
          <c:x val="0.22793457067866515"/>
          <c:y val="0.71007570585468727"/>
          <c:w val="0.7256193297381236"/>
          <c:h val="0.1112600950951884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'Centralna država-ek klas'!$C$4:$C$5</c:f>
              <c:strCache>
                <c:ptCount val="2"/>
                <c:pt idx="0">
                  <c:v>2024</c:v>
                </c:pt>
              </c:strCache>
            </c:strRef>
          </c:tx>
          <c:spPr>
            <a:solidFill>
              <a:schemeClr val="accent1"/>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klas'!$C$6:$C$15</c:f>
              <c:numCache>
                <c:formatCode>0.0,,</c:formatCode>
                <c:ptCount val="5"/>
                <c:pt idx="0">
                  <c:v>88155346.220000014</c:v>
                </c:pt>
                <c:pt idx="1">
                  <c:v>213967876.99999997</c:v>
                </c:pt>
                <c:pt idx="2">
                  <c:v>1222596931.1700001</c:v>
                </c:pt>
                <c:pt idx="3">
                  <c:v>368589654.71000004</c:v>
                </c:pt>
                <c:pt idx="4">
                  <c:v>584706543.50999999</c:v>
                </c:pt>
              </c:numCache>
            </c:numRef>
          </c:val>
          <c:extLst>
            <c:ext xmlns:c16="http://schemas.microsoft.com/office/drawing/2014/chart" uri="{C3380CC4-5D6E-409C-BE32-E72D297353CC}">
              <c16:uniqueId val="{00000000-2292-4C41-80C2-DEC506892F67}"/>
            </c:ext>
          </c:extLst>
        </c:ser>
        <c:ser>
          <c:idx val="1"/>
          <c:order val="1"/>
          <c:tx>
            <c:strRef>
              <c:f>'Centralna država-ek klas'!$D$4:$D$5</c:f>
              <c:strCache>
                <c:ptCount val="2"/>
                <c:pt idx="0">
                  <c:v>2024</c:v>
                </c:pt>
              </c:strCache>
            </c:strRef>
          </c:tx>
          <c:spPr>
            <a:solidFill>
              <a:schemeClr val="accent2"/>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klas'!$D$6:$D$15</c:f>
            </c:numRef>
          </c:val>
          <c:extLst>
            <c:ext xmlns:c16="http://schemas.microsoft.com/office/drawing/2014/chart" uri="{C3380CC4-5D6E-409C-BE32-E72D297353CC}">
              <c16:uniqueId val="{00000001-2292-4C41-80C2-DEC506892F67}"/>
            </c:ext>
          </c:extLst>
        </c:ser>
        <c:ser>
          <c:idx val="2"/>
          <c:order val="2"/>
          <c:tx>
            <c:strRef>
              <c:f>'Centralna država-ek klas'!$E$4:$E$5</c:f>
              <c:strCache>
                <c:ptCount val="2"/>
                <c:pt idx="0">
                  <c:v>Plan 2024</c:v>
                </c:pt>
              </c:strCache>
            </c:strRef>
          </c:tx>
          <c:spPr>
            <a:solidFill>
              <a:schemeClr val="accent3"/>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klas'!$E$6:$E$15</c:f>
              <c:numCache>
                <c:formatCode>0.0,,</c:formatCode>
                <c:ptCount val="5"/>
                <c:pt idx="0">
                  <c:v>86618274.290376037</c:v>
                </c:pt>
                <c:pt idx="1">
                  <c:v>205651056.08000001</c:v>
                </c:pt>
                <c:pt idx="2">
                  <c:v>1199632448.2900002</c:v>
                </c:pt>
                <c:pt idx="3">
                  <c:v>365800000.00000006</c:v>
                </c:pt>
                <c:pt idx="4">
                  <c:v>585399047.94999993</c:v>
                </c:pt>
              </c:numCache>
            </c:numRef>
          </c:val>
          <c:extLst>
            <c:ext xmlns:c16="http://schemas.microsoft.com/office/drawing/2014/chart" uri="{C3380CC4-5D6E-409C-BE32-E72D297353CC}">
              <c16:uniqueId val="{00000002-2292-4C41-80C2-DEC506892F67}"/>
            </c:ext>
          </c:extLst>
        </c:ser>
        <c:ser>
          <c:idx val="3"/>
          <c:order val="3"/>
          <c:tx>
            <c:strRef>
              <c:f>'Centralna država-ek klas'!$F$4:$F$5</c:f>
              <c:strCache>
                <c:ptCount val="2"/>
                <c:pt idx="0">
                  <c:v>Plan 2024</c:v>
                </c:pt>
              </c:strCache>
            </c:strRef>
          </c:tx>
          <c:spPr>
            <a:solidFill>
              <a:schemeClr val="accent4"/>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klas'!$F$6:$F$15</c:f>
            </c:numRef>
          </c:val>
          <c:extLst>
            <c:ext xmlns:c16="http://schemas.microsoft.com/office/drawing/2014/chart" uri="{C3380CC4-5D6E-409C-BE32-E72D297353CC}">
              <c16:uniqueId val="{00000003-2292-4C41-80C2-DEC506892F67}"/>
            </c:ext>
          </c:extLst>
        </c:ser>
        <c:ser>
          <c:idx val="4"/>
          <c:order val="4"/>
          <c:tx>
            <c:strRef>
              <c:f>'Centralna država-ek klas'!$G$4:$G$5</c:f>
              <c:strCache>
                <c:ptCount val="2"/>
                <c:pt idx="0">
                  <c:v>Odstupanje/Deviations</c:v>
                </c:pt>
              </c:strCache>
            </c:strRef>
          </c:tx>
          <c:spPr>
            <a:solidFill>
              <a:schemeClr val="accent5"/>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klas'!$G$6:$G$15</c:f>
            </c:numRef>
          </c:val>
          <c:extLst>
            <c:ext xmlns:c16="http://schemas.microsoft.com/office/drawing/2014/chart" uri="{C3380CC4-5D6E-409C-BE32-E72D297353CC}">
              <c16:uniqueId val="{00000004-2292-4C41-80C2-DEC506892F67}"/>
            </c:ext>
          </c:extLst>
        </c:ser>
        <c:ser>
          <c:idx val="5"/>
          <c:order val="5"/>
          <c:tx>
            <c:strRef>
              <c:f>'Centralna država-ek klas'!$H$4:$H$5</c:f>
              <c:strCache>
                <c:ptCount val="2"/>
                <c:pt idx="0">
                  <c:v>Odstupanje/Deviations</c:v>
                </c:pt>
              </c:strCache>
            </c:strRef>
          </c:tx>
          <c:spPr>
            <a:solidFill>
              <a:schemeClr val="accent6"/>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klas'!$H$6:$H$15</c:f>
            </c:numRef>
          </c:val>
          <c:extLst>
            <c:ext xmlns:c16="http://schemas.microsoft.com/office/drawing/2014/chart" uri="{C3380CC4-5D6E-409C-BE32-E72D297353CC}">
              <c16:uniqueId val="{00000005-2292-4C41-80C2-DEC506892F67}"/>
            </c:ext>
          </c:extLst>
        </c:ser>
        <c:ser>
          <c:idx val="6"/>
          <c:order val="6"/>
          <c:tx>
            <c:strRef>
              <c:f>'Centralna država-ek klas'!$I$4:$I$5</c:f>
              <c:strCache>
                <c:ptCount val="2"/>
                <c:pt idx="0">
                  <c:v>2023</c:v>
                </c:pt>
              </c:strCache>
            </c:strRef>
          </c:tx>
          <c:spPr>
            <a:solidFill>
              <a:schemeClr val="accent1">
                <a:lumMod val="60000"/>
              </a:schemeClr>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klas'!$I$6:$I$15</c:f>
              <c:numCache>
                <c:formatCode>0.0,,</c:formatCode>
                <c:ptCount val="5"/>
                <c:pt idx="0">
                  <c:v>66411591</c:v>
                </c:pt>
                <c:pt idx="1">
                  <c:v>151284476.47</c:v>
                </c:pt>
                <c:pt idx="2">
                  <c:v>1059267077.4700001</c:v>
                </c:pt>
                <c:pt idx="3">
                  <c:v>323121644.95999998</c:v>
                </c:pt>
                <c:pt idx="4">
                  <c:v>575730590.25</c:v>
                </c:pt>
              </c:numCache>
            </c:numRef>
          </c:val>
          <c:extLst>
            <c:ext xmlns:c16="http://schemas.microsoft.com/office/drawing/2014/chart" uri="{C3380CC4-5D6E-409C-BE32-E72D297353CC}">
              <c16:uniqueId val="{00000006-2292-4C41-80C2-DEC506892F67}"/>
            </c:ext>
          </c:extLst>
        </c:ser>
        <c:ser>
          <c:idx val="7"/>
          <c:order val="7"/>
          <c:tx>
            <c:strRef>
              <c:f>'Centralna država-ek klas'!$J$4:$J$5</c:f>
              <c:strCache>
                <c:ptCount val="2"/>
                <c:pt idx="0">
                  <c:v>2023</c:v>
                </c:pt>
                <c:pt idx="1">
                  <c:v>% BDP</c:v>
                </c:pt>
              </c:strCache>
            </c:strRef>
          </c:tx>
          <c:spPr>
            <a:solidFill>
              <a:schemeClr val="accent2">
                <a:lumMod val="60000"/>
              </a:schemeClr>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klas'!$J$6:$J$15</c:f>
            </c:numRef>
          </c:val>
          <c:extLst>
            <c:ext xmlns:c16="http://schemas.microsoft.com/office/drawing/2014/chart" uri="{C3380CC4-5D6E-409C-BE32-E72D297353CC}">
              <c16:uniqueId val="{00000007-2292-4C41-80C2-DEC506892F67}"/>
            </c:ext>
          </c:extLst>
        </c:ser>
        <c:dLbls>
          <c:showLegendKey val="0"/>
          <c:showVal val="0"/>
          <c:showCatName val="0"/>
          <c:showSerName val="0"/>
          <c:showPercent val="0"/>
          <c:showBubbleSize val="0"/>
        </c:dLbls>
        <c:gapWidth val="219"/>
        <c:overlap val="-27"/>
        <c:axId val="619775600"/>
        <c:axId val="849719488"/>
      </c:barChart>
      <c:catAx>
        <c:axId val="61977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719488"/>
        <c:crosses val="autoZero"/>
        <c:auto val="1"/>
        <c:lblAlgn val="ctr"/>
        <c:lblOffset val="100"/>
        <c:noMultiLvlLbl val="0"/>
      </c:catAx>
      <c:valAx>
        <c:axId val="84971948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77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820009263547939"/>
          <c:y val="5.3921568627450983E-2"/>
          <c:w val="0.77006879042080523"/>
          <c:h val="0.65557522123893808"/>
        </c:manualLayout>
      </c:layout>
      <c:barChart>
        <c:barDir val="col"/>
        <c:grouping val="clustered"/>
        <c:varyColors val="0"/>
        <c:ser>
          <c:idx val="1"/>
          <c:order val="1"/>
          <c:tx>
            <c:strRef>
              <c:f>Sheet1!$A$45</c:f>
              <c:strCache>
                <c:ptCount val="1"/>
                <c:pt idx="0">
                  <c:v>Bruto javni dug kao % BDP-a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Sheet1!$B$45:$C$45</c:f>
              <c:numCache>
                <c:formatCode>0.00%</c:formatCode>
                <c:ptCount val="2"/>
                <c:pt idx="0">
                  <c:v>0.60270712357896461</c:v>
                </c:pt>
                <c:pt idx="1">
                  <c:v>0.61317936380082971</c:v>
                </c:pt>
              </c:numCache>
            </c:numRef>
          </c:val>
          <c:extLst>
            <c:ext xmlns:c16="http://schemas.microsoft.com/office/drawing/2014/chart" uri="{C3380CC4-5D6E-409C-BE32-E72D297353CC}">
              <c16:uniqueId val="{00000000-294D-4FF2-8575-7DF2E7F4E1D4}"/>
            </c:ext>
          </c:extLst>
        </c:ser>
        <c:ser>
          <c:idx val="2"/>
          <c:order val="2"/>
          <c:tx>
            <c:strRef>
              <c:f>Sheet1!$A$49</c:f>
              <c:strCache>
                <c:ptCount val="1"/>
                <c:pt idx="0">
                  <c:v>Neto javni dug kao % BDP-a</c:v>
                </c:pt>
              </c:strCache>
            </c:strRef>
          </c:tx>
          <c:spPr>
            <a:solidFill>
              <a:schemeClr val="accent1">
                <a:tint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Sheet1!$B$49:$C$49</c:f>
              <c:numCache>
                <c:formatCode>0.00%</c:formatCode>
                <c:ptCount val="2"/>
                <c:pt idx="0">
                  <c:v>0.58044813001670781</c:v>
                </c:pt>
                <c:pt idx="1">
                  <c:v>0.5615172919460355</c:v>
                </c:pt>
              </c:numCache>
            </c:numRef>
          </c:val>
          <c:extLst>
            <c:ext xmlns:c16="http://schemas.microsoft.com/office/drawing/2014/chart" uri="{C3380CC4-5D6E-409C-BE32-E72D297353CC}">
              <c16:uniqueId val="{00000001-294D-4FF2-8575-7DF2E7F4E1D4}"/>
            </c:ext>
          </c:extLst>
        </c:ser>
        <c:dLbls>
          <c:dLblPos val="inEnd"/>
          <c:showLegendKey val="0"/>
          <c:showVal val="1"/>
          <c:showCatName val="0"/>
          <c:showSerName val="0"/>
          <c:showPercent val="0"/>
          <c:showBubbleSize val="0"/>
        </c:dLbls>
        <c:gapWidth val="65"/>
        <c:axId val="133919104"/>
        <c:axId val="133920640"/>
        <c:extLst>
          <c:ext xmlns:c15="http://schemas.microsoft.com/office/drawing/2012/chart" uri="{02D57815-91ED-43cb-92C2-25804820EDAC}">
            <c15:filteredBarSeries>
              <c15:ser>
                <c:idx val="0"/>
                <c:order val="0"/>
                <c:tx>
                  <c:strRef>
                    <c:extLst>
                      <c:ext uri="{02D57815-91ED-43cb-92C2-25804820EDAC}">
                        <c15:formulaRef>
                          <c15:sqref>Sheet1!$A$41</c15:sqref>
                        </c15:formulaRef>
                      </c:ext>
                    </c:extLst>
                    <c:strCache>
                      <c:ptCount val="1"/>
                      <c:pt idx="0">
                        <c:v>0,0%</c:v>
                      </c:pt>
                    </c:strCache>
                  </c:strRef>
                </c:tx>
                <c:spPr>
                  <a:solidFill>
                    <a:schemeClr val="accent1">
                      <a:shade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Sheet1!$B$41:$C$41</c15:sqref>
                        </c15:formulaRef>
                      </c:ext>
                    </c:extLst>
                    <c:numCache>
                      <c:formatCode>General</c:formatCode>
                      <c:ptCount val="2"/>
                      <c:pt idx="0">
                        <c:v>2023</c:v>
                      </c:pt>
                      <c:pt idx="1">
                        <c:v>2024</c:v>
                      </c:pt>
                    </c:numCache>
                  </c:numRef>
                </c:cat>
                <c:val>
                  <c:numRef>
                    <c:extLst>
                      <c:ext uri="{02D57815-91ED-43cb-92C2-25804820EDAC}">
                        <c15:formulaRef>
                          <c15:sqref>Sheet1!$B$41:$C$41</c15:sqref>
                        </c15:formulaRef>
                      </c:ext>
                    </c:extLst>
                    <c:numCache>
                      <c:formatCode>General</c:formatCode>
                      <c:ptCount val="2"/>
                      <c:pt idx="0">
                        <c:v>2023</c:v>
                      </c:pt>
                      <c:pt idx="1">
                        <c:v>2024</c:v>
                      </c:pt>
                    </c:numCache>
                  </c:numRef>
                </c:val>
                <c:extLst>
                  <c:ext xmlns:c16="http://schemas.microsoft.com/office/drawing/2014/chart" uri="{C3380CC4-5D6E-409C-BE32-E72D297353CC}">
                    <c16:uniqueId val="{00000002-294D-4FF2-8575-7DF2E7F4E1D4}"/>
                  </c:ext>
                </c:extLst>
              </c15:ser>
            </c15:filteredBarSeries>
          </c:ext>
        </c:extLst>
      </c:barChart>
      <c:catAx>
        <c:axId val="133919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3920640"/>
        <c:crosses val="autoZero"/>
        <c:auto val="1"/>
        <c:lblAlgn val="ctr"/>
        <c:lblOffset val="100"/>
        <c:noMultiLvlLbl val="0"/>
      </c:catAx>
      <c:valAx>
        <c:axId val="133920640"/>
        <c:scaling>
          <c:orientation val="minMax"/>
          <c:max val="0.70000000000000007"/>
          <c:min val="0.30000000000000004"/>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0"/>
        <c:majorTickMark val="none"/>
        <c:minorTickMark val="none"/>
        <c:tickLblPos val="nextTo"/>
        <c:crossAx val="133919104"/>
        <c:crosses val="autoZero"/>
        <c:crossBetween val="between"/>
        <c:majorUnit val="0.2"/>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Sheet1!$B$4</c:f>
              <c:strCache>
                <c:ptCount val="1"/>
                <c:pt idx="0">
                  <c:v>Ukupno stanovništvo</c:v>
                </c:pt>
              </c:strCache>
            </c:strRef>
          </c:tx>
          <c:spPr>
            <a:ln w="28575" cap="rnd">
              <a:solidFill>
                <a:schemeClr val="accent1"/>
              </a:solidFill>
              <a:round/>
            </a:ln>
            <a:effectLst/>
          </c:spPr>
          <c:marker>
            <c:symbol val="none"/>
          </c:marker>
          <c:dLbls>
            <c:dLbl>
              <c:idx val="0"/>
              <c:layout>
                <c:manualLayout>
                  <c:x val="-4.2209807572936089E-2"/>
                  <c:y val="7.3081607795371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97-458D-AC0B-8B466B7770FA}"/>
                </c:ext>
              </c:extLst>
            </c:dLbl>
            <c:dLbl>
              <c:idx val="1"/>
              <c:layout>
                <c:manualLayout>
                  <c:x val="-5.9590316573556797E-2"/>
                  <c:y val="-5.2781161185546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97-458D-AC0B-8B466B7770FA}"/>
                </c:ext>
              </c:extLst>
            </c:dLbl>
            <c:dLbl>
              <c:idx val="2"/>
              <c:layout>
                <c:manualLayout>
                  <c:x val="-4.4692737430167599E-2"/>
                  <c:y val="7.30816077953714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97-458D-AC0B-8B466B7770FA}"/>
                </c:ext>
              </c:extLst>
            </c:dLbl>
            <c:dLbl>
              <c:idx val="3"/>
              <c:layout>
                <c:manualLayout>
                  <c:x val="-6.2073246430788327E-2"/>
                  <c:y val="-8.1201786439301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97-458D-AC0B-8B466B7770FA}"/>
                </c:ext>
              </c:extLst>
            </c:dLbl>
            <c:dLbl>
              <c:idx val="4"/>
              <c:layout>
                <c:manualLayout>
                  <c:x val="-3.9726877715704531E-2"/>
                  <c:y val="0.105562322371092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97-458D-AC0B-8B466B7770FA}"/>
                </c:ext>
              </c:extLst>
            </c:dLbl>
            <c:dLbl>
              <c:idx val="5"/>
              <c:layout>
                <c:manualLayout>
                  <c:x val="-1.4897579143389199E-2"/>
                  <c:y val="0.105562322371092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97-458D-AC0B-8B466B7770FA}"/>
                </c:ext>
              </c:extLst>
            </c:dLbl>
            <c:dLbl>
              <c:idx val="6"/>
              <c:layout>
                <c:manualLayout>
                  <c:x val="4.9658597144630664E-3"/>
                  <c:y val="-8.5261875761266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97-458D-AC0B-8B466B7770FA}"/>
                </c:ext>
              </c:extLst>
            </c:dLbl>
            <c:dLbl>
              <c:idx val="7"/>
              <c:layout>
                <c:manualLayout>
                  <c:x val="-7.4487895716946907E-3"/>
                  <c:y val="-5.6841250507511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B97-458D-AC0B-8B466B7770FA}"/>
                </c:ext>
              </c:extLst>
            </c:dLbl>
            <c:dLbl>
              <c:idx val="8"/>
              <c:layout>
                <c:manualLayout>
                  <c:x val="-4.9658597144631575E-3"/>
                  <c:y val="-7.3081607795371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B97-458D-AC0B-8B466B7770FA}"/>
                </c:ext>
              </c:extLst>
            </c:dLbl>
            <c:dLbl>
              <c:idx val="9"/>
              <c:layout>
                <c:manualLayout>
                  <c:x val="-4.9658597144630664E-3"/>
                  <c:y val="-0.1136825010150223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B97-458D-AC0B-8B466B7770FA}"/>
                </c:ext>
              </c:extLst>
            </c:dLbl>
            <c:dLbl>
              <c:idx val="10"/>
              <c:layout>
                <c:manualLayout>
                  <c:x val="-1.8207941946665464E-16"/>
                  <c:y val="-8.5261875761266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B97-458D-AC0B-8B466B777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Sheet1!$C$3:$M$3</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Sheet1!$C$4:$M$4</c:f>
              <c:numCache>
                <c:formatCode>_(* #,##0_);_(* \(#,##0\);_(* "-"??_);_(@_)</c:formatCode>
                <c:ptCount val="11"/>
                <c:pt idx="0">
                  <c:v>620893</c:v>
                </c:pt>
                <c:pt idx="1">
                  <c:v>621521</c:v>
                </c:pt>
                <c:pt idx="2">
                  <c:v>622099</c:v>
                </c:pt>
                <c:pt idx="3">
                  <c:v>622218</c:v>
                </c:pt>
                <c:pt idx="4">
                  <c:v>622387</c:v>
                </c:pt>
                <c:pt idx="5">
                  <c:v>622359</c:v>
                </c:pt>
                <c:pt idx="6">
                  <c:v>622182</c:v>
                </c:pt>
                <c:pt idx="7">
                  <c:v>621873</c:v>
                </c:pt>
                <c:pt idx="8">
                  <c:v>620739</c:v>
                </c:pt>
                <c:pt idx="9">
                  <c:v>617683</c:v>
                </c:pt>
                <c:pt idx="10">
                  <c:v>616695</c:v>
                </c:pt>
              </c:numCache>
            </c:numRef>
          </c:val>
          <c:smooth val="0"/>
          <c:extLst>
            <c:ext xmlns:c16="http://schemas.microsoft.com/office/drawing/2014/chart" uri="{C3380CC4-5D6E-409C-BE32-E72D297353CC}">
              <c16:uniqueId val="{0000000B-CB97-458D-AC0B-8B466B7770FA}"/>
            </c:ext>
          </c:extLst>
        </c:ser>
        <c:dLbls>
          <c:showLegendKey val="0"/>
          <c:showVal val="0"/>
          <c:showCatName val="0"/>
          <c:showSerName val="0"/>
          <c:showPercent val="0"/>
          <c:showBubbleSize val="0"/>
        </c:dLbls>
        <c:smooth val="0"/>
        <c:axId val="626204112"/>
        <c:axId val="626206408"/>
      </c:lineChart>
      <c:catAx>
        <c:axId val="62620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06408"/>
        <c:crosses val="autoZero"/>
        <c:auto val="1"/>
        <c:lblAlgn val="ctr"/>
        <c:lblOffset val="100"/>
        <c:noMultiLvlLbl val="0"/>
      </c:catAx>
      <c:valAx>
        <c:axId val="6262064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04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Sheet1!$B$31</c:f>
              <c:strCache>
                <c:ptCount val="1"/>
                <c:pt idx="0">
                  <c:v>Stopa nataliteta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Sheet1!$C$30:$L$30</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Sheet1!$C$31:$L$31</c:f>
              <c:numCache>
                <c:formatCode>_(* #,##0.0_);_(* \(#,##0.0\);_(* "-"??_);_(@_)</c:formatCode>
                <c:ptCount val="10"/>
                <c:pt idx="0">
                  <c:v>12</c:v>
                </c:pt>
                <c:pt idx="1">
                  <c:v>12.1</c:v>
                </c:pt>
                <c:pt idx="2">
                  <c:v>11.9</c:v>
                </c:pt>
                <c:pt idx="3">
                  <c:v>12.2</c:v>
                </c:pt>
                <c:pt idx="4">
                  <c:v>11.9</c:v>
                </c:pt>
                <c:pt idx="5">
                  <c:v>11.7</c:v>
                </c:pt>
                <c:pt idx="6">
                  <c:v>11.612017465451716</c:v>
                </c:pt>
                <c:pt idx="7">
                  <c:v>11.4</c:v>
                </c:pt>
                <c:pt idx="8">
                  <c:v>11.4</c:v>
                </c:pt>
                <c:pt idx="9" formatCode="General">
                  <c:v>11.4</c:v>
                </c:pt>
              </c:numCache>
            </c:numRef>
          </c:val>
          <c:extLst>
            <c:ext xmlns:c16="http://schemas.microsoft.com/office/drawing/2014/chart" uri="{C3380CC4-5D6E-409C-BE32-E72D297353CC}">
              <c16:uniqueId val="{00000000-2390-437C-870D-9D2800605D3B}"/>
            </c:ext>
          </c:extLst>
        </c:ser>
        <c:ser>
          <c:idx val="1"/>
          <c:order val="1"/>
          <c:tx>
            <c:strRef>
              <c:f>Sheet1!$B$32</c:f>
              <c:strCache>
                <c:ptCount val="1"/>
                <c:pt idx="0">
                  <c:v>Stopa mortaliteta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Sheet1!$C$30:$L$30</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Sheet1!$C$32:$L$32</c:f>
              <c:numCache>
                <c:formatCode>_(* #,##0.0_);_(* \(#,##0.0\);_(* "-"??_);_(@_)</c:formatCode>
                <c:ptCount val="10"/>
                <c:pt idx="0">
                  <c:v>9.5</c:v>
                </c:pt>
                <c:pt idx="1">
                  <c:v>9.6999999999999993</c:v>
                </c:pt>
                <c:pt idx="2">
                  <c:v>10.199999999999999</c:v>
                </c:pt>
                <c:pt idx="3">
                  <c:v>10.4</c:v>
                </c:pt>
                <c:pt idx="4">
                  <c:v>10.5</c:v>
                </c:pt>
                <c:pt idx="5">
                  <c:v>10.5</c:v>
                </c:pt>
                <c:pt idx="6">
                  <c:v>10.602416611470867</c:v>
                </c:pt>
                <c:pt idx="7">
                  <c:v>11.7</c:v>
                </c:pt>
                <c:pt idx="8">
                  <c:v>14.8</c:v>
                </c:pt>
                <c:pt idx="9" formatCode="General">
                  <c:v>11.5</c:v>
                </c:pt>
              </c:numCache>
            </c:numRef>
          </c:val>
          <c:extLst>
            <c:ext xmlns:c16="http://schemas.microsoft.com/office/drawing/2014/chart" uri="{C3380CC4-5D6E-409C-BE32-E72D297353CC}">
              <c16:uniqueId val="{00000001-2390-437C-870D-9D2800605D3B}"/>
            </c:ext>
          </c:extLst>
        </c:ser>
        <c:ser>
          <c:idx val="2"/>
          <c:order val="2"/>
          <c:tx>
            <c:strRef>
              <c:f>Sheet1!$B$33</c:f>
              <c:strCache>
                <c:ptCount val="1"/>
                <c:pt idx="0">
                  <c:v>Stopa prirodnog priraštaja</c:v>
                </c:pt>
              </c:strCache>
            </c:strRef>
          </c:tx>
          <c:spPr>
            <a:solidFill>
              <a:schemeClr val="accent5"/>
            </a:solidFill>
            <a:ln>
              <a:noFill/>
            </a:ln>
            <a:effectLst/>
          </c:spPr>
          <c:invertIfNegative val="0"/>
          <c:dLbls>
            <c:dLbl>
              <c:idx val="7"/>
              <c:tx>
                <c:rich>
                  <a:bodyPr/>
                  <a:lstStyle/>
                  <a:p>
                    <a:r>
                      <a:rPr lang="en-US"/>
                      <a:t>-0.3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90-437C-870D-9D2800605D3B}"/>
                </c:ext>
              </c:extLst>
            </c:dLbl>
            <c:dLbl>
              <c:idx val="8"/>
              <c:tx>
                <c:rich>
                  <a:bodyPr/>
                  <a:lstStyle/>
                  <a:p>
                    <a:r>
                      <a:rPr lang="en-US"/>
                      <a:t>-3.4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90-437C-870D-9D2800605D3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Sheet1!$C$30:$L$30</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Sheet1!$C$33:$L$33</c:f>
              <c:numCache>
                <c:formatCode>_(* #,##0.0_);_(* \(#,##0.0\);_(* "-"??_);_(@_)</c:formatCode>
                <c:ptCount val="10"/>
                <c:pt idx="0">
                  <c:v>2.5</c:v>
                </c:pt>
                <c:pt idx="1">
                  <c:v>2.4</c:v>
                </c:pt>
                <c:pt idx="2">
                  <c:v>1.7</c:v>
                </c:pt>
                <c:pt idx="3">
                  <c:v>1.8</c:v>
                </c:pt>
                <c:pt idx="4">
                  <c:v>1.4</c:v>
                </c:pt>
                <c:pt idx="5">
                  <c:v>1.2</c:v>
                </c:pt>
                <c:pt idx="6">
                  <c:v>1.0096008539808499</c:v>
                </c:pt>
                <c:pt idx="7">
                  <c:v>-0.3</c:v>
                </c:pt>
                <c:pt idx="8">
                  <c:v>-3.4</c:v>
                </c:pt>
                <c:pt idx="9" formatCode="General">
                  <c:v>-0.1</c:v>
                </c:pt>
              </c:numCache>
            </c:numRef>
          </c:val>
          <c:extLst>
            <c:ext xmlns:c16="http://schemas.microsoft.com/office/drawing/2014/chart" uri="{C3380CC4-5D6E-409C-BE32-E72D297353CC}">
              <c16:uniqueId val="{00000004-2390-437C-870D-9D2800605D3B}"/>
            </c:ext>
          </c:extLst>
        </c:ser>
        <c:dLbls>
          <c:dLblPos val="outEnd"/>
          <c:showLegendKey val="0"/>
          <c:showVal val="1"/>
          <c:showCatName val="0"/>
          <c:showSerName val="0"/>
          <c:showPercent val="0"/>
          <c:showBubbleSize val="0"/>
        </c:dLbls>
        <c:gapWidth val="444"/>
        <c:overlap val="-90"/>
        <c:axId val="649836072"/>
        <c:axId val="649831808"/>
      </c:barChart>
      <c:catAx>
        <c:axId val="649836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9831808"/>
        <c:crosses val="autoZero"/>
        <c:auto val="1"/>
        <c:lblAlgn val="ctr"/>
        <c:lblOffset val="100"/>
        <c:noMultiLvlLbl val="0"/>
      </c:catAx>
      <c:valAx>
        <c:axId val="649831808"/>
        <c:scaling>
          <c:orientation val="minMax"/>
        </c:scaling>
        <c:delete val="1"/>
        <c:axPos val="l"/>
        <c:numFmt formatCode="_(* #,##0.0_);_(* \(#,##0.0\);_(* &quot;-&quot;??_);_(@_)" sourceLinked="1"/>
        <c:majorTickMark val="none"/>
        <c:minorTickMark val="none"/>
        <c:tickLblPos val="nextTo"/>
        <c:crossAx val="649836072"/>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Sheet1!$B$67</c:f>
              <c:strCache>
                <c:ptCount val="1"/>
                <c:pt idx="0">
                  <c:v>svega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Sheet1!$C$67:$L$67</c:f>
              <c:numCache>
                <c:formatCode>_(* #,##0.0_);_(* \(#,##0.0\);_(* "-"??_);_(@_)</c:formatCode>
                <c:ptCount val="10"/>
                <c:pt idx="0">
                  <c:v>76.599999999999994</c:v>
                </c:pt>
                <c:pt idx="1">
                  <c:v>76.400000000000006</c:v>
                </c:pt>
                <c:pt idx="2">
                  <c:v>76.5</c:v>
                </c:pt>
                <c:pt idx="3">
                  <c:v>76.599999999999994</c:v>
                </c:pt>
                <c:pt idx="4">
                  <c:v>76.7</c:v>
                </c:pt>
                <c:pt idx="5">
                  <c:v>77</c:v>
                </c:pt>
                <c:pt idx="6">
                  <c:v>76.7</c:v>
                </c:pt>
                <c:pt idx="7">
                  <c:v>75.900000000000006</c:v>
                </c:pt>
                <c:pt idx="8">
                  <c:v>73.8</c:v>
                </c:pt>
                <c:pt idx="9">
                  <c:v>76.2</c:v>
                </c:pt>
              </c:numCache>
            </c:numRef>
          </c:val>
          <c:smooth val="0"/>
          <c:extLst>
            <c:ext xmlns:c16="http://schemas.microsoft.com/office/drawing/2014/chart" uri="{C3380CC4-5D6E-409C-BE32-E72D297353CC}">
              <c16:uniqueId val="{00000000-412F-4215-9D0E-A1336DD6AE05}"/>
            </c:ext>
          </c:extLst>
        </c:ser>
        <c:ser>
          <c:idx val="1"/>
          <c:order val="1"/>
          <c:tx>
            <c:strRef>
              <c:f>Sheet1!$B$68</c:f>
              <c:strCache>
                <c:ptCount val="1"/>
                <c:pt idx="0">
                  <c:v>Muški</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Sheet1!$C$68:$L$68</c:f>
              <c:numCache>
                <c:formatCode>_(* #,##0.0_);_(* \(#,##0.0\);_(* "-"??_);_(@_)</c:formatCode>
                <c:ptCount val="10"/>
                <c:pt idx="0">
                  <c:v>74.099999999999994</c:v>
                </c:pt>
                <c:pt idx="1">
                  <c:v>73.900000000000006</c:v>
                </c:pt>
                <c:pt idx="2">
                  <c:v>74.7</c:v>
                </c:pt>
                <c:pt idx="3">
                  <c:v>74.2</c:v>
                </c:pt>
                <c:pt idx="4">
                  <c:v>74.099999999999994</c:v>
                </c:pt>
                <c:pt idx="5">
                  <c:v>75.3</c:v>
                </c:pt>
                <c:pt idx="6">
                  <c:v>74</c:v>
                </c:pt>
                <c:pt idx="7">
                  <c:v>73.2</c:v>
                </c:pt>
                <c:pt idx="8">
                  <c:v>70.8</c:v>
                </c:pt>
                <c:pt idx="9">
                  <c:v>73.7</c:v>
                </c:pt>
              </c:numCache>
            </c:numRef>
          </c:val>
          <c:smooth val="0"/>
          <c:extLst>
            <c:ext xmlns:c16="http://schemas.microsoft.com/office/drawing/2014/chart" uri="{C3380CC4-5D6E-409C-BE32-E72D297353CC}">
              <c16:uniqueId val="{00000001-412F-4215-9D0E-A1336DD6AE05}"/>
            </c:ext>
          </c:extLst>
        </c:ser>
        <c:ser>
          <c:idx val="2"/>
          <c:order val="2"/>
          <c:tx>
            <c:strRef>
              <c:f>Sheet1!$B$69</c:f>
              <c:strCache>
                <c:ptCount val="1"/>
                <c:pt idx="0">
                  <c:v>Ženski</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Sheet1!$C$69:$L$69</c:f>
              <c:numCache>
                <c:formatCode>_(* #,##0.0_);_(* \(#,##0.0\);_(* "-"??_);_(@_)</c:formatCode>
                <c:ptCount val="10"/>
                <c:pt idx="0">
                  <c:v>79</c:v>
                </c:pt>
                <c:pt idx="1">
                  <c:v>78.900000000000006</c:v>
                </c:pt>
                <c:pt idx="2">
                  <c:v>78.599999999999994</c:v>
                </c:pt>
                <c:pt idx="3">
                  <c:v>79</c:v>
                </c:pt>
                <c:pt idx="4">
                  <c:v>79.400000000000006</c:v>
                </c:pt>
                <c:pt idx="5">
                  <c:v>80.599999999999994</c:v>
                </c:pt>
                <c:pt idx="6">
                  <c:v>79.5</c:v>
                </c:pt>
                <c:pt idx="7">
                  <c:v>78.8</c:v>
                </c:pt>
                <c:pt idx="8">
                  <c:v>77</c:v>
                </c:pt>
                <c:pt idx="9">
                  <c:v>78.8</c:v>
                </c:pt>
              </c:numCache>
            </c:numRef>
          </c:val>
          <c:smooth val="0"/>
          <c:extLst>
            <c:ext xmlns:c16="http://schemas.microsoft.com/office/drawing/2014/chart" uri="{C3380CC4-5D6E-409C-BE32-E72D297353CC}">
              <c16:uniqueId val="{00000002-412F-4215-9D0E-A1336DD6AE05}"/>
            </c:ext>
          </c:extLst>
        </c:ser>
        <c:dLbls>
          <c:showLegendKey val="0"/>
          <c:showVal val="0"/>
          <c:showCatName val="0"/>
          <c:showSerName val="0"/>
          <c:showPercent val="0"/>
          <c:showBubbleSize val="0"/>
        </c:dLbls>
        <c:smooth val="0"/>
        <c:axId val="444157384"/>
        <c:axId val="444151152"/>
      </c:lineChart>
      <c:catAx>
        <c:axId val="444157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4151152"/>
        <c:crosses val="autoZero"/>
        <c:auto val="1"/>
        <c:lblAlgn val="ctr"/>
        <c:lblOffset val="100"/>
        <c:noMultiLvlLbl val="0"/>
      </c:catAx>
      <c:valAx>
        <c:axId val="444151152"/>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4157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Sheet1!$C$224</c:f>
              <c:strCache>
                <c:ptCount val="1"/>
                <c:pt idx="0">
                  <c:v>ukupno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Sheet1!$D$223:$N$223</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Sheet1!$D$224:$N$224</c:f>
              <c:numCache>
                <c:formatCode>General</c:formatCode>
                <c:ptCount val="11"/>
                <c:pt idx="0">
                  <c:v>4374</c:v>
                </c:pt>
                <c:pt idx="1">
                  <c:v>4202</c:v>
                </c:pt>
                <c:pt idx="2">
                  <c:v>4325</c:v>
                </c:pt>
                <c:pt idx="3">
                  <c:v>5162</c:v>
                </c:pt>
                <c:pt idx="4">
                  <c:v>5237</c:v>
                </c:pt>
                <c:pt idx="5">
                  <c:v>6631</c:v>
                </c:pt>
                <c:pt idx="6">
                  <c:v>6504</c:v>
                </c:pt>
                <c:pt idx="7">
                  <c:v>4941</c:v>
                </c:pt>
                <c:pt idx="8">
                  <c:v>6723</c:v>
                </c:pt>
                <c:pt idx="9">
                  <c:v>6960</c:v>
                </c:pt>
                <c:pt idx="10">
                  <c:v>3958</c:v>
                </c:pt>
              </c:numCache>
            </c:numRef>
          </c:val>
          <c:extLst>
            <c:ext xmlns:c16="http://schemas.microsoft.com/office/drawing/2014/chart" uri="{C3380CC4-5D6E-409C-BE32-E72D297353CC}">
              <c16:uniqueId val="{00000000-AF2A-4833-A427-722BEF24BEF9}"/>
            </c:ext>
          </c:extLst>
        </c:ser>
        <c:dLbls>
          <c:showLegendKey val="0"/>
          <c:showVal val="0"/>
          <c:showCatName val="0"/>
          <c:showSerName val="0"/>
          <c:showPercent val="0"/>
          <c:showBubbleSize val="0"/>
        </c:dLbls>
        <c:gapWidth val="219"/>
        <c:overlap val="-27"/>
        <c:axId val="758878544"/>
        <c:axId val="758884776"/>
      </c:barChart>
      <c:catAx>
        <c:axId val="75887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84776"/>
        <c:crosses val="autoZero"/>
        <c:auto val="1"/>
        <c:lblAlgn val="ctr"/>
        <c:lblOffset val="100"/>
        <c:noMultiLvlLbl val="0"/>
      </c:catAx>
      <c:valAx>
        <c:axId val="758884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78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1'!$A$3</c:f>
              <c:strCache>
                <c:ptCount val="1"/>
                <c:pt idx="0">
                  <c:v>Stopa rizika od siromaštva (svi tranferi uključeni u dohodak)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'Tabela 1'!$B$2:$F$2</c:f>
              <c:strCache>
                <c:ptCount val="5"/>
                <c:pt idx="0">
                  <c:v>2020</c:v>
                </c:pt>
                <c:pt idx="1">
                  <c:v>2021</c:v>
                </c:pt>
                <c:pt idx="2">
                  <c:v>2022</c:v>
                </c:pt>
                <c:pt idx="3">
                  <c:v>2023(p)</c:v>
                </c:pt>
                <c:pt idx="4">
                  <c:v>2024(p)</c:v>
                </c:pt>
              </c:strCache>
            </c:strRef>
          </c:cat>
          <c:val>
            <c:numRef>
              <c:f>'Tabela 1'!$B$3:$F$3</c:f>
              <c:numCache>
                <c:formatCode>General</c:formatCode>
                <c:ptCount val="5"/>
                <c:pt idx="0">
                  <c:v>22.6</c:v>
                </c:pt>
                <c:pt idx="1">
                  <c:v>21.2</c:v>
                </c:pt>
                <c:pt idx="2">
                  <c:v>20.3</c:v>
                </c:pt>
                <c:pt idx="3">
                  <c:v>20.100000000000001</c:v>
                </c:pt>
                <c:pt idx="4" formatCode="0.0">
                  <c:v>20</c:v>
                </c:pt>
              </c:numCache>
            </c:numRef>
          </c:val>
          <c:smooth val="0"/>
          <c:extLst>
            <c:ext xmlns:c16="http://schemas.microsoft.com/office/drawing/2014/chart" uri="{C3380CC4-5D6E-409C-BE32-E72D297353CC}">
              <c16:uniqueId val="{00000000-7A97-480A-8DEF-1B1D30889B67}"/>
            </c:ext>
          </c:extLst>
        </c:ser>
        <c:ser>
          <c:idx val="1"/>
          <c:order val="1"/>
          <c:tx>
            <c:strRef>
              <c:f>'Tabela 1'!$A$4</c:f>
              <c:strCache>
                <c:ptCount val="1"/>
                <c:pt idx="0">
                  <c:v>  Stopa rizika od siromaštva (socijalni transferi nijesu uključeni u dohodak)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'Tabela 1'!$B$2:$F$2</c:f>
              <c:strCache>
                <c:ptCount val="5"/>
                <c:pt idx="0">
                  <c:v>2020</c:v>
                </c:pt>
                <c:pt idx="1">
                  <c:v>2021</c:v>
                </c:pt>
                <c:pt idx="2">
                  <c:v>2022</c:v>
                </c:pt>
                <c:pt idx="3">
                  <c:v>2023(p)</c:v>
                </c:pt>
                <c:pt idx="4">
                  <c:v>2024(p)</c:v>
                </c:pt>
              </c:strCache>
            </c:strRef>
          </c:cat>
          <c:val>
            <c:numRef>
              <c:f>'Tabela 1'!$B$4:$F$4</c:f>
              <c:numCache>
                <c:formatCode>General</c:formatCode>
                <c:ptCount val="5"/>
                <c:pt idx="0">
                  <c:v>27.8</c:v>
                </c:pt>
                <c:pt idx="1">
                  <c:v>27.2</c:v>
                </c:pt>
                <c:pt idx="2">
                  <c:v>26.2</c:v>
                </c:pt>
                <c:pt idx="3">
                  <c:v>28.4</c:v>
                </c:pt>
                <c:pt idx="4">
                  <c:v>26.7</c:v>
                </c:pt>
              </c:numCache>
            </c:numRef>
          </c:val>
          <c:smooth val="0"/>
          <c:extLst>
            <c:ext xmlns:c16="http://schemas.microsoft.com/office/drawing/2014/chart" uri="{C3380CC4-5D6E-409C-BE32-E72D297353CC}">
              <c16:uniqueId val="{00000001-7A97-480A-8DEF-1B1D30889B67}"/>
            </c:ext>
          </c:extLst>
        </c:ser>
        <c:ser>
          <c:idx val="2"/>
          <c:order val="2"/>
          <c:tx>
            <c:strRef>
              <c:f>'Tabela 1'!$A$5</c:f>
              <c:strCache>
                <c:ptCount val="1"/>
                <c:pt idx="0">
                  <c:v>  Stopa rizika od siromaštva (penzije i socijalni transferi nijesu uključeni u dohodak)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'Tabela 1'!$B$2:$F$2</c:f>
              <c:strCache>
                <c:ptCount val="5"/>
                <c:pt idx="0">
                  <c:v>2020</c:v>
                </c:pt>
                <c:pt idx="1">
                  <c:v>2021</c:v>
                </c:pt>
                <c:pt idx="2">
                  <c:v>2022</c:v>
                </c:pt>
                <c:pt idx="3">
                  <c:v>2023(p)</c:v>
                </c:pt>
                <c:pt idx="4">
                  <c:v>2024(p)</c:v>
                </c:pt>
              </c:strCache>
            </c:strRef>
          </c:cat>
          <c:val>
            <c:numRef>
              <c:f>'Tabela 1'!$B$5:$F$5</c:f>
              <c:numCache>
                <c:formatCode>General</c:formatCode>
                <c:ptCount val="5"/>
                <c:pt idx="0">
                  <c:v>41.4</c:v>
                </c:pt>
                <c:pt idx="1">
                  <c:v>42.4</c:v>
                </c:pt>
                <c:pt idx="2">
                  <c:v>40.700000000000003</c:v>
                </c:pt>
                <c:pt idx="3">
                  <c:v>40.9</c:v>
                </c:pt>
                <c:pt idx="4">
                  <c:v>40.5</c:v>
                </c:pt>
              </c:numCache>
            </c:numRef>
          </c:val>
          <c:smooth val="0"/>
          <c:extLst>
            <c:ext xmlns:c16="http://schemas.microsoft.com/office/drawing/2014/chart" uri="{C3380CC4-5D6E-409C-BE32-E72D297353CC}">
              <c16:uniqueId val="{00000002-7A97-480A-8DEF-1B1D30889B67}"/>
            </c:ext>
          </c:extLst>
        </c:ser>
        <c:dLbls>
          <c:showLegendKey val="0"/>
          <c:showVal val="0"/>
          <c:showCatName val="0"/>
          <c:showSerName val="0"/>
          <c:showPercent val="0"/>
          <c:showBubbleSize val="0"/>
        </c:dLbls>
        <c:marker val="1"/>
        <c:smooth val="0"/>
        <c:axId val="2115518863"/>
        <c:axId val="2115516783"/>
      </c:lineChart>
      <c:catAx>
        <c:axId val="211551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6783"/>
        <c:crosses val="autoZero"/>
        <c:auto val="1"/>
        <c:lblAlgn val="ctr"/>
        <c:lblOffset val="100"/>
        <c:noMultiLvlLbl val="0"/>
      </c:catAx>
      <c:valAx>
        <c:axId val="2115516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7F73F8-867E-4AD9-9F6A-E883B02C8B78}" type="doc">
      <dgm:prSet loTypeId="urn:microsoft.com/office/officeart/2011/layout/CircleProcess" loCatId="process" qsTypeId="urn:microsoft.com/office/officeart/2005/8/quickstyle/simple1" qsCatId="simple" csTypeId="urn:microsoft.com/office/officeart/2005/8/colors/colorful3" csCatId="colorful" phldr="1"/>
      <dgm:spPr/>
      <dgm:t>
        <a:bodyPr/>
        <a:lstStyle/>
        <a:p>
          <a:endParaRPr lang="en-US"/>
        </a:p>
      </dgm:t>
    </dgm:pt>
    <dgm:pt modelId="{B95941B1-B2BC-4608-8E4C-4F9599C5FBF6}">
      <dgm:prSet phldrT="[Text]"/>
      <dgm:spPr/>
      <dgm:t>
        <a:bodyPr/>
        <a:lstStyle/>
        <a:p>
          <a:r>
            <a:rPr lang="sr-Latn-ME"/>
            <a:t>Kreatori i donosioci politika na centralnom i lokalaom nivou </a:t>
          </a:r>
          <a:endParaRPr lang="en-US"/>
        </a:p>
      </dgm:t>
    </dgm:pt>
    <dgm:pt modelId="{69C19A62-6168-456F-99DA-0DB134C566E6}" type="parTrans" cxnId="{7DBBA92C-2AEB-4817-AFC4-DFD6E95D9C17}">
      <dgm:prSet/>
      <dgm:spPr/>
      <dgm:t>
        <a:bodyPr/>
        <a:lstStyle/>
        <a:p>
          <a:endParaRPr lang="en-US"/>
        </a:p>
      </dgm:t>
    </dgm:pt>
    <dgm:pt modelId="{41B88484-09CE-4053-94EC-CFD8B834164D}" type="sibTrans" cxnId="{7DBBA92C-2AEB-4817-AFC4-DFD6E95D9C17}">
      <dgm:prSet/>
      <dgm:spPr/>
      <dgm:t>
        <a:bodyPr/>
        <a:lstStyle/>
        <a:p>
          <a:endParaRPr lang="en-US"/>
        </a:p>
      </dgm:t>
    </dgm:pt>
    <dgm:pt modelId="{DC062C53-4D7E-4790-83FE-4B412381E223}">
      <dgm:prSet phldrT="[Text]"/>
      <dgm:spPr/>
      <dgm:t>
        <a:bodyPr/>
        <a:lstStyle/>
        <a:p>
          <a:r>
            <a:rPr lang="sr-Latn-ME"/>
            <a:t>Institucije podrške i implementatori mjera </a:t>
          </a:r>
          <a:endParaRPr lang="en-US"/>
        </a:p>
      </dgm:t>
    </dgm:pt>
    <dgm:pt modelId="{A631D8BE-E7DF-4D84-AEF8-90F6D58CA541}" type="parTrans" cxnId="{44C0DF90-6F98-4A68-B05B-7A96ED5A4749}">
      <dgm:prSet/>
      <dgm:spPr/>
      <dgm:t>
        <a:bodyPr/>
        <a:lstStyle/>
        <a:p>
          <a:endParaRPr lang="en-US"/>
        </a:p>
      </dgm:t>
    </dgm:pt>
    <dgm:pt modelId="{A624C4A2-1636-42F6-A9F9-C86FA705CE5D}" type="sibTrans" cxnId="{44C0DF90-6F98-4A68-B05B-7A96ED5A4749}">
      <dgm:prSet/>
      <dgm:spPr/>
      <dgm:t>
        <a:bodyPr/>
        <a:lstStyle/>
        <a:p>
          <a:endParaRPr lang="en-US"/>
        </a:p>
      </dgm:t>
    </dgm:pt>
    <dgm:pt modelId="{71B8E304-7BE1-48BF-B5C9-01022C03EE7B}">
      <dgm:prSet phldrT="[Text]"/>
      <dgm:spPr/>
      <dgm:t>
        <a:bodyPr/>
        <a:lstStyle/>
        <a:p>
          <a:r>
            <a:rPr lang="sr-Latn-ME"/>
            <a:t>Građanke i građani, biznis zajednica, akademska zajednica, civilni sektor </a:t>
          </a:r>
          <a:endParaRPr lang="en-US"/>
        </a:p>
      </dgm:t>
    </dgm:pt>
    <dgm:pt modelId="{40BABD31-38F9-42FC-8C91-8197C25F4036}" type="parTrans" cxnId="{D04480B0-F697-498A-9806-746225A0E462}">
      <dgm:prSet/>
      <dgm:spPr/>
      <dgm:t>
        <a:bodyPr/>
        <a:lstStyle/>
        <a:p>
          <a:endParaRPr lang="en-US"/>
        </a:p>
      </dgm:t>
    </dgm:pt>
    <dgm:pt modelId="{4C1A14A2-1435-45B6-BECA-0592C11E4C93}" type="sibTrans" cxnId="{D04480B0-F697-498A-9806-746225A0E462}">
      <dgm:prSet/>
      <dgm:spPr/>
      <dgm:t>
        <a:bodyPr/>
        <a:lstStyle/>
        <a:p>
          <a:endParaRPr lang="en-US"/>
        </a:p>
      </dgm:t>
    </dgm:pt>
    <dgm:pt modelId="{0502D369-5F37-476B-A72B-0262A546A350}" type="pres">
      <dgm:prSet presAssocID="{F27F73F8-867E-4AD9-9F6A-E883B02C8B78}" presName="Name0" presStyleCnt="0">
        <dgm:presLayoutVars>
          <dgm:chMax val="11"/>
          <dgm:chPref val="11"/>
          <dgm:dir/>
          <dgm:resizeHandles/>
        </dgm:presLayoutVars>
      </dgm:prSet>
      <dgm:spPr/>
    </dgm:pt>
    <dgm:pt modelId="{ACEC733B-114A-428A-98A7-DB173287752E}" type="pres">
      <dgm:prSet presAssocID="{71B8E304-7BE1-48BF-B5C9-01022C03EE7B}" presName="Accent3" presStyleCnt="0"/>
      <dgm:spPr/>
    </dgm:pt>
    <dgm:pt modelId="{7BE1C30A-2F44-4486-AC0B-5C5A6D2ED4EA}" type="pres">
      <dgm:prSet presAssocID="{71B8E304-7BE1-48BF-B5C9-01022C03EE7B}" presName="Accent" presStyleLbl="node1" presStyleIdx="0" presStyleCnt="3"/>
      <dgm:spPr/>
    </dgm:pt>
    <dgm:pt modelId="{707684A3-6107-4166-9023-5A6C70681B61}" type="pres">
      <dgm:prSet presAssocID="{71B8E304-7BE1-48BF-B5C9-01022C03EE7B}" presName="ParentBackground3" presStyleCnt="0"/>
      <dgm:spPr/>
    </dgm:pt>
    <dgm:pt modelId="{7B2DE43F-EE8F-469D-9A37-B743BEB00082}" type="pres">
      <dgm:prSet presAssocID="{71B8E304-7BE1-48BF-B5C9-01022C03EE7B}" presName="ParentBackground" presStyleLbl="fgAcc1" presStyleIdx="0" presStyleCnt="3"/>
      <dgm:spPr/>
    </dgm:pt>
    <dgm:pt modelId="{E7A11090-26B9-42F9-8ED5-CF5301374B2D}" type="pres">
      <dgm:prSet presAssocID="{71B8E304-7BE1-48BF-B5C9-01022C03EE7B}" presName="Parent3" presStyleLbl="revTx" presStyleIdx="0" presStyleCnt="0">
        <dgm:presLayoutVars>
          <dgm:chMax val="1"/>
          <dgm:chPref val="1"/>
          <dgm:bulletEnabled val="1"/>
        </dgm:presLayoutVars>
      </dgm:prSet>
      <dgm:spPr/>
    </dgm:pt>
    <dgm:pt modelId="{843A44CA-293C-462F-B842-AB57611A4EAB}" type="pres">
      <dgm:prSet presAssocID="{DC062C53-4D7E-4790-83FE-4B412381E223}" presName="Accent2" presStyleCnt="0"/>
      <dgm:spPr/>
    </dgm:pt>
    <dgm:pt modelId="{8579F929-EFCB-4361-8D7D-1FD318ED4608}" type="pres">
      <dgm:prSet presAssocID="{DC062C53-4D7E-4790-83FE-4B412381E223}" presName="Accent" presStyleLbl="node1" presStyleIdx="1" presStyleCnt="3"/>
      <dgm:spPr/>
    </dgm:pt>
    <dgm:pt modelId="{BE8CF922-B2FC-4A02-BEA5-5C79ACF49287}" type="pres">
      <dgm:prSet presAssocID="{DC062C53-4D7E-4790-83FE-4B412381E223}" presName="ParentBackground2" presStyleCnt="0"/>
      <dgm:spPr/>
    </dgm:pt>
    <dgm:pt modelId="{4601C76A-08CC-41E7-87FE-CBEE80EE3247}" type="pres">
      <dgm:prSet presAssocID="{DC062C53-4D7E-4790-83FE-4B412381E223}" presName="ParentBackground" presStyleLbl="fgAcc1" presStyleIdx="1" presStyleCnt="3"/>
      <dgm:spPr/>
    </dgm:pt>
    <dgm:pt modelId="{35A29CFE-EB9D-4D2C-A00F-B20C177DEA51}" type="pres">
      <dgm:prSet presAssocID="{DC062C53-4D7E-4790-83FE-4B412381E223}" presName="Parent2" presStyleLbl="revTx" presStyleIdx="0" presStyleCnt="0">
        <dgm:presLayoutVars>
          <dgm:chMax val="1"/>
          <dgm:chPref val="1"/>
          <dgm:bulletEnabled val="1"/>
        </dgm:presLayoutVars>
      </dgm:prSet>
      <dgm:spPr/>
    </dgm:pt>
    <dgm:pt modelId="{83BC0AE7-8899-48E1-A855-745C951E557C}" type="pres">
      <dgm:prSet presAssocID="{B95941B1-B2BC-4608-8E4C-4F9599C5FBF6}" presName="Accent1" presStyleCnt="0"/>
      <dgm:spPr/>
    </dgm:pt>
    <dgm:pt modelId="{729214C3-EE20-44D4-AB7B-F0A1E66CF36F}" type="pres">
      <dgm:prSet presAssocID="{B95941B1-B2BC-4608-8E4C-4F9599C5FBF6}" presName="Accent" presStyleLbl="node1" presStyleIdx="2" presStyleCnt="3"/>
      <dgm:spPr/>
    </dgm:pt>
    <dgm:pt modelId="{1ADCBE32-3BFC-423C-92B3-00413AC1F83C}" type="pres">
      <dgm:prSet presAssocID="{B95941B1-B2BC-4608-8E4C-4F9599C5FBF6}" presName="ParentBackground1" presStyleCnt="0"/>
      <dgm:spPr/>
    </dgm:pt>
    <dgm:pt modelId="{409A6325-60F6-44E5-8167-78A9E7B6B4FA}" type="pres">
      <dgm:prSet presAssocID="{B95941B1-B2BC-4608-8E4C-4F9599C5FBF6}" presName="ParentBackground" presStyleLbl="fgAcc1" presStyleIdx="2" presStyleCnt="3"/>
      <dgm:spPr/>
    </dgm:pt>
    <dgm:pt modelId="{ED103764-035A-4D0F-BE6F-4E766FCE81E7}" type="pres">
      <dgm:prSet presAssocID="{B95941B1-B2BC-4608-8E4C-4F9599C5FBF6}" presName="Parent1" presStyleLbl="revTx" presStyleIdx="0" presStyleCnt="0">
        <dgm:presLayoutVars>
          <dgm:chMax val="1"/>
          <dgm:chPref val="1"/>
          <dgm:bulletEnabled val="1"/>
        </dgm:presLayoutVars>
      </dgm:prSet>
      <dgm:spPr/>
    </dgm:pt>
  </dgm:ptLst>
  <dgm:cxnLst>
    <dgm:cxn modelId="{B7C3672C-1A6B-4AE8-9F66-92FC471297F3}" type="presOf" srcId="{71B8E304-7BE1-48BF-B5C9-01022C03EE7B}" destId="{E7A11090-26B9-42F9-8ED5-CF5301374B2D}" srcOrd="1" destOrd="0" presId="urn:microsoft.com/office/officeart/2011/layout/CircleProcess"/>
    <dgm:cxn modelId="{7DBBA92C-2AEB-4817-AFC4-DFD6E95D9C17}" srcId="{F27F73F8-867E-4AD9-9F6A-E883B02C8B78}" destId="{B95941B1-B2BC-4608-8E4C-4F9599C5FBF6}" srcOrd="0" destOrd="0" parTransId="{69C19A62-6168-456F-99DA-0DB134C566E6}" sibTransId="{41B88484-09CE-4053-94EC-CFD8B834164D}"/>
    <dgm:cxn modelId="{1A7CB52C-0199-46AF-9B2C-E372B13235A3}" type="presOf" srcId="{71B8E304-7BE1-48BF-B5C9-01022C03EE7B}" destId="{7B2DE43F-EE8F-469D-9A37-B743BEB00082}" srcOrd="0" destOrd="0" presId="urn:microsoft.com/office/officeart/2011/layout/CircleProcess"/>
    <dgm:cxn modelId="{14F5A85B-C96E-436A-B097-1D9A66F9AC68}" type="presOf" srcId="{DC062C53-4D7E-4790-83FE-4B412381E223}" destId="{35A29CFE-EB9D-4D2C-A00F-B20C177DEA51}" srcOrd="1" destOrd="0" presId="urn:microsoft.com/office/officeart/2011/layout/CircleProcess"/>
    <dgm:cxn modelId="{91969063-A717-4905-B1B2-EEC7264C4F9D}" type="presOf" srcId="{B95941B1-B2BC-4608-8E4C-4F9599C5FBF6}" destId="{ED103764-035A-4D0F-BE6F-4E766FCE81E7}" srcOrd="1" destOrd="0" presId="urn:microsoft.com/office/officeart/2011/layout/CircleProcess"/>
    <dgm:cxn modelId="{44C0DF90-6F98-4A68-B05B-7A96ED5A4749}" srcId="{F27F73F8-867E-4AD9-9F6A-E883B02C8B78}" destId="{DC062C53-4D7E-4790-83FE-4B412381E223}" srcOrd="1" destOrd="0" parTransId="{A631D8BE-E7DF-4D84-AEF8-90F6D58CA541}" sibTransId="{A624C4A2-1636-42F6-A9F9-C86FA705CE5D}"/>
    <dgm:cxn modelId="{D04480B0-F697-498A-9806-746225A0E462}" srcId="{F27F73F8-867E-4AD9-9F6A-E883B02C8B78}" destId="{71B8E304-7BE1-48BF-B5C9-01022C03EE7B}" srcOrd="2" destOrd="0" parTransId="{40BABD31-38F9-42FC-8C91-8197C25F4036}" sibTransId="{4C1A14A2-1435-45B6-BECA-0592C11E4C93}"/>
    <dgm:cxn modelId="{16C101BD-664B-4EE5-8E62-F8CDE190BB3A}" type="presOf" srcId="{B95941B1-B2BC-4608-8E4C-4F9599C5FBF6}" destId="{409A6325-60F6-44E5-8167-78A9E7B6B4FA}" srcOrd="0" destOrd="0" presId="urn:microsoft.com/office/officeart/2011/layout/CircleProcess"/>
    <dgm:cxn modelId="{9FDA54C7-6AFB-4D58-975C-A089F0E41F71}" type="presOf" srcId="{F27F73F8-867E-4AD9-9F6A-E883B02C8B78}" destId="{0502D369-5F37-476B-A72B-0262A546A350}" srcOrd="0" destOrd="0" presId="urn:microsoft.com/office/officeart/2011/layout/CircleProcess"/>
    <dgm:cxn modelId="{354D10DF-D70C-4EC7-A222-EFAFB76C9186}" type="presOf" srcId="{DC062C53-4D7E-4790-83FE-4B412381E223}" destId="{4601C76A-08CC-41E7-87FE-CBEE80EE3247}" srcOrd="0" destOrd="0" presId="urn:microsoft.com/office/officeart/2011/layout/CircleProcess"/>
    <dgm:cxn modelId="{9E50580D-C42A-46A9-8624-EA393A9D4782}" type="presParOf" srcId="{0502D369-5F37-476B-A72B-0262A546A350}" destId="{ACEC733B-114A-428A-98A7-DB173287752E}" srcOrd="0" destOrd="0" presId="urn:microsoft.com/office/officeart/2011/layout/CircleProcess"/>
    <dgm:cxn modelId="{B0504EBE-7AFB-4AE9-8AC4-039CB0B92811}" type="presParOf" srcId="{ACEC733B-114A-428A-98A7-DB173287752E}" destId="{7BE1C30A-2F44-4486-AC0B-5C5A6D2ED4EA}" srcOrd="0" destOrd="0" presId="urn:microsoft.com/office/officeart/2011/layout/CircleProcess"/>
    <dgm:cxn modelId="{07378999-6AC0-4A48-BE94-1AB3E3F22C5B}" type="presParOf" srcId="{0502D369-5F37-476B-A72B-0262A546A350}" destId="{707684A3-6107-4166-9023-5A6C70681B61}" srcOrd="1" destOrd="0" presId="urn:microsoft.com/office/officeart/2011/layout/CircleProcess"/>
    <dgm:cxn modelId="{0567A29B-F0D9-44F3-84EC-8BD51C227B6E}" type="presParOf" srcId="{707684A3-6107-4166-9023-5A6C70681B61}" destId="{7B2DE43F-EE8F-469D-9A37-B743BEB00082}" srcOrd="0" destOrd="0" presId="urn:microsoft.com/office/officeart/2011/layout/CircleProcess"/>
    <dgm:cxn modelId="{A902332E-FFC5-47F9-ADF1-E19BE1890475}" type="presParOf" srcId="{0502D369-5F37-476B-A72B-0262A546A350}" destId="{E7A11090-26B9-42F9-8ED5-CF5301374B2D}" srcOrd="2" destOrd="0" presId="urn:microsoft.com/office/officeart/2011/layout/CircleProcess"/>
    <dgm:cxn modelId="{7493B50B-5A9D-44A3-A493-26DAF814D5F6}" type="presParOf" srcId="{0502D369-5F37-476B-A72B-0262A546A350}" destId="{843A44CA-293C-462F-B842-AB57611A4EAB}" srcOrd="3" destOrd="0" presId="urn:microsoft.com/office/officeart/2011/layout/CircleProcess"/>
    <dgm:cxn modelId="{286CAA8E-1AAF-4303-849D-56E31E68F9A4}" type="presParOf" srcId="{843A44CA-293C-462F-B842-AB57611A4EAB}" destId="{8579F929-EFCB-4361-8D7D-1FD318ED4608}" srcOrd="0" destOrd="0" presId="urn:microsoft.com/office/officeart/2011/layout/CircleProcess"/>
    <dgm:cxn modelId="{DA7E09BF-1476-417A-83C7-DA80ABC282BC}" type="presParOf" srcId="{0502D369-5F37-476B-A72B-0262A546A350}" destId="{BE8CF922-B2FC-4A02-BEA5-5C79ACF49287}" srcOrd="4" destOrd="0" presId="urn:microsoft.com/office/officeart/2011/layout/CircleProcess"/>
    <dgm:cxn modelId="{387B3BF8-6188-4C34-8823-C47BC98475DC}" type="presParOf" srcId="{BE8CF922-B2FC-4A02-BEA5-5C79ACF49287}" destId="{4601C76A-08CC-41E7-87FE-CBEE80EE3247}" srcOrd="0" destOrd="0" presId="urn:microsoft.com/office/officeart/2011/layout/CircleProcess"/>
    <dgm:cxn modelId="{EC960E20-6423-46A9-931E-3849E9EF8DAA}" type="presParOf" srcId="{0502D369-5F37-476B-A72B-0262A546A350}" destId="{35A29CFE-EB9D-4D2C-A00F-B20C177DEA51}" srcOrd="5" destOrd="0" presId="urn:microsoft.com/office/officeart/2011/layout/CircleProcess"/>
    <dgm:cxn modelId="{C0957B67-4349-4A7C-AC24-22F5B30D78FC}" type="presParOf" srcId="{0502D369-5F37-476B-A72B-0262A546A350}" destId="{83BC0AE7-8899-48E1-A855-745C951E557C}" srcOrd="6" destOrd="0" presId="urn:microsoft.com/office/officeart/2011/layout/CircleProcess"/>
    <dgm:cxn modelId="{998F5653-C675-451B-8D11-1E4932DDB4CE}" type="presParOf" srcId="{83BC0AE7-8899-48E1-A855-745C951E557C}" destId="{729214C3-EE20-44D4-AB7B-F0A1E66CF36F}" srcOrd="0" destOrd="0" presId="urn:microsoft.com/office/officeart/2011/layout/CircleProcess"/>
    <dgm:cxn modelId="{0741F3B7-EB0E-4206-A749-0A29D9DC0B41}" type="presParOf" srcId="{0502D369-5F37-476B-A72B-0262A546A350}" destId="{1ADCBE32-3BFC-423C-92B3-00413AC1F83C}" srcOrd="7" destOrd="0" presId="urn:microsoft.com/office/officeart/2011/layout/CircleProcess"/>
    <dgm:cxn modelId="{3E921211-C021-428E-8D5B-1A119A2CBB50}" type="presParOf" srcId="{1ADCBE32-3BFC-423C-92B3-00413AC1F83C}" destId="{409A6325-60F6-44E5-8167-78A9E7B6B4FA}" srcOrd="0" destOrd="0" presId="urn:microsoft.com/office/officeart/2011/layout/CircleProcess"/>
    <dgm:cxn modelId="{803DC4F9-F625-4870-ACFC-1BE8E5AB2B05}" type="presParOf" srcId="{0502D369-5F37-476B-A72B-0262A546A350}" destId="{ED103764-035A-4D0F-BE6F-4E766FCE81E7}" srcOrd="8" destOrd="0" presId="urn:microsoft.com/office/officeart/2011/layout/Circle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E1C30A-2F44-4486-AC0B-5C5A6D2ED4EA}">
      <dsp:nvSpPr>
        <dsp:cNvPr id="0" name=""/>
        <dsp:cNvSpPr/>
      </dsp:nvSpPr>
      <dsp:spPr>
        <a:xfrm>
          <a:off x="3570521" y="435685"/>
          <a:ext cx="1154120" cy="1154334"/>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2DE43F-EE8F-469D-9A37-B743BEB00082}">
      <dsp:nvSpPr>
        <dsp:cNvPr id="0" name=""/>
        <dsp:cNvSpPr/>
      </dsp:nvSpPr>
      <dsp:spPr>
        <a:xfrm>
          <a:off x="3608842" y="474170"/>
          <a:ext cx="1077479" cy="1077365"/>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ME" sz="800" kern="1200"/>
            <a:t>Građanke i građani, biznis zajednica, akademska zajednica, civilni sektor </a:t>
          </a:r>
          <a:endParaRPr lang="en-US" sz="800" kern="1200"/>
        </a:p>
      </dsp:txBody>
      <dsp:txXfrm>
        <a:off x="3762875" y="628108"/>
        <a:ext cx="769413" cy="769488"/>
      </dsp:txXfrm>
    </dsp:sp>
    <dsp:sp modelId="{8579F929-EFCB-4361-8D7D-1FD318ED4608}">
      <dsp:nvSpPr>
        <dsp:cNvPr id="0" name=""/>
        <dsp:cNvSpPr/>
      </dsp:nvSpPr>
      <dsp:spPr>
        <a:xfrm rot="2700000">
          <a:off x="2379094" y="437081"/>
          <a:ext cx="1151340" cy="1151340"/>
        </a:xfrm>
        <a:prstGeom prst="teardrop">
          <a:avLst>
            <a:gd name="adj" fmla="val 10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01C76A-08CC-41E7-87FE-CBEE80EE3247}">
      <dsp:nvSpPr>
        <dsp:cNvPr id="0" name=""/>
        <dsp:cNvSpPr/>
      </dsp:nvSpPr>
      <dsp:spPr>
        <a:xfrm>
          <a:off x="2416025" y="474170"/>
          <a:ext cx="1077479" cy="1077365"/>
        </a:xfrm>
        <a:prstGeom prst="ellipse">
          <a:avLst/>
        </a:prstGeom>
        <a:solidFill>
          <a:schemeClr val="lt1">
            <a:alpha val="90000"/>
            <a:hueOff val="0"/>
            <a:satOff val="0"/>
            <a:lumOff val="0"/>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ME" sz="800" kern="1200"/>
            <a:t>Institucije podrške i implementatori mjera </a:t>
          </a:r>
          <a:endParaRPr lang="en-US" sz="800" kern="1200"/>
        </a:p>
      </dsp:txBody>
      <dsp:txXfrm>
        <a:off x="2570058" y="628108"/>
        <a:ext cx="769413" cy="769488"/>
      </dsp:txXfrm>
    </dsp:sp>
    <dsp:sp modelId="{729214C3-EE20-44D4-AB7B-F0A1E66CF36F}">
      <dsp:nvSpPr>
        <dsp:cNvPr id="0" name=""/>
        <dsp:cNvSpPr/>
      </dsp:nvSpPr>
      <dsp:spPr>
        <a:xfrm rot="2700000">
          <a:off x="1186278" y="437081"/>
          <a:ext cx="1151340" cy="1151340"/>
        </a:xfrm>
        <a:prstGeom prst="teardrop">
          <a:avLst>
            <a:gd name="adj" fmla="val 10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9A6325-60F6-44E5-8167-78A9E7B6B4FA}">
      <dsp:nvSpPr>
        <dsp:cNvPr id="0" name=""/>
        <dsp:cNvSpPr/>
      </dsp:nvSpPr>
      <dsp:spPr>
        <a:xfrm>
          <a:off x="1223208" y="474170"/>
          <a:ext cx="1077479" cy="1077365"/>
        </a:xfrm>
        <a:prstGeom prst="ellipse">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ME" sz="800" kern="1200"/>
            <a:t>Kreatori i donosioci politika na centralnom i lokalaom nivou </a:t>
          </a:r>
          <a:endParaRPr lang="en-US" sz="800" kern="1200"/>
        </a:p>
      </dsp:txBody>
      <dsp:txXfrm>
        <a:off x="1377241" y="628108"/>
        <a:ext cx="769413" cy="769488"/>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C8DB-21E3-4496-8538-866990E2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63</Pages>
  <Words>37014</Words>
  <Characters>210986</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Milena Strugar</cp:lastModifiedBy>
  <cp:revision>13</cp:revision>
  <cp:lastPrinted>2025-09-22T09:05:00Z</cp:lastPrinted>
  <dcterms:created xsi:type="dcterms:W3CDTF">2025-08-25T11:49:00Z</dcterms:created>
  <dcterms:modified xsi:type="dcterms:W3CDTF">2025-10-06T12:42:00Z</dcterms:modified>
</cp:coreProperties>
</file>