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19" w:rsidRPr="002D4334" w:rsidRDefault="006F0219" w:rsidP="006F0219">
      <w:pPr>
        <w:pStyle w:val="N01X"/>
        <w:rPr>
          <w:rFonts w:asciiTheme="majorHAnsi" w:hAnsiTheme="majorHAnsi"/>
        </w:rPr>
      </w:pPr>
      <w:r w:rsidRPr="002D4334">
        <w:rPr>
          <w:rFonts w:asciiTheme="majorHAnsi" w:hAnsiTheme="majorHAnsi"/>
        </w:rPr>
        <w:t>PROGRAM DRUGOG STRUČNOG ISPITA U OBLASTI OBEZBJEĐENJA PRITVORENIH I OSUĐENIH LICA</w:t>
      </w:r>
    </w:p>
    <w:p w:rsidR="006F0219" w:rsidRPr="002D4334" w:rsidRDefault="006F0219" w:rsidP="006F0219">
      <w:pPr>
        <w:pStyle w:val="N01X"/>
        <w:rPr>
          <w:rFonts w:asciiTheme="majorHAnsi" w:hAnsiTheme="majorHAnsi"/>
        </w:rPr>
      </w:pPr>
      <w:r w:rsidRPr="002D4334">
        <w:rPr>
          <w:rFonts w:asciiTheme="majorHAnsi" w:hAnsiTheme="majorHAnsi"/>
        </w:rPr>
        <w:t>1. Izvršenje kazni zatvora, novčane kazne i mjera bezbjednosti</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t>Načela izvršenja kazni zatvora, novčane kazne i mjera bezbjednosti (načelo humanosti i zabrana diskriminacije); Prava i ograničenje prava pritvorenih i osuđenih lica (zatvorenika); Pravo zatvorenika na pritužbu; Nadležnost za izvršenje i pristupanje izvršenju; Upućivanje na izvršenje, uputni akt, naredba i potjernica; Izvršenje kazni zatvora nakon izvršenja mjere bezbjednosti; Odlaganje izvršenja kazni zatvora, zahtjev za odlaganje izvršenja kazni zatvora i žalba na rješenje o odlaganju kazni zatvora; Prijem u zatvor; Smještaj u zatvoru; Ispitivanje ličnosti zatvorenika i program tretmana i reintegracije zatvorenika; Pogodnosti tokom izdržavanja kazne zatvora; Prekid izvršenja kazni zatvora; Prostorije i uslovi za boravak zatvorenika; Odjeća i ishrana zatvorenika; Zdravstvena zaštita za</w:t>
      </w:r>
      <w:bookmarkStart w:id="0" w:name="_GoBack"/>
      <w:bookmarkEnd w:id="0"/>
      <w:r w:rsidRPr="002D4334">
        <w:rPr>
          <w:rFonts w:asciiTheme="majorHAnsi" w:hAnsiTheme="majorHAnsi"/>
          <w:sz w:val="24"/>
          <w:szCs w:val="24"/>
        </w:rPr>
        <w:t>tvorenika i zatvorenica; Rad zatvorenika i naknada za rad; Stručna obuka i obrazovanje zatvorenika; Pravo na vjerski život u zatvoru; Sportske, rekreativne, kulturne i druge aktivnosti; Pravo zatvorenika na posjete, dopisivanje i prijem i slanje pošiljki; Posebne mjere predostrožnosti; Priprema za otpuštanje, otpuštanje i pomoć nakon otpuštanja zatvorenika; Disciplinska i materijalna odgovornost zatvorenika (osnov disciplinske odgovornosti, disciplniski prekršaji, disciplinske mjere, disciplinski postupak, pravo na žalbu, izvršenje, odlaganje i prekid izvršenja disciplinskih mjera); Izvršenje kazne zatvora u prostorijama u kojima zatvorenik stanuje (nadležnost za izvršenje, napuštanje prostorija u kojima osuđeni stanuje, obavještavanje suda, ukidanje rješenja kojim je odobreno napuštanje prostorije); Nadležnost za izvršenje novčane kazne; Izvršenje mjera bezbjednosti (obavezno psihijatrijsko liječenje i čuvanje u zdravstvenoj ustanovi, obavezno psihijatrijsko liječenje na slobodi, obavezno liječenje alkoholičara i obavezno liječenje narkomana; zabrana vršenja poziva, djelatnosti ili dužnosti, zabrana upravljanja motornim vozilom, oduzimanje predmeta, protjerivanje stranca iz zemlje, zabrana približavanja, udaljenje iz stana ili drugog prostora za stanovanje); Kontrola izvršenja (nadležnost i obaveze ovlašćenog službenog lica, mjere za otklanjanje utvrđenih nepravilnosti, nadležnost Jedinice za uslovnu slobodu).</w:t>
      </w:r>
    </w:p>
    <w:p w:rsidR="006F0219" w:rsidRPr="002D4334" w:rsidRDefault="006F0219" w:rsidP="006F0219">
      <w:pPr>
        <w:pStyle w:val="N01X"/>
        <w:rPr>
          <w:rFonts w:asciiTheme="majorHAnsi" w:hAnsiTheme="majorHAnsi"/>
        </w:rPr>
      </w:pPr>
      <w:r w:rsidRPr="002D4334">
        <w:rPr>
          <w:rFonts w:asciiTheme="majorHAnsi" w:hAnsiTheme="majorHAnsi"/>
        </w:rPr>
        <w:t>2. Vršenje obezbjeđenja</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t>Vrste ovlašćenja (izdavanje upozorenja, usmene naredbe, sredstva prinude, fizička snaga, ručni sprej sa nadražujućim dejstvom, službena palica, električni paralizator, sredstva za vezivanje, uređaj za izbacivanje mlazeva vode, hemijska sredstva, službeni psi, vatreno oružje, evidencija i izvještaj o upotrebi sredstava prinude); Uniforma, zvanja i oznake zvanja (vrste uniformi, izgled i djelovi uniformi, vrste zvanja službenika obezbjeđenja, uslovi za sticanje zvanja službenika obezbjeđenja, vrste oznaka službenika obezbjeđenja); Organizacija vršenja poslova obezbjeđenja (nadležnosti starješine Zavoda za izvršenje krivičnih sankcija u okviru poslova obezbjeđenja, nadležnosti pomoćnika starješine Zavoda za izvršenje krivičnih sankcija u okviru poslova obezbjeđenja, nadležnosti rukovodilaca organizacionih jedinica Zavoda za izvršenje krivičnih sankcija u okviru poslova obezbjeđenja, nadležnosti zapovjednika zatvorske policije, nadležnosti nadzornika zatvorske policije); Obaveze službenika obezbjeđenja (opšte dužnosti, opšte zabrane); Spoljašnje obezbjeđenje (vrste spoljašnjeg obezbjeđenja, posebne dužnosti, posebne zabrane); Unutrašnje obezbjeđenje (vrste unutrašnjeg obezbjeđenja, posebne dužnosti); Pretres lica i prostorija (pretres zatvorenika, pretres prostorija u kojima borave zatvorenici, pretres lica koja dolaze u posjete, pretres stvari); Sprovođenje (vrste sprovođenja, dužnosti šefa sprovodničke grupe, dužnosti vođe sprovodničke grupe, dužnosti sprovodnika, izdavanje naloga za sprovođenje i izvještaj o sprovođenju); Naoružanje i oprema (vrste naoružanja, sredstva veze, motorna vozila, sredstva posebne opreme); Postupanje službenika obezbjeđenja u incidentnim situacijama (postupanje u slučaju izvršenja krivičnog djela od strane zatvorenika, postupanje u slučaju smrti zatvorenika, postupanje u slučaju bjekstva zatvorenika); Evidencije i pismena (evidencije o službenim radnjama i postupanjima, službene zabilješke, izvještaji i prijave).</w:t>
      </w:r>
    </w:p>
    <w:p w:rsidR="006F0219" w:rsidRPr="002D4334" w:rsidRDefault="006F0219" w:rsidP="006F0219">
      <w:pPr>
        <w:pStyle w:val="N01X"/>
        <w:rPr>
          <w:rFonts w:asciiTheme="majorHAnsi" w:hAnsiTheme="majorHAnsi"/>
        </w:rPr>
      </w:pPr>
      <w:proofErr w:type="gramStart"/>
      <w:r w:rsidRPr="002D4334">
        <w:rPr>
          <w:rFonts w:asciiTheme="majorHAnsi" w:hAnsiTheme="majorHAnsi"/>
        </w:rPr>
        <w:t>3. Postupanje sa</w:t>
      </w:r>
      <w:proofErr w:type="gramEnd"/>
      <w:r w:rsidRPr="002D4334">
        <w:rPr>
          <w:rFonts w:asciiTheme="majorHAnsi" w:hAnsiTheme="majorHAnsi"/>
        </w:rPr>
        <w:t xml:space="preserve"> pritvorenim licima</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lastRenderedPageBreak/>
        <w:t>Normativni okvir za postupanje sa pritvorenim licima (zakoni, podzakonski propisi, izvori međunarodnog prava za postupanje sa pritvorenim licima); Prijem u zatvor i raspoređivanje (rješenje o određivanju pritvora, nalog za prijem, utvrđivanje identiteta, pretres i oduzimanje predmeta, raspoređivanje i upis u matičnu knjigu pritvorenih lica); Smještaj (vrste smještaja, uslovi smještaja); Ishrana (kalorična vrijednost dnevnog obroka i način provjere kvaliteta hrane, pravo na ishranu u skladu sa zdravstvenim i vjerskim potrebama, postupanje u slučaju odbijanja hrane, pravo na sopstvenu ishranu); Zdravstvena zaštita (redovni zdravstveni pregled, dijeljenje terapije, posebni oblici zdravstvene zaštite); Higijensko - tehnička zaštita (lična higijena pritvorenih lica, higijena prostorija u kojima borave pritvorenici, kontrola i nadzor održavanje higijene); Šetnja na otvorenom prostoru (prostor određen za šetnju, vrijeme trajanja šetnje i način na koji se vrši šetnja, nadzor od strane službenika obezbjeđenja); Dnevni raspored (raspored i satnica dnevnih aktivnosti pritvorenih lica); Rad i organizacija slobodnog vremena (uslovi i način organizacije rada pritvorenih lica, uslovi i način organizacije aktivnosti u slobodno vrijeme); Komunikacija sa spoljnim svijetom (vrste posjeta, pravo na posjete, odobrenje posjeta, nadzor posjeta, dopisivanje i kontrola, telefoniranje, kontakt sa braniocem); Prijem pošiljki (način i procedura prijema pošiljki, prijem novca); Disciplinska i materijalna odgovornost (osnov disciplinske odgovornosti, disciplinski prekršaji, disciplinske mjere, disciplinski postupak, izvršenje disciplinske mjere); Zaštita prava pritvorenih lica (pravo na pritužbu, žalbeni raport, molbeni raport, pravo na žalbu, nadzor nad izvršenjem pritvora); Otpuštanje i smrt pritvorenog lica (osnov i postupak otpuštanja, smrt pritvorenog lica).</w:t>
      </w:r>
    </w:p>
    <w:p w:rsidR="006F0219" w:rsidRPr="002D4334" w:rsidRDefault="006F0219" w:rsidP="006F0219">
      <w:pPr>
        <w:pStyle w:val="N01X"/>
        <w:rPr>
          <w:rFonts w:asciiTheme="majorHAnsi" w:hAnsiTheme="majorHAnsi"/>
        </w:rPr>
      </w:pPr>
      <w:r w:rsidRPr="002D4334">
        <w:rPr>
          <w:rFonts w:asciiTheme="majorHAnsi" w:hAnsiTheme="majorHAnsi"/>
        </w:rPr>
        <w:t>4. Upotreba sredstava prinude i poznavanje borilačkih vještina</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t>Praktična provjera</w:t>
      </w:r>
    </w:p>
    <w:p w:rsidR="006F0219" w:rsidRPr="002D4334" w:rsidRDefault="006F0219" w:rsidP="006F0219">
      <w:pPr>
        <w:pStyle w:val="N01X"/>
        <w:rPr>
          <w:rFonts w:asciiTheme="majorHAnsi" w:hAnsiTheme="majorHAnsi"/>
        </w:rPr>
      </w:pPr>
      <w:r w:rsidRPr="002D4334">
        <w:rPr>
          <w:rFonts w:asciiTheme="majorHAnsi" w:hAnsiTheme="majorHAnsi"/>
        </w:rPr>
        <w:t>5. Penologija i penološka andragogija</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t>Pojam penologije (predmet penologije i pojam sistema izvršenja krivičnih sankcija); Sistem izvršenja kazni zatvora (istorijski presjek izvršenja kazni zatvora, sistem zajedničkog zatvora, ćelijski sistem, sistem progresivnog zatvora, klasifikacioni sistem); Prevaspitanje i resocijalizacija (pojam prevaspitanja i resocijalizacije, izučavanje ličnosti osuđenog, klasifikacija osuđenih lica); Kategorizacija zatvora (zatvori prema dužini kazne, zatvori zatvorenog, poluotvorenog i otvorenog tipa; organizacija Zavoda za izvršenje krivičnih sankcija, služba za tretman, služba obezbjeđenja, služba za zdravstvenu zaštitu, služba za obuku kadrova); Tretman osuđenih lica (princip tretmana, individualni oblik tretmana, grupni oblik tretmana, obrazovanje osuđenih lica, rad kao oblik tretmana, okupaciona i rekreativna terapija, tretman maloljetnika, postpenalni tretman); Osuđenička zajednica (pojam zatvorske zajednice, osuđenička subkultura i osuđenički neformalni sistem, frustracije i deprivacija osuđenih lica, tipovi osuđeničkih uloga, osuđenički konflikti); Položaj i prava osuđenih lica (opšte pretpostavke položaja osuđenika, pravo na čovječno postupanje, pravo na odgovarajući smještaj ishranu i odjeću, pravo na rad, pravo na zdravstvenu zaštitu, pravo na ispovijedanje vjere, pravo na komunikaciju sa spoljnim svijetom, pravo na žalbe i pritužbe, posebna prava osuđenica, disciplinska i materijalna odgovornost osuđenih lica); Pojam i predmet penološke andragogije (odnos penološke andragogije sa drugim naukama, društvene i teorijske osnove penološke andragogije, društvena reakcija na kriminalitet, shvatanje ličnosti u kriminalitetu).</w:t>
      </w:r>
    </w:p>
    <w:p w:rsidR="006F0219" w:rsidRPr="002D4334" w:rsidRDefault="006F0219" w:rsidP="006F0219">
      <w:pPr>
        <w:pStyle w:val="N01X"/>
        <w:rPr>
          <w:rFonts w:asciiTheme="majorHAnsi" w:hAnsiTheme="majorHAnsi"/>
        </w:rPr>
      </w:pPr>
      <w:r w:rsidRPr="002D4334">
        <w:rPr>
          <w:rFonts w:asciiTheme="majorHAnsi" w:hAnsiTheme="majorHAnsi"/>
        </w:rPr>
        <w:t>6. Opšta i penološka psihologija</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t xml:space="preserve">Pojam psihologije (razvoj psihologije, predmet psihologije); Psihički procesi (opažanje, učenje i pamćenje, mišljenje, osjećanja); Ličnost (teorije ličnosti, dinamika ličnosti, razvoj ličnosti, dijagnoza ličnosti, osobine ličnosti); Poremećaji ličnosti (funkcionalne psihoze, organske psihoze, neuorze, mentalna retardacija, stepen društvene opasnosti pojedinih poremećaja ličnosti); Psihologija u penološkom tretmanu (pojam penološke psihologije, penološka psihologija u praksi); Stres i adaptacija na zatvor (pojam stresa, dugoročne posljedice boravka u zatvoru, suicid i samopovrjeđivanje); Poremećaji ličnosti zatvorenika (psihopatija, agresivnost, impulsivnost, </w:t>
      </w:r>
      <w:r w:rsidRPr="002D4334">
        <w:rPr>
          <w:rFonts w:asciiTheme="majorHAnsi" w:hAnsiTheme="majorHAnsi"/>
          <w:sz w:val="24"/>
          <w:szCs w:val="24"/>
        </w:rPr>
        <w:lastRenderedPageBreak/>
        <w:t>kognitivne sposobnosti); Udruživanje u grupe (Uopšteno o grupi, izbor vođe grupe, vođe i udruživanje zatvorenika u grupe i gangovi); Stavovi i promjena ponašanja (uopšteno o stavovima, strukturalni i funkcionalni pristup proučavanju stavova, kognitivna disonancija, promjene stavova, komunikacijski proces u formiranju i promjeni stavova).</w:t>
      </w:r>
    </w:p>
    <w:p w:rsidR="006F0219" w:rsidRPr="002D4334" w:rsidRDefault="006F0219" w:rsidP="006F0219">
      <w:pPr>
        <w:pStyle w:val="N01X"/>
        <w:rPr>
          <w:rFonts w:asciiTheme="majorHAnsi" w:hAnsiTheme="majorHAnsi"/>
        </w:rPr>
      </w:pPr>
      <w:proofErr w:type="gramStart"/>
      <w:r w:rsidRPr="002D4334">
        <w:rPr>
          <w:rFonts w:asciiTheme="majorHAnsi" w:hAnsiTheme="majorHAnsi"/>
        </w:rPr>
        <w:t>7. Kriminalistika sa</w:t>
      </w:r>
      <w:proofErr w:type="gramEnd"/>
      <w:r w:rsidRPr="002D4334">
        <w:rPr>
          <w:rFonts w:asciiTheme="majorHAnsi" w:hAnsiTheme="majorHAnsi"/>
        </w:rPr>
        <w:t xml:space="preserve"> kriminologijom</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t>Pojam kriminalistike (pojam, predmet i sistem kriminalistike, osnovna načela); Suzbijanje kriminaliteta (osnovni pojmovi o represivnoj i preventivnoj djelatnosti, društvena samozaštita, Međunarodna kriminalistička policijska organizacija (INTERPOL)); Krivično djelo (izvori saznanja za pripremanje i postojanje krivičnog djela, kriminalističko - taktičke radnje, kriminalističko - taktičke mjere i sredstva, kriminalistička tehnika, kriminalistička metodika, kriminalističke evidencije, obezbjeđenje lica mjesta i uviđaj); Pojam kriminologije (predmet i metodi kriminologije, kriminološke činjenice i kriminološki podaci); Pojam prestupnika (prestupnici i druga lica kao u učesnici u prestupničkom konfliktu, instrumenti kriminoloških ispitivanja prestupništva); Moral i prestupništvo (društvena zajednica i prestupništvo).</w:t>
      </w:r>
    </w:p>
    <w:p w:rsidR="006F0219" w:rsidRPr="002D4334" w:rsidRDefault="006F0219" w:rsidP="006F0219">
      <w:pPr>
        <w:pStyle w:val="N01X"/>
        <w:rPr>
          <w:rFonts w:asciiTheme="majorHAnsi" w:hAnsiTheme="majorHAnsi"/>
        </w:rPr>
      </w:pPr>
      <w:r w:rsidRPr="002D4334">
        <w:rPr>
          <w:rFonts w:asciiTheme="majorHAnsi" w:hAnsiTheme="majorHAnsi"/>
        </w:rPr>
        <w:t>8. Krivično pravo i krivični postupak</w:t>
      </w:r>
    </w:p>
    <w:p w:rsidR="006F0219" w:rsidRPr="002D4334" w:rsidRDefault="006F0219" w:rsidP="006F0219">
      <w:pPr>
        <w:pStyle w:val="T30X"/>
        <w:rPr>
          <w:rFonts w:asciiTheme="majorHAnsi" w:hAnsiTheme="majorHAnsi"/>
          <w:sz w:val="24"/>
          <w:szCs w:val="24"/>
        </w:rPr>
      </w:pPr>
      <w:r w:rsidRPr="002D4334">
        <w:rPr>
          <w:rFonts w:asciiTheme="majorHAnsi" w:hAnsiTheme="majorHAnsi"/>
          <w:sz w:val="24"/>
          <w:szCs w:val="24"/>
        </w:rPr>
        <w:t>Krivično djelo (pojam krivičnog djela, vrijeme i mjesto izvršenja, nužna odbrana i krajnja nužda, krivica, uračunljivost, umišljaj i nehat, stvarna i pravna zabluda, saučesništvo); Kazne (vrste kazni, odmjeravanje kazni); Mjere upozorenja (uslovna osuda, sudska opomena); Uslovni otpust (pojam i uslovi, zahtjev za uslovni otpust, odluka o uslovnom otpustu); Mjere bezbjednosti (vrste mjera bezbjednosti, izvršenje mjera bezbjednosti); Postupanje prema maloljetnicima (alternativne mjere i krivične sankcije, izvršenje krivičnih sankcija prema maloljetnicima); Zastarjelost, amnestija i pomilovanje (zastarjelost krivičnog gonjenja, zastarjelost izvršenja kazne, pojam amnestije, pojam pomilovanja); Posebne grupe krivičnih djela (krivična djela protiv života i tijela, krivična djela protiv sloboda i prava čovjeka i građana, krivična djela protiv polne slobode, krivična djela protiv braka i porodice, krivična djela protiv imovine, krivična djela protiv platnog prometa i privrednog poslovanja, krivična djela protiv opšte sigurnosti ljudi i imovine, krivična djela protiv bezbjednosti javnog saobraćaja, krivična djela protiv ustavnog uređenja i bezbjednosti Crne Gore, krivična djela protiv državnih organa, krivična djela protiv javnog reda i mira); Osnove krivično - procesnog prava (načela krivično - procesnog prava, procesni subjekti); Nadležnost sudova (stvarna i mjesna nadležnost); Državno tužilaštvo (radnje i nadležnost državnog tužilaštva); Izviđaj (krivična prijava, prijavljivanje krivičnih djela od strane građana, ovlašćenja i radnje policije); Prethodni postupak - istraga; Optužnica, sadržaj optužnice i preispitivanje optužnice; Glavni pretres i presuda (javnost glavnog pretresa, rukovođenje glavnim pretresom); Dokazni postupak (izvođenje dokaza, saslušanje svjedoka i vještaka); Presuda (izricanje presude, vrste presuda); Postupak po pravnim ljekovima (redovni pravni lijek, vanredni pravni ljekovi).</w:t>
      </w:r>
    </w:p>
    <w:p w:rsidR="0041059E" w:rsidRPr="002D4334" w:rsidRDefault="0041059E">
      <w:pPr>
        <w:rPr>
          <w:rFonts w:asciiTheme="majorHAnsi" w:hAnsiTheme="majorHAnsi"/>
          <w:sz w:val="24"/>
          <w:szCs w:val="24"/>
        </w:rPr>
      </w:pPr>
    </w:p>
    <w:sectPr w:rsidR="0041059E" w:rsidRPr="002D4334">
      <w:headerReference w:type="even" r:id="rId5"/>
      <w:headerReference w:type="default" r:id="rId6"/>
      <w:footerReference w:type="even" r:id="rId7"/>
      <w:pgSz w:w="11906" w:h="16838"/>
      <w:pgMar w:top="850" w:right="850" w:bottom="850" w:left="850" w:header="567" w:footer="567"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00000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000000" w:rsidRDefault="002D4334">
          <w:pPr>
            <w:pStyle w:val="Fotter"/>
          </w:pPr>
          <w:hyperlink w:anchor="http___www_katalogpropisa_me" w:history="1">
            <w:r>
              <w:rPr>
                <w:rStyle w:val="Hyperlink"/>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000000" w:rsidRDefault="002D4334">
          <w:pPr>
            <w:pStyle w:val="Fotter"/>
            <w:jc w:val="right"/>
          </w:pPr>
          <w:r>
            <w:fldChar w:fldCharType="begin"/>
          </w:r>
          <w:r>
            <w:instrText>PAGE</w:instrText>
          </w:r>
          <w:r>
            <w:fldChar w:fldCharType="separate"/>
          </w:r>
          <w:r>
            <w:rPr>
              <w:noProof/>
            </w:rPr>
            <w:t>2</w:t>
          </w:r>
          <w: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334">
    <w:pPr>
      <w:pStyle w:val="Header"/>
    </w:pPr>
    <w:r>
      <w:t>Katalog propisa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C41055" w:rsidRDefault="002D4334" w:rsidP="00C41055">
    <w:pPr>
      <w:pStyle w:val="Heade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19"/>
    <w:rsid w:val="002D4334"/>
    <w:rsid w:val="0041059E"/>
    <w:rsid w:val="006F0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F0219"/>
    <w:pPr>
      <w:autoSpaceDE w:val="0"/>
      <w:autoSpaceDN w:val="0"/>
      <w:adjustRightInd w:val="0"/>
      <w:spacing w:after="0" w:line="240" w:lineRule="auto"/>
    </w:pPr>
    <w:rPr>
      <w:rFonts w:ascii="Times New Roman" w:eastAsiaTheme="minorEastAsia" w:hAnsi="Times New Roman" w:cs="Times New Roman"/>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21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rsid w:val="006F0219"/>
    <w:rPr>
      <w:rFonts w:ascii="Verdana" w:eastAsiaTheme="minorEastAsia" w:hAnsi="Verdana" w:cs="Verdana"/>
      <w:b/>
      <w:bCs/>
      <w:color w:val="4682B4"/>
      <w:sz w:val="18"/>
      <w:szCs w:val="18"/>
      <w:lang w:eastAsia="en-GB"/>
    </w:rPr>
  </w:style>
  <w:style w:type="character" w:styleId="Hyperlink">
    <w:name w:val="Hyperlink"/>
    <w:basedOn w:val="DefaultParagraphFont"/>
    <w:uiPriority w:val="99"/>
    <w:rsid w:val="006F0219"/>
  </w:style>
  <w:style w:type="paragraph" w:customStyle="1" w:styleId="N01X">
    <w:name w:val="N01X"/>
    <w:basedOn w:val="Normal"/>
    <w:uiPriority w:val="99"/>
    <w:rsid w:val="006F0219"/>
    <w:pPr>
      <w:spacing w:before="200" w:after="200"/>
      <w:jc w:val="center"/>
    </w:pPr>
    <w:rPr>
      <w:b/>
      <w:bCs/>
      <w:sz w:val="24"/>
      <w:szCs w:val="24"/>
    </w:rPr>
  </w:style>
  <w:style w:type="paragraph" w:customStyle="1" w:styleId="Fotter">
    <w:name w:val="Fotter"/>
    <w:basedOn w:val="Normal"/>
    <w:uiPriority w:val="99"/>
    <w:rsid w:val="006F0219"/>
    <w:rPr>
      <w:rFonts w:ascii="Verdana" w:hAnsi="Verdana" w:cs="Verdana"/>
      <w:b/>
      <w:bCs/>
      <w:color w:val="4682B4"/>
      <w:sz w:val="18"/>
      <w:szCs w:val="18"/>
    </w:rPr>
  </w:style>
  <w:style w:type="paragraph" w:customStyle="1" w:styleId="T30X">
    <w:name w:val="T30X"/>
    <w:basedOn w:val="Normal"/>
    <w:uiPriority w:val="99"/>
    <w:rsid w:val="006F0219"/>
    <w:pPr>
      <w:spacing w:before="60" w:after="60"/>
      <w:ind w:firstLine="283"/>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F0219"/>
    <w:pPr>
      <w:autoSpaceDE w:val="0"/>
      <w:autoSpaceDN w:val="0"/>
      <w:adjustRightInd w:val="0"/>
      <w:spacing w:after="0" w:line="240" w:lineRule="auto"/>
    </w:pPr>
    <w:rPr>
      <w:rFonts w:ascii="Times New Roman" w:eastAsiaTheme="minorEastAsia" w:hAnsi="Times New Roman" w:cs="Times New Roman"/>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21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rsid w:val="006F0219"/>
    <w:rPr>
      <w:rFonts w:ascii="Verdana" w:eastAsiaTheme="minorEastAsia" w:hAnsi="Verdana" w:cs="Verdana"/>
      <w:b/>
      <w:bCs/>
      <w:color w:val="4682B4"/>
      <w:sz w:val="18"/>
      <w:szCs w:val="18"/>
      <w:lang w:eastAsia="en-GB"/>
    </w:rPr>
  </w:style>
  <w:style w:type="character" w:styleId="Hyperlink">
    <w:name w:val="Hyperlink"/>
    <w:basedOn w:val="DefaultParagraphFont"/>
    <w:uiPriority w:val="99"/>
    <w:rsid w:val="006F0219"/>
  </w:style>
  <w:style w:type="paragraph" w:customStyle="1" w:styleId="N01X">
    <w:name w:val="N01X"/>
    <w:basedOn w:val="Normal"/>
    <w:uiPriority w:val="99"/>
    <w:rsid w:val="006F0219"/>
    <w:pPr>
      <w:spacing w:before="200" w:after="200"/>
      <w:jc w:val="center"/>
    </w:pPr>
    <w:rPr>
      <w:b/>
      <w:bCs/>
      <w:sz w:val="24"/>
      <w:szCs w:val="24"/>
    </w:rPr>
  </w:style>
  <w:style w:type="paragraph" w:customStyle="1" w:styleId="Fotter">
    <w:name w:val="Fotter"/>
    <w:basedOn w:val="Normal"/>
    <w:uiPriority w:val="99"/>
    <w:rsid w:val="006F0219"/>
    <w:rPr>
      <w:rFonts w:ascii="Verdana" w:hAnsi="Verdana" w:cs="Verdana"/>
      <w:b/>
      <w:bCs/>
      <w:color w:val="4682B4"/>
      <w:sz w:val="18"/>
      <w:szCs w:val="18"/>
    </w:rPr>
  </w:style>
  <w:style w:type="paragraph" w:customStyle="1" w:styleId="T30X">
    <w:name w:val="T30X"/>
    <w:basedOn w:val="Normal"/>
    <w:uiPriority w:val="99"/>
    <w:rsid w:val="006F0219"/>
    <w:pPr>
      <w:spacing w:before="60" w:after="60"/>
      <w:ind w:firstLine="283"/>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aida.bojadzic</dc:creator>
  <cp:lastModifiedBy>aida.bojadzic</cp:lastModifiedBy>
  <cp:revision>2</cp:revision>
  <dcterms:created xsi:type="dcterms:W3CDTF">2017-10-30T12:39:00Z</dcterms:created>
  <dcterms:modified xsi:type="dcterms:W3CDTF">2017-10-30T12:41:00Z</dcterms:modified>
</cp:coreProperties>
</file>