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5D48A0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 w:rsidRPr="0020440D">
        <w:rPr>
          <w:rFonts w:cs="Calibri"/>
          <w:b/>
          <w:bCs/>
          <w:noProof/>
          <w:sz w:val="32"/>
          <w:szCs w:val="32"/>
        </w:rPr>
        <w:t>Novembar</w:t>
      </w:r>
      <w:r w:rsidR="007D0106" w:rsidRPr="0020440D">
        <w:rPr>
          <w:rFonts w:cs="Calibri"/>
          <w:b/>
          <w:bCs/>
          <w:noProof/>
          <w:sz w:val="32"/>
          <w:szCs w:val="32"/>
        </w:rPr>
        <w:t xml:space="preserve"> </w:t>
      </w:r>
      <w:r w:rsidR="006D2B20" w:rsidRPr="0020440D">
        <w:rPr>
          <w:rFonts w:cs="Calibri"/>
          <w:b/>
          <w:bCs/>
          <w:noProof/>
          <w:sz w:val="32"/>
          <w:szCs w:val="32"/>
        </w:rPr>
        <w:t>2014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20440D" w:rsidRDefault="000963C2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0963C2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4pt;margin-top:5in;width:252.6pt;height:338pt;rotation:-360;z-index:-251657728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B4049" w:rsidRDefault="00DB4049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DB4049" w:rsidRDefault="00DB4049" w:rsidP="00E2362B">
                  <w:pPr>
                    <w:pStyle w:val="NoSpacing"/>
                    <w:ind w:left="851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DB4049" w:rsidRPr="00200602" w:rsidRDefault="00DB4049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jc w:val="both"/>
                    <w:rPr>
                      <w:b/>
                      <w:bCs/>
                      <w:color w:val="000000"/>
                      <w:lang w:val="pl-PL"/>
                    </w:rPr>
                  </w:pPr>
                  <w:r w:rsidRPr="00200602">
                    <w:rPr>
                      <w:b/>
                      <w:bCs/>
                      <w:color w:val="000000"/>
                      <w:lang w:val="pl-PL"/>
                    </w:rPr>
                    <w:t>Cijena nafte se spustila ispod 70 USD/barell</w:t>
                  </w:r>
                </w:p>
                <w:p w:rsidR="00DB4049" w:rsidRPr="00200602" w:rsidRDefault="00DB4049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jc w:val="both"/>
                    <w:rPr>
                      <w:b/>
                      <w:bCs/>
                      <w:color w:val="000000"/>
                      <w:lang w:val="pl-PL"/>
                    </w:rPr>
                  </w:pPr>
                  <w:r w:rsidRPr="00200602">
                    <w:rPr>
                      <w:b/>
                    </w:rPr>
                    <w:t>Povoljni vremenski uslovi uticali su na dobru posjetu turista u oktobru 2014.</w:t>
                  </w:r>
                </w:p>
                <w:p w:rsidR="00DB4049" w:rsidRDefault="00DB4049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suppressOverlap/>
                    <w:jc w:val="both"/>
                    <w:rPr>
                      <w:b/>
                      <w:bCs/>
                      <w:color w:val="000000"/>
                      <w:lang w:val="pl-PL"/>
                    </w:rPr>
                  </w:pPr>
                  <w:r w:rsidRPr="00200602">
                    <w:rPr>
                      <w:b/>
                      <w:bCs/>
                      <w:color w:val="000000"/>
                      <w:lang w:val="pl-PL"/>
                    </w:rPr>
                    <w:t>Građevinarstvo, nakon dva uzastopna kvartala rasta, u trećem kvartalu bilježi pad vrijednosti izvršenih građevinskih radova od 5,5%.</w:t>
                  </w:r>
                </w:p>
                <w:p w:rsidR="00DB4049" w:rsidRDefault="00DB4049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suppressOverlap/>
                    <w:jc w:val="both"/>
                    <w:rPr>
                      <w:b/>
                      <w:bCs/>
                      <w:color w:val="000000"/>
                      <w:lang w:val="pl-PL"/>
                    </w:rPr>
                  </w:pPr>
                  <w:r w:rsidRPr="00200602">
                    <w:rPr>
                      <w:b/>
                      <w:bCs/>
                      <w:color w:val="000000"/>
                      <w:lang w:val="pl-PL"/>
                    </w:rPr>
                    <w:t>Broj zaposlenih u oktobru 2014. je iznosio 172.306, i povećan je 1,9% g-n-g</w:t>
                  </w:r>
                </w:p>
                <w:p w:rsidR="00DB4049" w:rsidRPr="00200602" w:rsidRDefault="00DB4049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suppressOverlap/>
                    <w:jc w:val="both"/>
                    <w:rPr>
                      <w:b/>
                      <w:bCs/>
                      <w:color w:val="000000"/>
                      <w:lang w:val="pl-PL"/>
                    </w:rPr>
                  </w:pPr>
                  <w:r w:rsidRPr="00200602">
                    <w:rPr>
                      <w:b/>
                      <w:bCs/>
                      <w:color w:val="000000"/>
                      <w:lang w:val="pl-PL"/>
                    </w:rPr>
                    <w:t>Izvorni prihodi budžeta Crne Gore u oktobru 2014. ostvareni su u iznosu od 158,2 mil.€ što je za 33,2 % više u odnosu na oktobar 2013</w:t>
                  </w:r>
                </w:p>
                <w:p w:rsidR="00DB4049" w:rsidRPr="00200602" w:rsidRDefault="00DB4049" w:rsidP="00E72ABE">
                  <w:pPr>
                    <w:pStyle w:val="NoSpacing"/>
                    <w:numPr>
                      <w:ilvl w:val="0"/>
                      <w:numId w:val="29"/>
                    </w:numPr>
                    <w:spacing w:after="120"/>
                    <w:ind w:left="567" w:hanging="425"/>
                    <w:jc w:val="both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200602">
                    <w:rPr>
                      <w:b/>
                      <w:bCs/>
                      <w:color w:val="000000"/>
                      <w:lang w:val="pl-PL"/>
                    </w:rPr>
                    <w:t>Pad neto SDI u periodu jan-sept 2014. od 7%, iako je u septembru ostvaren maksimalni priliv od početka godine</w:t>
                  </w:r>
                </w:p>
                <w:p w:rsidR="00DB4049" w:rsidRPr="00DD1A3B" w:rsidRDefault="00DB4049" w:rsidP="005161CB">
                  <w:pPr>
                    <w:pStyle w:val="NoSpacing"/>
                    <w:spacing w:after="120"/>
                    <w:ind w:left="142"/>
                    <w:jc w:val="both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DB4049" w:rsidRPr="005D48A0" w:rsidRDefault="00DB4049" w:rsidP="005D48A0">
                  <w:pPr>
                    <w:pStyle w:val="NoSpacing"/>
                    <w:spacing w:after="120"/>
                    <w:jc w:val="both"/>
                    <w:rPr>
                      <w:rFonts w:asciiTheme="minorHAnsi" w:hAnsiTheme="minorHAnsi" w:cstheme="minorHAnsi"/>
                      <w:b/>
                      <w:sz w:val="32"/>
                      <w:szCs w:val="24"/>
                      <w:lang w:eastAsia="sr-Latn-CS"/>
                    </w:rPr>
                  </w:pPr>
                </w:p>
                <w:p w:rsidR="00DB4049" w:rsidRDefault="00DB4049"/>
                <w:p w:rsidR="00DB4049" w:rsidRDefault="00DB4049"/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85138D" w:rsidP="00D61692">
      <w:pPr>
        <w:pStyle w:val="NoSpacing"/>
        <w:rPr>
          <w:bCs/>
          <w:iCs/>
          <w:noProof/>
          <w:sz w:val="26"/>
          <w:szCs w:val="26"/>
        </w:rPr>
      </w:pPr>
      <w:r w:rsidRPr="0020440D">
        <w:rPr>
          <w:bCs/>
          <w:iCs/>
          <w:noProof/>
          <w:sz w:val="26"/>
          <w:szCs w:val="26"/>
        </w:rPr>
        <w:t xml:space="preserve">          </w:t>
      </w:r>
    </w:p>
    <w:p w:rsidR="0082570B" w:rsidRPr="0020440D" w:rsidRDefault="0085138D" w:rsidP="00694445">
      <w:pPr>
        <w:pStyle w:val="NoSpacing"/>
        <w:rPr>
          <w:bCs/>
          <w:noProof/>
          <w:sz w:val="28"/>
          <w:szCs w:val="20"/>
        </w:rPr>
      </w:pPr>
      <w:r w:rsidRPr="0020440D">
        <w:rPr>
          <w:bCs/>
          <w:noProof/>
          <w:sz w:val="28"/>
          <w:szCs w:val="20"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b/>
          <w:bCs/>
          <w:noProof/>
          <w:color w:val="000000"/>
          <w:sz w:val="16"/>
          <w:szCs w:val="16"/>
        </w:rPr>
      </w:pPr>
    </w:p>
    <w:p w:rsidR="0082570B" w:rsidRPr="0020440D" w:rsidRDefault="0082570B" w:rsidP="003324D9">
      <w:pPr>
        <w:pStyle w:val="NoSpacing"/>
        <w:rPr>
          <w:b/>
          <w:bCs/>
          <w:noProof/>
          <w:color w:val="000000"/>
          <w:sz w:val="16"/>
          <w:szCs w:val="16"/>
        </w:rPr>
      </w:pPr>
    </w:p>
    <w:p w:rsidR="0082570B" w:rsidRPr="0020440D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074D69" w:rsidRPr="0020440D">
        <w:rPr>
          <w:bCs/>
          <w:noProof/>
          <w:color w:val="000000"/>
          <w:sz w:val="16"/>
          <w:szCs w:val="16"/>
        </w:rPr>
        <w:t xml:space="preserve"> </w:t>
      </w:r>
      <w:r w:rsidR="00423EE9" w:rsidRPr="0020440D">
        <w:rPr>
          <w:bCs/>
          <w:noProof/>
          <w:color w:val="000000"/>
          <w:sz w:val="16"/>
          <w:szCs w:val="16"/>
        </w:rPr>
        <w:t>Stanko Jeknić</w:t>
      </w:r>
      <w:r w:rsidR="002A2CED" w:rsidRPr="0020440D">
        <w:rPr>
          <w:bCs/>
          <w:noProof/>
          <w:color w:val="000000"/>
          <w:sz w:val="16"/>
          <w:szCs w:val="16"/>
        </w:rPr>
        <w:t>,</w:t>
      </w:r>
      <w:r w:rsidR="00423EE9" w:rsidRPr="0020440D">
        <w:rPr>
          <w:bCs/>
          <w:noProof/>
          <w:color w:val="000000"/>
          <w:sz w:val="16"/>
          <w:szCs w:val="16"/>
        </w:rPr>
        <w:t xml:space="preserve"> </w:t>
      </w:r>
      <w:r w:rsidR="00C646AC" w:rsidRPr="0020440D">
        <w:rPr>
          <w:bCs/>
          <w:noProof/>
          <w:color w:val="000000"/>
          <w:sz w:val="16"/>
          <w:szCs w:val="16"/>
        </w:rPr>
        <w:t xml:space="preserve">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</w:t>
      </w:r>
      <w:r w:rsidR="00F03604" w:rsidRPr="0020440D">
        <w:rPr>
          <w:bCs/>
          <w:noProof/>
          <w:color w:val="000000"/>
          <w:sz w:val="16"/>
          <w:szCs w:val="16"/>
        </w:rPr>
        <w:t xml:space="preserve"> </w:t>
      </w:r>
      <w:r w:rsidR="002A2CED" w:rsidRPr="0020440D">
        <w:rPr>
          <w:bCs/>
          <w:noProof/>
          <w:color w:val="000000"/>
          <w:sz w:val="16"/>
          <w:szCs w:val="16"/>
        </w:rPr>
        <w:t>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,Vesna Obradović</w:t>
      </w:r>
    </w:p>
    <w:p w:rsidR="00A67F78" w:rsidRPr="0020440D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A67F78" w:rsidRPr="0020440D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A67F78" w:rsidRPr="0020440D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A67F78" w:rsidRPr="0020440D" w:rsidRDefault="00A67F78" w:rsidP="00A423C3">
      <w:pPr>
        <w:pStyle w:val="NoSpacing"/>
        <w:outlineLvl w:val="0"/>
        <w:rPr>
          <w:noProof/>
        </w:rPr>
      </w:pPr>
    </w:p>
    <w:tbl>
      <w:tblPr>
        <w:tblpPr w:leftFromText="180" w:rightFromText="180" w:vertAnchor="text" w:tblpX="108" w:tblpY="1"/>
        <w:tblOverlap w:val="never"/>
        <w:tblW w:w="10716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6930"/>
        <w:gridCol w:w="3644"/>
        <w:gridCol w:w="142"/>
      </w:tblGrid>
      <w:tr w:rsidR="0082570B" w:rsidRPr="0020440D" w:rsidTr="00677E65">
        <w:trPr>
          <w:gridAfter w:val="1"/>
          <w:wAfter w:w="142" w:type="dxa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20440D" w:rsidRDefault="005065E6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noProof/>
                <w:color w:val="000000"/>
                <w:sz w:val="20"/>
                <w:szCs w:val="20"/>
                <w:lang w:eastAsia="en-US"/>
              </w:rPr>
            </w:pPr>
            <w:r w:rsidRPr="0020440D">
              <w:rPr>
                <w:rFonts w:eastAsia="Times New Roman"/>
                <w:b/>
                <w:noProof/>
                <w:color w:val="000000"/>
                <w:sz w:val="20"/>
                <w:szCs w:val="20"/>
                <w:lang w:eastAsia="en-US"/>
              </w:rPr>
              <w:t>Međunarodno okruženje</w:t>
            </w:r>
          </w:p>
        </w:tc>
        <w:tc>
          <w:tcPr>
            <w:tcW w:w="3652" w:type="dxa"/>
            <w:vMerge w:val="restart"/>
            <w:tcBorders>
              <w:bottom w:val="nil"/>
            </w:tcBorders>
            <w:vAlign w:val="center"/>
          </w:tcPr>
          <w:p w:rsidR="0082570B" w:rsidRPr="0020440D" w:rsidRDefault="003804E7" w:rsidP="001D21BD">
            <w:pPr>
              <w:spacing w:after="0" w:line="240" w:lineRule="auto"/>
              <w:jc w:val="center"/>
              <w:rPr>
                <w:rFonts w:cs="Calibri"/>
                <w:noProof/>
                <w:color w:val="000000"/>
                <w:sz w:val="20"/>
                <w:szCs w:val="20"/>
              </w:rPr>
            </w:pPr>
            <w:r w:rsidRPr="003804E7">
              <w:rPr>
                <w:rFonts w:cs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124000" cy="2196000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2570B" w:rsidRPr="0020440D" w:rsidTr="00C93695">
        <w:trPr>
          <w:gridAfter w:val="1"/>
          <w:wAfter w:w="142" w:type="dxa"/>
          <w:trHeight w:hRule="exact" w:val="3366"/>
        </w:trPr>
        <w:tc>
          <w:tcPr>
            <w:tcW w:w="6946" w:type="dxa"/>
            <w:tcBorders>
              <w:top w:val="single" w:sz="4" w:space="0" w:color="auto"/>
            </w:tcBorders>
          </w:tcPr>
          <w:p w:rsidR="00C93695" w:rsidRPr="0020440D" w:rsidRDefault="00A6119A" w:rsidP="00C93695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Cijena </w:t>
            </w:r>
            <w:r w:rsidR="003804E7">
              <w:rPr>
                <w:noProof/>
                <w:sz w:val="20"/>
                <w:szCs w:val="20"/>
              </w:rPr>
              <w:t xml:space="preserve">brent sirove </w:t>
            </w:r>
            <w:r>
              <w:rPr>
                <w:noProof/>
                <w:sz w:val="20"/>
                <w:szCs w:val="20"/>
              </w:rPr>
              <w:t xml:space="preserve">nafte se krajem novembra nakratko spustila ispod 70USD/barrel, što je najniža cijena u posljednjih </w:t>
            </w:r>
            <w:r w:rsidR="009050F4">
              <w:rPr>
                <w:noProof/>
                <w:sz w:val="20"/>
                <w:szCs w:val="20"/>
              </w:rPr>
              <w:t>četiri godine</w:t>
            </w:r>
            <w:r>
              <w:rPr>
                <w:noProof/>
                <w:sz w:val="20"/>
                <w:szCs w:val="20"/>
              </w:rPr>
              <w:t>.</w:t>
            </w:r>
            <w:r w:rsidR="003804E7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Ugovori za buduće isporuke (futures) predviđaju još nižu cijenu od ove. Cije</w:t>
            </w:r>
            <w:r w:rsidR="003804E7">
              <w:rPr>
                <w:noProof/>
                <w:sz w:val="20"/>
                <w:szCs w:val="20"/>
              </w:rPr>
              <w:t>na se o</w:t>
            </w:r>
            <w:r>
              <w:rPr>
                <w:noProof/>
                <w:sz w:val="20"/>
                <w:szCs w:val="20"/>
              </w:rPr>
              <w:t>d kraja juna 2014</w:t>
            </w:r>
            <w:r w:rsidR="00E9050A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 xml:space="preserve"> spustila za više od 35% u dolarskim cijenama ili za oko </w:t>
            </w:r>
            <w:r w:rsidR="003804E7">
              <w:rPr>
                <w:noProof/>
                <w:sz w:val="20"/>
                <w:szCs w:val="20"/>
              </w:rPr>
              <w:t>30% u eurima. Nekoliko je razloga ovog pada. Na strani ponude američki bum u proizvodnji nafte od škriljaca, ponovno pojavljivanje ponude libijske nafte i nemogućnost ili nevoljnost OPEC-a da smanji proizvodnju i isporuke. Na strani tražnje glavni uzrok pada cijena je smanjena tražnja zbog usporavanja ekonomske aktivnosti Kine i stagnacij</w:t>
            </w:r>
            <w:r w:rsidR="009050F4">
              <w:rPr>
                <w:noProof/>
                <w:sz w:val="20"/>
                <w:szCs w:val="20"/>
              </w:rPr>
              <w:t>e</w:t>
            </w:r>
            <w:r w:rsidR="003804E7">
              <w:rPr>
                <w:noProof/>
                <w:sz w:val="20"/>
                <w:szCs w:val="20"/>
              </w:rPr>
              <w:t xml:space="preserve"> ili slabog rasta u Eurozoni</w:t>
            </w:r>
            <w:r w:rsidR="00CA7058">
              <w:rPr>
                <w:noProof/>
                <w:sz w:val="20"/>
                <w:szCs w:val="20"/>
              </w:rPr>
              <w:t xml:space="preserve"> i Japanu </w:t>
            </w:r>
            <w:r w:rsidR="003804E7">
              <w:rPr>
                <w:noProof/>
                <w:sz w:val="20"/>
                <w:szCs w:val="20"/>
              </w:rPr>
              <w:t>. Ovo je velika preraspodjela bogatstva jer zemlje proizvođači gube prihode, dok zemlje uvoznici dobijaju snažan stimulans jer kompanije smanjuju troškove, a potrošači povećavaju raspoloživi dohodak kroz smanjenje troškova , a time i poticaj za povećanje potrošnje na drugoj strani.</w:t>
            </w:r>
          </w:p>
          <w:p w:rsidR="00C93695" w:rsidRPr="0020440D" w:rsidRDefault="00C93695" w:rsidP="00C93695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nil"/>
            </w:tcBorders>
            <w:vAlign w:val="center"/>
          </w:tcPr>
          <w:p w:rsidR="0082570B" w:rsidRPr="0020440D" w:rsidRDefault="0082570B" w:rsidP="001D21BD">
            <w:pPr>
              <w:spacing w:after="0" w:line="240" w:lineRule="auto"/>
              <w:ind w:left="34" w:hanging="34"/>
              <w:rPr>
                <w:rFonts w:cs="Calibri"/>
                <w:noProof/>
                <w:color w:val="000000"/>
                <w:sz w:val="20"/>
                <w:szCs w:val="20"/>
              </w:rPr>
            </w:pPr>
          </w:p>
        </w:tc>
      </w:tr>
      <w:tr w:rsidR="0082570B" w:rsidRPr="0020440D" w:rsidTr="00677E65">
        <w:trPr>
          <w:gridAfter w:val="1"/>
          <w:wAfter w:w="14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20440D" w:rsidRDefault="008A31C0" w:rsidP="00677E65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Style w:val="CaptionChar"/>
                <w:noProof/>
              </w:rPr>
            </w:pPr>
            <w:r w:rsidRPr="0020440D">
              <w:rPr>
                <w:rStyle w:val="CaptionChar"/>
                <w:noProof/>
              </w:rPr>
              <w:t>Realni sektor</w:t>
            </w:r>
          </w:p>
        </w:tc>
        <w:tc>
          <w:tcPr>
            <w:tcW w:w="3652" w:type="dxa"/>
            <w:vMerge w:val="restart"/>
            <w:vAlign w:val="center"/>
          </w:tcPr>
          <w:p w:rsidR="0082570B" w:rsidRPr="0020440D" w:rsidRDefault="00AC5FC3" w:rsidP="009E51BC">
            <w:pPr>
              <w:spacing w:after="0" w:line="240" w:lineRule="auto"/>
              <w:ind w:left="-250"/>
              <w:jc w:val="center"/>
              <w:rPr>
                <w:noProof/>
              </w:rPr>
            </w:pPr>
            <w:r w:rsidRPr="00AC5FC3">
              <w:rPr>
                <w:noProof/>
              </w:rPr>
              <w:drawing>
                <wp:inline distT="0" distB="0" distL="0" distR="0">
                  <wp:extent cx="2232000" cy="2232000"/>
                  <wp:effectExtent l="0" t="0" r="0" b="0"/>
                  <wp:docPr id="5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DE587D" w:rsidRPr="0020440D" w:rsidTr="00B16A6B">
        <w:trPr>
          <w:gridAfter w:val="1"/>
          <w:wAfter w:w="142" w:type="dxa"/>
          <w:trHeight w:hRule="exact" w:val="3718"/>
        </w:trPr>
        <w:tc>
          <w:tcPr>
            <w:tcW w:w="6946" w:type="dxa"/>
            <w:tcBorders>
              <w:top w:val="single" w:sz="4" w:space="0" w:color="auto"/>
            </w:tcBorders>
          </w:tcPr>
          <w:p w:rsidR="00193080" w:rsidRDefault="00193080" w:rsidP="0019308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Povoljni vremenski uslovi uticali su na dobru posjetu turista u oktobru</w:t>
            </w:r>
            <w:r w:rsidR="002B77D8">
              <w:rPr>
                <w:b/>
                <w:sz w:val="20"/>
                <w:szCs w:val="20"/>
              </w:rPr>
              <w:t xml:space="preserve"> 2014.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50DCD">
              <w:rPr>
                <w:sz w:val="20"/>
                <w:szCs w:val="20"/>
              </w:rPr>
              <w:t>Crn</w:t>
            </w:r>
            <w:r w:rsidR="002B77D8">
              <w:rPr>
                <w:sz w:val="20"/>
                <w:szCs w:val="20"/>
              </w:rPr>
              <w:t>u Goru</w:t>
            </w:r>
            <w:r>
              <w:rPr>
                <w:sz w:val="20"/>
                <w:szCs w:val="20"/>
              </w:rPr>
              <w:t xml:space="preserve"> je u oktobru </w:t>
            </w:r>
            <w:r w:rsidR="002B77D8">
              <w:rPr>
                <w:sz w:val="20"/>
                <w:szCs w:val="20"/>
              </w:rPr>
              <w:t>posjetilo</w:t>
            </w:r>
            <w:r>
              <w:rPr>
                <w:sz w:val="20"/>
                <w:szCs w:val="20"/>
              </w:rPr>
              <w:t xml:space="preserve"> 47,1 hilj.</w:t>
            </w:r>
            <w:r w:rsidR="00575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tu</w:t>
            </w:r>
            <w:r w:rsidRPr="00650DCD">
              <w:rPr>
                <w:sz w:val="20"/>
                <w:szCs w:val="20"/>
              </w:rPr>
              <w:t>rista i ostvareno 193,0 hilj.</w:t>
            </w:r>
            <w:r w:rsidR="00575E14">
              <w:rPr>
                <w:sz w:val="20"/>
                <w:szCs w:val="20"/>
              </w:rPr>
              <w:t xml:space="preserve"> </w:t>
            </w:r>
            <w:r w:rsidRPr="00650DCD">
              <w:rPr>
                <w:sz w:val="20"/>
                <w:szCs w:val="20"/>
              </w:rPr>
              <w:t>noćenja, što je rast od 4,1 i 4,2%</w:t>
            </w:r>
            <w:r>
              <w:rPr>
                <w:sz w:val="20"/>
                <w:szCs w:val="20"/>
              </w:rPr>
              <w:t xml:space="preserve"> g-n-g</w:t>
            </w:r>
            <w:r w:rsidRPr="00650DCD">
              <w:rPr>
                <w:sz w:val="20"/>
                <w:szCs w:val="20"/>
              </w:rPr>
              <w:t>, respek</w:t>
            </w:r>
            <w:r>
              <w:rPr>
                <w:sz w:val="20"/>
                <w:szCs w:val="20"/>
              </w:rPr>
              <w:t xml:space="preserve">tivno. Najbrojniji su bili gosti </w:t>
            </w:r>
            <w:r w:rsidRPr="00650DCD">
              <w:rPr>
                <w:sz w:val="20"/>
                <w:szCs w:val="20"/>
              </w:rPr>
              <w:t xml:space="preserve">iz Rusije sa 12,7% od ukupnih dolazaka i 26,2% </w:t>
            </w:r>
            <w:r w:rsidR="00314EC3">
              <w:rPr>
                <w:sz w:val="20"/>
                <w:szCs w:val="20"/>
              </w:rPr>
              <w:t xml:space="preserve">od </w:t>
            </w:r>
            <w:r w:rsidRPr="00650DCD">
              <w:rPr>
                <w:sz w:val="20"/>
                <w:szCs w:val="20"/>
              </w:rPr>
              <w:t>ukupnih noćenja i gosti iz Srbije sa 10,5% od ukupnih dolazaka i 12,5% od ukupnih noćenja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650DCD">
              <w:rPr>
                <w:sz w:val="20"/>
                <w:szCs w:val="20"/>
              </w:rPr>
              <w:t>Industrijska proizvodnja u oktobru bilježi rast 8,2% g-n-g, kao rezultat rasta u svim sektorima</w:t>
            </w:r>
            <w:r>
              <w:rPr>
                <w:sz w:val="20"/>
                <w:szCs w:val="20"/>
              </w:rPr>
              <w:t xml:space="preserve"> </w:t>
            </w:r>
            <w:r w:rsidRPr="00650DC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„</w:t>
            </w:r>
            <w:r w:rsidRPr="00650DCD">
              <w:rPr>
                <w:sz w:val="20"/>
                <w:szCs w:val="20"/>
              </w:rPr>
              <w:t>vađenje rude i kamena</w:t>
            </w:r>
            <w:r>
              <w:rPr>
                <w:sz w:val="20"/>
                <w:szCs w:val="20"/>
              </w:rPr>
              <w:t>“</w:t>
            </w:r>
            <w:r w:rsidRPr="00650DCD">
              <w:rPr>
                <w:sz w:val="20"/>
                <w:szCs w:val="20"/>
              </w:rPr>
              <w:t xml:space="preserve"> 8,6%</w:t>
            </w:r>
            <w:r w:rsidR="00787851">
              <w:rPr>
                <w:sz w:val="20"/>
                <w:szCs w:val="20"/>
              </w:rPr>
              <w:t>,</w:t>
            </w:r>
            <w:r w:rsidRPr="00650D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650DCD">
              <w:rPr>
                <w:sz w:val="20"/>
                <w:szCs w:val="20"/>
              </w:rPr>
              <w:t>prerađivačka industrija</w:t>
            </w:r>
            <w:r>
              <w:rPr>
                <w:sz w:val="20"/>
                <w:szCs w:val="20"/>
              </w:rPr>
              <w:t>“</w:t>
            </w:r>
            <w:r w:rsidRPr="00650DCD">
              <w:rPr>
                <w:sz w:val="20"/>
                <w:szCs w:val="20"/>
              </w:rPr>
              <w:t xml:space="preserve"> 0,3% i </w:t>
            </w:r>
            <w:r>
              <w:rPr>
                <w:sz w:val="20"/>
                <w:szCs w:val="20"/>
              </w:rPr>
              <w:t>„snabdijeva</w:t>
            </w:r>
            <w:r w:rsidR="00991897">
              <w:rPr>
                <w:sz w:val="20"/>
                <w:szCs w:val="20"/>
              </w:rPr>
              <w:t>nje ele</w:t>
            </w:r>
            <w:r>
              <w:rPr>
                <w:sz w:val="20"/>
                <w:szCs w:val="20"/>
              </w:rPr>
              <w:t>ktričnom energijom, gasom i parom“</w:t>
            </w:r>
            <w:r w:rsidRPr="00650DCD">
              <w:rPr>
                <w:sz w:val="20"/>
                <w:szCs w:val="20"/>
              </w:rPr>
              <w:t xml:space="preserve"> 16,3%)</w:t>
            </w:r>
            <w:r>
              <w:rPr>
                <w:sz w:val="20"/>
                <w:szCs w:val="20"/>
              </w:rPr>
              <w:t>.</w:t>
            </w:r>
            <w:r w:rsidRPr="006146CA">
              <w:rPr>
                <w:sz w:val="20"/>
                <w:szCs w:val="20"/>
              </w:rPr>
              <w:t xml:space="preserve"> </w:t>
            </w:r>
            <w:r w:rsidR="00B16A6B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ast sektora „vađenje rude i kamena“ </w:t>
            </w:r>
            <w:r w:rsidR="00B16A6B">
              <w:rPr>
                <w:sz w:val="20"/>
                <w:szCs w:val="20"/>
              </w:rPr>
              <w:t>opredijeljen je</w:t>
            </w:r>
            <w:r>
              <w:rPr>
                <w:sz w:val="20"/>
                <w:szCs w:val="20"/>
              </w:rPr>
              <w:t xml:space="preserve"> rast</w:t>
            </w:r>
            <w:r w:rsidR="00B16A6B">
              <w:rPr>
                <w:sz w:val="20"/>
                <w:szCs w:val="20"/>
              </w:rPr>
              <w:t>om</w:t>
            </w:r>
            <w:r>
              <w:rPr>
                <w:sz w:val="20"/>
                <w:szCs w:val="20"/>
              </w:rPr>
              <w:t xml:space="preserve"> u oblasti ostalo rudarstvo (120,4%), dok je blagi rast prerađivačke industrije rezultat rasta proizvodnje duvanskih proizvoda (136,7%) i osnovnih farmaceutskih proizvoda i preparata (106,6%), Građevinarstvo, nakon dva uzastopna kvartala rasta, u trećem kvartalu bilježi pad vrijednosti izvršenih građevinskih radova od 5,5%.</w:t>
            </w:r>
          </w:p>
          <w:p w:rsidR="00193080" w:rsidRPr="00B628E4" w:rsidRDefault="00193080" w:rsidP="00193080">
            <w:pPr>
              <w:jc w:val="both"/>
              <w:rPr>
                <w:rFonts w:cs="Calibri"/>
                <w:color w:val="FF0000"/>
                <w:sz w:val="20"/>
                <w:szCs w:val="20"/>
              </w:rPr>
            </w:pPr>
          </w:p>
          <w:p w:rsidR="00DE587D" w:rsidRPr="0020440D" w:rsidRDefault="00DE587D" w:rsidP="00BD2B67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3652" w:type="dxa"/>
            <w:vMerge/>
            <w:vAlign w:val="center"/>
          </w:tcPr>
          <w:p w:rsidR="00DE587D" w:rsidRPr="0020440D" w:rsidRDefault="00DE587D" w:rsidP="009E51BC">
            <w:pPr>
              <w:spacing w:after="119" w:line="240" w:lineRule="auto"/>
              <w:jc w:val="center"/>
              <w:rPr>
                <w:noProof/>
              </w:rPr>
            </w:pPr>
          </w:p>
        </w:tc>
      </w:tr>
      <w:tr w:rsidR="00DE587D" w:rsidRPr="0020440D" w:rsidTr="00677E65">
        <w:trPr>
          <w:gridAfter w:val="1"/>
          <w:wAfter w:w="14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DE587D" w:rsidRPr="0020440D" w:rsidRDefault="00DE587D" w:rsidP="00496006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20440D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Cijene</w:t>
            </w:r>
          </w:p>
        </w:tc>
        <w:tc>
          <w:tcPr>
            <w:tcW w:w="3652" w:type="dxa"/>
            <w:vMerge w:val="restart"/>
            <w:vAlign w:val="center"/>
          </w:tcPr>
          <w:p w:rsidR="00DE587D" w:rsidRPr="0020440D" w:rsidRDefault="00991897" w:rsidP="00496006">
            <w:pPr>
              <w:spacing w:after="0" w:line="240" w:lineRule="auto"/>
              <w:ind w:left="-250"/>
              <w:jc w:val="center"/>
              <w:rPr>
                <w:b/>
                <w:noProof/>
                <w:sz w:val="20"/>
                <w:szCs w:val="20"/>
              </w:rPr>
            </w:pPr>
            <w:r w:rsidRPr="00991897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232000" cy="2232000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E587D" w:rsidRPr="0020440D" w:rsidTr="00991897">
        <w:trPr>
          <w:gridAfter w:val="1"/>
          <w:wAfter w:w="142" w:type="dxa"/>
          <w:trHeight w:hRule="exact" w:val="3212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991897" w:rsidRPr="00CF4446" w:rsidRDefault="002B0705" w:rsidP="0099189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Cijene i u oktobru bilježe pad na godišnjem nivou</w:t>
            </w:r>
            <w:r w:rsidR="00991897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 </w:t>
            </w:r>
            <w:r w:rsidR="00991897">
              <w:rPr>
                <w:rFonts w:asciiTheme="minorHAnsi" w:hAnsiTheme="minorHAnsi"/>
                <w:b/>
                <w:sz w:val="20"/>
                <w:szCs w:val="20"/>
              </w:rPr>
              <w:t xml:space="preserve"> evidentno usporavanje deflacionog trenda.</w:t>
            </w:r>
            <w:r w:rsidR="00991897" w:rsidRPr="00E004B4">
              <w:rPr>
                <w:rFonts w:asciiTheme="minorHAnsi" w:hAnsiTheme="minorHAnsi"/>
                <w:sz w:val="20"/>
                <w:szCs w:val="20"/>
              </w:rPr>
              <w:t xml:space="preserve"> Mjesečna inflacija u oktobru (CPI) iznosila je 0,1%, dok je godišnja deflacija iznosila -0,5%. N</w:t>
            </w:r>
            <w:r w:rsidR="00991897" w:rsidRPr="002351D8">
              <w:rPr>
                <w:rFonts w:asciiTheme="minorHAnsi" w:hAnsiTheme="minorHAnsi"/>
                <w:sz w:val="20"/>
                <w:szCs w:val="20"/>
              </w:rPr>
              <w:t xml:space="preserve">ajveći </w:t>
            </w:r>
            <w:r w:rsidR="00991897">
              <w:rPr>
                <w:rFonts w:asciiTheme="minorHAnsi" w:hAnsiTheme="minorHAnsi"/>
                <w:sz w:val="20"/>
                <w:szCs w:val="20"/>
              </w:rPr>
              <w:t>uticaj na</w:t>
            </w:r>
            <w:r w:rsidR="00991897" w:rsidRPr="002351D8">
              <w:rPr>
                <w:rFonts w:asciiTheme="minorHAnsi" w:hAnsiTheme="minorHAnsi"/>
                <w:sz w:val="20"/>
                <w:szCs w:val="20"/>
              </w:rPr>
              <w:t xml:space="preserve"> godišnju stopu inflacije </w:t>
            </w:r>
            <w:r w:rsidR="00991897">
              <w:rPr>
                <w:rFonts w:asciiTheme="minorHAnsi" w:hAnsiTheme="minorHAnsi"/>
                <w:sz w:val="20"/>
                <w:szCs w:val="20"/>
              </w:rPr>
              <w:t>imale su</w:t>
            </w:r>
            <w:r w:rsidR="00991897" w:rsidRPr="002351D8">
              <w:rPr>
                <w:rFonts w:asciiTheme="minorHAnsi" w:hAnsiTheme="minorHAnsi"/>
                <w:sz w:val="20"/>
                <w:szCs w:val="20"/>
              </w:rPr>
              <w:t xml:space="preserve"> c</w:t>
            </w:r>
            <w:r w:rsidR="00991897">
              <w:rPr>
                <w:rFonts w:asciiTheme="minorHAnsi" w:hAnsiTheme="minorHAnsi"/>
                <w:sz w:val="20"/>
                <w:szCs w:val="20"/>
              </w:rPr>
              <w:t>ijene</w:t>
            </w:r>
            <w:r w:rsidR="00991897" w:rsidRPr="002351D8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r w:rsidR="00991897">
              <w:rPr>
                <w:rFonts w:asciiTheme="minorHAnsi" w:hAnsiTheme="minorHAnsi"/>
                <w:sz w:val="20"/>
                <w:szCs w:val="20"/>
              </w:rPr>
              <w:t>kategorijama</w:t>
            </w:r>
            <w:r w:rsidR="009918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991897" w:rsidRPr="00897568">
              <w:rPr>
                <w:rFonts w:asciiTheme="minorHAnsi" w:hAnsiTheme="minorHAnsi"/>
                <w:sz w:val="20"/>
                <w:szCs w:val="20"/>
              </w:rPr>
              <w:t>„prevoz“</w:t>
            </w:r>
            <w:r w:rsidR="00991897">
              <w:rPr>
                <w:rFonts w:asciiTheme="minorHAnsi" w:hAnsiTheme="minorHAnsi"/>
                <w:sz w:val="20"/>
                <w:szCs w:val="20"/>
              </w:rPr>
              <w:t xml:space="preserve"> (pad cijena 1,7%, uticaj u procentnim poenima -0,17), </w:t>
            </w:r>
            <w:r w:rsidR="00991897" w:rsidRPr="00897568">
              <w:rPr>
                <w:rFonts w:asciiTheme="minorHAnsi" w:hAnsiTheme="minorHAnsi"/>
                <w:sz w:val="20"/>
                <w:szCs w:val="20"/>
              </w:rPr>
              <w:t>„komunikacije“</w:t>
            </w:r>
            <w:r w:rsidR="00991897">
              <w:rPr>
                <w:rFonts w:asciiTheme="minorHAnsi" w:hAnsiTheme="minorHAnsi"/>
                <w:sz w:val="20"/>
                <w:szCs w:val="20"/>
              </w:rPr>
              <w:t xml:space="preserve"> (pad cijena 3,7%, uticaj u procentnim poenima -0,21) i „hrana i bezalkoholna pića“ (pad cijena 0,2%, uticaj u procentnim poenima -0,08). Godišnja s</w:t>
            </w:r>
            <w:r w:rsidR="00991897" w:rsidRPr="000C7AB3">
              <w:rPr>
                <w:rFonts w:asciiTheme="minorHAnsi" w:hAnsiTheme="minorHAnsi"/>
                <w:sz w:val="20"/>
                <w:szCs w:val="20"/>
              </w:rPr>
              <w:t>top</w:t>
            </w:r>
            <w:r w:rsidR="00991897" w:rsidRPr="009F2C1D">
              <w:rPr>
                <w:rFonts w:asciiTheme="minorHAnsi" w:hAnsiTheme="minorHAnsi"/>
                <w:sz w:val="20"/>
                <w:szCs w:val="20"/>
              </w:rPr>
              <w:t>a</w:t>
            </w:r>
            <w:r w:rsidR="00991897">
              <w:rPr>
                <w:rFonts w:asciiTheme="minorHAnsi" w:hAnsiTheme="minorHAnsi"/>
                <w:b/>
                <w:sz w:val="20"/>
                <w:szCs w:val="20"/>
              </w:rPr>
              <w:t xml:space="preserve"> i</w:t>
            </w:r>
            <w:r w:rsidR="006113DD">
              <w:rPr>
                <w:rFonts w:asciiTheme="minorHAnsi" w:hAnsiTheme="minorHAnsi"/>
                <w:sz w:val="20"/>
                <w:szCs w:val="20"/>
              </w:rPr>
              <w:t>nflacije</w:t>
            </w:r>
            <w:r w:rsidR="00991897">
              <w:rPr>
                <w:rFonts w:asciiTheme="minorHAnsi" w:hAnsiTheme="minorHAnsi"/>
                <w:sz w:val="20"/>
                <w:szCs w:val="20"/>
              </w:rPr>
              <w:t>, mjerena HICP-om,</w:t>
            </w:r>
            <w:r w:rsidR="00991897" w:rsidRPr="002B0095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r w:rsidR="00991897">
              <w:rPr>
                <w:rFonts w:asciiTheme="minorHAnsi" w:hAnsiTheme="minorHAnsi"/>
                <w:sz w:val="20"/>
                <w:szCs w:val="20"/>
              </w:rPr>
              <w:t>oktobru je iznosila -0,8%, pri čemu su najveći uticaj, u procentnim poenima, dale cijene iz kategorija „prevoz“ (-0,26) i „komunikacije“ (-0,8).</w:t>
            </w:r>
            <w:r w:rsidR="00991897" w:rsidRPr="003201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91897" w:rsidRPr="00CF4446">
              <w:rPr>
                <w:rFonts w:asciiTheme="minorHAnsi" w:hAnsiTheme="minorHAnsi"/>
                <w:sz w:val="20"/>
                <w:szCs w:val="20"/>
              </w:rPr>
              <w:t xml:space="preserve">Cijene proizvođača industrijskih proizvoda u </w:t>
            </w:r>
            <w:r w:rsidR="00991897">
              <w:rPr>
                <w:rFonts w:asciiTheme="minorHAnsi" w:hAnsiTheme="minorHAnsi"/>
                <w:sz w:val="20"/>
                <w:szCs w:val="20"/>
              </w:rPr>
              <w:t xml:space="preserve">oktobru 2014. bilježe rast od 1,0 % g-n-g, dok su u periodu januar-septembar ostale na istom nivou g-n-g. </w:t>
            </w:r>
          </w:p>
          <w:p w:rsidR="00DE587D" w:rsidRPr="0020440D" w:rsidRDefault="00DE587D" w:rsidP="00496006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bottom w:val="thinThickSmallGap" w:sz="18" w:space="0" w:color="auto"/>
            </w:tcBorders>
            <w:vAlign w:val="center"/>
          </w:tcPr>
          <w:p w:rsidR="00DE587D" w:rsidRPr="0020440D" w:rsidRDefault="00DE587D" w:rsidP="00496006">
            <w:pPr>
              <w:pStyle w:val="NoSpacing"/>
              <w:jc w:val="both"/>
              <w:rPr>
                <w:noProof/>
                <w:sz w:val="20"/>
                <w:szCs w:val="20"/>
              </w:rPr>
            </w:pPr>
          </w:p>
        </w:tc>
      </w:tr>
      <w:tr w:rsidR="00DE587D" w:rsidRPr="0020440D" w:rsidTr="00C84D6D">
        <w:trPr>
          <w:gridAfter w:val="1"/>
          <w:wAfter w:w="142" w:type="dxa"/>
          <w:trHeight w:hRule="exact" w:val="3556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DE587D" w:rsidRPr="0020440D" w:rsidRDefault="00DE587D" w:rsidP="000712B9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0"/>
              </w:rPr>
            </w:pPr>
            <w:r w:rsidRPr="0020440D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Zaposlenost i zarade</w:t>
            </w:r>
          </w:p>
          <w:p w:rsidR="00FC02E2" w:rsidRPr="009C6DF3" w:rsidRDefault="00FC02E2" w:rsidP="009C6DF3">
            <w:pPr>
              <w:pBdr>
                <w:top w:val="single" w:sz="4" w:space="1" w:color="auto"/>
              </w:pBdr>
              <w:jc w:val="both"/>
              <w:rPr>
                <w:b/>
                <w:sz w:val="20"/>
                <w:szCs w:val="16"/>
                <w:lang w:val="sr-Latn-CS"/>
              </w:rPr>
            </w:pPr>
            <w:r w:rsidRPr="009C6DF3">
              <w:rPr>
                <w:b/>
                <w:sz w:val="20"/>
                <w:szCs w:val="16"/>
                <w:lang w:val="sr-Latn-CS"/>
              </w:rPr>
              <w:t>Broj zaposlenih u oktobru 2014</w:t>
            </w:r>
            <w:r w:rsidR="004864AA" w:rsidRPr="009C6DF3">
              <w:rPr>
                <w:b/>
                <w:sz w:val="20"/>
                <w:szCs w:val="16"/>
                <w:lang w:val="sr-Latn-CS"/>
              </w:rPr>
              <w:t>.</w:t>
            </w:r>
            <w:r w:rsidRPr="009C6DF3">
              <w:rPr>
                <w:b/>
                <w:sz w:val="20"/>
                <w:szCs w:val="16"/>
                <w:lang w:val="sr-Latn-CS"/>
              </w:rPr>
              <w:t xml:space="preserve"> je iznosio 172.306</w:t>
            </w:r>
            <w:r w:rsidR="001321AB" w:rsidRPr="009C6DF3">
              <w:rPr>
                <w:sz w:val="20"/>
                <w:szCs w:val="16"/>
                <w:lang w:val="sr-Latn-CS"/>
              </w:rPr>
              <w:t>, i povećan je</w:t>
            </w:r>
            <w:r w:rsidRPr="009C6DF3">
              <w:rPr>
                <w:sz w:val="20"/>
                <w:szCs w:val="16"/>
                <w:lang w:val="sr-Latn-CS"/>
              </w:rPr>
              <w:t xml:space="preserve"> 1,9%</w:t>
            </w:r>
            <w:r w:rsidR="001321AB" w:rsidRPr="009C6DF3">
              <w:rPr>
                <w:sz w:val="20"/>
                <w:szCs w:val="16"/>
                <w:lang w:val="sr-Latn-CS"/>
              </w:rPr>
              <w:t xml:space="preserve"> g-n-g</w:t>
            </w:r>
            <w:r w:rsidRPr="009C6DF3">
              <w:rPr>
                <w:sz w:val="20"/>
                <w:szCs w:val="16"/>
                <w:lang w:val="sr-Latn-CS"/>
              </w:rPr>
              <w:t xml:space="preserve">, </w:t>
            </w:r>
            <w:r w:rsidR="000E7A16" w:rsidRPr="009C6DF3">
              <w:rPr>
                <w:sz w:val="20"/>
                <w:szCs w:val="16"/>
                <w:lang w:val="sr-Latn-CS"/>
              </w:rPr>
              <w:t xml:space="preserve">smanjen </w:t>
            </w:r>
            <w:r w:rsidR="001321AB" w:rsidRPr="009C6DF3">
              <w:rPr>
                <w:sz w:val="20"/>
                <w:szCs w:val="16"/>
                <w:lang w:val="sr-Latn-CS"/>
              </w:rPr>
              <w:t>0,9% m-n-m, dok je u pe</w:t>
            </w:r>
            <w:r w:rsidR="000E7A16" w:rsidRPr="009C6DF3">
              <w:rPr>
                <w:sz w:val="20"/>
                <w:szCs w:val="16"/>
                <w:lang w:val="sr-Latn-CS"/>
              </w:rPr>
              <w:t xml:space="preserve">riodu januar-oktobar povećan </w:t>
            </w:r>
            <w:r w:rsidR="001321AB" w:rsidRPr="009C6DF3">
              <w:rPr>
                <w:sz w:val="20"/>
                <w:szCs w:val="16"/>
                <w:lang w:val="sr-Latn-CS"/>
              </w:rPr>
              <w:t>1,0% g-n-g.</w:t>
            </w:r>
            <w:r w:rsidRPr="009C6DF3">
              <w:rPr>
                <w:sz w:val="20"/>
                <w:szCs w:val="16"/>
                <w:lang w:val="sr-Latn-CS"/>
              </w:rPr>
              <w:t xml:space="preserve"> </w:t>
            </w:r>
            <w:r w:rsidRPr="009C6DF3">
              <w:rPr>
                <w:b/>
                <w:sz w:val="20"/>
                <w:szCs w:val="16"/>
                <w:lang w:val="sr-Latn-CS"/>
              </w:rPr>
              <w:t>Broj nezaposlenih je u oktobru iznosio 33.744</w:t>
            </w:r>
            <w:r w:rsidR="001321AB" w:rsidRPr="009C6DF3">
              <w:rPr>
                <w:sz w:val="20"/>
                <w:szCs w:val="16"/>
                <w:lang w:val="sr-Latn-CS"/>
              </w:rPr>
              <w:t>, i</w:t>
            </w:r>
            <w:r w:rsidRPr="009C6DF3">
              <w:rPr>
                <w:sz w:val="20"/>
                <w:szCs w:val="16"/>
                <w:lang w:val="sr-Latn-CS"/>
              </w:rPr>
              <w:t xml:space="preserve"> povećan je 1,4% </w:t>
            </w:r>
            <w:r w:rsidR="001321AB" w:rsidRPr="009C6DF3">
              <w:rPr>
                <w:sz w:val="20"/>
                <w:szCs w:val="16"/>
                <w:lang w:val="sr-Latn-CS"/>
              </w:rPr>
              <w:t xml:space="preserve">g-n-g  Ili 6,8% m-n- m </w:t>
            </w:r>
            <w:r w:rsidRPr="009C6DF3">
              <w:rPr>
                <w:sz w:val="20"/>
                <w:szCs w:val="16"/>
                <w:lang w:val="sr-Latn-CS"/>
              </w:rPr>
              <w:t>(</w:t>
            </w:r>
            <w:r w:rsidR="00493F77" w:rsidRPr="009C6DF3">
              <w:rPr>
                <w:sz w:val="20"/>
                <w:szCs w:val="16"/>
                <w:lang w:val="sr-Latn-CS"/>
              </w:rPr>
              <w:t xml:space="preserve">za deset mjeseci </w:t>
            </w:r>
            <w:r w:rsidRPr="009C6DF3">
              <w:rPr>
                <w:sz w:val="20"/>
                <w:szCs w:val="16"/>
                <w:lang w:val="sr-Latn-CS"/>
              </w:rPr>
              <w:t xml:space="preserve">povećan </w:t>
            </w:r>
            <w:r w:rsidR="00493F77" w:rsidRPr="009C6DF3">
              <w:rPr>
                <w:sz w:val="20"/>
                <w:szCs w:val="16"/>
                <w:lang w:val="sr-Latn-CS"/>
              </w:rPr>
              <w:t xml:space="preserve">je </w:t>
            </w:r>
            <w:r w:rsidRPr="009C6DF3">
              <w:rPr>
                <w:sz w:val="20"/>
                <w:szCs w:val="16"/>
                <w:lang w:val="sr-Latn-CS"/>
              </w:rPr>
              <w:t>4,1%). Stepen nezaposlenosti je sa 14,3% u oktobru 2013. povećan na 14,5% u oktobru 2014.</w:t>
            </w:r>
            <w:r w:rsidR="009C6DF3" w:rsidRPr="009C6DF3">
              <w:rPr>
                <w:sz w:val="20"/>
                <w:szCs w:val="16"/>
                <w:lang w:val="sr-Latn-CS"/>
              </w:rPr>
              <w:t>Broj l</w:t>
            </w:r>
            <w:r w:rsidRPr="009C6DF3">
              <w:rPr>
                <w:sz w:val="20"/>
                <w:szCs w:val="16"/>
                <w:lang w:val="sr-Latn-CS"/>
              </w:rPr>
              <w:t>ica koja prvi put traže zaposlenje</w:t>
            </w:r>
            <w:r w:rsidR="009C6DF3" w:rsidRPr="009C6DF3">
              <w:rPr>
                <w:sz w:val="20"/>
                <w:szCs w:val="16"/>
                <w:lang w:val="sr-Latn-CS"/>
              </w:rPr>
              <w:t xml:space="preserve">  u oktobru 2014. iznosio je</w:t>
            </w:r>
            <w:r w:rsidRPr="009C6DF3">
              <w:rPr>
                <w:sz w:val="20"/>
                <w:szCs w:val="16"/>
                <w:lang w:val="sr-Latn-CS"/>
              </w:rPr>
              <w:t xml:space="preserve"> 10.590 Ili 8,1% </w:t>
            </w:r>
            <w:r w:rsidR="00CA621E" w:rsidRPr="009C6DF3">
              <w:rPr>
                <w:sz w:val="20"/>
                <w:szCs w:val="16"/>
                <w:lang w:val="sr-Latn-CS"/>
              </w:rPr>
              <w:t xml:space="preserve">više </w:t>
            </w:r>
            <w:r w:rsidR="001321AB" w:rsidRPr="009C6DF3">
              <w:rPr>
                <w:sz w:val="20"/>
                <w:szCs w:val="16"/>
                <w:lang w:val="sr-Latn-CS"/>
              </w:rPr>
              <w:t>g-n-g</w:t>
            </w:r>
            <w:r w:rsidR="00493F77" w:rsidRPr="009C6DF3">
              <w:rPr>
                <w:sz w:val="20"/>
                <w:szCs w:val="16"/>
                <w:lang w:val="sr-Latn-CS"/>
              </w:rPr>
              <w:t>. B</w:t>
            </w:r>
            <w:r w:rsidRPr="009C6DF3">
              <w:rPr>
                <w:sz w:val="20"/>
                <w:szCs w:val="16"/>
                <w:lang w:val="sr-Latn-CS"/>
              </w:rPr>
              <w:t xml:space="preserve">roj nezaposlenih visokoškolaca </w:t>
            </w:r>
            <w:r w:rsidR="00493F77" w:rsidRPr="009C6DF3">
              <w:rPr>
                <w:sz w:val="20"/>
                <w:szCs w:val="16"/>
                <w:lang w:val="sr-Latn-CS"/>
              </w:rPr>
              <w:t>u oktobru 2014.</w:t>
            </w:r>
            <w:r w:rsidRPr="009C6DF3">
              <w:rPr>
                <w:sz w:val="20"/>
                <w:szCs w:val="16"/>
                <w:lang w:val="sr-Latn-CS"/>
              </w:rPr>
              <w:t xml:space="preserve"> povećan </w:t>
            </w:r>
            <w:r w:rsidR="00493F77" w:rsidRPr="009C6DF3">
              <w:rPr>
                <w:sz w:val="20"/>
                <w:szCs w:val="16"/>
                <w:lang w:val="sr-Latn-CS"/>
              </w:rPr>
              <w:t xml:space="preserve">je </w:t>
            </w:r>
            <w:r w:rsidRPr="009C6DF3">
              <w:rPr>
                <w:sz w:val="20"/>
                <w:szCs w:val="16"/>
                <w:lang w:val="sr-Latn-CS"/>
              </w:rPr>
              <w:t>za 0,5%</w:t>
            </w:r>
            <w:r w:rsidR="00493F77" w:rsidRPr="009C6DF3">
              <w:rPr>
                <w:sz w:val="20"/>
                <w:szCs w:val="16"/>
                <w:lang w:val="sr-Latn-CS"/>
              </w:rPr>
              <w:t xml:space="preserve"> g-n-g</w:t>
            </w:r>
            <w:r w:rsidRPr="009C6DF3">
              <w:rPr>
                <w:sz w:val="20"/>
                <w:szCs w:val="16"/>
                <w:lang w:val="sr-Latn-CS"/>
              </w:rPr>
              <w:t xml:space="preserve">, </w:t>
            </w:r>
            <w:r w:rsidR="00493F77" w:rsidRPr="009C6DF3">
              <w:rPr>
                <w:sz w:val="20"/>
                <w:szCs w:val="16"/>
                <w:lang w:val="sr-Latn-CS"/>
              </w:rPr>
              <w:t>dok je</w:t>
            </w:r>
            <w:r w:rsidRPr="009C6DF3">
              <w:rPr>
                <w:sz w:val="20"/>
                <w:szCs w:val="16"/>
                <w:lang w:val="sr-Latn-CS"/>
              </w:rPr>
              <w:t xml:space="preserve"> nezaposlenih visokoškolaca koji prvi put traže zaposlenje </w:t>
            </w:r>
            <w:r w:rsidR="00493F77" w:rsidRPr="009C6DF3">
              <w:rPr>
                <w:sz w:val="20"/>
                <w:szCs w:val="16"/>
                <w:lang w:val="sr-Latn-CS"/>
              </w:rPr>
              <w:t xml:space="preserve">bilo </w:t>
            </w:r>
            <w:r w:rsidRPr="009C6DF3">
              <w:rPr>
                <w:sz w:val="20"/>
                <w:szCs w:val="16"/>
                <w:lang w:val="sr-Latn-CS"/>
              </w:rPr>
              <w:t xml:space="preserve"> 6,2%</w:t>
            </w:r>
            <w:r w:rsidR="000A1459" w:rsidRPr="009C6DF3">
              <w:rPr>
                <w:sz w:val="20"/>
                <w:szCs w:val="16"/>
                <w:lang w:val="sr-Latn-CS"/>
              </w:rPr>
              <w:t xml:space="preserve"> više</w:t>
            </w:r>
            <w:r w:rsidR="00493F77" w:rsidRPr="009C6DF3">
              <w:rPr>
                <w:sz w:val="20"/>
                <w:szCs w:val="16"/>
                <w:lang w:val="sr-Latn-CS"/>
              </w:rPr>
              <w:t xml:space="preserve"> g-n-g</w:t>
            </w:r>
            <w:r w:rsidRPr="009C6DF3">
              <w:rPr>
                <w:sz w:val="20"/>
                <w:szCs w:val="16"/>
                <w:lang w:val="sr-Latn-CS"/>
              </w:rPr>
              <w:t xml:space="preserve">. </w:t>
            </w:r>
            <w:r w:rsidRPr="009C6DF3">
              <w:rPr>
                <w:b/>
                <w:sz w:val="20"/>
                <w:szCs w:val="16"/>
                <w:lang w:val="sr-Latn-CS"/>
              </w:rPr>
              <w:t>Broj oglašenih slobodnih radnih mjesta za deset mjeseci 2014. je iznosio 32.869</w:t>
            </w:r>
            <w:r w:rsidR="00493F77" w:rsidRPr="009C6DF3">
              <w:rPr>
                <w:b/>
                <w:sz w:val="20"/>
                <w:szCs w:val="16"/>
                <w:lang w:val="sr-Latn-CS"/>
              </w:rPr>
              <w:t>,</w:t>
            </w:r>
            <w:r w:rsidRPr="009C6DF3">
              <w:rPr>
                <w:b/>
                <w:sz w:val="20"/>
                <w:szCs w:val="16"/>
                <w:lang w:val="sr-Latn-CS"/>
              </w:rPr>
              <w:t xml:space="preserve"> što je 2,5 puta više </w:t>
            </w:r>
            <w:r w:rsidR="000E7A16" w:rsidRPr="009C6DF3">
              <w:rPr>
                <w:b/>
                <w:sz w:val="20"/>
                <w:szCs w:val="16"/>
                <w:lang w:val="sr-Latn-CS"/>
              </w:rPr>
              <w:t>g-n-g.</w:t>
            </w:r>
            <w:r w:rsidRPr="009C6DF3">
              <w:rPr>
                <w:sz w:val="20"/>
                <w:szCs w:val="16"/>
                <w:lang w:val="sr-Latn-CS"/>
              </w:rPr>
              <w:t xml:space="preserve"> Izdato je 20.649 radnih dozvola strancima ili 0,1% više </w:t>
            </w:r>
            <w:r w:rsidR="00493F77" w:rsidRPr="009C6DF3">
              <w:rPr>
                <w:sz w:val="20"/>
                <w:szCs w:val="16"/>
                <w:lang w:val="sr-Latn-CS"/>
              </w:rPr>
              <w:t>g-n-g</w:t>
            </w:r>
            <w:r w:rsidRPr="009C6DF3">
              <w:rPr>
                <w:sz w:val="20"/>
                <w:szCs w:val="16"/>
                <w:lang w:val="sr-Latn-CS"/>
              </w:rPr>
              <w:t>. Prosječna zarada je u oktobru iznosila 724€, dok je neto zarada iznosila 478€.</w:t>
            </w:r>
          </w:p>
          <w:p w:rsidR="00DE587D" w:rsidRPr="0020440D" w:rsidRDefault="00DE587D" w:rsidP="007E26A8">
            <w:pPr>
              <w:pBdr>
                <w:top w:val="single" w:sz="4" w:space="1" w:color="auto"/>
              </w:pBdr>
              <w:jc w:val="both"/>
              <w:rPr>
                <w:rFonts w:eastAsia="PMingLiU" w:cs="Calibri"/>
                <w:sz w:val="20"/>
                <w:szCs w:val="20"/>
                <w:lang w:eastAsia="zh-TW"/>
              </w:rPr>
            </w:pPr>
          </w:p>
        </w:tc>
        <w:tc>
          <w:tcPr>
            <w:tcW w:w="3652" w:type="dxa"/>
            <w:tcBorders>
              <w:bottom w:val="thinThickSmallGap" w:sz="18" w:space="0" w:color="auto"/>
            </w:tcBorders>
            <w:vAlign w:val="center"/>
          </w:tcPr>
          <w:p w:rsidR="00DE587D" w:rsidRPr="0020440D" w:rsidRDefault="00CF2BBA" w:rsidP="00DE587D">
            <w:pPr>
              <w:pStyle w:val="NoSpacing"/>
              <w:jc w:val="center"/>
              <w:rPr>
                <w:noProof/>
                <w:sz w:val="20"/>
                <w:szCs w:val="20"/>
              </w:rPr>
            </w:pPr>
            <w:r w:rsidRPr="00CF2BBA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988333" cy="1883799"/>
                  <wp:effectExtent l="19050" t="0" r="11917" b="2151"/>
                  <wp:docPr id="10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DE587D" w:rsidRPr="0020440D" w:rsidTr="00575E37">
        <w:trPr>
          <w:trHeight w:hRule="exact" w:val="4045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E587D" w:rsidRPr="0020440D" w:rsidRDefault="00DE587D" w:rsidP="003A6A2F">
            <w:pPr>
              <w:pStyle w:val="NormalWeb"/>
              <w:numPr>
                <w:ilvl w:val="0"/>
                <w:numId w:val="1"/>
              </w:numPr>
              <w:pBdr>
                <w:bottom w:val="single" w:sz="4" w:space="1" w:color="auto"/>
              </w:pBdr>
              <w:spacing w:before="0" w:beforeAutospacing="0" w:after="0"/>
              <w:ind w:left="357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20440D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lastRenderedPageBreak/>
              <w:t>Javne finansije</w:t>
            </w:r>
          </w:p>
          <w:p w:rsidR="00175718" w:rsidRPr="00BB2CF5" w:rsidRDefault="00175718" w:rsidP="00175718">
            <w:pPr>
              <w:jc w:val="both"/>
              <w:rPr>
                <w:rFonts w:cs="Calibri"/>
                <w:sz w:val="20"/>
                <w:szCs w:val="20"/>
              </w:rPr>
            </w:pPr>
            <w:r w:rsidRPr="00BB2CF5">
              <w:rPr>
                <w:rFonts w:cs="Calibri"/>
                <w:b/>
                <w:sz w:val="20"/>
                <w:szCs w:val="20"/>
              </w:rPr>
              <w:t xml:space="preserve">Izvorni prihodi budžeta Crne Gore </w:t>
            </w:r>
            <w:r w:rsidRPr="00BB2CF5">
              <w:rPr>
                <w:rFonts w:cs="Calibri"/>
                <w:sz w:val="20"/>
                <w:szCs w:val="20"/>
              </w:rPr>
              <w:t>u oktobru 2014. ostvareni su u iznosu od 158,2 mil.€ što je za 33,2 % više u odnosu na oktobar 2013. Naplata prihoda u periodu januar-oktobar ove godine viša je za 9,6% u odnosu na isti period prošle godine. Prihodi po osnovu PDV-a bilježe rast od 9</w:t>
            </w:r>
            <w:r w:rsidR="00C36610">
              <w:rPr>
                <w:rFonts w:cs="Calibri"/>
                <w:sz w:val="20"/>
                <w:szCs w:val="20"/>
              </w:rPr>
              <w:t>8</w:t>
            </w:r>
            <w:r w:rsidRPr="00BB2CF5">
              <w:rPr>
                <w:rFonts w:cs="Calibri"/>
                <w:sz w:val="20"/>
                <w:szCs w:val="20"/>
              </w:rPr>
              <w:t>%, porez na dobit pravnih lica za 36,</w:t>
            </w:r>
            <w:r w:rsidR="00961F4C">
              <w:rPr>
                <w:rFonts w:cs="Calibri"/>
                <w:sz w:val="20"/>
                <w:szCs w:val="20"/>
              </w:rPr>
              <w:t>4</w:t>
            </w:r>
            <w:r w:rsidRPr="00BB2CF5">
              <w:rPr>
                <w:rFonts w:cs="Calibri"/>
                <w:sz w:val="20"/>
                <w:szCs w:val="20"/>
              </w:rPr>
              <w:t>%,</w:t>
            </w:r>
            <w:r w:rsidR="00E06824">
              <w:rPr>
                <w:rFonts w:cs="Calibri"/>
                <w:sz w:val="20"/>
                <w:szCs w:val="20"/>
              </w:rPr>
              <w:t xml:space="preserve"> </w:t>
            </w:r>
            <w:r w:rsidRPr="00BB2CF5">
              <w:rPr>
                <w:rFonts w:cs="Calibri"/>
                <w:sz w:val="20"/>
                <w:szCs w:val="20"/>
              </w:rPr>
              <w:t xml:space="preserve">kao i porezi </w:t>
            </w:r>
            <w:r w:rsidR="00E06824">
              <w:rPr>
                <w:rFonts w:cs="Calibri"/>
                <w:sz w:val="20"/>
                <w:szCs w:val="20"/>
              </w:rPr>
              <w:t>i</w:t>
            </w:r>
            <w:r w:rsidRPr="00BB2CF5">
              <w:rPr>
                <w:rFonts w:cs="Calibri"/>
                <w:sz w:val="20"/>
                <w:szCs w:val="20"/>
              </w:rPr>
              <w:t xml:space="preserve"> doprinosi na zarade za 9,</w:t>
            </w:r>
            <w:r w:rsidR="000947A0">
              <w:rPr>
                <w:rFonts w:cs="Calibri"/>
                <w:sz w:val="20"/>
                <w:szCs w:val="20"/>
              </w:rPr>
              <w:t>5</w:t>
            </w:r>
            <w:r w:rsidRPr="00BB2CF5">
              <w:rPr>
                <w:rFonts w:cs="Calibri"/>
                <w:sz w:val="20"/>
                <w:szCs w:val="20"/>
              </w:rPr>
              <w:t>% u odnosu na isti mjesec prošle godine</w:t>
            </w:r>
            <w:r w:rsidR="00584669">
              <w:rPr>
                <w:rFonts w:cs="Calibri"/>
                <w:sz w:val="20"/>
                <w:szCs w:val="20"/>
              </w:rPr>
              <w:t xml:space="preserve"> zbog naplate zaostalih poreskih potraživanja.</w:t>
            </w:r>
            <w:r w:rsidR="00DB4049">
              <w:rPr>
                <w:rFonts w:cs="Calibri"/>
                <w:sz w:val="20"/>
                <w:szCs w:val="20"/>
              </w:rPr>
              <w:t xml:space="preserve"> </w:t>
            </w:r>
            <w:r w:rsidRPr="00BB2CF5">
              <w:rPr>
                <w:rFonts w:cs="Calibri"/>
                <w:b/>
                <w:sz w:val="20"/>
                <w:szCs w:val="20"/>
              </w:rPr>
              <w:t>Izdaci budžeta</w:t>
            </w:r>
            <w:r w:rsidRPr="00BB2CF5">
              <w:rPr>
                <w:rFonts w:cs="Calibri"/>
                <w:sz w:val="20"/>
                <w:szCs w:val="20"/>
              </w:rPr>
              <w:t xml:space="preserve"> u oktobru 2014. iznosili su </w:t>
            </w:r>
            <w:r w:rsidR="007B0E60">
              <w:rPr>
                <w:rFonts w:cs="Calibri"/>
                <w:sz w:val="20"/>
                <w:szCs w:val="20"/>
              </w:rPr>
              <w:t>158,2</w:t>
            </w:r>
            <w:r w:rsidRPr="00BB2CF5">
              <w:rPr>
                <w:rFonts w:cs="Calibri"/>
                <w:sz w:val="20"/>
                <w:szCs w:val="20"/>
              </w:rPr>
              <w:t xml:space="preserve"> mil. € i veći su u odno</w:t>
            </w:r>
            <w:r w:rsidR="00584669">
              <w:rPr>
                <w:rFonts w:cs="Calibri"/>
                <w:sz w:val="20"/>
                <w:szCs w:val="20"/>
              </w:rPr>
              <w:t xml:space="preserve">su na isti mjesec 2013. za 60% </w:t>
            </w:r>
            <w:r w:rsidR="00DB4049">
              <w:rPr>
                <w:rFonts w:cs="Calibri"/>
                <w:sz w:val="20"/>
                <w:szCs w:val="20"/>
              </w:rPr>
              <w:t>usljed</w:t>
            </w:r>
            <w:r w:rsidR="00584669">
              <w:rPr>
                <w:rFonts w:cs="Calibri"/>
                <w:sz w:val="20"/>
                <w:szCs w:val="20"/>
              </w:rPr>
              <w:t xml:space="preserve"> porasta kapitalnog budžeta </w:t>
            </w:r>
            <w:r w:rsidR="00DB4049">
              <w:rPr>
                <w:rFonts w:cs="Calibri"/>
                <w:sz w:val="20"/>
                <w:szCs w:val="20"/>
              </w:rPr>
              <w:t>zbog</w:t>
            </w:r>
            <w:r w:rsidR="00584669">
              <w:rPr>
                <w:rFonts w:cs="Calibri"/>
                <w:sz w:val="20"/>
                <w:szCs w:val="20"/>
              </w:rPr>
              <w:t xml:space="preserve"> dokapitalizacije Elektroprivrede shodno zaključcima Skupštine.</w:t>
            </w:r>
            <w:r w:rsidRPr="00BB2CF5">
              <w:rPr>
                <w:rFonts w:cs="Calibri"/>
                <w:sz w:val="20"/>
                <w:szCs w:val="20"/>
              </w:rPr>
              <w:t xml:space="preserve"> </w:t>
            </w:r>
            <w:r w:rsidRPr="00BB2CF5">
              <w:rPr>
                <w:rFonts w:cs="Calibri"/>
                <w:b/>
                <w:sz w:val="20"/>
                <w:szCs w:val="20"/>
              </w:rPr>
              <w:t>Suficit budžeta</w:t>
            </w:r>
            <w:r w:rsidRPr="00BB2CF5">
              <w:rPr>
                <w:rFonts w:cs="Calibri"/>
                <w:sz w:val="20"/>
                <w:szCs w:val="20"/>
              </w:rPr>
              <w:t xml:space="preserve"> u oktobru 2014. iznosio je </w:t>
            </w:r>
            <w:r w:rsidR="00012F84">
              <w:rPr>
                <w:rFonts w:cs="Calibri"/>
                <w:sz w:val="20"/>
                <w:szCs w:val="20"/>
              </w:rPr>
              <w:t>20.655</w:t>
            </w:r>
            <w:r w:rsidR="007B0E60">
              <w:rPr>
                <w:rFonts w:cs="Calibri"/>
                <w:sz w:val="20"/>
                <w:szCs w:val="20"/>
              </w:rPr>
              <w:t>,0</w:t>
            </w:r>
            <w:r w:rsidRPr="00BB2CF5">
              <w:rPr>
                <w:rFonts w:cs="Calibri"/>
                <w:sz w:val="20"/>
                <w:szCs w:val="20"/>
              </w:rPr>
              <w:t xml:space="preserve"> €. U periodu januar-oktobar 2014. ostvaren je budžetski deficit od 24,</w:t>
            </w:r>
            <w:r w:rsidR="007B0E60">
              <w:rPr>
                <w:rFonts w:cs="Calibri"/>
                <w:sz w:val="20"/>
                <w:szCs w:val="20"/>
              </w:rPr>
              <w:t>7</w:t>
            </w:r>
            <w:r w:rsidRPr="00BB2CF5">
              <w:rPr>
                <w:rFonts w:cs="Calibri"/>
                <w:sz w:val="20"/>
                <w:szCs w:val="20"/>
              </w:rPr>
              <w:t xml:space="preserve"> mil. €.</w:t>
            </w:r>
            <w:r w:rsidR="006526F3">
              <w:rPr>
                <w:rFonts w:cs="Calibri"/>
                <w:sz w:val="20"/>
                <w:szCs w:val="20"/>
              </w:rPr>
              <w:t xml:space="preserve"> </w:t>
            </w:r>
            <w:r w:rsidRPr="00BB2CF5">
              <w:rPr>
                <w:rFonts w:cs="Calibri"/>
                <w:sz w:val="20"/>
                <w:szCs w:val="20"/>
              </w:rPr>
              <w:t>U odnosu na isti period 2013. kumulativni deficit je niži za 89,4 mil.€</w:t>
            </w:r>
            <w:r w:rsidR="00D330DB">
              <w:rPr>
                <w:rFonts w:cs="Calibri"/>
                <w:sz w:val="20"/>
                <w:szCs w:val="20"/>
              </w:rPr>
              <w:t>,</w:t>
            </w:r>
            <w:r w:rsidRPr="00BB2CF5">
              <w:rPr>
                <w:rFonts w:cs="Calibri"/>
                <w:sz w:val="20"/>
                <w:szCs w:val="20"/>
              </w:rPr>
              <w:t xml:space="preserve"> što je posljedica </w:t>
            </w:r>
            <w:r w:rsidR="007B0E60">
              <w:rPr>
                <w:rFonts w:cs="Calibri"/>
                <w:sz w:val="20"/>
                <w:szCs w:val="20"/>
              </w:rPr>
              <w:t xml:space="preserve"> </w:t>
            </w:r>
            <w:r w:rsidRPr="00BB2CF5">
              <w:rPr>
                <w:rFonts w:cs="Calibri"/>
                <w:sz w:val="20"/>
                <w:szCs w:val="20"/>
              </w:rPr>
              <w:t xml:space="preserve">visoke baze iz prošle godine. </w:t>
            </w:r>
            <w:r w:rsidRPr="00BB2CF5">
              <w:rPr>
                <w:rFonts w:cs="Calibri"/>
                <w:b/>
                <w:sz w:val="20"/>
                <w:szCs w:val="20"/>
              </w:rPr>
              <w:t>Državni dug</w:t>
            </w:r>
            <w:r w:rsidRPr="00BB2CF5">
              <w:rPr>
                <w:rFonts w:cs="Calibri"/>
                <w:sz w:val="20"/>
                <w:szCs w:val="20"/>
              </w:rPr>
              <w:t xml:space="preserve"> na kraju </w:t>
            </w:r>
            <w:r w:rsidR="00C36610">
              <w:rPr>
                <w:rFonts w:cs="Calibri"/>
                <w:sz w:val="20"/>
                <w:szCs w:val="20"/>
              </w:rPr>
              <w:t>oktobra</w:t>
            </w:r>
            <w:r w:rsidRPr="00BB2CF5">
              <w:rPr>
                <w:rFonts w:cs="Calibri"/>
                <w:sz w:val="20"/>
                <w:szCs w:val="20"/>
              </w:rPr>
              <w:t xml:space="preserve"> 2014. iznosio je 1.</w:t>
            </w:r>
            <w:r w:rsidR="00C36610">
              <w:rPr>
                <w:rFonts w:cs="Calibri"/>
                <w:sz w:val="20"/>
                <w:szCs w:val="20"/>
              </w:rPr>
              <w:t>964,9</w:t>
            </w:r>
            <w:r w:rsidRPr="00BB2CF5">
              <w:rPr>
                <w:rFonts w:cs="Calibri"/>
                <w:sz w:val="20"/>
                <w:szCs w:val="20"/>
              </w:rPr>
              <w:t xml:space="preserve"> mil.€, što predstavlja </w:t>
            </w:r>
            <w:r w:rsidR="00C36610">
              <w:rPr>
                <w:rFonts w:cs="Calibri"/>
                <w:sz w:val="20"/>
                <w:szCs w:val="20"/>
              </w:rPr>
              <w:t xml:space="preserve">57,9 </w:t>
            </w:r>
            <w:r w:rsidRPr="00BB2CF5">
              <w:rPr>
                <w:rFonts w:cs="Calibri"/>
                <w:sz w:val="20"/>
                <w:szCs w:val="20"/>
              </w:rPr>
              <w:t>% procijenjenog BDP-a Crne Gore i u nivou je duga na kraju 2013. Unutrašnji dug iznosio je 392,2 mil.€, a dug prema nerezidentima 1.572,7 mil.€.</w:t>
            </w:r>
          </w:p>
          <w:p w:rsidR="00175718" w:rsidRPr="0075372D" w:rsidRDefault="00175718" w:rsidP="00175718">
            <w:pPr>
              <w:rPr>
                <w:sz w:val="24"/>
                <w:szCs w:val="24"/>
              </w:rPr>
            </w:pPr>
          </w:p>
          <w:p w:rsidR="00DE587D" w:rsidRPr="0020440D" w:rsidRDefault="00DE587D" w:rsidP="003E6360">
            <w:pPr>
              <w:spacing w:line="240" w:lineRule="auto"/>
              <w:jc w:val="both"/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E587D" w:rsidRPr="0020440D" w:rsidRDefault="00175718" w:rsidP="00DE587D">
            <w:pPr>
              <w:rPr>
                <w:noProof/>
                <w:sz w:val="17"/>
                <w:szCs w:val="17"/>
                <w:lang w:eastAsia="sr-Latn-CS"/>
              </w:rPr>
            </w:pPr>
            <w:r w:rsidRPr="00175718">
              <w:rPr>
                <w:noProof/>
                <w:sz w:val="17"/>
                <w:szCs w:val="17"/>
              </w:rPr>
              <w:drawing>
                <wp:inline distT="0" distB="0" distL="0" distR="0">
                  <wp:extent cx="2136637" cy="199321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DE587D" w:rsidRPr="0020440D" w:rsidTr="00A91C99">
        <w:trPr>
          <w:trHeight w:hRule="exact" w:val="3821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E587D" w:rsidRPr="0020440D" w:rsidRDefault="00DE587D" w:rsidP="000712B9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20440D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Monetarni sektor</w:t>
            </w:r>
          </w:p>
          <w:p w:rsidR="00395C18" w:rsidRPr="003C543D" w:rsidRDefault="0022764C" w:rsidP="00395C1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Poslovanje banaka u oktobru, obilježio </w:t>
            </w:r>
            <w:r w:rsidR="00471E2A">
              <w:rPr>
                <w:b/>
                <w:noProof/>
                <w:sz w:val="20"/>
                <w:szCs w:val="20"/>
              </w:rPr>
              <w:t xml:space="preserve">je </w:t>
            </w:r>
            <w:r>
              <w:rPr>
                <w:b/>
                <w:noProof/>
                <w:sz w:val="20"/>
                <w:szCs w:val="20"/>
              </w:rPr>
              <w:t>rast kapitala i depozita na godišnjem nivou i restriktivni kreditni plasmani banaka.</w:t>
            </w:r>
            <w:r w:rsidR="001708D0"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Bankarski sektor je krajem oktobra ove godine imao 2.424,1</w:t>
            </w:r>
            <w:r w:rsidR="001708D0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mil.€ odobrenih </w:t>
            </w:r>
            <w:r w:rsidRPr="00C012FE">
              <w:rPr>
                <w:b/>
                <w:noProof/>
                <w:sz w:val="20"/>
                <w:szCs w:val="20"/>
              </w:rPr>
              <w:t>kredita</w:t>
            </w:r>
            <w:r>
              <w:rPr>
                <w:noProof/>
                <w:sz w:val="20"/>
                <w:szCs w:val="20"/>
              </w:rPr>
              <w:t>, što predstavlja pad od 2,0% na godišnjem nivou.</w:t>
            </w:r>
            <w:r w:rsidR="001708D0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Banke su za deset mjeseci ove godine odobrile 596,6</w:t>
            </w:r>
            <w:r w:rsidR="001708D0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mil.€ novih kreditnih plasmana,</w:t>
            </w:r>
            <w:r w:rsidR="00A91C9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što</w:t>
            </w:r>
            <w:r w:rsidR="001708D0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je za 4,2% manje </w:t>
            </w:r>
            <w:r w:rsidR="00A91C99">
              <w:rPr>
                <w:noProof/>
                <w:sz w:val="20"/>
                <w:szCs w:val="20"/>
              </w:rPr>
              <w:t>g-n-g</w:t>
            </w:r>
            <w:r>
              <w:rPr>
                <w:noProof/>
                <w:sz w:val="20"/>
                <w:szCs w:val="20"/>
              </w:rPr>
              <w:t>.</w:t>
            </w:r>
            <w:r w:rsidR="001708D0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Ukupni </w:t>
            </w:r>
            <w:r w:rsidRPr="007A58AE">
              <w:rPr>
                <w:b/>
                <w:noProof/>
                <w:sz w:val="20"/>
                <w:szCs w:val="20"/>
              </w:rPr>
              <w:t>depoziti</w:t>
            </w:r>
            <w:r>
              <w:rPr>
                <w:noProof/>
                <w:sz w:val="20"/>
                <w:szCs w:val="20"/>
              </w:rPr>
              <w:t xml:space="preserve"> su iznosili 2.251,5 mil.€ i ostvarili su rast od 7,0% u </w:t>
            </w:r>
            <w:r w:rsidR="00A91C99">
              <w:rPr>
                <w:noProof/>
                <w:sz w:val="20"/>
                <w:szCs w:val="20"/>
              </w:rPr>
              <w:t>oktobru  g-n-g</w:t>
            </w:r>
            <w:r w:rsidR="001708D0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A91C99">
              <w:rPr>
                <w:noProof/>
                <w:sz w:val="20"/>
                <w:szCs w:val="20"/>
              </w:rPr>
              <w:t>N</w:t>
            </w:r>
            <w:r>
              <w:rPr>
                <w:noProof/>
                <w:sz w:val="20"/>
                <w:szCs w:val="20"/>
              </w:rPr>
              <w:t>a depozite privrede se odnosilo 634,2 mil.€ ili 28,2%, dok je sektor stanovništva učestvovao sa 1.299,3 mil.€ ili 57,7%.</w:t>
            </w:r>
            <w:r w:rsidR="001708D0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Prosječno ponderisana efektivna </w:t>
            </w:r>
            <w:r w:rsidRPr="00C012FE">
              <w:rPr>
                <w:b/>
                <w:noProof/>
                <w:sz w:val="20"/>
                <w:szCs w:val="20"/>
              </w:rPr>
              <w:t>kamatna</w:t>
            </w:r>
            <w:r>
              <w:rPr>
                <w:noProof/>
                <w:sz w:val="20"/>
                <w:szCs w:val="20"/>
              </w:rPr>
              <w:t xml:space="preserve"> stopa na odobrene kredite je iznosila 9,28%, što predstavlja pad od 0,29 p.p. na mjesečnom nivou, dok je pasivna kamatna stopa bila 1,93% i smanjena je za 0,04</w:t>
            </w:r>
            <w:r w:rsidR="001708D0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p.p. u odnosu na prethodni mjesec. Iako je bankarski sektor i dalje opterećen visokim iznosom </w:t>
            </w:r>
            <w:r w:rsidRPr="00F52E72">
              <w:rPr>
                <w:b/>
                <w:noProof/>
                <w:sz w:val="20"/>
                <w:szCs w:val="20"/>
              </w:rPr>
              <w:t>nekvalitetnih kredita</w:t>
            </w:r>
            <w:r w:rsidR="001708D0">
              <w:rPr>
                <w:b/>
                <w:noProof/>
                <w:sz w:val="20"/>
                <w:szCs w:val="20"/>
              </w:rPr>
              <w:t>,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DB3803">
              <w:rPr>
                <w:noProof/>
                <w:sz w:val="20"/>
                <w:szCs w:val="20"/>
              </w:rPr>
              <w:t>koji su na kraju oktobra iznosili 398,9 mi</w:t>
            </w:r>
            <w:r>
              <w:rPr>
                <w:noProof/>
                <w:sz w:val="20"/>
                <w:szCs w:val="20"/>
              </w:rPr>
              <w:t xml:space="preserve">l.€ i </w:t>
            </w:r>
            <w:r w:rsidRPr="00DB3803">
              <w:rPr>
                <w:noProof/>
                <w:sz w:val="20"/>
                <w:szCs w:val="20"/>
              </w:rPr>
              <w:t>činili 16,46% ukupnih kredita</w:t>
            </w:r>
            <w:r>
              <w:rPr>
                <w:noProof/>
                <w:sz w:val="20"/>
                <w:szCs w:val="20"/>
              </w:rPr>
              <w:t>,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njihov nivo je smanjen za 0,3% u odnosu na prethodni mjesec i 5,7% na godišnjem nivou. </w:t>
            </w:r>
            <w:r w:rsidR="00395C18">
              <w:rPr>
                <w:noProof/>
                <w:sz w:val="20"/>
                <w:szCs w:val="20"/>
              </w:rPr>
              <w:t xml:space="preserve"> </w:t>
            </w:r>
          </w:p>
          <w:p w:rsidR="00DE587D" w:rsidRPr="0020440D" w:rsidRDefault="00DE587D" w:rsidP="007E26A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A92A57" w:rsidRPr="0020440D" w:rsidRDefault="00A92A57" w:rsidP="00DE587D">
            <w:pPr>
              <w:rPr>
                <w:noProof/>
                <w:sz w:val="17"/>
                <w:szCs w:val="17"/>
                <w:lang w:eastAsia="sr-Latn-CS"/>
              </w:rPr>
            </w:pPr>
          </w:p>
          <w:p w:rsidR="00A92A57" w:rsidRPr="0020440D" w:rsidRDefault="00814309" w:rsidP="00A92A57">
            <w:pPr>
              <w:rPr>
                <w:sz w:val="17"/>
                <w:szCs w:val="17"/>
                <w:lang w:eastAsia="sr-Latn-CS"/>
              </w:rPr>
            </w:pPr>
            <w:r w:rsidRPr="00814309">
              <w:rPr>
                <w:noProof/>
                <w:sz w:val="17"/>
                <w:szCs w:val="17"/>
              </w:rPr>
              <w:drawing>
                <wp:inline distT="0" distB="0" distL="0" distR="0">
                  <wp:extent cx="2385848" cy="2238703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A92A57" w:rsidRPr="0020440D" w:rsidRDefault="00A92A57" w:rsidP="00A92A57">
            <w:pPr>
              <w:rPr>
                <w:sz w:val="17"/>
                <w:szCs w:val="17"/>
                <w:lang w:eastAsia="sr-Latn-CS"/>
              </w:rPr>
            </w:pPr>
          </w:p>
          <w:p w:rsidR="00A92A57" w:rsidRPr="0020440D" w:rsidRDefault="00A92A57" w:rsidP="00A92A57">
            <w:pPr>
              <w:rPr>
                <w:sz w:val="17"/>
                <w:szCs w:val="17"/>
                <w:lang w:eastAsia="sr-Latn-CS"/>
              </w:rPr>
            </w:pPr>
          </w:p>
          <w:p w:rsidR="00DE587D" w:rsidRPr="0020440D" w:rsidRDefault="00DE587D" w:rsidP="00A92A57">
            <w:pPr>
              <w:rPr>
                <w:sz w:val="17"/>
                <w:szCs w:val="17"/>
                <w:lang w:eastAsia="sr-Latn-CS"/>
              </w:rPr>
            </w:pPr>
          </w:p>
        </w:tc>
      </w:tr>
      <w:tr w:rsidR="00DE587D" w:rsidRPr="0020440D" w:rsidTr="00CA3FDD">
        <w:trPr>
          <w:trHeight w:hRule="exact" w:val="7306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455A56" w:rsidRPr="001F7741" w:rsidRDefault="007B0DD9" w:rsidP="007B0DD9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="Calibri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18"/>
              </w:rPr>
              <w:t xml:space="preserve">7. </w:t>
            </w:r>
            <w:r w:rsidR="00DE587D" w:rsidRPr="0020440D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18"/>
              </w:rPr>
              <w:t xml:space="preserve">Spoljnotrgovinska razmjena </w:t>
            </w:r>
          </w:p>
          <w:p w:rsidR="00A91C99" w:rsidRDefault="00A4692F" w:rsidP="00A91C99">
            <w:pPr>
              <w:pBdr>
                <w:top w:val="single" w:sz="4" w:space="1" w:color="auto"/>
              </w:pBdr>
              <w:spacing w:after="6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1C99">
              <w:rPr>
                <w:b/>
                <w:noProof/>
                <w:color w:val="000000"/>
                <w:sz w:val="20"/>
                <w:szCs w:val="20"/>
              </w:rPr>
              <w:t xml:space="preserve">Kretanja u eksternom sektoru za period </w:t>
            </w:r>
            <w:r w:rsidRPr="00A91C99">
              <w:rPr>
                <w:b/>
                <w:noProof/>
                <w:color w:val="000000"/>
                <w:sz w:val="20"/>
                <w:szCs w:val="20"/>
                <w:lang w:val="sr-Latn-CS"/>
              </w:rPr>
              <w:t>januar – oktobar 2014. karakteriše opadajući trend izvoza i uvoza, u uslovima smanjene izvozne proizvodnje metalske industrije i visoke uvozne zavisnosti.</w:t>
            </w:r>
            <w:r w:rsidRPr="00A91C99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A91C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Ukupna robna razmjena iznosila je 1.766,8 mil.€, što je manje za  2,0% g-n-g. Spoljnotrgovinski deficit  iznosi 1.216,4 mil.€ i veći je za 2,8%, pri čemu se bilježi veći pad  izvoza u odnosu na pad uvoza roba. </w:t>
            </w:r>
            <w:r w:rsidRPr="00A91C9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Ukupan izvoz</w:t>
            </w:r>
            <w:r w:rsidRPr="00A91C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iznosio je 275,2 mil.€ ili 11,2%  manje g-n-g. </w:t>
            </w:r>
            <w:r w:rsidRPr="00A91C9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Na smanjenje vrijednosti izvoza uticao je izvoz električne energije sa padom od 63,0%, kao posljedica visoke osnove iz prethodne godine. Izvoz aluminijuma bilježi kontinuirani pad, koji zbog niske osnove iz prethodne godine, za ovaj period iznosi svega 18,0%.</w:t>
            </w:r>
            <w:r w:rsidRPr="00A91C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91C9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Uvoz </w:t>
            </w:r>
            <w:r w:rsidRPr="00A91C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robe za deset  mjeseci iznosio je 1.491,6 mil.€, što je 0,1% manje g–n–g. U strukturi uvoza najviše su zastupljeni proizvodi kategorije hrana i žive životinje u iznosu od 336,1 mil.€, mašine i transportni uređaji 275,8 mil.€ i proizvodi svrstani po materijalu 223,0 mil.€. </w:t>
            </w:r>
          </w:p>
          <w:p w:rsidR="00455A56" w:rsidRPr="00A91C99" w:rsidRDefault="00455A56" w:rsidP="00A91C99">
            <w:pPr>
              <w:pBdr>
                <w:top w:val="single" w:sz="4" w:space="1" w:color="auto"/>
              </w:pBdr>
              <w:spacing w:after="60" w:line="240" w:lineRule="auto"/>
              <w:jc w:val="both"/>
              <w:rPr>
                <w:bCs/>
                <w:noProof/>
                <w:sz w:val="20"/>
                <w:szCs w:val="20"/>
                <w:lang w:val="hr-BA"/>
              </w:rPr>
            </w:pPr>
            <w:r w:rsidRPr="00A91C99">
              <w:rPr>
                <w:rFonts w:cstheme="minorHAnsi"/>
                <w:b/>
                <w:sz w:val="20"/>
                <w:szCs w:val="20"/>
              </w:rPr>
              <w:t xml:space="preserve">U </w:t>
            </w:r>
            <w:r w:rsidRPr="00A91C99">
              <w:rPr>
                <w:b/>
                <w:bCs/>
                <w:noProof/>
                <w:sz w:val="20"/>
                <w:szCs w:val="20"/>
                <w:lang w:val="hr-BA"/>
              </w:rPr>
              <w:t>prvih devet mjeseci 2014. ostvaren je pad neto priliva SDI, koje su  iznosile 256,4 mil.€, što je za 7% manje</w:t>
            </w:r>
            <w:r w:rsidRPr="00A91C99">
              <w:rPr>
                <w:b/>
                <w:bCs/>
                <w:noProof/>
                <w:sz w:val="20"/>
                <w:szCs w:val="20"/>
                <w:lang w:val="sr-Latn-CS"/>
              </w:rPr>
              <w:t xml:space="preserve"> nego </w:t>
            </w:r>
            <w:r w:rsidRPr="00A91C99">
              <w:rPr>
                <w:b/>
                <w:bCs/>
                <w:noProof/>
                <w:sz w:val="20"/>
                <w:szCs w:val="20"/>
                <w:lang w:val="hr-BA"/>
              </w:rPr>
              <w:t>u uporednom periodu iz 2013.(275,6 mil.€).</w:t>
            </w:r>
            <w:r w:rsidRPr="00A91C99">
              <w:rPr>
                <w:bCs/>
                <w:noProof/>
                <w:sz w:val="20"/>
                <w:szCs w:val="20"/>
                <w:lang w:val="hr-BA"/>
              </w:rPr>
              <w:t xml:space="preserve"> Ukupan priliv SDI iznosio je 347,0 mil.€. Najveći priliv stranih direktnih investicija, od početka godine, ostvaren je u septembru ove godine u iznosu od 55,6 mil.€ (neto SDI 50,5 mil.€). U strukturi priliva ostvaren je pad po osnovu vlasničkih ulaganja (za 14,9%) tj. investicije u preduzeća i banke 9,2%, (25,4% manje) i investicije u nekretnine 36,5% (11,7% manje). U pomenutom periodu, ostvaren je rast priliva  po osnovu  interkompanijskog duga sa učešćem od 53,1%, što čini više od polovinu ukupnog priliva  ili 18,6% više nego u predhodnom periodu 2013. Povlačenje sredstava rezidenata investiranih u inostranstvo (kategorija  ostalo)   ostvareno je  1,3% u ukupnom prilivu SDI (54,3% manje). Ukupan odliv SDI iznosio je 90,6 mil.€  što je za 20,2% više nego u 2013.(75,4 mil.€). U strukturi odliva najveći dio se odnosio na povlačenje sredstava nerezidenata 74,3%, dok su ulaganja rezidenata u inostranstvo  25,7%.</w:t>
            </w:r>
          </w:p>
          <w:p w:rsidR="00455A56" w:rsidRPr="00A91C99" w:rsidRDefault="00455A56" w:rsidP="00455A56">
            <w:pPr>
              <w:spacing w:after="0" w:line="240" w:lineRule="auto"/>
              <w:jc w:val="both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455A56" w:rsidRPr="00A91C99" w:rsidRDefault="00455A56" w:rsidP="00455A56">
            <w:pPr>
              <w:spacing w:after="0" w:line="240" w:lineRule="auto"/>
              <w:jc w:val="both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455A56" w:rsidRDefault="00455A56" w:rsidP="00455A56">
            <w:pPr>
              <w:spacing w:after="0" w:line="240" w:lineRule="auto"/>
              <w:jc w:val="both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455A56" w:rsidRDefault="00455A56" w:rsidP="00455A56">
            <w:pPr>
              <w:spacing w:after="0" w:line="240" w:lineRule="auto"/>
              <w:jc w:val="both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455A56" w:rsidRDefault="00455A56" w:rsidP="00455A56">
            <w:pPr>
              <w:spacing w:after="0" w:line="240" w:lineRule="auto"/>
              <w:jc w:val="both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455A56" w:rsidRDefault="00455A56" w:rsidP="00455A56">
            <w:pPr>
              <w:spacing w:after="0" w:line="240" w:lineRule="auto"/>
              <w:jc w:val="both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455A56" w:rsidRDefault="00455A56" w:rsidP="00455A56">
            <w:pPr>
              <w:spacing w:after="0" w:line="240" w:lineRule="auto"/>
              <w:jc w:val="both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455A56" w:rsidRDefault="00455A56" w:rsidP="00455A56">
            <w:pPr>
              <w:spacing w:after="0" w:line="240" w:lineRule="auto"/>
              <w:jc w:val="both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6C4E28" w:rsidRDefault="006C4E28" w:rsidP="00711947">
            <w:pPr>
              <w:spacing w:after="0" w:line="240" w:lineRule="auto"/>
              <w:jc w:val="right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711947" w:rsidRDefault="00711947" w:rsidP="00711947">
            <w:pPr>
              <w:spacing w:after="0" w:line="240" w:lineRule="auto"/>
              <w:jc w:val="right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711947" w:rsidRDefault="00711947" w:rsidP="00711947">
            <w:pPr>
              <w:spacing w:after="0" w:line="240" w:lineRule="auto"/>
              <w:jc w:val="right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</w:p>
          <w:p w:rsidR="00455A56" w:rsidRPr="0020440D" w:rsidRDefault="00455A56" w:rsidP="00455A56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9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E587D" w:rsidRPr="0020440D" w:rsidRDefault="00A0022E" w:rsidP="00DE587D">
            <w:pPr>
              <w:jc w:val="center"/>
              <w:rPr>
                <w:noProof/>
                <w:sz w:val="17"/>
                <w:szCs w:val="17"/>
                <w:lang w:eastAsia="sr-Latn-CS"/>
              </w:rPr>
            </w:pPr>
            <w:r w:rsidRPr="00A0022E">
              <w:rPr>
                <w:noProof/>
                <w:sz w:val="17"/>
                <w:szCs w:val="17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-717550</wp:posOffset>
                  </wp:positionV>
                  <wp:extent cx="2072005" cy="3235960"/>
                  <wp:effectExtent l="19050" t="0" r="0" b="0"/>
                  <wp:wrapNone/>
                  <wp:docPr id="12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anchor>
              </w:drawing>
            </w:r>
          </w:p>
        </w:tc>
      </w:tr>
    </w:tbl>
    <w:p w:rsidR="0082570B" w:rsidRPr="0020440D" w:rsidRDefault="0082570B" w:rsidP="00D51C00">
      <w:pPr>
        <w:rPr>
          <w:rFonts w:asciiTheme="minorHAnsi" w:hAnsiTheme="minorHAnsi" w:cstheme="minorHAnsi"/>
          <w:sz w:val="20"/>
          <w:szCs w:val="20"/>
        </w:rPr>
        <w:sectPr w:rsidR="0082570B" w:rsidRPr="0020440D" w:rsidSect="009C5011">
          <w:pgSz w:w="11907" w:h="16839" w:code="9"/>
          <w:pgMar w:top="720" w:right="720" w:bottom="709" w:left="720" w:header="720" w:footer="720" w:gutter="0"/>
          <w:cols w:space="720"/>
          <w:rtlGutter/>
          <w:docGrid w:linePitch="360"/>
        </w:sectPr>
      </w:pPr>
    </w:p>
    <w:p w:rsidR="002A1639" w:rsidRPr="0020440D" w:rsidRDefault="0082570B" w:rsidP="00332574">
      <w:pPr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lastRenderedPageBreak/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 </w:t>
      </w:r>
      <w:r w:rsidR="007E26A8" w:rsidRPr="0020440D">
        <w:rPr>
          <w:noProof/>
          <w:sz w:val="17"/>
          <w:szCs w:val="16"/>
        </w:rPr>
        <w:t xml:space="preserve">oktobar </w:t>
      </w:r>
      <w:r w:rsidRPr="0020440D">
        <w:rPr>
          <w:noProof/>
          <w:sz w:val="17"/>
          <w:szCs w:val="16"/>
        </w:rPr>
        <w:t>201</w:t>
      </w:r>
      <w:r w:rsidR="00B355D6" w:rsidRPr="0020440D">
        <w:rPr>
          <w:noProof/>
          <w:sz w:val="17"/>
          <w:szCs w:val="16"/>
        </w:rPr>
        <w:t>4</w:t>
      </w:r>
      <w:r w:rsidRPr="0020440D">
        <w:rPr>
          <w:noProof/>
          <w:sz w:val="17"/>
          <w:szCs w:val="16"/>
        </w:rPr>
        <w:t>.</w:t>
      </w:r>
      <w:bookmarkStart w:id="0" w:name="_GoBack"/>
      <w:bookmarkEnd w:id="0"/>
    </w:p>
    <w:p w:rsidR="0082570B" w:rsidRPr="0020440D" w:rsidRDefault="0082570B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84DAE" w:rsidRPr="0020440D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332574" w:rsidRPr="0020440D" w:rsidRDefault="00332574" w:rsidP="00332574">
      <w:pPr>
        <w:spacing w:after="0" w:line="240" w:lineRule="auto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332574" w:rsidRPr="0020440D" w:rsidRDefault="00332574" w:rsidP="00332574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83011C" w:rsidRPr="0020440D" w:rsidRDefault="00332574" w:rsidP="00332574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</w:t>
      </w:r>
      <w:r w:rsidR="00B012FF" w:rsidRPr="0020440D">
        <w:rPr>
          <w:i/>
          <w:iCs/>
          <w:noProof/>
          <w:sz w:val="12"/>
          <w:szCs w:val="12"/>
        </w:rPr>
        <w:t xml:space="preserve"> </w:t>
      </w:r>
      <w:r w:rsidR="00E2362B" w:rsidRPr="0020440D">
        <w:rPr>
          <w:i/>
          <w:iCs/>
          <w:noProof/>
          <w:sz w:val="12"/>
          <w:szCs w:val="12"/>
        </w:rPr>
        <w:t>g-n-g označava godišnju promjenu (stopa promjene indikatora u posmatranom mjesecu</w:t>
      </w:r>
      <w:r w:rsidR="000D1AA8" w:rsidRPr="0020440D">
        <w:rPr>
          <w:i/>
          <w:iCs/>
          <w:noProof/>
          <w:sz w:val="12"/>
          <w:szCs w:val="12"/>
        </w:rPr>
        <w:t xml:space="preserve"> </w:t>
      </w:r>
      <w:r w:rsidR="00E2362B" w:rsidRPr="0020440D">
        <w:rPr>
          <w:i/>
          <w:iCs/>
          <w:noProof/>
          <w:sz w:val="12"/>
          <w:szCs w:val="12"/>
        </w:rPr>
        <w:t>ili periodu  u odnosu na isti mmjesec ili periodprethodne godine u %)</w:t>
      </w:r>
    </w:p>
    <w:p w:rsidR="00CD0FEF" w:rsidRPr="0020440D" w:rsidRDefault="00CD0FEF" w:rsidP="00332574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052BB7" w:rsidRPr="0020440D" w:rsidRDefault="00052BB7" w:rsidP="00784DAE">
      <w:pPr>
        <w:spacing w:after="0" w:line="240" w:lineRule="auto"/>
        <w:ind w:firstLine="142"/>
        <w:jc w:val="center"/>
        <w:rPr>
          <w:noProof/>
          <w:sz w:val="18"/>
          <w:szCs w:val="18"/>
        </w:rPr>
      </w:pPr>
    </w:p>
    <w:p w:rsidR="00200602" w:rsidRDefault="00200602" w:rsidP="00200602">
      <w:pPr>
        <w:pStyle w:val="Caption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</w:p>
    <w:tbl>
      <w:tblPr>
        <w:tblStyle w:val="LightShading-Accent11"/>
        <w:tblW w:w="5000" w:type="pct"/>
        <w:tblLook w:val="04A0"/>
      </w:tblPr>
      <w:tblGrid>
        <w:gridCol w:w="4647"/>
        <w:gridCol w:w="772"/>
        <w:gridCol w:w="851"/>
        <w:gridCol w:w="678"/>
        <w:gridCol w:w="710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852"/>
        <w:gridCol w:w="793"/>
        <w:gridCol w:w="970"/>
      </w:tblGrid>
      <w:tr w:rsidR="00200602" w:rsidRPr="00200602" w:rsidTr="004F731B">
        <w:trPr>
          <w:cnfStyle w:val="100000000000"/>
          <w:divId w:val="519853328"/>
          <w:trHeight w:val="630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rPr>
                <w:rFonts w:cs="Calibri"/>
                <w:b w:val="0"/>
                <w:bCs w:val="0"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2014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okt '14 / okt '13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jan - okt '14 / jan - okt '13</w:t>
            </w:r>
          </w:p>
        </w:tc>
      </w:tr>
      <w:tr w:rsidR="00200602" w:rsidRPr="00200602" w:rsidTr="004F731B">
        <w:trPr>
          <w:cnfStyle w:val="000000100000"/>
          <w:divId w:val="519853328"/>
          <w:trHeight w:val="253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10,50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21,40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14,50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7,40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5,70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-20,60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-27,90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-23,40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-26,40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7,50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8,2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-11,0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22,70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28,20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48,80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39,80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20,50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18,40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-44,90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-10,90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-5,00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-3,20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-12,8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-3,3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30,30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1,10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22,10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2,70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5,30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2,10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-4,20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-1,30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1,90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-85,3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4,2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16,00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14,20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-1,90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4,90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2,50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3,10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704" w:type="pct"/>
            <w:gridSpan w:val="3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27,9</w:t>
            </w:r>
          </w:p>
        </w:tc>
        <w:tc>
          <w:tcPr>
            <w:tcW w:w="631" w:type="pct"/>
            <w:gridSpan w:val="3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30,3</w:t>
            </w:r>
          </w:p>
        </w:tc>
        <w:tc>
          <w:tcPr>
            <w:tcW w:w="619" w:type="pct"/>
            <w:gridSpan w:val="3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  <w:tc>
          <w:tcPr>
            <w:tcW w:w="619" w:type="pct"/>
            <w:gridSpan w:val="3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169.044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167.607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167.173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167.616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168.805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170.177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172.202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174.917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179.774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173.942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33.271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34.680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34.514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34.804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34.664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34.671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33.906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32.763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14,3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6,6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4,0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704" w:type="pct"/>
            <w:gridSpan w:val="3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631" w:type="pct"/>
            <w:gridSpan w:val="3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619" w:type="pct"/>
            <w:gridSpan w:val="3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18,5</w:t>
            </w:r>
          </w:p>
        </w:tc>
        <w:tc>
          <w:tcPr>
            <w:tcW w:w="619" w:type="pct"/>
            <w:gridSpan w:val="3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796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648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1.130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1.028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1.051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3.077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5.399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4.984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222,0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139,1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728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738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729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725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722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475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486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2.474,5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2.463,9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2.411,9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2.407,9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2.415,0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2.405,0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2.386,6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2.383,1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2.376,2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2.443,2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4,8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-3,0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-3,7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-3,2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-3,3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438,6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428,3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423,2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425,6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426,3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393,9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406,1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417,6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402,6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400,2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17,4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2.084,9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2.098,6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2.096,7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2.101,7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2.094,8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2.114,3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2.146,4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2.268,0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3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6,0</w:t>
            </w:r>
          </w:p>
        </w:tc>
        <w:tc>
          <w:tcPr>
            <w:tcW w:w="218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6,4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5,6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5,3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206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43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951,1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955,2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948,4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942,6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951,6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947,7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958,5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959,8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950,4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900,9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-6,4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886,8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881,3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881,1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882,6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887,4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890,7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891,5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892,7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572,8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553,9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554,8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554,0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549,6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542,8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533,0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551,7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576,4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633,5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10,7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1.218,1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1.221,0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1.237,7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1.235,1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1.236,4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1.239,2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1.247,8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1.245,5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1.244,5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1.300,0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6,7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9,33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9,33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9,36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9,40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9,45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9,51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9,54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9,57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-0,29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-0,05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2,67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2,55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2,41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2,45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2,34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2,31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2,25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2,19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1,96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-0,03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-0,74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0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24,6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31,2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34,5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22,6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24,7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25,7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31,7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27,7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35,2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33,8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-4,0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37,6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-10,0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161,4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130,7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149,0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83,1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112,7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145,9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158,0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171,9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184,3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164,4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154,6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2,5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-136,9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-99,6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-114,5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-60,5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-90,5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-121,2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-135,2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-132,2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-143,6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-152,6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-136,7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-119,4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-124,6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4,4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-9,0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-19,8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12,6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55,5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28,8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32,1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6,1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29,0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39,7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26,4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26,8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50,5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88,4</w:t>
            </w:r>
          </w:p>
        </w:tc>
        <w:tc>
          <w:tcPr>
            <w:tcW w:w="243" w:type="pct"/>
            <w:hideMark/>
          </w:tcPr>
          <w:p w:rsidR="00200602" w:rsidRPr="00200602" w:rsidRDefault="0079169B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>-11,9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79169B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>-7,0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cnfStyle w:val="000000100000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105,9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111,5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107,8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108,8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109,7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107,7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108,0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109,6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112,5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94,8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-9,4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-18,9</w:t>
            </w:r>
          </w:p>
        </w:tc>
        <w:tc>
          <w:tcPr>
            <w:tcW w:w="297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-2,9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1.814,6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1.748,0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1.739,8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1.740,8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1.695,2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1.705,4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1.810,7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1.751,1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1.839,0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1.990,4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-2,2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</w:tr>
      <w:tr w:rsidR="00200602" w:rsidRPr="00200602" w:rsidTr="004F731B">
        <w:trPr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0,54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0,50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0,56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0,61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0,00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-0,20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0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-0,04</w:t>
            </w:r>
          </w:p>
        </w:tc>
      </w:tr>
      <w:tr w:rsidR="00200602" w:rsidRPr="00200602" w:rsidTr="004F731B">
        <w:trPr>
          <w:cnfStyle w:val="000000100000"/>
          <w:divId w:val="519853328"/>
          <w:trHeight w:hRule="exact" w:val="198"/>
        </w:trPr>
        <w:tc>
          <w:tcPr>
            <w:cnfStyle w:val="001000000000"/>
            <w:tcW w:w="1420" w:type="pct"/>
            <w:hideMark/>
          </w:tcPr>
          <w:p w:rsidR="00200602" w:rsidRPr="00200602" w:rsidRDefault="00200602" w:rsidP="00200602">
            <w:pPr>
              <w:spacing w:after="0" w:line="240" w:lineRule="auto"/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</w:pPr>
            <w:r w:rsidRPr="00200602">
              <w:rPr>
                <w:rFonts w:cs="Calibri"/>
                <w:b w:val="0"/>
                <w:bCs w:val="0"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3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61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18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06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61" w:type="pct"/>
            <w:noWrap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43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97" w:type="pct"/>
            <w:hideMark/>
          </w:tcPr>
          <w:p w:rsidR="00200602" w:rsidRPr="00200602" w:rsidRDefault="00200602" w:rsidP="00200602">
            <w:pPr>
              <w:spacing w:after="0" w:line="240" w:lineRule="auto"/>
              <w:jc w:val="right"/>
              <w:cnfStyle w:val="000000100000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200602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</w:tr>
    </w:tbl>
    <w:p w:rsidR="007E26A8" w:rsidRPr="0020440D" w:rsidRDefault="007E26A8" w:rsidP="00784DAE">
      <w:pPr>
        <w:spacing w:after="0" w:line="240" w:lineRule="auto"/>
        <w:ind w:firstLine="142"/>
        <w:jc w:val="center"/>
        <w:rPr>
          <w:noProof/>
          <w:sz w:val="18"/>
          <w:szCs w:val="18"/>
        </w:rPr>
      </w:pPr>
    </w:p>
    <w:p w:rsidR="007E26A8" w:rsidRDefault="007E26A8" w:rsidP="00784DAE">
      <w:pPr>
        <w:spacing w:after="0" w:line="240" w:lineRule="auto"/>
        <w:ind w:firstLine="142"/>
        <w:jc w:val="center"/>
        <w:rPr>
          <w:noProof/>
          <w:sz w:val="18"/>
          <w:szCs w:val="18"/>
        </w:rPr>
      </w:pPr>
    </w:p>
    <w:p w:rsidR="004F731B" w:rsidRPr="0020440D" w:rsidRDefault="004F731B" w:rsidP="00784DAE">
      <w:pPr>
        <w:spacing w:after="0" w:line="240" w:lineRule="auto"/>
        <w:ind w:firstLine="142"/>
        <w:jc w:val="center"/>
        <w:rPr>
          <w:noProof/>
          <w:sz w:val="18"/>
          <w:szCs w:val="18"/>
        </w:rPr>
      </w:pPr>
    </w:p>
    <w:tbl>
      <w:tblPr>
        <w:tblW w:w="16551" w:type="dxa"/>
        <w:tblInd w:w="-176" w:type="dxa"/>
        <w:tblLook w:val="04A0"/>
      </w:tblPr>
      <w:tblGrid>
        <w:gridCol w:w="3427"/>
        <w:gridCol w:w="782"/>
        <w:gridCol w:w="782"/>
        <w:gridCol w:w="782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95"/>
        <w:gridCol w:w="679"/>
        <w:gridCol w:w="795"/>
        <w:gridCol w:w="679"/>
      </w:tblGrid>
      <w:tr w:rsidR="00012F84" w:rsidRPr="00012F84" w:rsidTr="00B4327B">
        <w:trPr>
          <w:trHeight w:val="315"/>
        </w:trPr>
        <w:tc>
          <w:tcPr>
            <w:tcW w:w="345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2F84">
              <w:rPr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233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2013</w:t>
            </w:r>
          </w:p>
        </w:tc>
        <w:tc>
          <w:tcPr>
            <w:tcW w:w="7798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2014</w:t>
            </w:r>
          </w:p>
        </w:tc>
        <w:tc>
          <w:tcPr>
            <w:tcW w:w="7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plan 2014</w:t>
            </w:r>
          </w:p>
        </w:tc>
        <w:tc>
          <w:tcPr>
            <w:tcW w:w="216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Analitika-Oktobar</w:t>
            </w:r>
          </w:p>
        </w:tc>
      </w:tr>
      <w:tr w:rsidR="00012F84" w:rsidRPr="00012F84" w:rsidTr="00B4327B">
        <w:trPr>
          <w:trHeight w:val="555"/>
        </w:trPr>
        <w:tc>
          <w:tcPr>
            <w:tcW w:w="345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X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XI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XII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II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III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IV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V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VI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VII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VIII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IX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X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X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okt 2014 / okt 2013 (%)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jan-okt 2014 / jan-okt 2013 (%)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12F84">
              <w:rPr>
                <w:sz w:val="14"/>
                <w:szCs w:val="14"/>
              </w:rPr>
              <w:t>okt 2014 / okt 2014 plan (%)</w:t>
            </w:r>
          </w:p>
        </w:tc>
      </w:tr>
      <w:tr w:rsidR="00012F84" w:rsidRPr="00012F84" w:rsidTr="00B4327B">
        <w:trPr>
          <w:trHeight w:val="330"/>
        </w:trPr>
        <w:tc>
          <w:tcPr>
            <w:tcW w:w="34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12F84">
              <w:rPr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77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118,76</w:t>
            </w:r>
          </w:p>
        </w:tc>
        <w:tc>
          <w:tcPr>
            <w:tcW w:w="77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96,52</w:t>
            </w:r>
          </w:p>
        </w:tc>
        <w:tc>
          <w:tcPr>
            <w:tcW w:w="77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145,12</w:t>
            </w:r>
          </w:p>
        </w:tc>
        <w:tc>
          <w:tcPr>
            <w:tcW w:w="77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70,78</w:t>
            </w:r>
          </w:p>
        </w:tc>
        <w:tc>
          <w:tcPr>
            <w:tcW w:w="77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82,13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100,71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109,08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102,20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109,84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120,72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126,56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117,90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158,21</w:t>
            </w:r>
          </w:p>
        </w:tc>
        <w:tc>
          <w:tcPr>
            <w:tcW w:w="7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2F84">
              <w:rPr>
                <w:b/>
                <w:bCs/>
                <w:sz w:val="16"/>
                <w:szCs w:val="16"/>
              </w:rPr>
              <w:t>115,46</w:t>
            </w:r>
          </w:p>
        </w:tc>
        <w:tc>
          <w:tcPr>
            <w:tcW w:w="68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33,22</w:t>
            </w:r>
          </w:p>
        </w:tc>
        <w:tc>
          <w:tcPr>
            <w:tcW w:w="79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9,63</w:t>
            </w:r>
          </w:p>
        </w:tc>
        <w:tc>
          <w:tcPr>
            <w:tcW w:w="6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37,03</w:t>
            </w:r>
          </w:p>
        </w:tc>
      </w:tr>
      <w:tr w:rsidR="00012F84" w:rsidRPr="00012F84" w:rsidTr="00B4327B">
        <w:trPr>
          <w:trHeight w:val="315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Porezi i doprinosi na  zarade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54,03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37,52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75,77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21,23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34,36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37,91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40,21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45,74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45,71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44,52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45,43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59,14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51,00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9,46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8,88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15,96</w:t>
            </w:r>
          </w:p>
        </w:tc>
      </w:tr>
      <w:tr w:rsidR="00012F84" w:rsidRPr="00012F84" w:rsidTr="00B4327B">
        <w:trPr>
          <w:trHeight w:val="300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Porez na dobit pravnih lica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1,29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12,11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11,31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1,41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36,40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11,88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24,82</w:t>
            </w:r>
          </w:p>
        </w:tc>
      </w:tr>
      <w:tr w:rsidR="00012F84" w:rsidRPr="00012F84" w:rsidTr="00B4327B">
        <w:trPr>
          <w:trHeight w:val="300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Porez na dodatu vrijednost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37,65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33,51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40,19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32,17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31,16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34,92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39,01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37,06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45,61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49,31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38,95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97,97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19,98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91,37</w:t>
            </w:r>
          </w:p>
        </w:tc>
      </w:tr>
      <w:tr w:rsidR="00012F84" w:rsidRPr="00012F84" w:rsidTr="00B4327B">
        <w:trPr>
          <w:trHeight w:val="300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Akcize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13,08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13,19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8,37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9,53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10,78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15,75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19,49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14,47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-7,89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-2,95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-7,39</w:t>
            </w:r>
          </w:p>
        </w:tc>
      </w:tr>
      <w:tr w:rsidR="00012F84" w:rsidRPr="00012F84" w:rsidTr="00B4327B">
        <w:trPr>
          <w:trHeight w:val="315"/>
        </w:trPr>
        <w:tc>
          <w:tcPr>
            <w:tcW w:w="345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Porez na medj trgovinu i transak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2,04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1,69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2,14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2,17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-1,78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-1,15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-7,83</w:t>
            </w:r>
          </w:p>
        </w:tc>
      </w:tr>
      <w:tr w:rsidR="00012F84" w:rsidRPr="00012F84" w:rsidTr="00B4327B">
        <w:trPr>
          <w:trHeight w:val="330"/>
        </w:trPr>
        <w:tc>
          <w:tcPr>
            <w:tcW w:w="345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12F84">
              <w:rPr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98,84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101,31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151,66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94,32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88,93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115,88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122,33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101,78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105,77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107,26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107,87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120,86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158,19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2F84">
              <w:rPr>
                <w:b/>
                <w:bCs/>
                <w:sz w:val="16"/>
                <w:szCs w:val="16"/>
              </w:rPr>
              <w:t>111,29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60,04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42,14</w:t>
            </w:r>
          </w:p>
        </w:tc>
      </w:tr>
      <w:tr w:rsidR="00012F84" w:rsidRPr="00012F84" w:rsidTr="00B4327B">
        <w:trPr>
          <w:trHeight w:val="315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Bruto zarade i doprinosi na teret poslodavca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30,09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33,51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29,83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31,75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31,99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28,95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33,40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33,99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31,64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32,19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28,62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32,21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-4,90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-11,15</w:t>
            </w:r>
          </w:p>
        </w:tc>
      </w:tr>
      <w:tr w:rsidR="00012F84" w:rsidRPr="00012F84" w:rsidTr="00B4327B">
        <w:trPr>
          <w:trHeight w:val="300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Rashodi za materijal i usluge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7,28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5,22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15,37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3,12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4,42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5,25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5,96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5,30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8,69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5,83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19,35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-10,24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49,06</w:t>
            </w:r>
          </w:p>
        </w:tc>
      </w:tr>
      <w:tr w:rsidR="00012F84" w:rsidRPr="00012F84" w:rsidTr="00B4327B">
        <w:trPr>
          <w:trHeight w:val="300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Kamate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5,61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4,62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24,66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5,61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17,85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6,11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-26,01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6,16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-90,34</w:t>
            </w:r>
          </w:p>
        </w:tc>
      </w:tr>
      <w:tr w:rsidR="00012F84" w:rsidRPr="00012F84" w:rsidTr="00B4327B">
        <w:trPr>
          <w:trHeight w:val="300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Transferi za socijalnu zaštitu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39,83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43,05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39,56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41,43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41,91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40,42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40,51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40,39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42,65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41,82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39,29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41,52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-2,55</w:t>
            </w:r>
          </w:p>
        </w:tc>
      </w:tr>
      <w:tr w:rsidR="00012F84" w:rsidRPr="00012F84" w:rsidTr="00B4327B">
        <w:trPr>
          <w:trHeight w:val="300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Transferi instit, pojed i NVO sektoru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7,30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4,75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17,85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4,73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3,67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11,94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8,80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7,96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8,71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7,34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8,85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7,11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8,42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88,12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15,54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63,06</w:t>
            </w:r>
          </w:p>
        </w:tc>
      </w:tr>
      <w:tr w:rsidR="00012F84" w:rsidRPr="00012F84" w:rsidTr="00B4327B">
        <w:trPr>
          <w:trHeight w:val="315"/>
        </w:trPr>
        <w:tc>
          <w:tcPr>
            <w:tcW w:w="345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Kapitalni izdaci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6,49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3,51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6,75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8,57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9,36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746,46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126,25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499,68</w:t>
            </w:r>
          </w:p>
        </w:tc>
      </w:tr>
      <w:tr w:rsidR="00012F84" w:rsidRPr="00012F84" w:rsidTr="00B4327B">
        <w:trPr>
          <w:trHeight w:val="330"/>
        </w:trPr>
        <w:tc>
          <w:tcPr>
            <w:tcW w:w="345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12F84">
              <w:rPr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19,92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-4,79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-6,54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-23,54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-6,80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-15,17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-13,24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4,07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13,46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18,69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-2,96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2F84">
              <w:rPr>
                <w:b/>
                <w:bCs/>
                <w:sz w:val="16"/>
                <w:szCs w:val="16"/>
              </w:rPr>
              <w:t>4,17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-99,90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-77,81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-99,50</w:t>
            </w:r>
          </w:p>
        </w:tc>
      </w:tr>
      <w:tr w:rsidR="00012F84" w:rsidRPr="00012F84" w:rsidTr="00B4327B">
        <w:trPr>
          <w:trHeight w:val="315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Primarni deficit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20,72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-4,04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-0,92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-21,23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-5,69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-10,55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11,42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1,34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9,69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19,87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19,92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14,89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10,28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-97,05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-178,42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-94,06</w:t>
            </w:r>
          </w:p>
        </w:tc>
      </w:tr>
      <w:tr w:rsidR="00012F84" w:rsidRPr="00012F84" w:rsidTr="00B4327B">
        <w:trPr>
          <w:trHeight w:val="315"/>
        </w:trPr>
        <w:tc>
          <w:tcPr>
            <w:tcW w:w="345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Otplata dugova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17,57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71,64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4,92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9,83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38,71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8,79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60,61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42,13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11,80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17,26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11,61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14,29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-17,11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39,08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-18,75</w:t>
            </w:r>
          </w:p>
        </w:tc>
      </w:tr>
      <w:tr w:rsidR="00012F84" w:rsidRPr="00012F84" w:rsidTr="00B4327B">
        <w:trPr>
          <w:trHeight w:val="330"/>
        </w:trPr>
        <w:tc>
          <w:tcPr>
            <w:tcW w:w="345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12F84">
              <w:rPr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1.832,00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1.886,30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1.873,15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1.950,10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1.950,70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2.006,00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1.990,30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2.180,50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2.022,10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1.985,20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1.982,50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1.969,53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color w:val="000000"/>
                <w:sz w:val="16"/>
                <w:szCs w:val="16"/>
              </w:rPr>
              <w:t>1.964,90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2F8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12,11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12F84" w:rsidRPr="00012F84" w:rsidTr="00B4327B">
        <w:trPr>
          <w:trHeight w:val="315"/>
        </w:trPr>
        <w:tc>
          <w:tcPr>
            <w:tcW w:w="345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Domaći dug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471,70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440,40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440,13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517,60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513,40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572,60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588,10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583,30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438,30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412,10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406,90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394,93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392,20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-16,85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10,78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12F84" w:rsidRPr="00012F84" w:rsidTr="00B4327B">
        <w:trPr>
          <w:trHeight w:val="315"/>
        </w:trPr>
        <w:tc>
          <w:tcPr>
            <w:tcW w:w="345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Inostrani dug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1.360,30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1.445,90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1.433,02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1.432,50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1.437,30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1.433,40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1.402,20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1.597,20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1.583,80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1.573,10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1.575,60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1.574,60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F84">
              <w:rPr>
                <w:color w:val="000000"/>
                <w:sz w:val="16"/>
                <w:szCs w:val="16"/>
              </w:rPr>
              <w:t>1.572,70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F84">
              <w:rPr>
                <w:sz w:val="16"/>
                <w:szCs w:val="16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15,61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12,54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12F84" w:rsidRPr="00012F84" w:rsidRDefault="00012F84" w:rsidP="00012F84">
            <w:pPr>
              <w:spacing w:after="0"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12F8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12F84" w:rsidRPr="00012F84" w:rsidTr="00B4327B">
        <w:trPr>
          <w:trHeight w:val="315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012F84">
              <w:rPr>
                <w:i/>
                <w:iCs/>
                <w:sz w:val="16"/>
                <w:szCs w:val="16"/>
              </w:rPr>
              <w:t>Izvor: Ministarstvo finansija Crne Gore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  <w:rPr>
                <w:sz w:val="20"/>
                <w:szCs w:val="20"/>
              </w:rPr>
            </w:pPr>
            <w:r w:rsidRPr="00012F8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</w:pPr>
            <w:r w:rsidRPr="00012F8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</w:pPr>
            <w:r w:rsidRPr="00012F84"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F84" w:rsidRPr="00012F84" w:rsidRDefault="00012F84" w:rsidP="00012F84">
            <w:pPr>
              <w:spacing w:after="0" w:line="240" w:lineRule="auto"/>
            </w:pPr>
            <w:r w:rsidRPr="00012F84">
              <w:t> </w:t>
            </w:r>
          </w:p>
        </w:tc>
      </w:tr>
    </w:tbl>
    <w:p w:rsidR="002916F7" w:rsidRPr="0020440D" w:rsidRDefault="002916F7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</w:rPr>
      </w:pPr>
    </w:p>
    <w:sectPr w:rsidR="002916F7" w:rsidRPr="0020440D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EAC" w:rsidRDefault="00CC6EAC" w:rsidP="00965FCD">
      <w:pPr>
        <w:spacing w:after="0" w:line="240" w:lineRule="auto"/>
      </w:pPr>
      <w:r>
        <w:separator/>
      </w:r>
    </w:p>
  </w:endnote>
  <w:endnote w:type="continuationSeparator" w:id="1">
    <w:p w:rsidR="00CC6EAC" w:rsidRDefault="00CC6EAC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EAC" w:rsidRDefault="00CC6EAC" w:rsidP="00965FCD">
      <w:pPr>
        <w:spacing w:after="0" w:line="240" w:lineRule="auto"/>
      </w:pPr>
      <w:r>
        <w:separator/>
      </w:r>
    </w:p>
  </w:footnote>
  <w:footnote w:type="continuationSeparator" w:id="1">
    <w:p w:rsidR="00CC6EAC" w:rsidRDefault="00CC6EAC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7"/>
  </w:num>
  <w:num w:numId="3">
    <w:abstractNumId w:val="29"/>
  </w:num>
  <w:num w:numId="4">
    <w:abstractNumId w:val="2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1"/>
  </w:num>
  <w:num w:numId="8">
    <w:abstractNumId w:val="2"/>
  </w:num>
  <w:num w:numId="9">
    <w:abstractNumId w:val="0"/>
  </w:num>
  <w:num w:numId="10">
    <w:abstractNumId w:val="28"/>
  </w:num>
  <w:num w:numId="11">
    <w:abstractNumId w:val="1"/>
  </w:num>
  <w:num w:numId="12">
    <w:abstractNumId w:val="27"/>
  </w:num>
  <w:num w:numId="13">
    <w:abstractNumId w:val="23"/>
  </w:num>
  <w:num w:numId="14">
    <w:abstractNumId w:val="8"/>
  </w:num>
  <w:num w:numId="15">
    <w:abstractNumId w:val="6"/>
  </w:num>
  <w:num w:numId="16">
    <w:abstractNumId w:val="15"/>
  </w:num>
  <w:num w:numId="17">
    <w:abstractNumId w:val="10"/>
  </w:num>
  <w:num w:numId="18">
    <w:abstractNumId w:val="19"/>
  </w:num>
  <w:num w:numId="19">
    <w:abstractNumId w:val="9"/>
  </w:num>
  <w:num w:numId="20">
    <w:abstractNumId w:val="16"/>
  </w:num>
  <w:num w:numId="21">
    <w:abstractNumId w:val="18"/>
  </w:num>
  <w:num w:numId="22">
    <w:abstractNumId w:val="13"/>
  </w:num>
  <w:num w:numId="23">
    <w:abstractNumId w:val="12"/>
  </w:num>
  <w:num w:numId="24">
    <w:abstractNumId w:val="25"/>
  </w:num>
  <w:num w:numId="25">
    <w:abstractNumId w:val="4"/>
  </w:num>
  <w:num w:numId="26">
    <w:abstractNumId w:val="11"/>
  </w:num>
  <w:num w:numId="27">
    <w:abstractNumId w:val="22"/>
  </w:num>
  <w:num w:numId="28">
    <w:abstractNumId w:val="3"/>
  </w:num>
  <w:num w:numId="29">
    <w:abstractNumId w:val="5"/>
  </w:num>
  <w:num w:numId="30">
    <w:abstractNumId w:val="17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9378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9E1"/>
    <w:rsid w:val="000010A3"/>
    <w:rsid w:val="00003D78"/>
    <w:rsid w:val="000040B3"/>
    <w:rsid w:val="00004B56"/>
    <w:rsid w:val="00005AD2"/>
    <w:rsid w:val="00005D5A"/>
    <w:rsid w:val="00007424"/>
    <w:rsid w:val="00012F84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300F0"/>
    <w:rsid w:val="000314E5"/>
    <w:rsid w:val="00031722"/>
    <w:rsid w:val="00031FAD"/>
    <w:rsid w:val="00032524"/>
    <w:rsid w:val="00032D34"/>
    <w:rsid w:val="0003370D"/>
    <w:rsid w:val="000341DE"/>
    <w:rsid w:val="00034923"/>
    <w:rsid w:val="0003497A"/>
    <w:rsid w:val="00034D42"/>
    <w:rsid w:val="00034F07"/>
    <w:rsid w:val="0003544A"/>
    <w:rsid w:val="00036822"/>
    <w:rsid w:val="000369E1"/>
    <w:rsid w:val="00037558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732"/>
    <w:rsid w:val="00052BB7"/>
    <w:rsid w:val="00052DC4"/>
    <w:rsid w:val="00054068"/>
    <w:rsid w:val="000547A1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7726"/>
    <w:rsid w:val="00067FD6"/>
    <w:rsid w:val="00070965"/>
    <w:rsid w:val="000712B9"/>
    <w:rsid w:val="0007229B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12E2"/>
    <w:rsid w:val="0008138F"/>
    <w:rsid w:val="00082D87"/>
    <w:rsid w:val="000831EE"/>
    <w:rsid w:val="00083320"/>
    <w:rsid w:val="00085B67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BBC"/>
    <w:rsid w:val="000A1159"/>
    <w:rsid w:val="000A1459"/>
    <w:rsid w:val="000A14DA"/>
    <w:rsid w:val="000A2350"/>
    <w:rsid w:val="000A2E85"/>
    <w:rsid w:val="000A2F52"/>
    <w:rsid w:val="000A33CB"/>
    <w:rsid w:val="000A4226"/>
    <w:rsid w:val="000A42FE"/>
    <w:rsid w:val="000A43CE"/>
    <w:rsid w:val="000A47FF"/>
    <w:rsid w:val="000A4E37"/>
    <w:rsid w:val="000A5E23"/>
    <w:rsid w:val="000A787A"/>
    <w:rsid w:val="000B19D0"/>
    <w:rsid w:val="000B1DD7"/>
    <w:rsid w:val="000B28FC"/>
    <w:rsid w:val="000B2B16"/>
    <w:rsid w:val="000B34E4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FAD"/>
    <w:rsid w:val="000C3655"/>
    <w:rsid w:val="000C36DB"/>
    <w:rsid w:val="000C5764"/>
    <w:rsid w:val="000C5FBB"/>
    <w:rsid w:val="000C65A2"/>
    <w:rsid w:val="000C6818"/>
    <w:rsid w:val="000C7278"/>
    <w:rsid w:val="000C72DD"/>
    <w:rsid w:val="000D0368"/>
    <w:rsid w:val="000D0374"/>
    <w:rsid w:val="000D09EB"/>
    <w:rsid w:val="000D1AA8"/>
    <w:rsid w:val="000D52CF"/>
    <w:rsid w:val="000D588E"/>
    <w:rsid w:val="000D5D48"/>
    <w:rsid w:val="000D5ED7"/>
    <w:rsid w:val="000D6CD4"/>
    <w:rsid w:val="000D6DF1"/>
    <w:rsid w:val="000D765B"/>
    <w:rsid w:val="000D7A66"/>
    <w:rsid w:val="000E13EB"/>
    <w:rsid w:val="000E2251"/>
    <w:rsid w:val="000E2351"/>
    <w:rsid w:val="000E294A"/>
    <w:rsid w:val="000E3987"/>
    <w:rsid w:val="000E40CC"/>
    <w:rsid w:val="000E6096"/>
    <w:rsid w:val="000E77A4"/>
    <w:rsid w:val="000E7A16"/>
    <w:rsid w:val="000E7E9D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21CB"/>
    <w:rsid w:val="00102786"/>
    <w:rsid w:val="001030CC"/>
    <w:rsid w:val="0010339D"/>
    <w:rsid w:val="00103CA9"/>
    <w:rsid w:val="0010452C"/>
    <w:rsid w:val="00106446"/>
    <w:rsid w:val="0010656B"/>
    <w:rsid w:val="00107128"/>
    <w:rsid w:val="00107647"/>
    <w:rsid w:val="00107A07"/>
    <w:rsid w:val="001124C4"/>
    <w:rsid w:val="00112853"/>
    <w:rsid w:val="00112E23"/>
    <w:rsid w:val="00114109"/>
    <w:rsid w:val="001141E2"/>
    <w:rsid w:val="00114378"/>
    <w:rsid w:val="00115519"/>
    <w:rsid w:val="00115C83"/>
    <w:rsid w:val="00116365"/>
    <w:rsid w:val="001164A1"/>
    <w:rsid w:val="00116A8F"/>
    <w:rsid w:val="00117AB0"/>
    <w:rsid w:val="001209D0"/>
    <w:rsid w:val="00120A3A"/>
    <w:rsid w:val="00123CBD"/>
    <w:rsid w:val="00124730"/>
    <w:rsid w:val="001251D5"/>
    <w:rsid w:val="0012708A"/>
    <w:rsid w:val="001276C7"/>
    <w:rsid w:val="00127B5A"/>
    <w:rsid w:val="00131185"/>
    <w:rsid w:val="001321AB"/>
    <w:rsid w:val="001326B7"/>
    <w:rsid w:val="00134816"/>
    <w:rsid w:val="00134A21"/>
    <w:rsid w:val="00134C6C"/>
    <w:rsid w:val="00136E70"/>
    <w:rsid w:val="00141FDD"/>
    <w:rsid w:val="00143FCB"/>
    <w:rsid w:val="00144C86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4145"/>
    <w:rsid w:val="0015515C"/>
    <w:rsid w:val="00156E33"/>
    <w:rsid w:val="001575F1"/>
    <w:rsid w:val="00157601"/>
    <w:rsid w:val="001577A1"/>
    <w:rsid w:val="00160183"/>
    <w:rsid w:val="001610BD"/>
    <w:rsid w:val="001613FC"/>
    <w:rsid w:val="001627A3"/>
    <w:rsid w:val="00163041"/>
    <w:rsid w:val="00163A7B"/>
    <w:rsid w:val="001644C7"/>
    <w:rsid w:val="001646BA"/>
    <w:rsid w:val="00165773"/>
    <w:rsid w:val="00165DE6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40F"/>
    <w:rsid w:val="0017563A"/>
    <w:rsid w:val="00175718"/>
    <w:rsid w:val="00177AD9"/>
    <w:rsid w:val="00181309"/>
    <w:rsid w:val="001824C2"/>
    <w:rsid w:val="0018289E"/>
    <w:rsid w:val="0018331D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71A8"/>
    <w:rsid w:val="001A0035"/>
    <w:rsid w:val="001A2829"/>
    <w:rsid w:val="001A2F7A"/>
    <w:rsid w:val="001A392F"/>
    <w:rsid w:val="001A594D"/>
    <w:rsid w:val="001A5B99"/>
    <w:rsid w:val="001A65F4"/>
    <w:rsid w:val="001A7319"/>
    <w:rsid w:val="001A783E"/>
    <w:rsid w:val="001B0396"/>
    <w:rsid w:val="001B1D1D"/>
    <w:rsid w:val="001B25FF"/>
    <w:rsid w:val="001B3267"/>
    <w:rsid w:val="001B3BE3"/>
    <w:rsid w:val="001B4CB9"/>
    <w:rsid w:val="001B4F99"/>
    <w:rsid w:val="001B7AD0"/>
    <w:rsid w:val="001B7D00"/>
    <w:rsid w:val="001C0237"/>
    <w:rsid w:val="001C0AB4"/>
    <w:rsid w:val="001C1490"/>
    <w:rsid w:val="001C1928"/>
    <w:rsid w:val="001C1F7E"/>
    <w:rsid w:val="001C22CB"/>
    <w:rsid w:val="001C23DD"/>
    <w:rsid w:val="001C264C"/>
    <w:rsid w:val="001C2751"/>
    <w:rsid w:val="001C51EC"/>
    <w:rsid w:val="001C5CE9"/>
    <w:rsid w:val="001C6120"/>
    <w:rsid w:val="001C6698"/>
    <w:rsid w:val="001C6750"/>
    <w:rsid w:val="001C70BA"/>
    <w:rsid w:val="001D0226"/>
    <w:rsid w:val="001D0A32"/>
    <w:rsid w:val="001D21BD"/>
    <w:rsid w:val="001D37FD"/>
    <w:rsid w:val="001D4E81"/>
    <w:rsid w:val="001E2403"/>
    <w:rsid w:val="001E29C8"/>
    <w:rsid w:val="001E29D1"/>
    <w:rsid w:val="001E2BC7"/>
    <w:rsid w:val="001E33FE"/>
    <w:rsid w:val="001E4EAE"/>
    <w:rsid w:val="001E5BE3"/>
    <w:rsid w:val="001E5E69"/>
    <w:rsid w:val="001F1378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AEB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5A2"/>
    <w:rsid w:val="002138EC"/>
    <w:rsid w:val="0021614C"/>
    <w:rsid w:val="00220834"/>
    <w:rsid w:val="00220B59"/>
    <w:rsid w:val="002210E9"/>
    <w:rsid w:val="00222175"/>
    <w:rsid w:val="00223E45"/>
    <w:rsid w:val="00224AD0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90D"/>
    <w:rsid w:val="00230DE8"/>
    <w:rsid w:val="00230FA2"/>
    <w:rsid w:val="00231268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53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3A7"/>
    <w:rsid w:val="002723D9"/>
    <w:rsid w:val="00273280"/>
    <w:rsid w:val="00273D6D"/>
    <w:rsid w:val="0027442C"/>
    <w:rsid w:val="00274EBC"/>
    <w:rsid w:val="00275609"/>
    <w:rsid w:val="0027697B"/>
    <w:rsid w:val="0027775D"/>
    <w:rsid w:val="00280105"/>
    <w:rsid w:val="00282488"/>
    <w:rsid w:val="00282B2B"/>
    <w:rsid w:val="00282DBE"/>
    <w:rsid w:val="00283704"/>
    <w:rsid w:val="002843B8"/>
    <w:rsid w:val="00284B2C"/>
    <w:rsid w:val="00285B0F"/>
    <w:rsid w:val="00287A18"/>
    <w:rsid w:val="00290CF1"/>
    <w:rsid w:val="002916F7"/>
    <w:rsid w:val="00292EC3"/>
    <w:rsid w:val="00294586"/>
    <w:rsid w:val="00294DE0"/>
    <w:rsid w:val="00296127"/>
    <w:rsid w:val="00296B08"/>
    <w:rsid w:val="002977E4"/>
    <w:rsid w:val="00297AC4"/>
    <w:rsid w:val="002A046A"/>
    <w:rsid w:val="002A0CAC"/>
    <w:rsid w:val="002A0D49"/>
    <w:rsid w:val="002A10A8"/>
    <w:rsid w:val="002A1639"/>
    <w:rsid w:val="002A1B2B"/>
    <w:rsid w:val="002A1CC2"/>
    <w:rsid w:val="002A1DC4"/>
    <w:rsid w:val="002A235B"/>
    <w:rsid w:val="002A2CED"/>
    <w:rsid w:val="002A4910"/>
    <w:rsid w:val="002A5C73"/>
    <w:rsid w:val="002A68B8"/>
    <w:rsid w:val="002B0705"/>
    <w:rsid w:val="002B0DED"/>
    <w:rsid w:val="002B10AE"/>
    <w:rsid w:val="002B318C"/>
    <w:rsid w:val="002B3824"/>
    <w:rsid w:val="002B5129"/>
    <w:rsid w:val="002B552A"/>
    <w:rsid w:val="002B74C5"/>
    <w:rsid w:val="002B77D8"/>
    <w:rsid w:val="002C010C"/>
    <w:rsid w:val="002C1A52"/>
    <w:rsid w:val="002C1FBF"/>
    <w:rsid w:val="002C25C6"/>
    <w:rsid w:val="002C454A"/>
    <w:rsid w:val="002C4737"/>
    <w:rsid w:val="002C47B8"/>
    <w:rsid w:val="002C4845"/>
    <w:rsid w:val="002C4A81"/>
    <w:rsid w:val="002C6888"/>
    <w:rsid w:val="002C78FB"/>
    <w:rsid w:val="002C7BD3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C76"/>
    <w:rsid w:val="002D4CDE"/>
    <w:rsid w:val="002D5187"/>
    <w:rsid w:val="002D5865"/>
    <w:rsid w:val="002D6F60"/>
    <w:rsid w:val="002D77A7"/>
    <w:rsid w:val="002D7BA6"/>
    <w:rsid w:val="002E294A"/>
    <w:rsid w:val="002E3693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6AB2"/>
    <w:rsid w:val="002F707E"/>
    <w:rsid w:val="002F7C7C"/>
    <w:rsid w:val="002F7DB2"/>
    <w:rsid w:val="003004B8"/>
    <w:rsid w:val="003022A7"/>
    <w:rsid w:val="00303173"/>
    <w:rsid w:val="00303D85"/>
    <w:rsid w:val="00303F02"/>
    <w:rsid w:val="0030680B"/>
    <w:rsid w:val="00307512"/>
    <w:rsid w:val="00307F4D"/>
    <w:rsid w:val="0031098B"/>
    <w:rsid w:val="00311A9D"/>
    <w:rsid w:val="00312994"/>
    <w:rsid w:val="00313CA3"/>
    <w:rsid w:val="00314EC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C49"/>
    <w:rsid w:val="00336033"/>
    <w:rsid w:val="00337362"/>
    <w:rsid w:val="00337648"/>
    <w:rsid w:val="00340752"/>
    <w:rsid w:val="00340909"/>
    <w:rsid w:val="003409C9"/>
    <w:rsid w:val="00341583"/>
    <w:rsid w:val="00341F7C"/>
    <w:rsid w:val="00344581"/>
    <w:rsid w:val="00344DF2"/>
    <w:rsid w:val="003454A9"/>
    <w:rsid w:val="0034655C"/>
    <w:rsid w:val="00346A8A"/>
    <w:rsid w:val="00346FFA"/>
    <w:rsid w:val="00347594"/>
    <w:rsid w:val="00350CFE"/>
    <w:rsid w:val="0035139C"/>
    <w:rsid w:val="003524FD"/>
    <w:rsid w:val="00354DDA"/>
    <w:rsid w:val="003561B8"/>
    <w:rsid w:val="003568F4"/>
    <w:rsid w:val="00357182"/>
    <w:rsid w:val="00357B8D"/>
    <w:rsid w:val="00357E66"/>
    <w:rsid w:val="00360100"/>
    <w:rsid w:val="00360197"/>
    <w:rsid w:val="00361C27"/>
    <w:rsid w:val="003625F1"/>
    <w:rsid w:val="003634DC"/>
    <w:rsid w:val="003638CF"/>
    <w:rsid w:val="00363C84"/>
    <w:rsid w:val="00364D14"/>
    <w:rsid w:val="00365311"/>
    <w:rsid w:val="003655B6"/>
    <w:rsid w:val="00365E46"/>
    <w:rsid w:val="00366100"/>
    <w:rsid w:val="003667BB"/>
    <w:rsid w:val="00366F41"/>
    <w:rsid w:val="00375E12"/>
    <w:rsid w:val="00376523"/>
    <w:rsid w:val="0037726C"/>
    <w:rsid w:val="00377697"/>
    <w:rsid w:val="00377A53"/>
    <w:rsid w:val="003804E7"/>
    <w:rsid w:val="003809F3"/>
    <w:rsid w:val="0038117E"/>
    <w:rsid w:val="0038135E"/>
    <w:rsid w:val="003813A6"/>
    <w:rsid w:val="00381900"/>
    <w:rsid w:val="00381B03"/>
    <w:rsid w:val="0038259A"/>
    <w:rsid w:val="00382F01"/>
    <w:rsid w:val="00384DC2"/>
    <w:rsid w:val="00387C29"/>
    <w:rsid w:val="00387DAD"/>
    <w:rsid w:val="00390732"/>
    <w:rsid w:val="00391CC7"/>
    <w:rsid w:val="0039257B"/>
    <w:rsid w:val="003935B1"/>
    <w:rsid w:val="0039441A"/>
    <w:rsid w:val="00395C18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5C77"/>
    <w:rsid w:val="003A5EB6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50F"/>
    <w:rsid w:val="003B48D5"/>
    <w:rsid w:val="003B4F8C"/>
    <w:rsid w:val="003B5512"/>
    <w:rsid w:val="003B62EC"/>
    <w:rsid w:val="003B6749"/>
    <w:rsid w:val="003B6844"/>
    <w:rsid w:val="003B75FC"/>
    <w:rsid w:val="003B7F5E"/>
    <w:rsid w:val="003C0B90"/>
    <w:rsid w:val="003C1215"/>
    <w:rsid w:val="003C14C9"/>
    <w:rsid w:val="003C15EF"/>
    <w:rsid w:val="003C1D23"/>
    <w:rsid w:val="003C4817"/>
    <w:rsid w:val="003C5E7B"/>
    <w:rsid w:val="003C6A22"/>
    <w:rsid w:val="003C7870"/>
    <w:rsid w:val="003C79AC"/>
    <w:rsid w:val="003D1EDB"/>
    <w:rsid w:val="003D4359"/>
    <w:rsid w:val="003D4739"/>
    <w:rsid w:val="003D56FD"/>
    <w:rsid w:val="003D75A1"/>
    <w:rsid w:val="003D78F3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6360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7085"/>
    <w:rsid w:val="0040060E"/>
    <w:rsid w:val="00400C11"/>
    <w:rsid w:val="004010A8"/>
    <w:rsid w:val="00401DED"/>
    <w:rsid w:val="00402680"/>
    <w:rsid w:val="00402C40"/>
    <w:rsid w:val="00404546"/>
    <w:rsid w:val="00406097"/>
    <w:rsid w:val="00406C7B"/>
    <w:rsid w:val="00407182"/>
    <w:rsid w:val="004078E5"/>
    <w:rsid w:val="00407FE4"/>
    <w:rsid w:val="00412F68"/>
    <w:rsid w:val="0041311D"/>
    <w:rsid w:val="00413CAA"/>
    <w:rsid w:val="00413FF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732"/>
    <w:rsid w:val="00421CD5"/>
    <w:rsid w:val="00421E9D"/>
    <w:rsid w:val="00422784"/>
    <w:rsid w:val="00423EE9"/>
    <w:rsid w:val="00425998"/>
    <w:rsid w:val="00425EC2"/>
    <w:rsid w:val="00427187"/>
    <w:rsid w:val="00427696"/>
    <w:rsid w:val="00427FB8"/>
    <w:rsid w:val="004306A4"/>
    <w:rsid w:val="00431253"/>
    <w:rsid w:val="00432066"/>
    <w:rsid w:val="00435D37"/>
    <w:rsid w:val="00436469"/>
    <w:rsid w:val="00436FB4"/>
    <w:rsid w:val="004379FA"/>
    <w:rsid w:val="00442E20"/>
    <w:rsid w:val="0044465C"/>
    <w:rsid w:val="004453B9"/>
    <w:rsid w:val="0044550D"/>
    <w:rsid w:val="00445736"/>
    <w:rsid w:val="00446DA9"/>
    <w:rsid w:val="004471B9"/>
    <w:rsid w:val="00447221"/>
    <w:rsid w:val="004509F6"/>
    <w:rsid w:val="0045207A"/>
    <w:rsid w:val="00453CE3"/>
    <w:rsid w:val="00454093"/>
    <w:rsid w:val="00454C7D"/>
    <w:rsid w:val="00455227"/>
    <w:rsid w:val="00455A56"/>
    <w:rsid w:val="00456193"/>
    <w:rsid w:val="00456F4F"/>
    <w:rsid w:val="004574D9"/>
    <w:rsid w:val="0045758B"/>
    <w:rsid w:val="00461324"/>
    <w:rsid w:val="0046148B"/>
    <w:rsid w:val="00461657"/>
    <w:rsid w:val="00461995"/>
    <w:rsid w:val="004634E4"/>
    <w:rsid w:val="00463506"/>
    <w:rsid w:val="004639A5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E2A"/>
    <w:rsid w:val="004725CB"/>
    <w:rsid w:val="0047278D"/>
    <w:rsid w:val="00472CF3"/>
    <w:rsid w:val="004732BC"/>
    <w:rsid w:val="00475763"/>
    <w:rsid w:val="00475BE2"/>
    <w:rsid w:val="00480082"/>
    <w:rsid w:val="00483B9D"/>
    <w:rsid w:val="0048470D"/>
    <w:rsid w:val="004848E8"/>
    <w:rsid w:val="00484EA7"/>
    <w:rsid w:val="004864AA"/>
    <w:rsid w:val="004865CE"/>
    <w:rsid w:val="004868F5"/>
    <w:rsid w:val="0048699B"/>
    <w:rsid w:val="00487296"/>
    <w:rsid w:val="0049070F"/>
    <w:rsid w:val="00491368"/>
    <w:rsid w:val="0049250B"/>
    <w:rsid w:val="00492CE5"/>
    <w:rsid w:val="004932C1"/>
    <w:rsid w:val="00493B63"/>
    <w:rsid w:val="00493F77"/>
    <w:rsid w:val="004940E0"/>
    <w:rsid w:val="00496006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1C2A"/>
    <w:rsid w:val="004B1ECF"/>
    <w:rsid w:val="004B378C"/>
    <w:rsid w:val="004B41B2"/>
    <w:rsid w:val="004B533B"/>
    <w:rsid w:val="004B5F63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659C"/>
    <w:rsid w:val="004D49A0"/>
    <w:rsid w:val="004D4E0F"/>
    <w:rsid w:val="004D6472"/>
    <w:rsid w:val="004D7775"/>
    <w:rsid w:val="004E02D3"/>
    <w:rsid w:val="004E0DE7"/>
    <w:rsid w:val="004E12DB"/>
    <w:rsid w:val="004E28B9"/>
    <w:rsid w:val="004E4063"/>
    <w:rsid w:val="004E40DA"/>
    <w:rsid w:val="004E475F"/>
    <w:rsid w:val="004E5F03"/>
    <w:rsid w:val="004E6169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DA8"/>
    <w:rsid w:val="004F62C2"/>
    <w:rsid w:val="004F731B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07D4D"/>
    <w:rsid w:val="00511F1F"/>
    <w:rsid w:val="0051201B"/>
    <w:rsid w:val="0051345D"/>
    <w:rsid w:val="005157FF"/>
    <w:rsid w:val="005161CB"/>
    <w:rsid w:val="00516264"/>
    <w:rsid w:val="00516511"/>
    <w:rsid w:val="00517175"/>
    <w:rsid w:val="00517B19"/>
    <w:rsid w:val="00521DE6"/>
    <w:rsid w:val="005221F4"/>
    <w:rsid w:val="00522282"/>
    <w:rsid w:val="00524587"/>
    <w:rsid w:val="0052511E"/>
    <w:rsid w:val="0052531F"/>
    <w:rsid w:val="005253D1"/>
    <w:rsid w:val="005264EC"/>
    <w:rsid w:val="0053016A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453"/>
    <w:rsid w:val="00541D70"/>
    <w:rsid w:val="005429A2"/>
    <w:rsid w:val="005436E2"/>
    <w:rsid w:val="00543A1F"/>
    <w:rsid w:val="00543F14"/>
    <w:rsid w:val="00543F2D"/>
    <w:rsid w:val="00545372"/>
    <w:rsid w:val="005468F5"/>
    <w:rsid w:val="00546967"/>
    <w:rsid w:val="00547212"/>
    <w:rsid w:val="005479C8"/>
    <w:rsid w:val="00547B34"/>
    <w:rsid w:val="00547C53"/>
    <w:rsid w:val="005523CF"/>
    <w:rsid w:val="00552402"/>
    <w:rsid w:val="0055364A"/>
    <w:rsid w:val="00553E61"/>
    <w:rsid w:val="0055409D"/>
    <w:rsid w:val="00554387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992"/>
    <w:rsid w:val="00562086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80172"/>
    <w:rsid w:val="00580203"/>
    <w:rsid w:val="00580859"/>
    <w:rsid w:val="00581749"/>
    <w:rsid w:val="005818A8"/>
    <w:rsid w:val="00581D4E"/>
    <w:rsid w:val="005829D9"/>
    <w:rsid w:val="00583591"/>
    <w:rsid w:val="005838F0"/>
    <w:rsid w:val="0058458E"/>
    <w:rsid w:val="00584669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2DF3"/>
    <w:rsid w:val="00593B25"/>
    <w:rsid w:val="00595DA2"/>
    <w:rsid w:val="00596079"/>
    <w:rsid w:val="005966E6"/>
    <w:rsid w:val="005A054F"/>
    <w:rsid w:val="005A0B3D"/>
    <w:rsid w:val="005A13E6"/>
    <w:rsid w:val="005A17DE"/>
    <w:rsid w:val="005A1C61"/>
    <w:rsid w:val="005A2BD0"/>
    <w:rsid w:val="005A4AB8"/>
    <w:rsid w:val="005A5064"/>
    <w:rsid w:val="005A5229"/>
    <w:rsid w:val="005B0DB1"/>
    <w:rsid w:val="005B18F4"/>
    <w:rsid w:val="005B25F8"/>
    <w:rsid w:val="005B2BF5"/>
    <w:rsid w:val="005B32A9"/>
    <w:rsid w:val="005B5CB7"/>
    <w:rsid w:val="005B5F21"/>
    <w:rsid w:val="005B7040"/>
    <w:rsid w:val="005C19AB"/>
    <w:rsid w:val="005C2D8D"/>
    <w:rsid w:val="005C363C"/>
    <w:rsid w:val="005C3915"/>
    <w:rsid w:val="005C3D3E"/>
    <w:rsid w:val="005C4CBE"/>
    <w:rsid w:val="005C4DBD"/>
    <w:rsid w:val="005C4E87"/>
    <w:rsid w:val="005C5F38"/>
    <w:rsid w:val="005D07D1"/>
    <w:rsid w:val="005D0E14"/>
    <w:rsid w:val="005D2F3D"/>
    <w:rsid w:val="005D48A0"/>
    <w:rsid w:val="005D4BC4"/>
    <w:rsid w:val="005D5D14"/>
    <w:rsid w:val="005D5E2D"/>
    <w:rsid w:val="005D6EEB"/>
    <w:rsid w:val="005D751B"/>
    <w:rsid w:val="005D7FE7"/>
    <w:rsid w:val="005E0358"/>
    <w:rsid w:val="005E038B"/>
    <w:rsid w:val="005E150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50EA"/>
    <w:rsid w:val="005F568D"/>
    <w:rsid w:val="005F66B5"/>
    <w:rsid w:val="006006C6"/>
    <w:rsid w:val="0060487F"/>
    <w:rsid w:val="0060509D"/>
    <w:rsid w:val="006050EA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A53"/>
    <w:rsid w:val="00612A74"/>
    <w:rsid w:val="00612DDA"/>
    <w:rsid w:val="00612F5E"/>
    <w:rsid w:val="00613676"/>
    <w:rsid w:val="006139C9"/>
    <w:rsid w:val="006142D5"/>
    <w:rsid w:val="006152FB"/>
    <w:rsid w:val="0061569F"/>
    <w:rsid w:val="00616B6E"/>
    <w:rsid w:val="00617CA0"/>
    <w:rsid w:val="00620ACF"/>
    <w:rsid w:val="00620FA4"/>
    <w:rsid w:val="0062188F"/>
    <w:rsid w:val="00621B53"/>
    <w:rsid w:val="0062271A"/>
    <w:rsid w:val="00622F10"/>
    <w:rsid w:val="00622FAC"/>
    <w:rsid w:val="00623BC4"/>
    <w:rsid w:val="00624C12"/>
    <w:rsid w:val="00630010"/>
    <w:rsid w:val="006304FD"/>
    <w:rsid w:val="00632692"/>
    <w:rsid w:val="00634B74"/>
    <w:rsid w:val="006357BA"/>
    <w:rsid w:val="0063610A"/>
    <w:rsid w:val="006364A1"/>
    <w:rsid w:val="00642A13"/>
    <w:rsid w:val="00642F40"/>
    <w:rsid w:val="006435D8"/>
    <w:rsid w:val="00645ED4"/>
    <w:rsid w:val="00647463"/>
    <w:rsid w:val="00647B12"/>
    <w:rsid w:val="006509EE"/>
    <w:rsid w:val="00650AC3"/>
    <w:rsid w:val="00650FF3"/>
    <w:rsid w:val="00651027"/>
    <w:rsid w:val="0065108A"/>
    <w:rsid w:val="006526F3"/>
    <w:rsid w:val="006534C5"/>
    <w:rsid w:val="0065398C"/>
    <w:rsid w:val="00653CF3"/>
    <w:rsid w:val="0065416C"/>
    <w:rsid w:val="00654A8A"/>
    <w:rsid w:val="0065518C"/>
    <w:rsid w:val="0065597E"/>
    <w:rsid w:val="00655E97"/>
    <w:rsid w:val="0065775B"/>
    <w:rsid w:val="00657F58"/>
    <w:rsid w:val="00661339"/>
    <w:rsid w:val="00661C7E"/>
    <w:rsid w:val="00661E40"/>
    <w:rsid w:val="00662030"/>
    <w:rsid w:val="00663690"/>
    <w:rsid w:val="00664211"/>
    <w:rsid w:val="00664DEB"/>
    <w:rsid w:val="00666EFC"/>
    <w:rsid w:val="0066756D"/>
    <w:rsid w:val="00670373"/>
    <w:rsid w:val="006705D4"/>
    <w:rsid w:val="00670C5E"/>
    <w:rsid w:val="00670C6E"/>
    <w:rsid w:val="00671200"/>
    <w:rsid w:val="00671844"/>
    <w:rsid w:val="00671961"/>
    <w:rsid w:val="006719B2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1351"/>
    <w:rsid w:val="006817D4"/>
    <w:rsid w:val="00681A9E"/>
    <w:rsid w:val="00682718"/>
    <w:rsid w:val="00684818"/>
    <w:rsid w:val="00684902"/>
    <w:rsid w:val="00685393"/>
    <w:rsid w:val="006900D2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A0B4A"/>
    <w:rsid w:val="006A144B"/>
    <w:rsid w:val="006A174E"/>
    <w:rsid w:val="006A1C8D"/>
    <w:rsid w:val="006A290B"/>
    <w:rsid w:val="006A469E"/>
    <w:rsid w:val="006A478E"/>
    <w:rsid w:val="006A4801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4656"/>
    <w:rsid w:val="006B4777"/>
    <w:rsid w:val="006B48BD"/>
    <w:rsid w:val="006B5211"/>
    <w:rsid w:val="006B5863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4E28"/>
    <w:rsid w:val="006C5096"/>
    <w:rsid w:val="006C5F17"/>
    <w:rsid w:val="006C6303"/>
    <w:rsid w:val="006C6B7E"/>
    <w:rsid w:val="006C6BF9"/>
    <w:rsid w:val="006C6C06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A5C"/>
    <w:rsid w:val="006D53D7"/>
    <w:rsid w:val="006D5B24"/>
    <w:rsid w:val="006D7398"/>
    <w:rsid w:val="006D74DB"/>
    <w:rsid w:val="006E11AC"/>
    <w:rsid w:val="006E11E0"/>
    <w:rsid w:val="006E4128"/>
    <w:rsid w:val="006E4746"/>
    <w:rsid w:val="006E4A03"/>
    <w:rsid w:val="006E4B91"/>
    <w:rsid w:val="006E6751"/>
    <w:rsid w:val="006E7282"/>
    <w:rsid w:val="006F0752"/>
    <w:rsid w:val="006F1525"/>
    <w:rsid w:val="006F1AFE"/>
    <w:rsid w:val="006F2861"/>
    <w:rsid w:val="006F4259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B0B"/>
    <w:rsid w:val="00703D19"/>
    <w:rsid w:val="00705089"/>
    <w:rsid w:val="007055C9"/>
    <w:rsid w:val="007067B2"/>
    <w:rsid w:val="00706A33"/>
    <w:rsid w:val="00706CF0"/>
    <w:rsid w:val="00707E96"/>
    <w:rsid w:val="00710BC7"/>
    <w:rsid w:val="0071194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307C9"/>
    <w:rsid w:val="0073095F"/>
    <w:rsid w:val="007319C8"/>
    <w:rsid w:val="00731BF4"/>
    <w:rsid w:val="007326D7"/>
    <w:rsid w:val="007335DB"/>
    <w:rsid w:val="00733BCB"/>
    <w:rsid w:val="0073431B"/>
    <w:rsid w:val="00734688"/>
    <w:rsid w:val="00734729"/>
    <w:rsid w:val="00736A98"/>
    <w:rsid w:val="00736C15"/>
    <w:rsid w:val="00736E76"/>
    <w:rsid w:val="0073706D"/>
    <w:rsid w:val="007375FD"/>
    <w:rsid w:val="00737DB4"/>
    <w:rsid w:val="007406F2"/>
    <w:rsid w:val="007409AF"/>
    <w:rsid w:val="00742C04"/>
    <w:rsid w:val="00743684"/>
    <w:rsid w:val="007452A1"/>
    <w:rsid w:val="00745BCE"/>
    <w:rsid w:val="00745F91"/>
    <w:rsid w:val="00746132"/>
    <w:rsid w:val="007469F9"/>
    <w:rsid w:val="00746E03"/>
    <w:rsid w:val="00747828"/>
    <w:rsid w:val="00750866"/>
    <w:rsid w:val="00750F18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79F4"/>
    <w:rsid w:val="00757A6C"/>
    <w:rsid w:val="00760D2A"/>
    <w:rsid w:val="0076100C"/>
    <w:rsid w:val="00761287"/>
    <w:rsid w:val="0076182F"/>
    <w:rsid w:val="007618B8"/>
    <w:rsid w:val="00762622"/>
    <w:rsid w:val="0076413B"/>
    <w:rsid w:val="00764D09"/>
    <w:rsid w:val="007652FD"/>
    <w:rsid w:val="0076645A"/>
    <w:rsid w:val="007675AF"/>
    <w:rsid w:val="00770772"/>
    <w:rsid w:val="00771538"/>
    <w:rsid w:val="00771D94"/>
    <w:rsid w:val="007720D7"/>
    <w:rsid w:val="007722BC"/>
    <w:rsid w:val="00772523"/>
    <w:rsid w:val="00772A01"/>
    <w:rsid w:val="00772F45"/>
    <w:rsid w:val="00773C65"/>
    <w:rsid w:val="00775529"/>
    <w:rsid w:val="007759BD"/>
    <w:rsid w:val="00776710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7FB"/>
    <w:rsid w:val="00784B89"/>
    <w:rsid w:val="00784BF8"/>
    <w:rsid w:val="00784DAE"/>
    <w:rsid w:val="00784E09"/>
    <w:rsid w:val="00785339"/>
    <w:rsid w:val="00786F50"/>
    <w:rsid w:val="00787851"/>
    <w:rsid w:val="00787A25"/>
    <w:rsid w:val="00787E88"/>
    <w:rsid w:val="0079169B"/>
    <w:rsid w:val="00791DC2"/>
    <w:rsid w:val="00793A27"/>
    <w:rsid w:val="00793F4D"/>
    <w:rsid w:val="007941BB"/>
    <w:rsid w:val="007946DB"/>
    <w:rsid w:val="00794B8C"/>
    <w:rsid w:val="00796ED1"/>
    <w:rsid w:val="007978AC"/>
    <w:rsid w:val="00797B66"/>
    <w:rsid w:val="00797B6A"/>
    <w:rsid w:val="00797BA2"/>
    <w:rsid w:val="007A0816"/>
    <w:rsid w:val="007A1882"/>
    <w:rsid w:val="007A1CFE"/>
    <w:rsid w:val="007A2091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A7E1A"/>
    <w:rsid w:val="007B0888"/>
    <w:rsid w:val="007B0B93"/>
    <w:rsid w:val="007B0DD9"/>
    <w:rsid w:val="007B0E60"/>
    <w:rsid w:val="007B41C4"/>
    <w:rsid w:val="007B5A1B"/>
    <w:rsid w:val="007B5C2E"/>
    <w:rsid w:val="007B7DBE"/>
    <w:rsid w:val="007B7EED"/>
    <w:rsid w:val="007C1EE8"/>
    <w:rsid w:val="007C2107"/>
    <w:rsid w:val="007C2827"/>
    <w:rsid w:val="007C2B1C"/>
    <w:rsid w:val="007C43BE"/>
    <w:rsid w:val="007C49FF"/>
    <w:rsid w:val="007C5F96"/>
    <w:rsid w:val="007C601C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5CC1"/>
    <w:rsid w:val="007E7DDD"/>
    <w:rsid w:val="007F182C"/>
    <w:rsid w:val="007F2376"/>
    <w:rsid w:val="007F33E9"/>
    <w:rsid w:val="007F388B"/>
    <w:rsid w:val="007F4571"/>
    <w:rsid w:val="007F4D55"/>
    <w:rsid w:val="007F589D"/>
    <w:rsid w:val="007F5FD8"/>
    <w:rsid w:val="007F61AF"/>
    <w:rsid w:val="007F775F"/>
    <w:rsid w:val="007F7F34"/>
    <w:rsid w:val="0080031F"/>
    <w:rsid w:val="00801411"/>
    <w:rsid w:val="00801DB8"/>
    <w:rsid w:val="0080291E"/>
    <w:rsid w:val="00802B7F"/>
    <w:rsid w:val="00804F0B"/>
    <w:rsid w:val="00805844"/>
    <w:rsid w:val="00805AF2"/>
    <w:rsid w:val="00805F78"/>
    <w:rsid w:val="00806B4B"/>
    <w:rsid w:val="00810837"/>
    <w:rsid w:val="00810CC6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2F67"/>
    <w:rsid w:val="008239BC"/>
    <w:rsid w:val="008251C2"/>
    <w:rsid w:val="0082570B"/>
    <w:rsid w:val="008269CE"/>
    <w:rsid w:val="0082721B"/>
    <w:rsid w:val="0083011C"/>
    <w:rsid w:val="008312F3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6DA4"/>
    <w:rsid w:val="00847B5B"/>
    <w:rsid w:val="00847C9F"/>
    <w:rsid w:val="00847EBF"/>
    <w:rsid w:val="0085098F"/>
    <w:rsid w:val="0085138D"/>
    <w:rsid w:val="00854098"/>
    <w:rsid w:val="00855ED0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2A4F"/>
    <w:rsid w:val="00863019"/>
    <w:rsid w:val="00864891"/>
    <w:rsid w:val="00864D7E"/>
    <w:rsid w:val="008654E2"/>
    <w:rsid w:val="008656F4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6420"/>
    <w:rsid w:val="008770B1"/>
    <w:rsid w:val="00877642"/>
    <w:rsid w:val="00877FE9"/>
    <w:rsid w:val="00880646"/>
    <w:rsid w:val="00881C0B"/>
    <w:rsid w:val="00881E8E"/>
    <w:rsid w:val="00882650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194A"/>
    <w:rsid w:val="0089243B"/>
    <w:rsid w:val="00892AFB"/>
    <w:rsid w:val="0089368B"/>
    <w:rsid w:val="00893A0A"/>
    <w:rsid w:val="0089561D"/>
    <w:rsid w:val="0089702D"/>
    <w:rsid w:val="00897403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85E"/>
    <w:rsid w:val="008B2B3C"/>
    <w:rsid w:val="008B4A2E"/>
    <w:rsid w:val="008B58DE"/>
    <w:rsid w:val="008B599F"/>
    <w:rsid w:val="008B6202"/>
    <w:rsid w:val="008B665D"/>
    <w:rsid w:val="008B6D0D"/>
    <w:rsid w:val="008B6F16"/>
    <w:rsid w:val="008C01EB"/>
    <w:rsid w:val="008C15C8"/>
    <w:rsid w:val="008C215C"/>
    <w:rsid w:val="008C2299"/>
    <w:rsid w:val="008C2443"/>
    <w:rsid w:val="008C2CD3"/>
    <w:rsid w:val="008C34B7"/>
    <w:rsid w:val="008C3941"/>
    <w:rsid w:val="008C4151"/>
    <w:rsid w:val="008C5163"/>
    <w:rsid w:val="008C5984"/>
    <w:rsid w:val="008C5E67"/>
    <w:rsid w:val="008C7C7F"/>
    <w:rsid w:val="008D0308"/>
    <w:rsid w:val="008D0998"/>
    <w:rsid w:val="008D1539"/>
    <w:rsid w:val="008D20A3"/>
    <w:rsid w:val="008D27EB"/>
    <w:rsid w:val="008D2C8B"/>
    <w:rsid w:val="008D30AF"/>
    <w:rsid w:val="008D3CDF"/>
    <w:rsid w:val="008D4618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3EA"/>
    <w:rsid w:val="008E3805"/>
    <w:rsid w:val="008E3D20"/>
    <w:rsid w:val="008E4582"/>
    <w:rsid w:val="008E462B"/>
    <w:rsid w:val="008E5901"/>
    <w:rsid w:val="008E5EDA"/>
    <w:rsid w:val="008E636B"/>
    <w:rsid w:val="008E6D00"/>
    <w:rsid w:val="008E6F6E"/>
    <w:rsid w:val="008E7183"/>
    <w:rsid w:val="008E77D5"/>
    <w:rsid w:val="008F0415"/>
    <w:rsid w:val="008F0BE5"/>
    <w:rsid w:val="008F195C"/>
    <w:rsid w:val="008F34CB"/>
    <w:rsid w:val="008F3986"/>
    <w:rsid w:val="008F4F59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9D1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7FE0"/>
    <w:rsid w:val="00910CBD"/>
    <w:rsid w:val="0091144B"/>
    <w:rsid w:val="00912260"/>
    <w:rsid w:val="009126D6"/>
    <w:rsid w:val="00912ADF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448"/>
    <w:rsid w:val="00925536"/>
    <w:rsid w:val="00925FF2"/>
    <w:rsid w:val="009271A2"/>
    <w:rsid w:val="009309A2"/>
    <w:rsid w:val="009329C9"/>
    <w:rsid w:val="00933305"/>
    <w:rsid w:val="0093378D"/>
    <w:rsid w:val="0093484E"/>
    <w:rsid w:val="00935A48"/>
    <w:rsid w:val="00937C0F"/>
    <w:rsid w:val="009404CE"/>
    <w:rsid w:val="00940D56"/>
    <w:rsid w:val="00941319"/>
    <w:rsid w:val="00941C71"/>
    <w:rsid w:val="00941E99"/>
    <w:rsid w:val="0094299F"/>
    <w:rsid w:val="00942C49"/>
    <w:rsid w:val="009472A1"/>
    <w:rsid w:val="00947A04"/>
    <w:rsid w:val="00947B02"/>
    <w:rsid w:val="00947E4E"/>
    <w:rsid w:val="009508FA"/>
    <w:rsid w:val="00951A56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DB5"/>
    <w:rsid w:val="009611F6"/>
    <w:rsid w:val="00961D65"/>
    <w:rsid w:val="00961F4C"/>
    <w:rsid w:val="00962311"/>
    <w:rsid w:val="00962341"/>
    <w:rsid w:val="00962426"/>
    <w:rsid w:val="009636C3"/>
    <w:rsid w:val="009637F1"/>
    <w:rsid w:val="009647DB"/>
    <w:rsid w:val="00965B35"/>
    <w:rsid w:val="00965C70"/>
    <w:rsid w:val="00965E55"/>
    <w:rsid w:val="00965FCD"/>
    <w:rsid w:val="009667E4"/>
    <w:rsid w:val="00966C86"/>
    <w:rsid w:val="00966CC3"/>
    <w:rsid w:val="009674E4"/>
    <w:rsid w:val="00967750"/>
    <w:rsid w:val="009707F3"/>
    <w:rsid w:val="00970817"/>
    <w:rsid w:val="009729C4"/>
    <w:rsid w:val="00972CD2"/>
    <w:rsid w:val="00972F5D"/>
    <w:rsid w:val="00973022"/>
    <w:rsid w:val="0097377E"/>
    <w:rsid w:val="00974320"/>
    <w:rsid w:val="00974AD2"/>
    <w:rsid w:val="00974F42"/>
    <w:rsid w:val="00975511"/>
    <w:rsid w:val="00976263"/>
    <w:rsid w:val="00980D4F"/>
    <w:rsid w:val="0098296F"/>
    <w:rsid w:val="00982E62"/>
    <w:rsid w:val="009836D7"/>
    <w:rsid w:val="0098375C"/>
    <w:rsid w:val="00984FFD"/>
    <w:rsid w:val="009851E4"/>
    <w:rsid w:val="0098562F"/>
    <w:rsid w:val="00985BF6"/>
    <w:rsid w:val="00985C9B"/>
    <w:rsid w:val="009860B5"/>
    <w:rsid w:val="009869DC"/>
    <w:rsid w:val="00991897"/>
    <w:rsid w:val="00992420"/>
    <w:rsid w:val="00992B90"/>
    <w:rsid w:val="00993E5A"/>
    <w:rsid w:val="00994161"/>
    <w:rsid w:val="0099417D"/>
    <w:rsid w:val="00994D96"/>
    <w:rsid w:val="009960CD"/>
    <w:rsid w:val="00997454"/>
    <w:rsid w:val="009A0736"/>
    <w:rsid w:val="009A1376"/>
    <w:rsid w:val="009A24E1"/>
    <w:rsid w:val="009A2EA5"/>
    <w:rsid w:val="009A4C61"/>
    <w:rsid w:val="009A4CA6"/>
    <w:rsid w:val="009A5640"/>
    <w:rsid w:val="009A63D0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320B"/>
    <w:rsid w:val="009B37AE"/>
    <w:rsid w:val="009B5779"/>
    <w:rsid w:val="009B65AF"/>
    <w:rsid w:val="009B6603"/>
    <w:rsid w:val="009B6985"/>
    <w:rsid w:val="009C0493"/>
    <w:rsid w:val="009C162D"/>
    <w:rsid w:val="009C1D43"/>
    <w:rsid w:val="009C406B"/>
    <w:rsid w:val="009C41DE"/>
    <w:rsid w:val="009C42D7"/>
    <w:rsid w:val="009C4EAF"/>
    <w:rsid w:val="009C5011"/>
    <w:rsid w:val="009C5462"/>
    <w:rsid w:val="009C62C0"/>
    <w:rsid w:val="009C6D28"/>
    <w:rsid w:val="009C6DF3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E79"/>
    <w:rsid w:val="009E510B"/>
    <w:rsid w:val="009E51BC"/>
    <w:rsid w:val="009E58AC"/>
    <w:rsid w:val="009E5D48"/>
    <w:rsid w:val="009E70C1"/>
    <w:rsid w:val="009E7177"/>
    <w:rsid w:val="009F0EB0"/>
    <w:rsid w:val="009F1090"/>
    <w:rsid w:val="009F17D9"/>
    <w:rsid w:val="009F18E0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E29"/>
    <w:rsid w:val="00A00218"/>
    <w:rsid w:val="00A0022E"/>
    <w:rsid w:val="00A0035B"/>
    <w:rsid w:val="00A01261"/>
    <w:rsid w:val="00A0226B"/>
    <w:rsid w:val="00A040F6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45D0"/>
    <w:rsid w:val="00A14996"/>
    <w:rsid w:val="00A16685"/>
    <w:rsid w:val="00A16C9B"/>
    <w:rsid w:val="00A17447"/>
    <w:rsid w:val="00A178C8"/>
    <w:rsid w:val="00A20571"/>
    <w:rsid w:val="00A2097F"/>
    <w:rsid w:val="00A209F6"/>
    <w:rsid w:val="00A20D1B"/>
    <w:rsid w:val="00A22776"/>
    <w:rsid w:val="00A22911"/>
    <w:rsid w:val="00A22FCE"/>
    <w:rsid w:val="00A233F2"/>
    <w:rsid w:val="00A23A9A"/>
    <w:rsid w:val="00A2480A"/>
    <w:rsid w:val="00A24849"/>
    <w:rsid w:val="00A2559B"/>
    <w:rsid w:val="00A25D5F"/>
    <w:rsid w:val="00A30660"/>
    <w:rsid w:val="00A30E95"/>
    <w:rsid w:val="00A3121D"/>
    <w:rsid w:val="00A324F2"/>
    <w:rsid w:val="00A33860"/>
    <w:rsid w:val="00A34E49"/>
    <w:rsid w:val="00A34E8F"/>
    <w:rsid w:val="00A34E9D"/>
    <w:rsid w:val="00A35125"/>
    <w:rsid w:val="00A3560C"/>
    <w:rsid w:val="00A35630"/>
    <w:rsid w:val="00A35C10"/>
    <w:rsid w:val="00A360C2"/>
    <w:rsid w:val="00A36406"/>
    <w:rsid w:val="00A36F39"/>
    <w:rsid w:val="00A37526"/>
    <w:rsid w:val="00A3777A"/>
    <w:rsid w:val="00A40D24"/>
    <w:rsid w:val="00A4133A"/>
    <w:rsid w:val="00A419CE"/>
    <w:rsid w:val="00A423C3"/>
    <w:rsid w:val="00A429F2"/>
    <w:rsid w:val="00A4482B"/>
    <w:rsid w:val="00A44F75"/>
    <w:rsid w:val="00A451E5"/>
    <w:rsid w:val="00A45934"/>
    <w:rsid w:val="00A45F99"/>
    <w:rsid w:val="00A468B1"/>
    <w:rsid w:val="00A4692E"/>
    <w:rsid w:val="00A4692F"/>
    <w:rsid w:val="00A46C9C"/>
    <w:rsid w:val="00A46DEF"/>
    <w:rsid w:val="00A478AD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AE3"/>
    <w:rsid w:val="00A57CDB"/>
    <w:rsid w:val="00A6119A"/>
    <w:rsid w:val="00A6220E"/>
    <w:rsid w:val="00A62711"/>
    <w:rsid w:val="00A63167"/>
    <w:rsid w:val="00A63DB2"/>
    <w:rsid w:val="00A66869"/>
    <w:rsid w:val="00A66994"/>
    <w:rsid w:val="00A66BEC"/>
    <w:rsid w:val="00A67103"/>
    <w:rsid w:val="00A67F78"/>
    <w:rsid w:val="00A719D1"/>
    <w:rsid w:val="00A72B22"/>
    <w:rsid w:val="00A73828"/>
    <w:rsid w:val="00A73F8B"/>
    <w:rsid w:val="00A74590"/>
    <w:rsid w:val="00A75004"/>
    <w:rsid w:val="00A76BD3"/>
    <w:rsid w:val="00A80523"/>
    <w:rsid w:val="00A8105B"/>
    <w:rsid w:val="00A8196A"/>
    <w:rsid w:val="00A81A72"/>
    <w:rsid w:val="00A81DD8"/>
    <w:rsid w:val="00A84EF6"/>
    <w:rsid w:val="00A85320"/>
    <w:rsid w:val="00A85322"/>
    <w:rsid w:val="00A862EE"/>
    <w:rsid w:val="00A86AE2"/>
    <w:rsid w:val="00A90134"/>
    <w:rsid w:val="00A919D2"/>
    <w:rsid w:val="00A91C99"/>
    <w:rsid w:val="00A92A57"/>
    <w:rsid w:val="00A92C88"/>
    <w:rsid w:val="00A93193"/>
    <w:rsid w:val="00A94105"/>
    <w:rsid w:val="00A9414F"/>
    <w:rsid w:val="00A94444"/>
    <w:rsid w:val="00A944B7"/>
    <w:rsid w:val="00A95390"/>
    <w:rsid w:val="00A95F41"/>
    <w:rsid w:val="00A96249"/>
    <w:rsid w:val="00A965E6"/>
    <w:rsid w:val="00A96B95"/>
    <w:rsid w:val="00A975A4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A8"/>
    <w:rsid w:val="00AC4D78"/>
    <w:rsid w:val="00AC4E44"/>
    <w:rsid w:val="00AC5FC3"/>
    <w:rsid w:val="00AC7151"/>
    <w:rsid w:val="00AC717C"/>
    <w:rsid w:val="00AC7CE7"/>
    <w:rsid w:val="00AD02E0"/>
    <w:rsid w:val="00AD0474"/>
    <w:rsid w:val="00AD0892"/>
    <w:rsid w:val="00AD0FC1"/>
    <w:rsid w:val="00AD1B16"/>
    <w:rsid w:val="00AD1CF2"/>
    <w:rsid w:val="00AD2C28"/>
    <w:rsid w:val="00AD308A"/>
    <w:rsid w:val="00AD314C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B29"/>
    <w:rsid w:val="00AE3EC8"/>
    <w:rsid w:val="00AE46D2"/>
    <w:rsid w:val="00AE745C"/>
    <w:rsid w:val="00AF16EF"/>
    <w:rsid w:val="00AF29C0"/>
    <w:rsid w:val="00AF2A35"/>
    <w:rsid w:val="00AF39C0"/>
    <w:rsid w:val="00AF3F13"/>
    <w:rsid w:val="00AF62DF"/>
    <w:rsid w:val="00AF6471"/>
    <w:rsid w:val="00AF71DC"/>
    <w:rsid w:val="00AF7CF3"/>
    <w:rsid w:val="00B012FF"/>
    <w:rsid w:val="00B022B2"/>
    <w:rsid w:val="00B02D66"/>
    <w:rsid w:val="00B039A4"/>
    <w:rsid w:val="00B0449D"/>
    <w:rsid w:val="00B063C0"/>
    <w:rsid w:val="00B06824"/>
    <w:rsid w:val="00B10371"/>
    <w:rsid w:val="00B12463"/>
    <w:rsid w:val="00B12E31"/>
    <w:rsid w:val="00B12FFF"/>
    <w:rsid w:val="00B13932"/>
    <w:rsid w:val="00B1410C"/>
    <w:rsid w:val="00B144B8"/>
    <w:rsid w:val="00B14CA8"/>
    <w:rsid w:val="00B15B7B"/>
    <w:rsid w:val="00B16A6B"/>
    <w:rsid w:val="00B1724F"/>
    <w:rsid w:val="00B20DEE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132A"/>
    <w:rsid w:val="00B31F68"/>
    <w:rsid w:val="00B355D6"/>
    <w:rsid w:val="00B36D48"/>
    <w:rsid w:val="00B40133"/>
    <w:rsid w:val="00B41E7A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CF4"/>
    <w:rsid w:val="00B5154B"/>
    <w:rsid w:val="00B51806"/>
    <w:rsid w:val="00B52271"/>
    <w:rsid w:val="00B5329A"/>
    <w:rsid w:val="00B53433"/>
    <w:rsid w:val="00B554D3"/>
    <w:rsid w:val="00B5629A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66E0F"/>
    <w:rsid w:val="00B67014"/>
    <w:rsid w:val="00B71665"/>
    <w:rsid w:val="00B71C0B"/>
    <w:rsid w:val="00B72332"/>
    <w:rsid w:val="00B72446"/>
    <w:rsid w:val="00B73FD4"/>
    <w:rsid w:val="00B74693"/>
    <w:rsid w:val="00B74947"/>
    <w:rsid w:val="00B7591E"/>
    <w:rsid w:val="00B75991"/>
    <w:rsid w:val="00B76838"/>
    <w:rsid w:val="00B77D13"/>
    <w:rsid w:val="00B801BF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7E79"/>
    <w:rsid w:val="00B90D97"/>
    <w:rsid w:val="00B91241"/>
    <w:rsid w:val="00B91D36"/>
    <w:rsid w:val="00B92746"/>
    <w:rsid w:val="00B92D47"/>
    <w:rsid w:val="00B96894"/>
    <w:rsid w:val="00B969AC"/>
    <w:rsid w:val="00B9719C"/>
    <w:rsid w:val="00BA06C1"/>
    <w:rsid w:val="00BA0B65"/>
    <w:rsid w:val="00BA1E04"/>
    <w:rsid w:val="00BA1F78"/>
    <w:rsid w:val="00BA2E14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F6"/>
    <w:rsid w:val="00BB573E"/>
    <w:rsid w:val="00BB5FE7"/>
    <w:rsid w:val="00BB60B2"/>
    <w:rsid w:val="00BB68A6"/>
    <w:rsid w:val="00BB7001"/>
    <w:rsid w:val="00BB785F"/>
    <w:rsid w:val="00BB7878"/>
    <w:rsid w:val="00BB7D3F"/>
    <w:rsid w:val="00BB7F73"/>
    <w:rsid w:val="00BC05DD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C9A"/>
    <w:rsid w:val="00BD0F4E"/>
    <w:rsid w:val="00BD18F0"/>
    <w:rsid w:val="00BD2B67"/>
    <w:rsid w:val="00BD30D2"/>
    <w:rsid w:val="00BE1624"/>
    <w:rsid w:val="00BE20AC"/>
    <w:rsid w:val="00BE2ABD"/>
    <w:rsid w:val="00BE2E1E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301B"/>
    <w:rsid w:val="00BF3436"/>
    <w:rsid w:val="00BF43FA"/>
    <w:rsid w:val="00BF6AAD"/>
    <w:rsid w:val="00BF7150"/>
    <w:rsid w:val="00BF72CE"/>
    <w:rsid w:val="00C00142"/>
    <w:rsid w:val="00C00FED"/>
    <w:rsid w:val="00C0135E"/>
    <w:rsid w:val="00C01F4F"/>
    <w:rsid w:val="00C025D3"/>
    <w:rsid w:val="00C06AB7"/>
    <w:rsid w:val="00C07170"/>
    <w:rsid w:val="00C077DA"/>
    <w:rsid w:val="00C0788A"/>
    <w:rsid w:val="00C07EBB"/>
    <w:rsid w:val="00C11266"/>
    <w:rsid w:val="00C123A0"/>
    <w:rsid w:val="00C12BC9"/>
    <w:rsid w:val="00C131FA"/>
    <w:rsid w:val="00C13F58"/>
    <w:rsid w:val="00C14571"/>
    <w:rsid w:val="00C1491F"/>
    <w:rsid w:val="00C14ED8"/>
    <w:rsid w:val="00C15137"/>
    <w:rsid w:val="00C15748"/>
    <w:rsid w:val="00C157D1"/>
    <w:rsid w:val="00C15E22"/>
    <w:rsid w:val="00C15F7A"/>
    <w:rsid w:val="00C16FE2"/>
    <w:rsid w:val="00C20050"/>
    <w:rsid w:val="00C20226"/>
    <w:rsid w:val="00C20BFE"/>
    <w:rsid w:val="00C20E5A"/>
    <w:rsid w:val="00C22E55"/>
    <w:rsid w:val="00C23729"/>
    <w:rsid w:val="00C237D7"/>
    <w:rsid w:val="00C25367"/>
    <w:rsid w:val="00C26844"/>
    <w:rsid w:val="00C2734A"/>
    <w:rsid w:val="00C309B8"/>
    <w:rsid w:val="00C31ABA"/>
    <w:rsid w:val="00C31D0E"/>
    <w:rsid w:val="00C321B7"/>
    <w:rsid w:val="00C32B54"/>
    <w:rsid w:val="00C32DED"/>
    <w:rsid w:val="00C34184"/>
    <w:rsid w:val="00C34787"/>
    <w:rsid w:val="00C34AC1"/>
    <w:rsid w:val="00C35CAA"/>
    <w:rsid w:val="00C36610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50"/>
    <w:rsid w:val="00C42122"/>
    <w:rsid w:val="00C427B1"/>
    <w:rsid w:val="00C42838"/>
    <w:rsid w:val="00C43371"/>
    <w:rsid w:val="00C45B6B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65D2"/>
    <w:rsid w:val="00C56A3A"/>
    <w:rsid w:val="00C576EA"/>
    <w:rsid w:val="00C57CD2"/>
    <w:rsid w:val="00C603DE"/>
    <w:rsid w:val="00C6164F"/>
    <w:rsid w:val="00C62171"/>
    <w:rsid w:val="00C6348A"/>
    <w:rsid w:val="00C63916"/>
    <w:rsid w:val="00C63D3F"/>
    <w:rsid w:val="00C63FC1"/>
    <w:rsid w:val="00C6406C"/>
    <w:rsid w:val="00C64636"/>
    <w:rsid w:val="00C646AC"/>
    <w:rsid w:val="00C64C5D"/>
    <w:rsid w:val="00C652CE"/>
    <w:rsid w:val="00C6630B"/>
    <w:rsid w:val="00C663B6"/>
    <w:rsid w:val="00C672D1"/>
    <w:rsid w:val="00C701AF"/>
    <w:rsid w:val="00C7054F"/>
    <w:rsid w:val="00C70D2D"/>
    <w:rsid w:val="00C72651"/>
    <w:rsid w:val="00C72C89"/>
    <w:rsid w:val="00C73B10"/>
    <w:rsid w:val="00C74B05"/>
    <w:rsid w:val="00C75F0D"/>
    <w:rsid w:val="00C75F73"/>
    <w:rsid w:val="00C7630E"/>
    <w:rsid w:val="00C77503"/>
    <w:rsid w:val="00C80520"/>
    <w:rsid w:val="00C80EF3"/>
    <w:rsid w:val="00C81007"/>
    <w:rsid w:val="00C83BDD"/>
    <w:rsid w:val="00C84A12"/>
    <w:rsid w:val="00C84D6D"/>
    <w:rsid w:val="00C85EA2"/>
    <w:rsid w:val="00C86D66"/>
    <w:rsid w:val="00C87E02"/>
    <w:rsid w:val="00C90367"/>
    <w:rsid w:val="00C907BB"/>
    <w:rsid w:val="00C909BF"/>
    <w:rsid w:val="00C9152B"/>
    <w:rsid w:val="00C9246F"/>
    <w:rsid w:val="00C9290A"/>
    <w:rsid w:val="00C93342"/>
    <w:rsid w:val="00C93695"/>
    <w:rsid w:val="00C93D87"/>
    <w:rsid w:val="00C93DA1"/>
    <w:rsid w:val="00C94C39"/>
    <w:rsid w:val="00C961DD"/>
    <w:rsid w:val="00C9626E"/>
    <w:rsid w:val="00C97975"/>
    <w:rsid w:val="00CA1C2A"/>
    <w:rsid w:val="00CA211C"/>
    <w:rsid w:val="00CA2C46"/>
    <w:rsid w:val="00CA2DC5"/>
    <w:rsid w:val="00CA3070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C84"/>
    <w:rsid w:val="00CB311F"/>
    <w:rsid w:val="00CB3B77"/>
    <w:rsid w:val="00CB407D"/>
    <w:rsid w:val="00CB4560"/>
    <w:rsid w:val="00CB47DE"/>
    <w:rsid w:val="00CB776C"/>
    <w:rsid w:val="00CB7966"/>
    <w:rsid w:val="00CC16C7"/>
    <w:rsid w:val="00CC199B"/>
    <w:rsid w:val="00CC2AAE"/>
    <w:rsid w:val="00CC504A"/>
    <w:rsid w:val="00CC51BF"/>
    <w:rsid w:val="00CC53C4"/>
    <w:rsid w:val="00CC577F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3C0D"/>
    <w:rsid w:val="00CE518B"/>
    <w:rsid w:val="00CE69B5"/>
    <w:rsid w:val="00CE6CFC"/>
    <w:rsid w:val="00CE7444"/>
    <w:rsid w:val="00CF0291"/>
    <w:rsid w:val="00CF0D75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D00156"/>
    <w:rsid w:val="00D004D6"/>
    <w:rsid w:val="00D0057C"/>
    <w:rsid w:val="00D00D24"/>
    <w:rsid w:val="00D0131E"/>
    <w:rsid w:val="00D01C27"/>
    <w:rsid w:val="00D01E6B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53F6"/>
    <w:rsid w:val="00D26913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81"/>
    <w:rsid w:val="00D34827"/>
    <w:rsid w:val="00D35983"/>
    <w:rsid w:val="00D3631D"/>
    <w:rsid w:val="00D36486"/>
    <w:rsid w:val="00D3717C"/>
    <w:rsid w:val="00D4058D"/>
    <w:rsid w:val="00D40A23"/>
    <w:rsid w:val="00D41AE3"/>
    <w:rsid w:val="00D44ED9"/>
    <w:rsid w:val="00D45256"/>
    <w:rsid w:val="00D47D6A"/>
    <w:rsid w:val="00D501DA"/>
    <w:rsid w:val="00D506A3"/>
    <w:rsid w:val="00D50FD4"/>
    <w:rsid w:val="00D51C00"/>
    <w:rsid w:val="00D51E0A"/>
    <w:rsid w:val="00D526DB"/>
    <w:rsid w:val="00D527AF"/>
    <w:rsid w:val="00D52AB9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692"/>
    <w:rsid w:val="00D61837"/>
    <w:rsid w:val="00D61B63"/>
    <w:rsid w:val="00D61E86"/>
    <w:rsid w:val="00D62029"/>
    <w:rsid w:val="00D6202D"/>
    <w:rsid w:val="00D63E78"/>
    <w:rsid w:val="00D64F6E"/>
    <w:rsid w:val="00D64FD3"/>
    <w:rsid w:val="00D66F3C"/>
    <w:rsid w:val="00D67D95"/>
    <w:rsid w:val="00D710FD"/>
    <w:rsid w:val="00D71690"/>
    <w:rsid w:val="00D719A0"/>
    <w:rsid w:val="00D733AC"/>
    <w:rsid w:val="00D737CD"/>
    <w:rsid w:val="00D73AA8"/>
    <w:rsid w:val="00D75F50"/>
    <w:rsid w:val="00D765A3"/>
    <w:rsid w:val="00D76A94"/>
    <w:rsid w:val="00D7718A"/>
    <w:rsid w:val="00D778E1"/>
    <w:rsid w:val="00D77F3E"/>
    <w:rsid w:val="00D800B5"/>
    <w:rsid w:val="00D803C1"/>
    <w:rsid w:val="00D80FC5"/>
    <w:rsid w:val="00D834E8"/>
    <w:rsid w:val="00D848EE"/>
    <w:rsid w:val="00D85C94"/>
    <w:rsid w:val="00D85F1E"/>
    <w:rsid w:val="00D8651E"/>
    <w:rsid w:val="00D90D26"/>
    <w:rsid w:val="00D91904"/>
    <w:rsid w:val="00D928AF"/>
    <w:rsid w:val="00D92C91"/>
    <w:rsid w:val="00D94466"/>
    <w:rsid w:val="00D96335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6330"/>
    <w:rsid w:val="00DB0D61"/>
    <w:rsid w:val="00DB2EE2"/>
    <w:rsid w:val="00DB3E5E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C5D"/>
    <w:rsid w:val="00DC006E"/>
    <w:rsid w:val="00DC0241"/>
    <w:rsid w:val="00DC04AD"/>
    <w:rsid w:val="00DC1184"/>
    <w:rsid w:val="00DC19DD"/>
    <w:rsid w:val="00DC3690"/>
    <w:rsid w:val="00DC3FF1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A3B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4B55"/>
    <w:rsid w:val="00DE587D"/>
    <w:rsid w:val="00DE63E8"/>
    <w:rsid w:val="00DE7609"/>
    <w:rsid w:val="00DF1C86"/>
    <w:rsid w:val="00DF1ED1"/>
    <w:rsid w:val="00DF228E"/>
    <w:rsid w:val="00DF2695"/>
    <w:rsid w:val="00DF27B1"/>
    <w:rsid w:val="00DF2AA3"/>
    <w:rsid w:val="00DF2C31"/>
    <w:rsid w:val="00DF4F9D"/>
    <w:rsid w:val="00DF698C"/>
    <w:rsid w:val="00DF6B9D"/>
    <w:rsid w:val="00E00EA3"/>
    <w:rsid w:val="00E00EAA"/>
    <w:rsid w:val="00E01B04"/>
    <w:rsid w:val="00E01F45"/>
    <w:rsid w:val="00E0269D"/>
    <w:rsid w:val="00E0276A"/>
    <w:rsid w:val="00E02E82"/>
    <w:rsid w:val="00E03367"/>
    <w:rsid w:val="00E03F48"/>
    <w:rsid w:val="00E04E50"/>
    <w:rsid w:val="00E0598B"/>
    <w:rsid w:val="00E05C49"/>
    <w:rsid w:val="00E06824"/>
    <w:rsid w:val="00E06855"/>
    <w:rsid w:val="00E0706D"/>
    <w:rsid w:val="00E074E4"/>
    <w:rsid w:val="00E07C08"/>
    <w:rsid w:val="00E10677"/>
    <w:rsid w:val="00E1390E"/>
    <w:rsid w:val="00E139E6"/>
    <w:rsid w:val="00E143F2"/>
    <w:rsid w:val="00E14901"/>
    <w:rsid w:val="00E157D0"/>
    <w:rsid w:val="00E16763"/>
    <w:rsid w:val="00E20800"/>
    <w:rsid w:val="00E2133B"/>
    <w:rsid w:val="00E22571"/>
    <w:rsid w:val="00E2307A"/>
    <w:rsid w:val="00E2362B"/>
    <w:rsid w:val="00E237D9"/>
    <w:rsid w:val="00E249A9"/>
    <w:rsid w:val="00E25472"/>
    <w:rsid w:val="00E27F19"/>
    <w:rsid w:val="00E30184"/>
    <w:rsid w:val="00E301CE"/>
    <w:rsid w:val="00E3083C"/>
    <w:rsid w:val="00E30F05"/>
    <w:rsid w:val="00E31062"/>
    <w:rsid w:val="00E318AD"/>
    <w:rsid w:val="00E32169"/>
    <w:rsid w:val="00E32881"/>
    <w:rsid w:val="00E328B1"/>
    <w:rsid w:val="00E34692"/>
    <w:rsid w:val="00E34A15"/>
    <w:rsid w:val="00E35767"/>
    <w:rsid w:val="00E35972"/>
    <w:rsid w:val="00E35BCC"/>
    <w:rsid w:val="00E36E18"/>
    <w:rsid w:val="00E37149"/>
    <w:rsid w:val="00E37A47"/>
    <w:rsid w:val="00E40915"/>
    <w:rsid w:val="00E41355"/>
    <w:rsid w:val="00E42290"/>
    <w:rsid w:val="00E43D7A"/>
    <w:rsid w:val="00E44BCC"/>
    <w:rsid w:val="00E44FC4"/>
    <w:rsid w:val="00E453FC"/>
    <w:rsid w:val="00E456CD"/>
    <w:rsid w:val="00E461A4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60EE"/>
    <w:rsid w:val="00E671BD"/>
    <w:rsid w:val="00E72541"/>
    <w:rsid w:val="00E72808"/>
    <w:rsid w:val="00E72ABE"/>
    <w:rsid w:val="00E72F93"/>
    <w:rsid w:val="00E734B7"/>
    <w:rsid w:val="00E73E27"/>
    <w:rsid w:val="00E75796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C6C"/>
    <w:rsid w:val="00E87BA7"/>
    <w:rsid w:val="00E9031B"/>
    <w:rsid w:val="00E9050A"/>
    <w:rsid w:val="00E90B13"/>
    <w:rsid w:val="00E9108B"/>
    <w:rsid w:val="00E91311"/>
    <w:rsid w:val="00E91ED3"/>
    <w:rsid w:val="00E92380"/>
    <w:rsid w:val="00E95A95"/>
    <w:rsid w:val="00E95F4E"/>
    <w:rsid w:val="00E979C0"/>
    <w:rsid w:val="00EA0BE5"/>
    <w:rsid w:val="00EA1B4B"/>
    <w:rsid w:val="00EA2D02"/>
    <w:rsid w:val="00EA2FB5"/>
    <w:rsid w:val="00EA36C4"/>
    <w:rsid w:val="00EA43D5"/>
    <w:rsid w:val="00EA5738"/>
    <w:rsid w:val="00EA5E4B"/>
    <w:rsid w:val="00EA60A7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7CD3"/>
    <w:rsid w:val="00EC0C1D"/>
    <w:rsid w:val="00EC0D33"/>
    <w:rsid w:val="00EC1003"/>
    <w:rsid w:val="00EC128A"/>
    <w:rsid w:val="00EC3691"/>
    <w:rsid w:val="00EC3842"/>
    <w:rsid w:val="00EC3B14"/>
    <w:rsid w:val="00EC4680"/>
    <w:rsid w:val="00EC6854"/>
    <w:rsid w:val="00EC70BD"/>
    <w:rsid w:val="00ED05BC"/>
    <w:rsid w:val="00ED0E4C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E0167"/>
    <w:rsid w:val="00EE0860"/>
    <w:rsid w:val="00EE096D"/>
    <w:rsid w:val="00EE0F98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10E3"/>
    <w:rsid w:val="00EF3CD5"/>
    <w:rsid w:val="00EF4511"/>
    <w:rsid w:val="00EF490F"/>
    <w:rsid w:val="00EF5EA4"/>
    <w:rsid w:val="00EF668F"/>
    <w:rsid w:val="00EF6766"/>
    <w:rsid w:val="00EF6D1A"/>
    <w:rsid w:val="00EF737D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53FC"/>
    <w:rsid w:val="00F05610"/>
    <w:rsid w:val="00F063AE"/>
    <w:rsid w:val="00F064DC"/>
    <w:rsid w:val="00F076BD"/>
    <w:rsid w:val="00F10750"/>
    <w:rsid w:val="00F10EBC"/>
    <w:rsid w:val="00F1178A"/>
    <w:rsid w:val="00F11F0D"/>
    <w:rsid w:val="00F1270D"/>
    <w:rsid w:val="00F13923"/>
    <w:rsid w:val="00F13EE1"/>
    <w:rsid w:val="00F1493B"/>
    <w:rsid w:val="00F16D4D"/>
    <w:rsid w:val="00F176FB"/>
    <w:rsid w:val="00F17E2E"/>
    <w:rsid w:val="00F20B19"/>
    <w:rsid w:val="00F21847"/>
    <w:rsid w:val="00F21D60"/>
    <w:rsid w:val="00F22301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6375"/>
    <w:rsid w:val="00F37681"/>
    <w:rsid w:val="00F37E59"/>
    <w:rsid w:val="00F37F75"/>
    <w:rsid w:val="00F40003"/>
    <w:rsid w:val="00F409E5"/>
    <w:rsid w:val="00F4195C"/>
    <w:rsid w:val="00F41ABF"/>
    <w:rsid w:val="00F43051"/>
    <w:rsid w:val="00F44108"/>
    <w:rsid w:val="00F45FFE"/>
    <w:rsid w:val="00F4794F"/>
    <w:rsid w:val="00F500C1"/>
    <w:rsid w:val="00F52271"/>
    <w:rsid w:val="00F52987"/>
    <w:rsid w:val="00F54342"/>
    <w:rsid w:val="00F54BF8"/>
    <w:rsid w:val="00F54EEB"/>
    <w:rsid w:val="00F550CB"/>
    <w:rsid w:val="00F55573"/>
    <w:rsid w:val="00F55921"/>
    <w:rsid w:val="00F5720E"/>
    <w:rsid w:val="00F5737B"/>
    <w:rsid w:val="00F61509"/>
    <w:rsid w:val="00F619FF"/>
    <w:rsid w:val="00F6365F"/>
    <w:rsid w:val="00F63D6B"/>
    <w:rsid w:val="00F65299"/>
    <w:rsid w:val="00F653CD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EE3"/>
    <w:rsid w:val="00F737D1"/>
    <w:rsid w:val="00F737F3"/>
    <w:rsid w:val="00F73FC6"/>
    <w:rsid w:val="00F74097"/>
    <w:rsid w:val="00F743B0"/>
    <w:rsid w:val="00F76762"/>
    <w:rsid w:val="00F80192"/>
    <w:rsid w:val="00F8107E"/>
    <w:rsid w:val="00F81AF7"/>
    <w:rsid w:val="00F81F17"/>
    <w:rsid w:val="00F8300B"/>
    <w:rsid w:val="00F838C5"/>
    <w:rsid w:val="00F83B3C"/>
    <w:rsid w:val="00F84966"/>
    <w:rsid w:val="00F84CEA"/>
    <w:rsid w:val="00F86085"/>
    <w:rsid w:val="00F868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67FC"/>
    <w:rsid w:val="00F96C7B"/>
    <w:rsid w:val="00F96E71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33C7"/>
    <w:rsid w:val="00FB33D1"/>
    <w:rsid w:val="00FB3CC6"/>
    <w:rsid w:val="00FB495F"/>
    <w:rsid w:val="00FB54D1"/>
    <w:rsid w:val="00FB55B2"/>
    <w:rsid w:val="00FB6971"/>
    <w:rsid w:val="00FB6B92"/>
    <w:rsid w:val="00FB73F7"/>
    <w:rsid w:val="00FC02E2"/>
    <w:rsid w:val="00FC1555"/>
    <w:rsid w:val="00FC1EDA"/>
    <w:rsid w:val="00FC2E1D"/>
    <w:rsid w:val="00FC39C8"/>
    <w:rsid w:val="00FC3AFD"/>
    <w:rsid w:val="00FC4259"/>
    <w:rsid w:val="00FC6E75"/>
    <w:rsid w:val="00FD004E"/>
    <w:rsid w:val="00FD0116"/>
    <w:rsid w:val="00FD0297"/>
    <w:rsid w:val="00FD06B2"/>
    <w:rsid w:val="00FD0AB9"/>
    <w:rsid w:val="00FD2C51"/>
    <w:rsid w:val="00FD2F04"/>
    <w:rsid w:val="00FD40CE"/>
    <w:rsid w:val="00FD41E4"/>
    <w:rsid w:val="00FD4282"/>
    <w:rsid w:val="00FD6D73"/>
    <w:rsid w:val="00FE0243"/>
    <w:rsid w:val="00FE097A"/>
    <w:rsid w:val="00FE138A"/>
    <w:rsid w:val="00FE28DC"/>
    <w:rsid w:val="00FE3405"/>
    <w:rsid w:val="00FE4291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1471"/>
    <w:rsid w:val="00FF2BA5"/>
    <w:rsid w:val="00FF2D0B"/>
    <w:rsid w:val="00FF390E"/>
    <w:rsid w:val="00FF3DED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_2014_11\mmi%202014-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olja.tomanovic\Desktop\MMI%202014-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na.obradovic\Desktop\mmi%202014-1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%202014-1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ilanka.jovanovic\Desktop\SDI%20grafici\Jan-jun%202013,201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sr-Latn-CS" sz="1000"/>
              <a:t>Cijena brent nafte USD/barrel</a:t>
            </a:r>
          </a:p>
        </c:rich>
      </c:tx>
      <c:layout>
        <c:manualLayout>
          <c:xMode val="edge"/>
          <c:yMode val="edge"/>
          <c:x val="0.22314124293785356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20160122410546141"/>
          <c:y val="9.2531876138434777E-2"/>
          <c:w val="0.78021610169490885"/>
          <c:h val="0.74309881602915695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'Database za makro'!$AE$53:$AZ$53</c:f>
              <c:strCache>
                <c:ptCount val="22"/>
                <c:pt idx="0">
                  <c:v>2013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2014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'Database za makro'!$AE$45:$AZ$45</c:f>
              <c:numCache>
                <c:formatCode>0.00</c:formatCode>
                <c:ptCount val="22"/>
                <c:pt idx="0">
                  <c:v>116.76</c:v>
                </c:pt>
                <c:pt idx="1">
                  <c:v>110.4</c:v>
                </c:pt>
                <c:pt idx="2">
                  <c:v>111.08</c:v>
                </c:pt>
                <c:pt idx="3">
                  <c:v>99.95</c:v>
                </c:pt>
                <c:pt idx="4">
                  <c:v>100.39</c:v>
                </c:pt>
                <c:pt idx="5">
                  <c:v>103</c:v>
                </c:pt>
                <c:pt idx="6">
                  <c:v>107.7</c:v>
                </c:pt>
                <c:pt idx="7">
                  <c:v>115.67999999999998</c:v>
                </c:pt>
                <c:pt idx="8">
                  <c:v>107.94000000000032</c:v>
                </c:pt>
                <c:pt idx="9">
                  <c:v>105.91000000000012</c:v>
                </c:pt>
                <c:pt idx="10">
                  <c:v>111.45</c:v>
                </c:pt>
                <c:pt idx="11">
                  <c:v>107.78</c:v>
                </c:pt>
                <c:pt idx="12">
                  <c:v>108.78</c:v>
                </c:pt>
                <c:pt idx="13">
                  <c:v>109.7</c:v>
                </c:pt>
                <c:pt idx="14">
                  <c:v>107.69</c:v>
                </c:pt>
                <c:pt idx="15">
                  <c:v>107.98</c:v>
                </c:pt>
                <c:pt idx="16">
                  <c:v>109.61999999999999</c:v>
                </c:pt>
                <c:pt idx="17">
                  <c:v>112.5</c:v>
                </c:pt>
                <c:pt idx="18">
                  <c:v>105.6</c:v>
                </c:pt>
                <c:pt idx="19">
                  <c:v>102.95</c:v>
                </c:pt>
                <c:pt idx="20">
                  <c:v>94.77</c:v>
                </c:pt>
                <c:pt idx="21">
                  <c:v>85.85</c:v>
                </c:pt>
              </c:numCache>
            </c:numRef>
          </c:val>
        </c:ser>
        <c:marker val="1"/>
        <c:axId val="67371392"/>
        <c:axId val="67469696"/>
      </c:lineChart>
      <c:catAx>
        <c:axId val="67371392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7469696"/>
        <c:crosses val="autoZero"/>
        <c:auto val="1"/>
        <c:lblAlgn val="ctr"/>
        <c:lblOffset val="100"/>
      </c:catAx>
      <c:valAx>
        <c:axId val="67469696"/>
        <c:scaling>
          <c:orientation val="minMax"/>
          <c:min val="85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0.0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737139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Turizam</a:t>
            </a:r>
          </a:p>
        </c:rich>
      </c:tx>
    </c:title>
    <c:plotArea>
      <c:layout>
        <c:manualLayout>
          <c:layoutTarget val="inner"/>
          <c:xMode val="edge"/>
          <c:yMode val="edge"/>
          <c:x val="0.16702867383512546"/>
          <c:y val="0.13203584229390677"/>
          <c:w val="0.82802374551971325"/>
          <c:h val="0.62896594982078868"/>
        </c:manualLayout>
      </c:layout>
      <c:lineChart>
        <c:grouping val="standard"/>
        <c:ser>
          <c:idx val="0"/>
          <c:order val="0"/>
          <c:tx>
            <c:strRef>
              <c:f>'Makroekonomski indikatori'!$C$17</c:f>
              <c:strCache>
                <c:ptCount val="1"/>
                <c:pt idx="0">
                  <c:v>Noćenja turista (stopa rasta)</c:v>
                </c:pt>
              </c:strCache>
            </c:strRef>
          </c:tx>
          <c:spPr>
            <a:ln>
              <a:solidFill>
                <a:srgbClr val="1CF063"/>
              </a:solidFill>
            </a:ln>
          </c:spPr>
          <c:marker>
            <c:symbol val="none"/>
          </c:marker>
          <c:cat>
            <c:strRef>
              <c:f>'Makroekonomski indikatori'!$AK$33:$AX$33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2014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indikatori'!$AK$17:$AX$17</c:f>
              <c:numCache>
                <c:formatCode>0.0</c:formatCode>
                <c:ptCount val="13"/>
                <c:pt idx="0">
                  <c:v>30.3</c:v>
                </c:pt>
                <c:pt idx="1">
                  <c:v>1.1000000000000001</c:v>
                </c:pt>
                <c:pt idx="2">
                  <c:v>22.1</c:v>
                </c:pt>
                <c:pt idx="3">
                  <c:v>2</c:v>
                </c:pt>
                <c:pt idx="4" formatCode="General">
                  <c:v>2.7</c:v>
                </c:pt>
                <c:pt idx="5" formatCode="General">
                  <c:v>5.3</c:v>
                </c:pt>
                <c:pt idx="6" formatCode="General">
                  <c:v>2.1</c:v>
                </c:pt>
                <c:pt idx="7" formatCode="General">
                  <c:v>-4.2</c:v>
                </c:pt>
                <c:pt idx="8" formatCode="General">
                  <c:v>-1.3</c:v>
                </c:pt>
                <c:pt idx="9" formatCode="General">
                  <c:v>0.9</c:v>
                </c:pt>
                <c:pt idx="10" formatCode="General">
                  <c:v>2.4</c:v>
                </c:pt>
                <c:pt idx="11" formatCode="General">
                  <c:v>1.9000000000000001</c:v>
                </c:pt>
                <c:pt idx="12" formatCode="General">
                  <c:v>4.2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indikatori'!$C$18</c:f>
              <c:strCache>
                <c:ptCount val="1"/>
                <c:pt idx="0">
                  <c:v>Dolasci turista (stopa rasta)</c:v>
                </c:pt>
              </c:strCache>
            </c:strRef>
          </c:tx>
          <c:spPr>
            <a:ln>
              <a:solidFill>
                <a:srgbClr val="6C28F4"/>
              </a:solidFill>
            </a:ln>
          </c:spPr>
          <c:marker>
            <c:symbol val="none"/>
          </c:marker>
          <c:cat>
            <c:strRef>
              <c:f>'Makroekonomski indikatori'!$AK$33:$AX$33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2014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indikatori'!$AK$18:$AX$18</c:f>
              <c:numCache>
                <c:formatCode>0.0</c:formatCode>
                <c:ptCount val="13"/>
                <c:pt idx="0">
                  <c:v>21.2</c:v>
                </c:pt>
                <c:pt idx="1">
                  <c:v>6.8</c:v>
                </c:pt>
                <c:pt idx="2">
                  <c:v>13.8</c:v>
                </c:pt>
                <c:pt idx="3">
                  <c:v>2.9</c:v>
                </c:pt>
                <c:pt idx="4" formatCode="General">
                  <c:v>6.1</c:v>
                </c:pt>
                <c:pt idx="5" formatCode="General">
                  <c:v>-4.5</c:v>
                </c:pt>
                <c:pt idx="6" formatCode="General">
                  <c:v>11.1</c:v>
                </c:pt>
                <c:pt idx="7" formatCode="General">
                  <c:v>2.4</c:v>
                </c:pt>
                <c:pt idx="8" formatCode="General">
                  <c:v>-0.8</c:v>
                </c:pt>
                <c:pt idx="9" formatCode="General">
                  <c:v>-1.3</c:v>
                </c:pt>
                <c:pt idx="10" formatCode="General">
                  <c:v>2.5</c:v>
                </c:pt>
                <c:pt idx="11">
                  <c:v>2</c:v>
                </c:pt>
                <c:pt idx="12" formatCode="General">
                  <c:v>4.0999999999999996</c:v>
                </c:pt>
              </c:numCache>
            </c:numRef>
          </c:val>
          <c:smooth val="1"/>
        </c:ser>
        <c:marker val="1"/>
        <c:axId val="67868928"/>
        <c:axId val="67931520"/>
      </c:lineChart>
      <c:catAx>
        <c:axId val="6786892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7931520"/>
        <c:crosses val="autoZero"/>
        <c:auto val="1"/>
        <c:lblAlgn val="ctr"/>
        <c:lblOffset val="100"/>
      </c:catAx>
      <c:valAx>
        <c:axId val="67931520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7868928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Inflacija</a:t>
            </a:r>
          </a:p>
        </c:rich>
      </c:tx>
    </c:title>
    <c:plotArea>
      <c:layout>
        <c:manualLayout>
          <c:layoutTarget val="inner"/>
          <c:xMode val="edge"/>
          <c:yMode val="edge"/>
          <c:x val="0.18328315412186577"/>
          <c:y val="0.14341577060931901"/>
          <c:w val="0.79964695340501968"/>
          <c:h val="0.52178360215053765"/>
        </c:manualLayout>
      </c:layout>
      <c:lineChart>
        <c:grouping val="standard"/>
        <c:ser>
          <c:idx val="0"/>
          <c:order val="0"/>
          <c:tx>
            <c:strRef>
              <c:f>'Makroekonomski indikatori'!$C$23</c:f>
              <c:strCache>
                <c:ptCount val="1"/>
                <c:pt idx="0">
                  <c:v>CPI-godišnje stope rasta</c:v>
                </c:pt>
              </c:strCache>
            </c:strRef>
          </c:tx>
          <c:spPr>
            <a:ln>
              <a:solidFill>
                <a:srgbClr val="E527E5"/>
              </a:solidFill>
            </a:ln>
          </c:spPr>
          <c:marker>
            <c:symbol val="none"/>
          </c:marker>
          <c:cat>
            <c:strRef>
              <c:f>'Makroekonomski indikatori'!$AK$33:$AX$33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2014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indikatori'!$AJ$23:$AX$23</c:f>
              <c:numCache>
                <c:formatCode>0.0</c:formatCode>
                <c:ptCount val="14"/>
                <c:pt idx="0">
                  <c:v>1.8</c:v>
                </c:pt>
                <c:pt idx="1">
                  <c:v>0.5</c:v>
                </c:pt>
                <c:pt idx="2">
                  <c:v>0</c:v>
                </c:pt>
                <c:pt idx="3">
                  <c:v>0.30000000000000032</c:v>
                </c:pt>
                <c:pt idx="4" formatCode="General">
                  <c:v>-0.4</c:v>
                </c:pt>
                <c:pt idx="5" formatCode="General">
                  <c:v>-0.60000000000000064</c:v>
                </c:pt>
                <c:pt idx="6" formatCode="General">
                  <c:v>-0.9</c:v>
                </c:pt>
                <c:pt idx="7" formatCode="General">
                  <c:v>-1.4</c:v>
                </c:pt>
                <c:pt idx="8" formatCode="General">
                  <c:v>-1.3</c:v>
                </c:pt>
                <c:pt idx="9" formatCode="General">
                  <c:v>-0.1</c:v>
                </c:pt>
                <c:pt idx="10" formatCode="General">
                  <c:v>-1.2</c:v>
                </c:pt>
                <c:pt idx="11" formatCode="General">
                  <c:v>-1.1000000000000001</c:v>
                </c:pt>
                <c:pt idx="12" formatCode="General">
                  <c:v>-0.70000000000000062</c:v>
                </c:pt>
                <c:pt idx="13" formatCode="General">
                  <c:v>-0.5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indikatori'!$C$24</c:f>
              <c:strCache>
                <c:ptCount val="1"/>
                <c:pt idx="0">
                  <c:v>CPI-mjesečne stope rasta</c:v>
                </c:pt>
              </c:strCache>
            </c:strRef>
          </c:tx>
          <c:spPr>
            <a:ln>
              <a:solidFill>
                <a:srgbClr val="3347D9"/>
              </a:solidFill>
            </a:ln>
          </c:spPr>
          <c:marker>
            <c:symbol val="none"/>
          </c:marker>
          <c:cat>
            <c:strRef>
              <c:f>'Makroekonomski indikatori'!$AK$33:$AX$33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2014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indikatori'!$AJ$24:$AX$24</c:f>
              <c:numCache>
                <c:formatCode>0.0</c:formatCode>
                <c:ptCount val="14"/>
                <c:pt idx="0">
                  <c:v>0.1</c:v>
                </c:pt>
                <c:pt idx="1">
                  <c:v>-0.2</c:v>
                </c:pt>
                <c:pt idx="2">
                  <c:v>-0.60000000000000064</c:v>
                </c:pt>
                <c:pt idx="3">
                  <c:v>0</c:v>
                </c:pt>
                <c:pt idx="4" formatCode="General">
                  <c:v>-0.8</c:v>
                </c:pt>
                <c:pt idx="5">
                  <c:v>0</c:v>
                </c:pt>
                <c:pt idx="6" formatCode="General">
                  <c:v>0.1</c:v>
                </c:pt>
                <c:pt idx="7" formatCode="General">
                  <c:v>-0.2</c:v>
                </c:pt>
                <c:pt idx="8" formatCode="General">
                  <c:v>0.30000000000000032</c:v>
                </c:pt>
                <c:pt idx="9" formatCode="General">
                  <c:v>0.5</c:v>
                </c:pt>
                <c:pt idx="10" formatCode="General">
                  <c:v>-0.4</c:v>
                </c:pt>
                <c:pt idx="11" formatCode="General">
                  <c:v>0.1</c:v>
                </c:pt>
                <c:pt idx="12" formatCode="General">
                  <c:v>0.5</c:v>
                </c:pt>
                <c:pt idx="13" formatCode="General">
                  <c:v>0.1</c:v>
                </c:pt>
              </c:numCache>
            </c:numRef>
          </c:val>
          <c:smooth val="1"/>
        </c:ser>
        <c:marker val="1"/>
        <c:axId val="68511232"/>
        <c:axId val="68513152"/>
      </c:lineChart>
      <c:catAx>
        <c:axId val="68511232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700"/>
            </a:pPr>
            <a:endParaRPr lang="en-US"/>
          </a:p>
        </c:txPr>
        <c:crossAx val="68513152"/>
        <c:crosses val="autoZero"/>
        <c:auto val="1"/>
        <c:lblAlgn val="ctr"/>
        <c:lblOffset val="100"/>
      </c:catAx>
      <c:valAx>
        <c:axId val="68513152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851123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9296365347253241"/>
          <c:y val="7.5757551628384975E-2"/>
          <c:w val="0.63702910930915668"/>
          <c:h val="0.70512943570189046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indikatori'!$AK$9:$AW$9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2014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indikatori'!$AK$21:$AW$21</c:f>
              <c:numCache>
                <c:formatCode>#,##0</c:formatCode>
                <c:ptCount val="13"/>
                <c:pt idx="0">
                  <c:v>169044</c:v>
                </c:pt>
                <c:pt idx="1">
                  <c:v>167607</c:v>
                </c:pt>
                <c:pt idx="2">
                  <c:v>167173</c:v>
                </c:pt>
                <c:pt idx="3">
                  <c:v>167616</c:v>
                </c:pt>
                <c:pt idx="4">
                  <c:v>168805</c:v>
                </c:pt>
                <c:pt idx="5">
                  <c:v>170177</c:v>
                </c:pt>
                <c:pt idx="6">
                  <c:v>172202</c:v>
                </c:pt>
                <c:pt idx="7">
                  <c:v>174917</c:v>
                </c:pt>
                <c:pt idx="8">
                  <c:v>179774</c:v>
                </c:pt>
                <c:pt idx="9">
                  <c:v>181408</c:v>
                </c:pt>
                <c:pt idx="10">
                  <c:v>178558</c:v>
                </c:pt>
                <c:pt idx="11">
                  <c:v>173942</c:v>
                </c:pt>
                <c:pt idx="12">
                  <c:v>172306</c:v>
                </c:pt>
              </c:numCache>
            </c:numRef>
          </c:val>
        </c:ser>
        <c:marker val="1"/>
        <c:axId val="65869312"/>
        <c:axId val="65870848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indikatori'!$AK$9:$AW$9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2014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indikatori'!$AK$22:$AW$22</c:f>
              <c:numCache>
                <c:formatCode>#,##0</c:formatCode>
                <c:ptCount val="13"/>
                <c:pt idx="0">
                  <c:v>33271</c:v>
                </c:pt>
                <c:pt idx="1">
                  <c:v>34680</c:v>
                </c:pt>
                <c:pt idx="2">
                  <c:v>34514</c:v>
                </c:pt>
                <c:pt idx="3">
                  <c:v>34804</c:v>
                </c:pt>
                <c:pt idx="4">
                  <c:v>34664</c:v>
                </c:pt>
                <c:pt idx="5">
                  <c:v>34671</c:v>
                </c:pt>
                <c:pt idx="6">
                  <c:v>33906</c:v>
                </c:pt>
                <c:pt idx="7">
                  <c:v>32763</c:v>
                </c:pt>
                <c:pt idx="8">
                  <c:v>31548</c:v>
                </c:pt>
                <c:pt idx="9">
                  <c:v>31115</c:v>
                </c:pt>
                <c:pt idx="10">
                  <c:v>31163</c:v>
                </c:pt>
                <c:pt idx="11">
                  <c:v>31548</c:v>
                </c:pt>
                <c:pt idx="12">
                  <c:v>33744</c:v>
                </c:pt>
              </c:numCache>
            </c:numRef>
          </c:val>
        </c:ser>
        <c:marker val="1"/>
        <c:axId val="65874944"/>
        <c:axId val="65873024"/>
      </c:lineChart>
      <c:catAx>
        <c:axId val="65869312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5870848"/>
        <c:crosses val="autoZero"/>
        <c:auto val="1"/>
        <c:lblAlgn val="ctr"/>
        <c:lblOffset val="100"/>
      </c:catAx>
      <c:valAx>
        <c:axId val="65870848"/>
        <c:scaling>
          <c:orientation val="minMax"/>
          <c:min val="164000"/>
        </c:scaling>
        <c:axPos val="l"/>
        <c:majorGridlines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5869312"/>
        <c:crosses val="autoZero"/>
        <c:crossBetween val="between"/>
        <c:dispUnits>
          <c:builtInUnit val="thousands"/>
        </c:dispUnits>
      </c:valAx>
      <c:valAx>
        <c:axId val="65873024"/>
        <c:scaling>
          <c:orientation val="maxMin"/>
          <c:max val="35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5874944"/>
        <c:crosses val="max"/>
        <c:crossBetween val="between"/>
        <c:dispUnits>
          <c:builtInUnit val="thousands"/>
        </c:dispUnits>
      </c:valAx>
      <c:catAx>
        <c:axId val="65874944"/>
        <c:scaling>
          <c:orientation val="minMax"/>
        </c:scaling>
        <c:delete val="1"/>
        <c:axPos val="t"/>
        <c:tickLblPos val="none"/>
        <c:crossAx val="65873024"/>
        <c:crosses val="autoZero"/>
        <c:auto val="1"/>
        <c:lblAlgn val="ctr"/>
        <c:lblOffset val="100"/>
      </c:catAx>
    </c:plotArea>
    <c:plotVisOnly val="1"/>
  </c:chart>
  <c:spPr>
    <a:ln>
      <a:solidFill>
        <a:schemeClr val="bg1"/>
      </a:solidFill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7523877646207575"/>
          <c:y val="4.1424676898629414E-2"/>
          <c:w val="0.64460499846746855"/>
          <c:h val="0.61716371948033466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 (4)'!$BI$30</c:f>
              <c:strCache>
                <c:ptCount val="1"/>
                <c:pt idx="0">
                  <c:v>Suficit/Deficit</c:v>
                </c:pt>
              </c:strCache>
            </c:strRef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cat>
            <c:strRef>
              <c:f>'[1]Fiskalni indikatori (3)'!$CD$6:$CN$6</c:f>
              <c:strCache>
                <c:ptCount val="11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</c:strCache>
            </c:strRef>
          </c:cat>
          <c:val>
            <c:numRef>
              <c:f>'Fiskalni indikatori (4)'!$CQ$20:$DC$20</c:f>
              <c:numCache>
                <c:formatCode>0.00,,</c:formatCode>
                <c:ptCount val="13"/>
                <c:pt idx="0">
                  <c:v>19917616.980000012</c:v>
                </c:pt>
                <c:pt idx="1">
                  <c:v>-4788039.1099999994</c:v>
                </c:pt>
                <c:pt idx="2">
                  <c:v>-6536324.8500000192</c:v>
                </c:pt>
                <c:pt idx="3">
                  <c:v>-23539863.519999981</c:v>
                </c:pt>
                <c:pt idx="4">
                  <c:v>-6798027.0200000107</c:v>
                </c:pt>
                <c:pt idx="5">
                  <c:v>-15172464.799999923</c:v>
                </c:pt>
                <c:pt idx="6">
                  <c:v>-13241359.070000026</c:v>
                </c:pt>
                <c:pt idx="7">
                  <c:v>418044.01999998093</c:v>
                </c:pt>
                <c:pt idx="8">
                  <c:v>4073927.8599999547</c:v>
                </c:pt>
                <c:pt idx="9">
                  <c:v>13455550.149999971</c:v>
                </c:pt>
                <c:pt idx="10">
                  <c:v>18685128.389999986</c:v>
                </c:pt>
                <c:pt idx="11">
                  <c:v>-2955282.5300000007</c:v>
                </c:pt>
                <c:pt idx="12">
                  <c:v>429034.67000001669</c:v>
                </c:pt>
              </c:numCache>
            </c:numRef>
          </c:val>
        </c:ser>
        <c:axId val="66086400"/>
        <c:axId val="66084864"/>
      </c:barChart>
      <c:lineChart>
        <c:grouping val="standard"/>
        <c:ser>
          <c:idx val="0"/>
          <c:order val="0"/>
          <c:tx>
            <c:strRef>
              <c:f>'Fiskalni indikatori (4)'!$BI$29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diamond"/>
            <c:size val="4"/>
            <c:spPr>
              <a:solidFill>
                <a:schemeClr val="tx2">
                  <a:lumMod val="75000"/>
                </a:schemeClr>
              </a:solidFill>
              <a:ln cap="flat">
                <a:solidFill>
                  <a:sysClr val="windowText" lastClr="000000"/>
                </a:solidFill>
                <a:round/>
              </a:ln>
            </c:spPr>
          </c:marker>
          <c:cat>
            <c:strRef>
              <c:f>'Fiskalni indikatori (4)'!$CQ$6:$DC$6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       X</c:v>
                </c:pt>
              </c:strCache>
            </c:strRef>
          </c:cat>
          <c:val>
            <c:numRef>
              <c:f>'Fiskalni indikatori (4)'!$CQ$13:$DC$13</c:f>
              <c:numCache>
                <c:formatCode>0.00,,</c:formatCode>
                <c:ptCount val="13"/>
                <c:pt idx="0">
                  <c:v>98844023.269999966</c:v>
                </c:pt>
                <c:pt idx="1">
                  <c:v>101306208.56</c:v>
                </c:pt>
                <c:pt idx="2">
                  <c:v>151656327.43000001</c:v>
                </c:pt>
                <c:pt idx="3">
                  <c:v>94321896.899999976</c:v>
                </c:pt>
                <c:pt idx="4">
                  <c:v>88931362.890000001</c:v>
                </c:pt>
                <c:pt idx="5">
                  <c:v>115880628.72999999</c:v>
                </c:pt>
                <c:pt idx="6">
                  <c:v>122325744.22000001</c:v>
                </c:pt>
                <c:pt idx="7">
                  <c:v>101779654.76000002</c:v>
                </c:pt>
                <c:pt idx="8">
                  <c:v>105767679.32000004</c:v>
                </c:pt>
                <c:pt idx="9">
                  <c:v>107264685.88000001</c:v>
                </c:pt>
                <c:pt idx="10">
                  <c:v>107871168.94000022</c:v>
                </c:pt>
                <c:pt idx="11">
                  <c:v>120857307.61</c:v>
                </c:pt>
                <c:pt idx="12">
                  <c:v>157754001.53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 (4)'!$BI$28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'Fiskalni indikatori (4)'!$CQ$6:$DC$6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       X</c:v>
                </c:pt>
              </c:strCache>
            </c:strRef>
          </c:cat>
          <c:val>
            <c:numRef>
              <c:f>'Fiskalni indikatori (4)'!$CQ$7:$DC$7</c:f>
              <c:numCache>
                <c:formatCode>0.00,,</c:formatCode>
                <c:ptCount val="13"/>
                <c:pt idx="0">
                  <c:v>118761640.25000001</c:v>
                </c:pt>
                <c:pt idx="1">
                  <c:v>96518169.450000003</c:v>
                </c:pt>
                <c:pt idx="2">
                  <c:v>145120002.57999998</c:v>
                </c:pt>
                <c:pt idx="3">
                  <c:v>70782033.379999891</c:v>
                </c:pt>
                <c:pt idx="4">
                  <c:v>82133335.86999999</c:v>
                </c:pt>
                <c:pt idx="5">
                  <c:v>100708163.93000002</c:v>
                </c:pt>
                <c:pt idx="6">
                  <c:v>109084385.14999999</c:v>
                </c:pt>
                <c:pt idx="7">
                  <c:v>102197698.78</c:v>
                </c:pt>
                <c:pt idx="8">
                  <c:v>109841607.17999989</c:v>
                </c:pt>
                <c:pt idx="9">
                  <c:v>120720236.02999999</c:v>
                </c:pt>
                <c:pt idx="10">
                  <c:v>126556297.33</c:v>
                </c:pt>
                <c:pt idx="11">
                  <c:v>117902025.08</c:v>
                </c:pt>
                <c:pt idx="12">
                  <c:v>158183036.20000002</c:v>
                </c:pt>
              </c:numCache>
            </c:numRef>
          </c:val>
          <c:smooth val="1"/>
        </c:ser>
        <c:marker val="1"/>
        <c:axId val="65917696"/>
        <c:axId val="65919232"/>
      </c:lineChart>
      <c:dateAx>
        <c:axId val="65917696"/>
        <c:scaling>
          <c:orientation val="minMax"/>
        </c:scaling>
        <c:axPos val="b"/>
        <c:numFmt formatCode="#,##0.00" sourceLinked="0"/>
        <c:tickLblPos val="nextTo"/>
        <c:txPr>
          <a:bodyPr/>
          <a:lstStyle/>
          <a:p>
            <a:pPr>
              <a:defRPr lang="sr-Latn-CS" sz="650" baseline="0"/>
            </a:pPr>
            <a:endParaRPr lang="en-US"/>
          </a:p>
        </c:txPr>
        <c:crossAx val="65919232"/>
        <c:crosses val="autoZero"/>
        <c:lblOffset val="100"/>
        <c:baseTimeUnit val="days"/>
      </c:dateAx>
      <c:valAx>
        <c:axId val="65919232"/>
        <c:scaling>
          <c:orientation val="minMax"/>
        </c:scaling>
        <c:axPos val="l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65917696"/>
        <c:crosses val="autoZero"/>
        <c:crossBetween val="between"/>
      </c:valAx>
      <c:valAx>
        <c:axId val="66084864"/>
        <c:scaling>
          <c:orientation val="minMax"/>
          <c:max val="130000000"/>
          <c:min val="-5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66086400"/>
        <c:crosses val="max"/>
        <c:crossBetween val="between"/>
        <c:majorUnit val="20000000"/>
      </c:valAx>
      <c:catAx>
        <c:axId val="66086400"/>
        <c:scaling>
          <c:orientation val="minMax"/>
        </c:scaling>
        <c:delete val="1"/>
        <c:axPos val="b"/>
        <c:numFmt formatCode="General" sourceLinked="1"/>
        <c:tickLblPos val="none"/>
        <c:crossAx val="66084864"/>
        <c:crosses val="autoZero"/>
        <c:auto val="1"/>
        <c:lblAlgn val="ctr"/>
        <c:lblOffset val="100"/>
      </c:catAx>
      <c:spPr>
        <a:ln>
          <a:gradFill>
            <a:gsLst>
              <a:gs pos="0">
                <a:srgbClr val="4F81BD">
                  <a:tint val="66000"/>
                  <a:satMod val="160000"/>
                  <a:alpha val="54000"/>
                </a:srgbClr>
              </a:gs>
              <a:gs pos="50000">
                <a:srgbClr val="4F81BD">
                  <a:tint val="44500"/>
                  <a:satMod val="160000"/>
                </a:srgbClr>
              </a:gs>
              <a:gs pos="100000">
                <a:srgbClr val="4F81BD">
                  <a:tint val="23500"/>
                  <a:satMod val="160000"/>
                </a:srgbClr>
              </a:gs>
            </a:gsLst>
            <a:lin ang="5400000" scaled="0"/>
          </a:gradFill>
          <a:prstDash val="sysDot"/>
        </a:ln>
      </c:spPr>
    </c:plotArea>
    <c:legend>
      <c:legendPos val="b"/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</c:chart>
  <c:spPr>
    <a:ln w="6350">
      <a:noFill/>
      <a:prstDash val="sysDot"/>
    </a:ln>
  </c:spPr>
  <c:txPr>
    <a:bodyPr/>
    <a:lstStyle/>
    <a:p>
      <a:pPr>
        <a:defRPr sz="700" baseline="0"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title>
      <c:tx>
        <c:rich>
          <a:bodyPr/>
          <a:lstStyle/>
          <a:p>
            <a:pPr>
              <a:defRPr lang="en-US" sz="1000"/>
            </a:pPr>
            <a:r>
              <a:rPr lang="x-none" sz="1000"/>
              <a:t>Efektivne kamatne stope   </a:t>
            </a:r>
            <a:endParaRPr lang="en-US" sz="1000"/>
          </a:p>
        </c:rich>
      </c:tx>
      <c:layout>
        <c:manualLayout>
          <c:xMode val="edge"/>
          <c:yMode val="edge"/>
          <c:x val="0.26036944030644832"/>
          <c:y val="5.3811689593836788E-3"/>
        </c:manualLayout>
      </c:layout>
      <c:overlay val="1"/>
    </c:title>
    <c:plotArea>
      <c:layout>
        <c:manualLayout>
          <c:layoutTarget val="inner"/>
          <c:xMode val="edge"/>
          <c:yMode val="edge"/>
          <c:x val="0.18720653015072253"/>
          <c:y val="6.9473730276820939E-2"/>
          <c:w val="0.80728933618515963"/>
          <c:h val="0.74545213125711152"/>
        </c:manualLayout>
      </c:layout>
      <c:lineChart>
        <c:grouping val="standard"/>
        <c:ser>
          <c:idx val="1"/>
          <c:order val="1"/>
          <c:tx>
            <c:v>na depozite</c:v>
          </c:tx>
          <c:marker>
            <c:symbol val="none"/>
          </c:marker>
          <c:cat>
            <c:strRef>
              <c:f>'Database za makro'!$AN$9:$AZ$9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'Database za makro'!$AN$38:$AZ$38</c:f>
              <c:numCache>
                <c:formatCode>0.00</c:formatCode>
                <c:ptCount val="13"/>
                <c:pt idx="0">
                  <c:v>2.67</c:v>
                </c:pt>
                <c:pt idx="1">
                  <c:v>2.6</c:v>
                </c:pt>
                <c:pt idx="2">
                  <c:v>2.5499999999999998</c:v>
                </c:pt>
                <c:pt idx="3">
                  <c:v>2.4099999999999997</c:v>
                </c:pt>
                <c:pt idx="4">
                  <c:v>2.4499999999999997</c:v>
                </c:pt>
                <c:pt idx="5">
                  <c:v>2.34</c:v>
                </c:pt>
                <c:pt idx="6">
                  <c:v>2.3099999999999987</c:v>
                </c:pt>
                <c:pt idx="7">
                  <c:v>2.25</c:v>
                </c:pt>
                <c:pt idx="8">
                  <c:v>2.19</c:v>
                </c:pt>
                <c:pt idx="9">
                  <c:v>2.08</c:v>
                </c:pt>
                <c:pt idx="10">
                  <c:v>2.0099999999999998</c:v>
                </c:pt>
                <c:pt idx="11">
                  <c:v>1.9600000000000075</c:v>
                </c:pt>
                <c:pt idx="12">
                  <c:v>1.9300000000000075</c:v>
                </c:pt>
              </c:numCache>
            </c:numRef>
          </c:val>
        </c:ser>
        <c:marker val="1"/>
        <c:axId val="66099840"/>
        <c:axId val="66101632"/>
      </c:lineChart>
      <c:lineChart>
        <c:grouping val="standard"/>
        <c:ser>
          <c:idx val="0"/>
          <c:order val="0"/>
          <c:tx>
            <c:v>na kredite</c:v>
          </c:tx>
          <c:marker>
            <c:symbol val="none"/>
          </c:marker>
          <c:cat>
            <c:strRef>
              <c:f>'Database za makro'!$AN$9:$AZ$9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'Database za makro'!$AN$37:$AZ$37</c:f>
              <c:numCache>
                <c:formatCode>0.00</c:formatCode>
                <c:ptCount val="13"/>
                <c:pt idx="0">
                  <c:v>9.33</c:v>
                </c:pt>
                <c:pt idx="1">
                  <c:v>9.33</c:v>
                </c:pt>
                <c:pt idx="2">
                  <c:v>9.3600000000000048</c:v>
                </c:pt>
                <c:pt idx="3">
                  <c:v>9.4</c:v>
                </c:pt>
                <c:pt idx="4">
                  <c:v>9.42</c:v>
                </c:pt>
                <c:pt idx="5">
                  <c:v>9.42</c:v>
                </c:pt>
                <c:pt idx="6">
                  <c:v>9.4500000000000028</c:v>
                </c:pt>
                <c:pt idx="7">
                  <c:v>9.51</c:v>
                </c:pt>
                <c:pt idx="8">
                  <c:v>9.5400000000000009</c:v>
                </c:pt>
                <c:pt idx="9">
                  <c:v>9.5500000000000007</c:v>
                </c:pt>
                <c:pt idx="10">
                  <c:v>9.31</c:v>
                </c:pt>
                <c:pt idx="11">
                  <c:v>9.57</c:v>
                </c:pt>
                <c:pt idx="12">
                  <c:v>9.2800000000000011</c:v>
                </c:pt>
              </c:numCache>
            </c:numRef>
          </c:val>
        </c:ser>
        <c:marker val="1"/>
        <c:axId val="66104704"/>
        <c:axId val="66103168"/>
      </c:lineChart>
      <c:catAx>
        <c:axId val="66099840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66101632"/>
        <c:crosses val="autoZero"/>
        <c:auto val="1"/>
        <c:lblAlgn val="ctr"/>
        <c:lblOffset val="100"/>
      </c:catAx>
      <c:valAx>
        <c:axId val="66101632"/>
        <c:scaling>
          <c:orientation val="minMax"/>
        </c:scaling>
        <c:axPos val="l"/>
        <c:numFmt formatCode="0.00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66099840"/>
        <c:crosses val="autoZero"/>
        <c:crossBetween val="between"/>
      </c:valAx>
      <c:valAx>
        <c:axId val="66103168"/>
        <c:scaling>
          <c:orientation val="minMax"/>
        </c:scaling>
        <c:axPos val="r"/>
        <c:numFmt formatCode="0.00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66104704"/>
        <c:crosses val="max"/>
        <c:crossBetween val="between"/>
      </c:valAx>
      <c:catAx>
        <c:axId val="66104704"/>
        <c:scaling>
          <c:orientation val="minMax"/>
        </c:scaling>
        <c:delete val="1"/>
        <c:axPos val="b"/>
        <c:tickLblPos val="none"/>
        <c:crossAx val="66103168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4589585368539173"/>
          <c:y val="0.59052223159368855"/>
          <c:w val="0.34197498553026157"/>
          <c:h val="0.1989504296219417"/>
        </c:manualLayout>
      </c:layout>
      <c:txPr>
        <a:bodyPr/>
        <a:lstStyle/>
        <a:p>
          <a:pPr>
            <a:defRPr lang="en-US" sz="8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Struktura SDI </a:t>
            </a:r>
            <a:endParaRPr lang="sr-Latn-CS" sz="1000"/>
          </a:p>
          <a:p>
            <a:pPr>
              <a:defRPr lang="sr-Latn-CS" sz="1000"/>
            </a:pPr>
            <a:endParaRPr lang="en-US" sz="1000"/>
          </a:p>
        </c:rich>
      </c:tx>
      <c:layout>
        <c:manualLayout>
          <c:xMode val="edge"/>
          <c:yMode val="edge"/>
          <c:x val="0.28475972761469331"/>
          <c:y val="1.9566499642090462E-2"/>
        </c:manualLayout>
      </c:layout>
    </c:title>
    <c:plotArea>
      <c:layout>
        <c:manualLayout>
          <c:layoutTarget val="inner"/>
          <c:xMode val="edge"/>
          <c:yMode val="edge"/>
          <c:x val="0.22271828924610412"/>
          <c:y val="0.21270837508947929"/>
          <c:w val="0.71598921102604163"/>
          <c:h val="0.45771147697447212"/>
        </c:manualLayout>
      </c:layout>
      <c:barChart>
        <c:barDir val="col"/>
        <c:grouping val="clustered"/>
        <c:ser>
          <c:idx val="0"/>
          <c:order val="0"/>
          <c:tx>
            <c:v>jan-sept 2013</c:v>
          </c:tx>
          <c:cat>
            <c:strRef>
              <c:f>'[Jan-jun 2013,2014.xls]SDI 2013-2014'!$A$31:$A$34</c:f>
              <c:strCache>
                <c:ptCount val="4"/>
                <c:pt idx="0">
                  <c:v>Invest. u komp. i banke</c:v>
                </c:pt>
                <c:pt idx="1">
                  <c:v>Interkompanijski dug</c:v>
                </c:pt>
                <c:pt idx="2">
                  <c:v>Nekretnine</c:v>
                </c:pt>
                <c:pt idx="3">
                  <c:v>Ostalo</c:v>
                </c:pt>
              </c:strCache>
            </c:strRef>
          </c:cat>
          <c:val>
            <c:numRef>
              <c:f>'[Jan-jun 2013,2014.xls]SDI 2013-2014'!$S$31:$S$34</c:f>
              <c:numCache>
                <c:formatCode>#,##0.00</c:formatCode>
                <c:ptCount val="4"/>
                <c:pt idx="0">
                  <c:v>42744.6</c:v>
                </c:pt>
                <c:pt idx="1">
                  <c:v>155334.70000000001</c:v>
                </c:pt>
                <c:pt idx="2">
                  <c:v>143340.70000000001</c:v>
                </c:pt>
                <c:pt idx="3">
                  <c:v>9573.7000000000007</c:v>
                </c:pt>
              </c:numCache>
            </c:numRef>
          </c:val>
        </c:ser>
        <c:ser>
          <c:idx val="1"/>
          <c:order val="1"/>
          <c:tx>
            <c:v>jan-sept 2014</c:v>
          </c:tx>
          <c:cat>
            <c:strRef>
              <c:f>'[Jan-jun 2013,2014.xls]SDI 2013-2014'!$A$31:$A$34</c:f>
              <c:strCache>
                <c:ptCount val="4"/>
                <c:pt idx="0">
                  <c:v>Invest. u komp. i banke</c:v>
                </c:pt>
                <c:pt idx="1">
                  <c:v>Interkompanijski dug</c:v>
                </c:pt>
                <c:pt idx="2">
                  <c:v>Nekretnine</c:v>
                </c:pt>
                <c:pt idx="3">
                  <c:v>Ostalo</c:v>
                </c:pt>
              </c:strCache>
            </c:strRef>
          </c:cat>
          <c:val>
            <c:numRef>
              <c:f>'[Jan-jun 2013,2014.xls]SDI 2013-2014'!$T$31:$T$34</c:f>
              <c:numCache>
                <c:formatCode>#,##0.00</c:formatCode>
                <c:ptCount val="4"/>
                <c:pt idx="0">
                  <c:v>31883.5</c:v>
                </c:pt>
                <c:pt idx="1">
                  <c:v>184215.1</c:v>
                </c:pt>
                <c:pt idx="2">
                  <c:v>126557.2</c:v>
                </c:pt>
                <c:pt idx="3">
                  <c:v>4375.6000000000004</c:v>
                </c:pt>
              </c:numCache>
            </c:numRef>
          </c:val>
        </c:ser>
        <c:gapWidth val="22"/>
        <c:axId val="66166784"/>
        <c:axId val="66168320"/>
      </c:barChart>
      <c:catAx>
        <c:axId val="66166784"/>
        <c:scaling>
          <c:orientation val="minMax"/>
        </c:scaling>
        <c:axPos val="b"/>
        <c:numFmt formatCode="#,##0.0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6168320"/>
        <c:crosses val="autoZero"/>
        <c:auto val="1"/>
        <c:lblAlgn val="ctr"/>
        <c:lblOffset val="100"/>
      </c:catAx>
      <c:valAx>
        <c:axId val="66168320"/>
        <c:scaling>
          <c:orientation val="minMax"/>
          <c:max val="200000"/>
          <c:min val="0"/>
        </c:scaling>
        <c:axPos val="l"/>
        <c:numFmt formatCode="#,##0.0" sourceLinked="0"/>
        <c:maj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6166784"/>
        <c:crosses val="autoZero"/>
        <c:crossBetween val="between"/>
        <c:majorUnit val="40000"/>
        <c:minorUnit val="4000"/>
        <c:dispUnits>
          <c:builtInUnit val="thousands"/>
          <c:dispUnitsLbl>
            <c:layout>
              <c:manualLayout>
                <c:xMode val="edge"/>
                <c:yMode val="edge"/>
                <c:x val="3.2342731352129452E-3"/>
                <c:y val="0.36785989024099625"/>
              </c:manualLayout>
            </c:layout>
            <c:tx>
              <c:rich>
                <a:bodyPr/>
                <a:lstStyle/>
                <a:p>
                  <a:pPr>
                    <a:defRPr lang="en-US" sz="800"/>
                  </a:pPr>
                  <a:r>
                    <a:rPr lang="en-US" sz="800"/>
                    <a:t>mil.</a:t>
                  </a:r>
                  <a:r>
                    <a:rPr lang="sr-Latn-CS" sz="800"/>
                    <a:t>€</a:t>
                  </a:r>
                  <a:endParaRPr lang="en-US" sz="800"/>
                </a:p>
              </c:rich>
            </c:tx>
          </c:dispUnitsLbl>
        </c:dispUnits>
      </c:valAx>
    </c:plotArea>
    <c:legend>
      <c:legendPos val="t"/>
      <c:layout>
        <c:manualLayout>
          <c:xMode val="edge"/>
          <c:yMode val="edge"/>
          <c:x val="9.5353242135055721E-2"/>
          <c:y val="8.0678787878787739E-2"/>
          <c:w val="0.78471545895472761"/>
          <c:h val="0.10020520162252462"/>
        </c:manualLayout>
      </c:layout>
      <c:txPr>
        <a:bodyPr/>
        <a:lstStyle/>
        <a:p>
          <a:pPr>
            <a:defRPr lang="sr-Latn-C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0.56641</cdr:x>
      <cdr:y>0.41899</cdr:y>
    </cdr:from>
    <cdr:to>
      <cdr:x>0.97609</cdr:x>
      <cdr:y>0.82867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64227" y="93518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0.15807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132" y="107545"/>
          <a:ext cx="397170" cy="183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zaposlenih</a:t>
          </a:r>
          <a:endParaRPr lang="sr-Latn-CS" sz="700"/>
        </a:p>
      </cdr:txBody>
    </cdr:sp>
  </cdr:relSizeAnchor>
  <cdr:relSizeAnchor xmlns:cdr="http://schemas.openxmlformats.org/drawingml/2006/chartDrawing">
    <cdr:from>
      <cdr:x>0.3075</cdr:x>
      <cdr:y>0.65214</cdr:y>
    </cdr:from>
    <cdr:to>
      <cdr:x>0.7603</cdr:x>
      <cdr:y>0.78395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610648" y="1202573"/>
          <a:ext cx="899192" cy="2430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nezaposlenih</a:t>
          </a:r>
          <a:endParaRPr lang="sr-Latn-CS" sz="7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AD87E-5336-4802-B269-DDA76E88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milanka.jovanovic</cp:lastModifiedBy>
  <cp:revision>159</cp:revision>
  <cp:lastPrinted>2014-10-07T07:42:00Z</cp:lastPrinted>
  <dcterms:created xsi:type="dcterms:W3CDTF">2014-10-07T08:15:00Z</dcterms:created>
  <dcterms:modified xsi:type="dcterms:W3CDTF">2014-12-23T11:05:00Z</dcterms:modified>
</cp:coreProperties>
</file>