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55" w:type="dxa"/>
        <w:tblBorders>
          <w:top w:val="single" w:sz="6" w:space="0" w:color="F5F5F1"/>
          <w:left w:val="single" w:sz="6" w:space="0" w:color="F5F5F1"/>
          <w:bottom w:val="single" w:sz="6" w:space="0" w:color="F5F5F1"/>
          <w:right w:val="single" w:sz="6" w:space="0" w:color="F5F5F1"/>
        </w:tblBorders>
        <w:tblCellMar>
          <w:left w:w="0" w:type="dxa"/>
          <w:right w:w="0" w:type="dxa"/>
        </w:tblCellMar>
        <w:tblLook w:val="04A0"/>
      </w:tblPr>
      <w:tblGrid>
        <w:gridCol w:w="4116"/>
        <w:gridCol w:w="4127"/>
        <w:gridCol w:w="5512"/>
      </w:tblGrid>
      <w:tr w:rsidR="00A3202A" w:rsidRPr="00A3202A" w:rsidTr="00A3202A">
        <w:tc>
          <w:tcPr>
            <w:tcW w:w="0" w:type="auto"/>
            <w:tcBorders>
              <w:top w:val="nil"/>
              <w:left w:val="nil"/>
              <w:bottom w:val="nil"/>
              <w:right w:val="nil"/>
            </w:tcBorders>
            <w:shd w:val="clear" w:color="auto" w:fill="F5F5F1"/>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Pr>
                <w:rFonts w:ascii="inherit" w:eastAsia="Times New Roman" w:hAnsi="inherit" w:cs="Times New Roman"/>
                <w:noProof/>
                <w:sz w:val="18"/>
                <w:szCs w:val="18"/>
              </w:rPr>
              <w:drawing>
                <wp:inline distT="0" distB="0" distL="0" distR="0">
                  <wp:extent cx="885825" cy="1019175"/>
                  <wp:effectExtent l="19050" t="0" r="9525" b="0"/>
                  <wp:docPr id="1" name="Picture 1" descr="http://portal.ujn.gov.me/delta/styles/GHQ-style/images/mn_logo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ujn.gov.me/delta/styles/GHQ-style/images/mn_logo_view.jpg"/>
                          <pic:cNvPicPr>
                            <a:picLocks noChangeAspect="1" noChangeArrowheads="1"/>
                          </pic:cNvPicPr>
                        </pic:nvPicPr>
                        <pic:blipFill>
                          <a:blip r:embed="rId4"/>
                          <a:srcRect/>
                          <a:stretch>
                            <a:fillRect/>
                          </a:stretch>
                        </pic:blipFill>
                        <pic:spPr bwMode="auto">
                          <a:xfrm>
                            <a:off x="0" y="0"/>
                            <a:ext cx="885825" cy="1019175"/>
                          </a:xfrm>
                          <a:prstGeom prst="rect">
                            <a:avLst/>
                          </a:prstGeom>
                          <a:noFill/>
                          <a:ln w="9525">
                            <a:noFill/>
                            <a:miter lim="800000"/>
                            <a:headEnd/>
                            <a:tailEnd/>
                          </a:ln>
                        </pic:spPr>
                      </pic:pic>
                    </a:graphicData>
                  </a:graphic>
                </wp:inline>
              </w:drawing>
            </w:r>
            <w:r w:rsidRPr="00A3202A">
              <w:rPr>
                <w:rFonts w:ascii="inherit" w:eastAsia="Times New Roman" w:hAnsi="inherit" w:cs="Times New Roman"/>
                <w:sz w:val="18"/>
                <w:szCs w:val="18"/>
              </w:rPr>
              <w:br/>
            </w:r>
            <w:r w:rsidRPr="00A3202A">
              <w:rPr>
                <w:rFonts w:ascii="inherit" w:eastAsia="Times New Roman" w:hAnsi="inherit" w:cs="Times New Roman"/>
                <w:b/>
                <w:bCs/>
                <w:sz w:val="18"/>
              </w:rPr>
              <w:t>CRNA GORA</w:t>
            </w:r>
            <w:r w:rsidRPr="00A3202A">
              <w:rPr>
                <w:rFonts w:ascii="inherit" w:eastAsia="Times New Roman" w:hAnsi="inherit" w:cs="Times New Roman"/>
                <w:b/>
                <w:bCs/>
                <w:sz w:val="18"/>
                <w:szCs w:val="18"/>
              </w:rPr>
              <w:br/>
            </w:r>
            <w:r w:rsidRPr="00A3202A">
              <w:rPr>
                <w:rFonts w:ascii="inherit" w:eastAsia="Times New Roman" w:hAnsi="inherit" w:cs="Times New Roman"/>
                <w:b/>
                <w:bCs/>
                <w:sz w:val="18"/>
              </w:rPr>
              <w:t>Ministarstvo finansija</w:t>
            </w:r>
            <w:r w:rsidRPr="00A3202A">
              <w:rPr>
                <w:rFonts w:ascii="inherit" w:eastAsia="Times New Roman" w:hAnsi="inherit" w:cs="Times New Roman"/>
                <w:b/>
                <w:bCs/>
                <w:sz w:val="18"/>
                <w:szCs w:val="18"/>
              </w:rPr>
              <w:br/>
            </w:r>
            <w:r w:rsidRPr="00A3202A">
              <w:rPr>
                <w:rFonts w:ascii="inherit" w:eastAsia="Times New Roman" w:hAnsi="inherit" w:cs="Times New Roman"/>
                <w:b/>
                <w:bCs/>
                <w:sz w:val="18"/>
              </w:rPr>
              <w:t>Uprava za javne nabavke</w:t>
            </w:r>
          </w:p>
        </w:tc>
        <w:tc>
          <w:tcPr>
            <w:tcW w:w="1500" w:type="pct"/>
            <w:tcBorders>
              <w:top w:val="nil"/>
              <w:left w:val="nil"/>
              <w:bottom w:val="nil"/>
              <w:right w:val="nil"/>
            </w:tcBorders>
            <w:shd w:val="clear" w:color="auto" w:fill="F5F5F1"/>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p>
        </w:tc>
        <w:tc>
          <w:tcPr>
            <w:tcW w:w="0" w:type="auto"/>
            <w:tcBorders>
              <w:top w:val="nil"/>
              <w:left w:val="nil"/>
              <w:bottom w:val="nil"/>
              <w:right w:val="nil"/>
            </w:tcBorders>
            <w:shd w:val="clear" w:color="auto" w:fill="F5F5F1"/>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Obrazac 3</w:t>
            </w:r>
            <w:r w:rsidRPr="00A3202A">
              <w:rPr>
                <w:rFonts w:ascii="inherit" w:eastAsia="Times New Roman" w:hAnsi="inherit" w:cs="Times New Roman"/>
                <w:sz w:val="18"/>
              </w:rPr>
              <w:t> </w:t>
            </w:r>
            <w:r w:rsidRPr="00A3202A">
              <w:rPr>
                <w:rFonts w:ascii="inherit" w:eastAsia="Times New Roman" w:hAnsi="inherit" w:cs="Times New Roman"/>
                <w:sz w:val="18"/>
                <w:szCs w:val="18"/>
              </w:rPr>
              <w:br/>
              <w:t>Član 63 Zakona o javnim nabavkama</w:t>
            </w:r>
          </w:p>
        </w:tc>
      </w:tr>
    </w:tbl>
    <w:p w:rsidR="00A3202A" w:rsidRPr="00A3202A" w:rsidRDefault="00A3202A" w:rsidP="00A3202A">
      <w:pPr>
        <w:ind w:left="0" w:right="0"/>
        <w:jc w:val="left"/>
        <w:rPr>
          <w:rFonts w:ascii="Times New Roman" w:eastAsia="Times New Roman" w:hAnsi="Times New Roman" w:cs="Times New Roman"/>
          <w:sz w:val="24"/>
          <w:szCs w:val="24"/>
        </w:rPr>
      </w:pP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Naručilac</w:t>
      </w:r>
      <w:r w:rsidRPr="00A3202A">
        <w:rPr>
          <w:rFonts w:ascii="inherit" w:eastAsia="Times New Roman" w:hAnsi="inherit" w:cs="Times New Roman"/>
          <w:b/>
          <w:bCs/>
          <w:sz w:val="18"/>
        </w:rPr>
        <w:t> Ministarstvo unutrasnjih poslova,</w:t>
      </w:r>
      <w:r w:rsidRPr="00A3202A">
        <w:rPr>
          <w:rFonts w:ascii="inherit" w:eastAsia="Times New Roman" w:hAnsi="inherit" w:cs="Times New Roman"/>
          <w:sz w:val="18"/>
        </w:rPr>
        <w:t> </w:t>
      </w:r>
      <w:r w:rsidRPr="00A3202A">
        <w:rPr>
          <w:rFonts w:ascii="inherit" w:eastAsia="Times New Roman" w:hAnsi="inherit" w:cs="Times New Roman"/>
          <w:sz w:val="18"/>
          <w:szCs w:val="18"/>
        </w:rPr>
        <w:br/>
        <w:t>Broj</w:t>
      </w:r>
      <w:r w:rsidRPr="00A3202A">
        <w:rPr>
          <w:rFonts w:ascii="inherit" w:eastAsia="Times New Roman" w:hAnsi="inherit" w:cs="Times New Roman"/>
          <w:b/>
          <w:bCs/>
          <w:sz w:val="18"/>
        </w:rPr>
        <w:t> 62/15</w:t>
      </w:r>
      <w:r w:rsidRPr="00A3202A">
        <w:rPr>
          <w:rFonts w:ascii="inherit" w:eastAsia="Times New Roman" w:hAnsi="inherit" w:cs="Times New Roman"/>
          <w:sz w:val="18"/>
        </w:rPr>
        <w:t> </w:t>
      </w:r>
      <w:r w:rsidRPr="00A3202A">
        <w:rPr>
          <w:rFonts w:ascii="inherit" w:eastAsia="Times New Roman" w:hAnsi="inherit" w:cs="Times New Roman"/>
          <w:sz w:val="18"/>
          <w:szCs w:val="18"/>
        </w:rPr>
        <w:br/>
        <w:t>Mjesto i datum</w:t>
      </w:r>
      <w:r w:rsidRPr="00A3202A">
        <w:rPr>
          <w:rFonts w:ascii="inherit" w:eastAsia="Times New Roman" w:hAnsi="inherit" w:cs="Times New Roman"/>
          <w:b/>
          <w:bCs/>
          <w:sz w:val="18"/>
        </w:rPr>
        <w:t> Podgorica 28/04/2015</w:t>
      </w:r>
    </w:p>
    <w:p w:rsidR="00A3202A" w:rsidRPr="00A3202A" w:rsidRDefault="00A3202A" w:rsidP="00A3202A">
      <w:pPr>
        <w:ind w:left="0" w:right="0"/>
        <w:jc w:val="left"/>
        <w:rPr>
          <w:rFonts w:ascii="Times New Roman" w:eastAsia="Times New Roman" w:hAnsi="Times New Roman" w:cs="Times New Roman"/>
          <w:sz w:val="24"/>
          <w:szCs w:val="24"/>
        </w:rPr>
      </w:pPr>
    </w:p>
    <w:p w:rsidR="00A3202A" w:rsidRPr="00A3202A" w:rsidRDefault="00A3202A" w:rsidP="00A3202A">
      <w:pPr>
        <w:ind w:left="384" w:right="360"/>
        <w:jc w:val="left"/>
        <w:textAlignment w:val="baseline"/>
        <w:rPr>
          <w:rFonts w:ascii="inherit" w:eastAsia="Times New Roman" w:hAnsi="inherit" w:cs="Times New Roman"/>
          <w:sz w:val="18"/>
          <w:szCs w:val="18"/>
        </w:rPr>
      </w:pPr>
      <w:proofErr w:type="gramStart"/>
      <w:r w:rsidRPr="00A3202A">
        <w:rPr>
          <w:rFonts w:ascii="inherit" w:eastAsia="Times New Roman" w:hAnsi="inherit" w:cs="Times New Roman"/>
          <w:sz w:val="18"/>
          <w:szCs w:val="18"/>
        </w:rPr>
        <w:t>Na osnovu čl.</w:t>
      </w:r>
      <w:proofErr w:type="gramEnd"/>
      <w:r w:rsidRPr="00A3202A">
        <w:rPr>
          <w:rFonts w:ascii="inherit" w:eastAsia="Times New Roman" w:hAnsi="inherit" w:cs="Times New Roman"/>
          <w:sz w:val="18"/>
          <w:szCs w:val="18"/>
        </w:rPr>
        <w:t xml:space="preserve"> 62 i 63 Zakona o javnim nabavkama (Službeni list CG, broj 42/11)</w:t>
      </w:r>
      <w:r w:rsidRPr="00A3202A">
        <w:rPr>
          <w:rFonts w:ascii="inherit" w:eastAsia="Times New Roman" w:hAnsi="inherit" w:cs="Times New Roman"/>
          <w:b/>
          <w:bCs/>
          <w:sz w:val="18"/>
        </w:rPr>
        <w:t> Ministarstvo unutrasnjih poslova, </w:t>
      </w:r>
      <w:r w:rsidRPr="00A3202A">
        <w:rPr>
          <w:rFonts w:ascii="inherit" w:eastAsia="Times New Roman" w:hAnsi="inherit" w:cs="Times New Roman"/>
          <w:sz w:val="18"/>
          <w:szCs w:val="18"/>
        </w:rPr>
        <w:t>objavljuje</w:t>
      </w:r>
    </w:p>
    <w:p w:rsidR="00A3202A" w:rsidRPr="00A3202A" w:rsidRDefault="00A3202A" w:rsidP="00A3202A">
      <w:pPr>
        <w:ind w:left="0" w:right="0"/>
        <w:jc w:val="left"/>
        <w:rPr>
          <w:rFonts w:ascii="Times New Roman" w:eastAsia="Times New Roman" w:hAnsi="Times New Roman" w:cs="Times New Roman"/>
          <w:sz w:val="24"/>
          <w:szCs w:val="24"/>
        </w:rPr>
      </w:pPr>
    </w:p>
    <w:p w:rsidR="00A3202A" w:rsidRPr="00A3202A" w:rsidRDefault="00A3202A" w:rsidP="00A3202A">
      <w:pPr>
        <w:ind w:left="216" w:right="0"/>
        <w:textAlignment w:val="baseline"/>
        <w:outlineLvl w:val="1"/>
        <w:rPr>
          <w:rFonts w:ascii="inherit" w:eastAsia="Times New Roman" w:hAnsi="inherit" w:cs="Times New Roman"/>
          <w:b/>
          <w:bCs/>
          <w:color w:val="660000"/>
          <w:sz w:val="32"/>
          <w:szCs w:val="32"/>
        </w:rPr>
      </w:pPr>
      <w:r w:rsidRPr="00A3202A">
        <w:rPr>
          <w:rFonts w:ascii="inherit" w:eastAsia="Times New Roman" w:hAnsi="inherit" w:cs="Times New Roman"/>
          <w:b/>
          <w:bCs/>
          <w:color w:val="660000"/>
          <w:sz w:val="32"/>
          <w:szCs w:val="32"/>
        </w:rPr>
        <w:t>POZIV</w:t>
      </w:r>
      <w:r w:rsidRPr="00A3202A">
        <w:rPr>
          <w:rFonts w:ascii="inherit" w:eastAsia="Times New Roman" w:hAnsi="inherit" w:cs="Times New Roman"/>
          <w:b/>
          <w:bCs/>
          <w:color w:val="660000"/>
          <w:sz w:val="32"/>
        </w:rPr>
        <w:t> </w:t>
      </w:r>
      <w:r w:rsidRPr="00A3202A">
        <w:rPr>
          <w:rFonts w:ascii="inherit" w:eastAsia="Times New Roman" w:hAnsi="inherit" w:cs="Times New Roman"/>
          <w:b/>
          <w:bCs/>
          <w:color w:val="660000"/>
          <w:sz w:val="32"/>
          <w:szCs w:val="32"/>
        </w:rPr>
        <w:br/>
        <w:t>broj: 62/15</w:t>
      </w:r>
      <w:r w:rsidRPr="00A3202A">
        <w:rPr>
          <w:rFonts w:ascii="inherit" w:eastAsia="Times New Roman" w:hAnsi="inherit" w:cs="Times New Roman"/>
          <w:b/>
          <w:bCs/>
          <w:color w:val="660000"/>
          <w:sz w:val="32"/>
        </w:rPr>
        <w:t> </w:t>
      </w:r>
      <w:r w:rsidRPr="00A3202A">
        <w:rPr>
          <w:rFonts w:ascii="inherit" w:eastAsia="Times New Roman" w:hAnsi="inherit" w:cs="Times New Roman"/>
          <w:b/>
          <w:bCs/>
          <w:color w:val="660000"/>
          <w:sz w:val="32"/>
          <w:szCs w:val="32"/>
        </w:rPr>
        <w:br/>
        <w:t>za</w:t>
      </w:r>
      <w:r w:rsidRPr="00A3202A">
        <w:rPr>
          <w:rFonts w:ascii="inherit" w:eastAsia="Times New Roman" w:hAnsi="inherit" w:cs="Times New Roman"/>
          <w:b/>
          <w:bCs/>
          <w:color w:val="660000"/>
          <w:sz w:val="32"/>
        </w:rPr>
        <w:t> Otvoreni postupak javne nabavke</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I Podaci o naručiocu</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692"/>
        <w:gridCol w:w="4893"/>
      </w:tblGrid>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CCCCCC"/>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Naručilac:</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Ministarstvo unutrasnjih poslova</w:t>
            </w:r>
          </w:p>
        </w:tc>
        <w:tc>
          <w:tcPr>
            <w:tcW w:w="0" w:type="auto"/>
            <w:tcBorders>
              <w:top w:val="single" w:sz="6" w:space="0" w:color="FFFFFF"/>
              <w:left w:val="single" w:sz="6" w:space="0" w:color="FFFFFF"/>
              <w:bottom w:val="single" w:sz="6" w:space="0" w:color="FFFFFF"/>
              <w:right w:val="single" w:sz="6" w:space="0" w:color="FFFFFF"/>
            </w:tcBorders>
            <w:shd w:val="clear" w:color="auto" w:fill="CCCCCC"/>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Kontakt osoba/e:</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Nataša Ivanović/Milica Abramović</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Adresa:</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Bul. Sv. Petra Cetinjskog 22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Poštanski broj:</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81000</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CCCCCC"/>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Grad:</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Podgorica</w:t>
            </w:r>
          </w:p>
        </w:tc>
        <w:tc>
          <w:tcPr>
            <w:tcW w:w="0" w:type="auto"/>
            <w:tcBorders>
              <w:top w:val="single" w:sz="6" w:space="0" w:color="FFFFFF"/>
              <w:left w:val="single" w:sz="6" w:space="0" w:color="FFFFFF"/>
              <w:bottom w:val="single" w:sz="6" w:space="0" w:color="FFFFFF"/>
              <w:right w:val="single" w:sz="6" w:space="0" w:color="FFFFFF"/>
            </w:tcBorders>
            <w:shd w:val="clear" w:color="auto" w:fill="CCCCCC"/>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Identifikacioni broj:</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02016010</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Telefon:</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020241967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Fax:</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020241967</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CCCCCC"/>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Elektronska pošta (e-mail):</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mup.comercijala@t-com.me</w:t>
            </w:r>
          </w:p>
        </w:tc>
        <w:tc>
          <w:tcPr>
            <w:tcW w:w="0" w:type="auto"/>
            <w:tcBorders>
              <w:top w:val="single" w:sz="6" w:space="0" w:color="FFFFFF"/>
              <w:left w:val="single" w:sz="6" w:space="0" w:color="FFFFFF"/>
              <w:bottom w:val="single" w:sz="6" w:space="0" w:color="FFFFFF"/>
              <w:right w:val="single" w:sz="6" w:space="0" w:color="FFFFFF"/>
            </w:tcBorders>
            <w:shd w:val="clear" w:color="auto" w:fill="CCCCCC"/>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sz w:val="18"/>
                <w:szCs w:val="18"/>
              </w:rPr>
            </w:pPr>
            <w:r w:rsidRPr="00A3202A">
              <w:rPr>
                <w:rFonts w:ascii="inherit" w:eastAsia="Times New Roman" w:hAnsi="inherit" w:cs="Times New Roman"/>
                <w:sz w:val="18"/>
                <w:szCs w:val="18"/>
              </w:rPr>
              <w:t>Internet stranica (web):</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b/>
                <w:bCs/>
                <w:sz w:val="18"/>
              </w:rPr>
              <w:t>www.mup.gov.me</w:t>
            </w:r>
          </w:p>
        </w:tc>
      </w:tr>
    </w:tbl>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II Mjesto i datum objavljivanja poziva za javno nadmetanje:</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Portal Uprave za javne nabavke: www.ujn.gov.me</w:t>
      </w:r>
      <w:r w:rsidRPr="00A3202A">
        <w:rPr>
          <w:rFonts w:ascii="inherit" w:eastAsia="Times New Roman" w:hAnsi="inherit" w:cs="Times New Roman"/>
          <w:sz w:val="18"/>
        </w:rPr>
        <w:t> </w:t>
      </w:r>
      <w:r w:rsidRPr="00A3202A">
        <w:rPr>
          <w:rFonts w:ascii="inherit" w:eastAsia="Times New Roman" w:hAnsi="inherit" w:cs="Times New Roman"/>
          <w:sz w:val="18"/>
          <w:szCs w:val="18"/>
        </w:rPr>
        <w:br/>
        <w:t>Dana: 28/04/2015 15:39:53</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III Predmet javne nabavke</w:t>
      </w:r>
    </w:p>
    <w:p w:rsidR="00A3202A" w:rsidRPr="00A3202A" w:rsidRDefault="00A3202A" w:rsidP="00A3202A">
      <w:pPr>
        <w:pBdr>
          <w:bottom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Top of Form</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17.25pt" o:ole="">
            <v:imagedata r:id="rId5" o:title=""/>
          </v:shape>
          <w:control r:id="rId6" w:name="DefaultOcxName" w:shapeid="_x0000_i1059"/>
        </w:object>
      </w:r>
      <w:r w:rsidRPr="00A3202A">
        <w:rPr>
          <w:rFonts w:ascii="inherit" w:eastAsia="Times New Roman" w:hAnsi="inherit" w:cs="Times New Roman"/>
          <w:sz w:val="18"/>
          <w:szCs w:val="18"/>
        </w:rPr>
        <w:t>Robe</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object w:dxaOrig="1440" w:dyaOrig="1440">
          <v:shape id="_x0000_i1058" type="#_x0000_t75" style="width:20.25pt;height:17.25pt" o:ole="">
            <v:imagedata r:id="rId5" o:title=""/>
          </v:shape>
          <w:control r:id="rId7" w:name="DefaultOcxName1" w:shapeid="_x0000_i1058"/>
        </w:object>
      </w:r>
      <w:r w:rsidRPr="00A3202A">
        <w:rPr>
          <w:rFonts w:ascii="inherit" w:eastAsia="Times New Roman" w:hAnsi="inherit" w:cs="Times New Roman"/>
          <w:sz w:val="18"/>
          <w:szCs w:val="18"/>
        </w:rPr>
        <w:t>Radovi</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object w:dxaOrig="1440" w:dyaOrig="1440">
          <v:shape id="_x0000_i1057" type="#_x0000_t75" style="width:20.25pt;height:17.25pt" o:ole="">
            <v:imagedata r:id="rId8" o:title=""/>
          </v:shape>
          <w:control r:id="rId9" w:name="DefaultOcxName2" w:shapeid="_x0000_i1057"/>
        </w:object>
      </w:r>
      <w:r w:rsidRPr="00A3202A">
        <w:rPr>
          <w:rFonts w:ascii="inherit" w:eastAsia="Times New Roman" w:hAnsi="inherit" w:cs="Times New Roman"/>
          <w:sz w:val="18"/>
          <w:szCs w:val="18"/>
        </w:rPr>
        <w:t>Usluge</w:t>
      </w:r>
    </w:p>
    <w:p w:rsidR="00A3202A" w:rsidRPr="00A3202A" w:rsidRDefault="00A3202A" w:rsidP="00A3202A">
      <w:pPr>
        <w:pBdr>
          <w:top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Bottom of Form</w:t>
      </w:r>
    </w:p>
    <w:tbl>
      <w:tblPr>
        <w:tblW w:w="1320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3641"/>
        <w:gridCol w:w="9559"/>
      </w:tblGrid>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50211000-7</w:t>
            </w:r>
          </w:p>
        </w:tc>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Usluge popravki i održavanja aviona</w:t>
            </w:r>
          </w:p>
        </w:tc>
      </w:tr>
    </w:tbl>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b/>
          <w:bCs/>
          <w:sz w:val="18"/>
        </w:rPr>
        <w:t>Opis (dodatak)</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proofErr w:type="gramStart"/>
      <w:r w:rsidRPr="00A3202A">
        <w:rPr>
          <w:rFonts w:ascii="inherit" w:eastAsia="Times New Roman" w:hAnsi="inherit" w:cs="Times New Roman"/>
          <w:sz w:val="18"/>
          <w:szCs w:val="18"/>
        </w:rPr>
        <w:t>Predmet javne nabavke su usluge popravki i održavanja aviona (pregled i održavanje aviona za gašenje požara M-18B Dromader), po partijama.</w:t>
      </w:r>
      <w:proofErr w:type="gramEnd"/>
    </w:p>
    <w:p w:rsidR="00A3202A" w:rsidRPr="00A3202A" w:rsidRDefault="00A3202A" w:rsidP="00A3202A">
      <w:pPr>
        <w:pBdr>
          <w:bottom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lastRenderedPageBreak/>
        <w:t>Top of Form</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b/>
          <w:bCs/>
          <w:sz w:val="18"/>
        </w:rPr>
        <w:t>Označiti da li se predmet javne nabavke nabavlja kao:</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object w:dxaOrig="1440" w:dyaOrig="1440">
          <v:shape id="_x0000_i1056" type="#_x0000_t75" style="width:20.25pt;height:17.25pt" o:ole="">
            <v:imagedata r:id="rId5" o:title=""/>
          </v:shape>
          <w:control r:id="rId10" w:name="DefaultOcxName3" w:shapeid="_x0000_i1056"/>
        </w:object>
      </w:r>
      <w:proofErr w:type="gramStart"/>
      <w:r w:rsidRPr="00A3202A">
        <w:rPr>
          <w:rFonts w:ascii="inherit" w:eastAsia="Times New Roman" w:hAnsi="inherit" w:cs="Times New Roman"/>
          <w:sz w:val="18"/>
          <w:szCs w:val="18"/>
        </w:rPr>
        <w:t>cjelina</w:t>
      </w:r>
      <w:proofErr w:type="gramEnd"/>
      <w:r w:rsidRPr="00A3202A">
        <w:rPr>
          <w:rFonts w:ascii="inherit" w:eastAsia="Times New Roman" w:hAnsi="inherit" w:cs="Times New Roman"/>
          <w:sz w:val="18"/>
          <w:szCs w:val="18"/>
        </w:rPr>
        <w:br/>
      </w:r>
      <w:r w:rsidRPr="00A3202A">
        <w:rPr>
          <w:rFonts w:ascii="inherit" w:eastAsia="Times New Roman" w:hAnsi="inherit" w:cs="Times New Roman"/>
          <w:sz w:val="18"/>
          <w:szCs w:val="18"/>
        </w:rPr>
        <w:object w:dxaOrig="1440" w:dyaOrig="1440">
          <v:shape id="_x0000_i1055" type="#_x0000_t75" style="width:20.25pt;height:17.25pt" o:ole="">
            <v:imagedata r:id="rId8" o:title=""/>
          </v:shape>
          <w:control r:id="rId11" w:name="DefaultOcxName4" w:shapeid="_x0000_i1055"/>
        </w:object>
      </w:r>
      <w:r w:rsidRPr="00A3202A">
        <w:rPr>
          <w:rFonts w:ascii="inherit" w:eastAsia="Times New Roman" w:hAnsi="inherit" w:cs="Times New Roman"/>
          <w:sz w:val="18"/>
          <w:szCs w:val="18"/>
        </w:rPr>
        <w:t>partije (navesti partije)</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1. Partija 1: Radovi </w:t>
      </w:r>
      <w:proofErr w:type="gramStart"/>
      <w:r w:rsidRPr="00A3202A">
        <w:rPr>
          <w:rFonts w:ascii="inherit" w:eastAsia="Times New Roman" w:hAnsi="inherit" w:cs="Times New Roman"/>
          <w:sz w:val="18"/>
          <w:szCs w:val="18"/>
        </w:rPr>
        <w:t>na</w:t>
      </w:r>
      <w:proofErr w:type="gramEnd"/>
      <w:r w:rsidRPr="00A3202A">
        <w:rPr>
          <w:rFonts w:ascii="inherit" w:eastAsia="Times New Roman" w:hAnsi="inherit" w:cs="Times New Roman"/>
          <w:sz w:val="18"/>
          <w:szCs w:val="18"/>
        </w:rPr>
        <w:t xml:space="preserve"> godišnjem nivou</w:t>
      </w:r>
      <w:r w:rsidRPr="00A3202A">
        <w:rPr>
          <w:rFonts w:ascii="inherit" w:eastAsia="Times New Roman" w:hAnsi="inherit" w:cs="Times New Roman"/>
          <w:sz w:val="18"/>
        </w:rPr>
        <w:t> </w:t>
      </w:r>
      <w:r w:rsidRPr="00A3202A">
        <w:rPr>
          <w:rFonts w:ascii="inherit" w:eastAsia="Times New Roman" w:hAnsi="inherit" w:cs="Times New Roman"/>
          <w:sz w:val="18"/>
          <w:szCs w:val="18"/>
        </w:rPr>
        <w:br/>
        <w:t>2. Partija 2: Radovi tokom protivpožarne sezone</w:t>
      </w:r>
      <w:r w:rsidRPr="00A3202A">
        <w:rPr>
          <w:rFonts w:ascii="inherit" w:eastAsia="Times New Roman" w:hAnsi="inherit" w:cs="Times New Roman"/>
          <w:sz w:val="18"/>
        </w:rPr>
        <w:t> </w:t>
      </w:r>
      <w:r w:rsidRPr="00A3202A">
        <w:rPr>
          <w:rFonts w:ascii="inherit" w:eastAsia="Times New Roman" w:hAnsi="inherit" w:cs="Times New Roman"/>
          <w:sz w:val="18"/>
          <w:szCs w:val="18"/>
        </w:rPr>
        <w:br/>
        <w:t>3. Partija 3: CAMO usluge</w:t>
      </w:r>
      <w:r w:rsidRPr="00A3202A">
        <w:rPr>
          <w:rFonts w:ascii="inherit" w:eastAsia="Times New Roman" w:hAnsi="inherit" w:cs="Times New Roman"/>
          <w:sz w:val="18"/>
        </w:rPr>
        <w:t> </w:t>
      </w:r>
      <w:r w:rsidRPr="00A3202A">
        <w:rPr>
          <w:rFonts w:ascii="inherit" w:eastAsia="Times New Roman" w:hAnsi="inherit" w:cs="Times New Roman"/>
          <w:sz w:val="18"/>
          <w:szCs w:val="18"/>
        </w:rPr>
        <w:br/>
        <w:t>4. Partija 4: Baterije G246AT</w:t>
      </w:r>
      <w:r w:rsidRPr="00A3202A">
        <w:rPr>
          <w:rFonts w:ascii="inherit" w:eastAsia="Times New Roman" w:hAnsi="inherit" w:cs="Times New Roman"/>
          <w:sz w:val="18"/>
        </w:rPr>
        <w:t> </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b/>
          <w:bCs/>
          <w:sz w:val="18"/>
        </w:rPr>
        <w:t xml:space="preserve">Ponuđač može dostaviti ponudu za jednu, više </w:t>
      </w:r>
      <w:proofErr w:type="gramStart"/>
      <w:r w:rsidRPr="00A3202A">
        <w:rPr>
          <w:rFonts w:ascii="inherit" w:eastAsia="Times New Roman" w:hAnsi="inherit" w:cs="Times New Roman"/>
          <w:b/>
          <w:bCs/>
          <w:sz w:val="18"/>
        </w:rPr>
        <w:t>ili</w:t>
      </w:r>
      <w:proofErr w:type="gramEnd"/>
      <w:r w:rsidRPr="00A3202A">
        <w:rPr>
          <w:rFonts w:ascii="inherit" w:eastAsia="Times New Roman" w:hAnsi="inherit" w:cs="Times New Roman"/>
          <w:b/>
          <w:bCs/>
          <w:sz w:val="18"/>
        </w:rPr>
        <w:t xml:space="preserve"> sve partije.</w:t>
      </w:r>
    </w:p>
    <w:p w:rsidR="00A3202A" w:rsidRPr="00A3202A" w:rsidRDefault="00A3202A" w:rsidP="00A3202A">
      <w:pPr>
        <w:pBdr>
          <w:top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Bottom of Form</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IV Podaci o zaključivanju okvirnog sporazuma (ukoliko je primjenjivo)</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Javna nabavka predviđa zaključivanje okvirnog sporazuma</w:t>
      </w:r>
    </w:p>
    <w:p w:rsidR="00A3202A" w:rsidRPr="00A3202A" w:rsidRDefault="00A3202A" w:rsidP="00A3202A">
      <w:pPr>
        <w:pBdr>
          <w:bottom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Top of Form</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object w:dxaOrig="1440" w:dyaOrig="1440">
          <v:shape id="_x0000_i1054" type="#_x0000_t75" style="width:20.25pt;height:17.25pt" o:ole="">
            <v:imagedata r:id="rId5" o:title=""/>
          </v:shape>
          <w:control r:id="rId12" w:name="DefaultOcxName5" w:shapeid="_x0000_i1054"/>
        </w:object>
      </w:r>
      <w:proofErr w:type="gramStart"/>
      <w:r w:rsidRPr="00A3202A">
        <w:rPr>
          <w:rFonts w:ascii="inherit" w:eastAsia="Times New Roman" w:hAnsi="inherit" w:cs="Times New Roman"/>
          <w:sz w:val="18"/>
          <w:szCs w:val="18"/>
        </w:rPr>
        <w:t>da</w:t>
      </w:r>
      <w:proofErr w:type="gramEnd"/>
      <w:r w:rsidRPr="00A3202A">
        <w:rPr>
          <w:rFonts w:ascii="inherit" w:eastAsia="Times New Roman" w:hAnsi="inherit" w:cs="Times New Roman"/>
          <w:sz w:val="18"/>
          <w:szCs w:val="18"/>
        </w:rPr>
        <w:br/>
      </w:r>
      <w:r w:rsidRPr="00A3202A">
        <w:rPr>
          <w:rFonts w:ascii="inherit" w:eastAsia="Times New Roman" w:hAnsi="inherit" w:cs="Times New Roman"/>
          <w:sz w:val="18"/>
          <w:szCs w:val="18"/>
        </w:rPr>
        <w:object w:dxaOrig="1440" w:dyaOrig="1440">
          <v:shape id="_x0000_i1053" type="#_x0000_t75" style="width:20.25pt;height:17.25pt" o:ole="">
            <v:imagedata r:id="rId8" o:title=""/>
          </v:shape>
          <w:control r:id="rId13" w:name="DefaultOcxName6" w:shapeid="_x0000_i1053"/>
        </w:object>
      </w:r>
      <w:r w:rsidRPr="00A3202A">
        <w:rPr>
          <w:rFonts w:ascii="inherit" w:eastAsia="Times New Roman" w:hAnsi="inherit" w:cs="Times New Roman"/>
          <w:sz w:val="18"/>
          <w:szCs w:val="18"/>
        </w:rPr>
        <w:t>ne</w:t>
      </w:r>
    </w:p>
    <w:p w:rsidR="00A3202A" w:rsidRPr="00A3202A" w:rsidRDefault="00A3202A" w:rsidP="00A3202A">
      <w:pPr>
        <w:pBdr>
          <w:top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Bottom of Form</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V Procijenjena vrijednost javne nabavke</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Iskazati procijenjenu vrijednost javne nabavke u erurima </w:t>
      </w:r>
      <w:proofErr w:type="gramStart"/>
      <w:r w:rsidRPr="00A3202A">
        <w:rPr>
          <w:rFonts w:ascii="inherit" w:eastAsia="Times New Roman" w:hAnsi="inherit" w:cs="Times New Roman"/>
          <w:sz w:val="18"/>
          <w:szCs w:val="18"/>
        </w:rPr>
        <w:t>sa</w:t>
      </w:r>
      <w:proofErr w:type="gramEnd"/>
      <w:r w:rsidRPr="00A3202A">
        <w:rPr>
          <w:rFonts w:ascii="inherit" w:eastAsia="Times New Roman" w:hAnsi="inherit" w:cs="Times New Roman"/>
          <w:sz w:val="18"/>
          <w:szCs w:val="18"/>
        </w:rPr>
        <w:t xml:space="preserve"> uračunatim PDV-om: 55600.00 €</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(Ukoliko je predmet javne nabavke odrađen po partijama, navesti procijenjenu vrijednost javne nabavke za svaku partiju pojedinačno i njihov zbir)</w:t>
      </w:r>
    </w:p>
    <w:tbl>
      <w:tblPr>
        <w:tblW w:w="1320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0603"/>
        <w:gridCol w:w="2597"/>
      </w:tblGrid>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Partija 1. Partija 1: Radovi na godišnjem nivou</w:t>
            </w:r>
          </w:p>
        </w:tc>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28600 €</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Partija 2. Partija 2: Radovi tokom protivpožarne sezone</w:t>
            </w:r>
          </w:p>
        </w:tc>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18000 €</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Partija 3. Partija 3: CAMO usluge</w:t>
            </w:r>
          </w:p>
        </w:tc>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4000 €</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Partija 4. Partija 4: Baterije G246AT</w:t>
            </w:r>
          </w:p>
        </w:tc>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5000 €</w:t>
            </w:r>
          </w:p>
        </w:tc>
      </w:tr>
      <w:tr w:rsidR="00A3202A" w:rsidRPr="00A3202A" w:rsidTr="00A3202A">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UKUPNO</w:t>
            </w:r>
          </w:p>
        </w:tc>
        <w:tc>
          <w:tcPr>
            <w:tcW w:w="0" w:type="auto"/>
            <w:tcBorders>
              <w:top w:val="single" w:sz="6" w:space="0" w:color="FFFFFF"/>
              <w:left w:val="single" w:sz="6" w:space="0" w:color="FFFFFF"/>
              <w:bottom w:val="single" w:sz="6" w:space="0" w:color="FFFFFF"/>
              <w:right w:val="single" w:sz="6" w:space="0" w:color="FFFFFF"/>
            </w:tcBorders>
            <w:shd w:val="clear" w:color="auto" w:fill="999999"/>
            <w:tcMar>
              <w:top w:w="60" w:type="dxa"/>
              <w:left w:w="75" w:type="dxa"/>
              <w:bottom w:w="60" w:type="dxa"/>
              <w:right w:w="150" w:type="dxa"/>
            </w:tcMar>
            <w:vAlign w:val="center"/>
            <w:hideMark/>
          </w:tcPr>
          <w:p w:rsidR="00A3202A" w:rsidRPr="00A3202A" w:rsidRDefault="00A3202A" w:rsidP="00A3202A">
            <w:pPr>
              <w:ind w:left="0" w:right="0"/>
              <w:jc w:val="left"/>
              <w:rPr>
                <w:rFonts w:ascii="inherit" w:eastAsia="Times New Roman" w:hAnsi="inherit" w:cs="Times New Roman"/>
                <w:color w:val="FFFFFF"/>
                <w:sz w:val="18"/>
                <w:szCs w:val="18"/>
              </w:rPr>
            </w:pPr>
            <w:r w:rsidRPr="00A3202A">
              <w:rPr>
                <w:rFonts w:ascii="inherit" w:eastAsia="Times New Roman" w:hAnsi="inherit" w:cs="Times New Roman"/>
                <w:color w:val="FFFFFF"/>
                <w:sz w:val="18"/>
                <w:szCs w:val="18"/>
              </w:rPr>
              <w:t>55600.00 €</w:t>
            </w:r>
          </w:p>
        </w:tc>
      </w:tr>
    </w:tbl>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VI Uslovi i podobnost ponuđača</w:t>
      </w:r>
    </w:p>
    <w:p w:rsidR="00A3202A" w:rsidRPr="00A3202A" w:rsidRDefault="00A3202A" w:rsidP="00A3202A">
      <w:pPr>
        <w:ind w:left="0" w:right="0"/>
        <w:jc w:val="left"/>
        <w:rPr>
          <w:rFonts w:ascii="Times New Roman" w:eastAsia="Times New Roman" w:hAnsi="Times New Roman" w:cs="Times New Roman"/>
          <w:sz w:val="24"/>
          <w:szCs w:val="24"/>
        </w:rPr>
      </w:pPr>
      <w:r w:rsidRPr="00A3202A">
        <w:rPr>
          <w:rFonts w:ascii="Times New Roman" w:eastAsia="Times New Roman" w:hAnsi="Times New Roman" w:cs="Times New Roman"/>
          <w:sz w:val="24"/>
          <w:szCs w:val="24"/>
        </w:rPr>
        <w:br/>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Obavezni uslovi za učešće u postupku javnog nadmetanja</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U postupku javne nabavke može da učestvuje samo ponuđač koji:</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1) je registrovan za obavljanje djelatnosti koja je predmet javne nabavke;</w:t>
      </w:r>
      <w:r w:rsidRPr="00A3202A">
        <w:rPr>
          <w:rFonts w:ascii="inherit" w:eastAsia="Times New Roman" w:hAnsi="inherit" w:cs="Times New Roman"/>
          <w:sz w:val="18"/>
          <w:szCs w:val="18"/>
        </w:rPr>
        <w:br/>
        <w:t>2) ima dozvolu (licencu ili drugi akt) za obavljanje djelatnosti koja je predmet javne nabavke, u skladu sa zakonom;</w:t>
      </w:r>
      <w:r w:rsidRPr="00A3202A">
        <w:rPr>
          <w:rFonts w:ascii="inherit" w:eastAsia="Times New Roman" w:hAnsi="inherit" w:cs="Times New Roman"/>
          <w:sz w:val="18"/>
          <w:szCs w:val="18"/>
        </w:rPr>
        <w:br/>
        <w:t>3) je uredno izvršio sve obaveze po osnovu poreza i doprinosa u skladu sa zakonom, odnosno propisima države u kojoj ima sjedište;</w:t>
      </w:r>
      <w:r w:rsidRPr="00A3202A">
        <w:rPr>
          <w:rFonts w:ascii="inherit" w:eastAsia="Times New Roman" w:hAnsi="inherit" w:cs="Times New Roman"/>
          <w:sz w:val="18"/>
          <w:szCs w:val="18"/>
        </w:rPr>
        <w:br/>
        <w:t>4) u periodu od dvije godine prije objavljivanja poziva za javno nadmetanje, odnosno dostavljanja poziva za nadmetanje nije osuđen za krivično djelo i da mu nije izrečena mjera zabrane obavljanja djelatnosti u vezi sa krivičnim djelom.</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Dokazi o ispunjenosti obaveznih uslova iz tačke VI podtačka 1 do 4 ovog obrasca, podnose se u formi predviđenoj čl. 66 i 74 Zakona o javnim nabavkama, i to</w:t>
      </w:r>
      <w:proofErr w:type="gramStart"/>
      <w:r w:rsidRPr="00A3202A">
        <w:rPr>
          <w:rFonts w:ascii="inherit" w:eastAsia="Times New Roman" w:hAnsi="inherit" w:cs="Times New Roman"/>
          <w:sz w:val="18"/>
          <w:szCs w:val="18"/>
        </w:rPr>
        <w:t>:</w:t>
      </w:r>
      <w:proofErr w:type="gramEnd"/>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1) dokaz o registraciji kod organa nadležnog za registraciju;</w:t>
      </w:r>
      <w:r w:rsidRPr="00A3202A">
        <w:rPr>
          <w:rFonts w:ascii="inherit" w:eastAsia="Times New Roman" w:hAnsi="inherit" w:cs="Times New Roman"/>
          <w:sz w:val="18"/>
          <w:szCs w:val="18"/>
        </w:rPr>
        <w:br/>
        <w:t>2) dozvole, licence, odobrenja, odnosno drugi akti u skladu sa zakonom.</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lastRenderedPageBreak/>
        <w:t>(U skladu sa članom 4 stav 2 Pravilnika o metodologiji iskazivanja podkriterijuma u odgovarajući broj bodova, o načinu ocjene i upoređivanja ponuda, naručilac se obratio nadležnom organu, koji organ se aktom izjasnio da su ponuđači, u predmetnom postupku javne nabavke, dužni da dostave slijedeće dokaze (dozvole, licence, odobrenja odnosno drugi akt u skladu sa zakonom</w:t>
      </w:r>
      <w:proofErr w:type="gramStart"/>
      <w:r w:rsidRPr="00A3202A">
        <w:rPr>
          <w:rFonts w:ascii="inherit" w:eastAsia="Times New Roman" w:hAnsi="inherit" w:cs="Times New Roman"/>
          <w:sz w:val="18"/>
          <w:szCs w:val="18"/>
        </w:rPr>
        <w:t>):</w:t>
      </w:r>
      <w:proofErr w:type="gramEnd"/>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1. Naručilac se nije obratio nadležnom organu.</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3) potvrde organa uprave nadležnog za poslove poreza da su uredno izvršene sve obaveze po osnovu plaćanja poreza i doprinosa za period do 90 dana prije javnog otvaranja ponuda;</w:t>
      </w:r>
      <w:r w:rsidRPr="00A3202A">
        <w:rPr>
          <w:rFonts w:ascii="inherit" w:eastAsia="Times New Roman" w:hAnsi="inherit" w:cs="Times New Roman"/>
          <w:sz w:val="18"/>
          <w:szCs w:val="18"/>
        </w:rPr>
        <w:br/>
        <w:t>4) potvrda, odnosno drugog akta nadležnog organa na osnovu podataka iz kaznene evidencije - dokazi o ispunjavanju ovog uslova ne smiju da budu stariji od šest mjeseci do dana javnog otvaranja ponuda.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Dokazi o ispunjenosti uslova za učešće u postupku javne nabavke dostavljaju se u originalu, ovjerenoj kopiji </w:t>
      </w:r>
      <w:proofErr w:type="gramStart"/>
      <w:r w:rsidRPr="00A3202A">
        <w:rPr>
          <w:rFonts w:ascii="inherit" w:eastAsia="Times New Roman" w:hAnsi="inherit" w:cs="Times New Roman"/>
          <w:sz w:val="18"/>
          <w:szCs w:val="18"/>
        </w:rPr>
        <w:t>ili</w:t>
      </w:r>
      <w:proofErr w:type="gramEnd"/>
      <w:r w:rsidRPr="00A3202A">
        <w:rPr>
          <w:rFonts w:ascii="inherit" w:eastAsia="Times New Roman" w:hAnsi="inherit" w:cs="Times New Roman"/>
          <w:sz w:val="18"/>
          <w:szCs w:val="18"/>
        </w:rPr>
        <w:t xml:space="preserve"> elektronskoj formi u skladu sa pozivom za javno nadmetanje, pozivom za nadmetanje i tenderskom dokumentacijom.</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Fakultativni uslovi za učešće u postupku javnog nadmetanja</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Naručilac u pozivu za javno nadmetanje, pozivu za nadmetanje i tenderskoj dokumentaciji, pored obaveznih uslova za učešće u postupku javne nabavke</w:t>
      </w:r>
      <w:proofErr w:type="gramStart"/>
      <w:r w:rsidRPr="00A3202A">
        <w:rPr>
          <w:rFonts w:ascii="inherit" w:eastAsia="Times New Roman" w:hAnsi="inherit" w:cs="Times New Roman"/>
          <w:sz w:val="18"/>
          <w:szCs w:val="18"/>
        </w:rPr>
        <w:t>,</w:t>
      </w:r>
      <w:r w:rsidRPr="00A3202A">
        <w:rPr>
          <w:rFonts w:ascii="inherit" w:eastAsia="Times New Roman" w:hAnsi="inherit" w:cs="Times New Roman"/>
          <w:b/>
          <w:bCs/>
          <w:sz w:val="18"/>
        </w:rPr>
        <w:t>može</w:t>
      </w:r>
      <w:proofErr w:type="gramEnd"/>
      <w:r w:rsidRPr="00A3202A">
        <w:rPr>
          <w:rFonts w:ascii="inherit" w:eastAsia="Times New Roman" w:hAnsi="inherit" w:cs="Times New Roman"/>
          <w:sz w:val="18"/>
        </w:rPr>
        <w:t> </w:t>
      </w:r>
      <w:r w:rsidRPr="00A3202A">
        <w:rPr>
          <w:rFonts w:ascii="inherit" w:eastAsia="Times New Roman" w:hAnsi="inherit" w:cs="Times New Roman"/>
          <w:sz w:val="18"/>
          <w:szCs w:val="18"/>
        </w:rPr>
        <w:t>da predvidi da ponuđač mora da dokaže da ispunjava i fakultativne uslove koji se odnose na:</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b/>
          <w:bCs/>
          <w:sz w:val="18"/>
        </w:rPr>
        <w:t>1) ekonomsko-finansijska sposobnost (član 67 Zakona o javnim nabavkama)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Ispunjenost uslova koji se odnose </w:t>
      </w:r>
      <w:proofErr w:type="gramStart"/>
      <w:r w:rsidRPr="00A3202A">
        <w:rPr>
          <w:rFonts w:ascii="inherit" w:eastAsia="Times New Roman" w:hAnsi="inherit" w:cs="Times New Roman"/>
          <w:sz w:val="18"/>
          <w:szCs w:val="18"/>
        </w:rPr>
        <w:t>na</w:t>
      </w:r>
      <w:proofErr w:type="gramEnd"/>
      <w:r w:rsidRPr="00A3202A">
        <w:rPr>
          <w:rFonts w:ascii="inherit" w:eastAsia="Times New Roman" w:hAnsi="inherit" w:cs="Times New Roman"/>
          <w:sz w:val="18"/>
          <w:szCs w:val="18"/>
        </w:rPr>
        <w:t xml:space="preserve"> ekonomsko-finansijsku sposobnost ponuđač dokazuje:</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1. - izvještajem o računovodstvenom i finansijskom stanju – bilans uspjeha i stanja </w:t>
      </w:r>
      <w:proofErr w:type="gramStart"/>
      <w:r w:rsidRPr="00A3202A">
        <w:rPr>
          <w:rFonts w:ascii="inherit" w:eastAsia="Times New Roman" w:hAnsi="inherit" w:cs="Times New Roman"/>
          <w:sz w:val="18"/>
          <w:szCs w:val="18"/>
        </w:rPr>
        <w:t>sa</w:t>
      </w:r>
      <w:proofErr w:type="gramEnd"/>
      <w:r w:rsidRPr="00A3202A">
        <w:rPr>
          <w:rFonts w:ascii="inherit" w:eastAsia="Times New Roman" w:hAnsi="inherit" w:cs="Times New Roman"/>
          <w:sz w:val="18"/>
          <w:szCs w:val="18"/>
        </w:rPr>
        <w:t xml:space="preserve"> izvještajem ovlašćenog revizora u skladu sa zakonom kojim se uredjuje računovodstvo i revizija, za poslednje dvije godine, odnosno za period od registracije;</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odgovarajućim bankarskim izvodom, potvrdom ili izjavom o finansijskoj sposobnosti ponudjača.</w:t>
      </w:r>
      <w:r w:rsidRPr="00A3202A">
        <w:rPr>
          <w:rFonts w:ascii="inherit" w:eastAsia="Times New Roman" w:hAnsi="inherit" w:cs="Times New Roman"/>
          <w:sz w:val="18"/>
        </w:rPr>
        <w:t> </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b/>
          <w:bCs/>
          <w:sz w:val="18"/>
        </w:rPr>
        <w:t>2) stručno-tehnička i kadrovska osposobljenost (član 67 Zakona o javnim nabavkama)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(Pravo je i ovlašćenje naručioca da odredi, u skladu sa čl. 69</w:t>
      </w:r>
      <w:proofErr w:type="gramStart"/>
      <w:r w:rsidRPr="00A3202A">
        <w:rPr>
          <w:rFonts w:ascii="inherit" w:eastAsia="Times New Roman" w:hAnsi="inherit" w:cs="Times New Roman"/>
          <w:sz w:val="18"/>
          <w:szCs w:val="18"/>
        </w:rPr>
        <w:t>,70</w:t>
      </w:r>
      <w:proofErr w:type="gramEnd"/>
      <w:r w:rsidRPr="00A3202A">
        <w:rPr>
          <w:rFonts w:ascii="inherit" w:eastAsia="Times New Roman" w:hAnsi="inherit" w:cs="Times New Roman"/>
          <w:sz w:val="18"/>
          <w:szCs w:val="18"/>
        </w:rPr>
        <w:t xml:space="preserve"> i 71 Zakona o javnim nabavkama, vrstu dokaza kojim se dokazuje stručno tehnička i kadrovska osposobljenost)</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Ispunjenost uslova stručno - tehničke i kadrovske osposobljenosti u postupku javne nabavke, dokazuje se dostavljanjem dokaza, i to:</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1. -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izjave o namjeri i predmetu podugovaranja.</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 </w:t>
      </w:r>
      <w:proofErr w:type="gramStart"/>
      <w:r w:rsidRPr="00A3202A">
        <w:rPr>
          <w:rFonts w:ascii="inherit" w:eastAsia="Times New Roman" w:hAnsi="inherit" w:cs="Times New Roman"/>
          <w:sz w:val="18"/>
          <w:szCs w:val="18"/>
        </w:rPr>
        <w:t>izjave</w:t>
      </w:r>
      <w:proofErr w:type="gramEnd"/>
      <w:r w:rsidRPr="00A3202A">
        <w:rPr>
          <w:rFonts w:ascii="inherit" w:eastAsia="Times New Roman" w:hAnsi="inherit" w:cs="Times New Roman"/>
          <w:sz w:val="18"/>
          <w:szCs w:val="18"/>
        </w:rPr>
        <w:t xml:space="preserve"> o tehničkoj opremljenosti i o kapacitetima kojima raspolaže ponuđač za izvršavanje konkretnih usluga.</w:t>
      </w:r>
      <w:r w:rsidRPr="00A3202A">
        <w:rPr>
          <w:rFonts w:ascii="inherit" w:eastAsia="Times New Roman" w:hAnsi="inherit" w:cs="Times New Roman"/>
          <w:sz w:val="18"/>
        </w:rPr>
        <w:t> </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Ukoliko ponuđač ne dostavi neki </w:t>
      </w:r>
      <w:proofErr w:type="gramStart"/>
      <w:r w:rsidRPr="00A3202A">
        <w:rPr>
          <w:rFonts w:ascii="inherit" w:eastAsia="Times New Roman" w:hAnsi="inherit" w:cs="Times New Roman"/>
          <w:sz w:val="18"/>
          <w:szCs w:val="18"/>
        </w:rPr>
        <w:t>od</w:t>
      </w:r>
      <w:proofErr w:type="gramEnd"/>
      <w:r w:rsidRPr="00A3202A">
        <w:rPr>
          <w:rFonts w:ascii="inherit" w:eastAsia="Times New Roman" w:hAnsi="inherit" w:cs="Times New Roman"/>
          <w:sz w:val="18"/>
          <w:szCs w:val="18"/>
        </w:rPr>
        <w:t xml:space="preserve"> dokaza o podobnosti predviđenih pozivom za javno nadmetanje i tenderskom dokumentacijom, njegova ponuda biće odbijena kao neispravna.</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VII Dozvoljena je mogućnost dostavljanja alternativnih ponuda</w:t>
      </w:r>
    </w:p>
    <w:p w:rsidR="00A3202A" w:rsidRPr="00A3202A" w:rsidRDefault="00A3202A" w:rsidP="00A3202A">
      <w:pPr>
        <w:pBdr>
          <w:bottom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Top of Form</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object w:dxaOrig="1440" w:dyaOrig="1440">
          <v:shape id="_x0000_i1052" type="#_x0000_t75" style="width:20.25pt;height:17.25pt" o:ole="">
            <v:imagedata r:id="rId5" o:title=""/>
          </v:shape>
          <w:control r:id="rId14" w:name="DefaultOcxName7" w:shapeid="_x0000_i1052"/>
        </w:object>
      </w:r>
      <w:r w:rsidRPr="00A3202A">
        <w:rPr>
          <w:rFonts w:ascii="inherit" w:eastAsia="Times New Roman" w:hAnsi="inherit" w:cs="Times New Roman"/>
          <w:sz w:val="18"/>
          <w:szCs w:val="18"/>
        </w:rPr>
        <w:t>Da</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object w:dxaOrig="1440" w:dyaOrig="1440">
          <v:shape id="_x0000_i1051" type="#_x0000_t75" style="width:20.25pt;height:17.25pt" o:ole="">
            <v:imagedata r:id="rId8" o:title=""/>
          </v:shape>
          <w:control r:id="rId15" w:name="DefaultOcxName8" w:shapeid="_x0000_i1051"/>
        </w:object>
      </w:r>
      <w:r w:rsidRPr="00A3202A">
        <w:rPr>
          <w:rFonts w:ascii="inherit" w:eastAsia="Times New Roman" w:hAnsi="inherit" w:cs="Times New Roman"/>
          <w:sz w:val="18"/>
          <w:szCs w:val="18"/>
        </w:rPr>
        <w:t>Ne</w:t>
      </w:r>
    </w:p>
    <w:p w:rsidR="00A3202A" w:rsidRPr="00A3202A" w:rsidRDefault="00A3202A" w:rsidP="00A3202A">
      <w:pPr>
        <w:pBdr>
          <w:top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Bottom of Form</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VIII Kriterijum za izbor najpovoljnije ponude</w:t>
      </w:r>
    </w:p>
    <w:p w:rsidR="00A3202A" w:rsidRPr="00A3202A" w:rsidRDefault="00A3202A" w:rsidP="00A3202A">
      <w:pPr>
        <w:pBdr>
          <w:bottom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lastRenderedPageBreak/>
        <w:t>Top of Form</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object w:dxaOrig="1440" w:dyaOrig="1440">
          <v:shape id="_x0000_i1050" type="#_x0000_t75" style="width:20.25pt;height:17.25pt" o:ole="">
            <v:imagedata r:id="rId8" o:title=""/>
          </v:shape>
          <w:control r:id="rId16" w:name="DefaultOcxName9" w:shapeid="_x0000_i1050"/>
        </w:object>
      </w:r>
      <w:proofErr w:type="gramStart"/>
      <w:r w:rsidRPr="00A3202A">
        <w:rPr>
          <w:rFonts w:ascii="inherit" w:eastAsia="Times New Roman" w:hAnsi="inherit" w:cs="Times New Roman"/>
          <w:sz w:val="18"/>
          <w:szCs w:val="18"/>
        </w:rPr>
        <w:t>najniža</w:t>
      </w:r>
      <w:proofErr w:type="gramEnd"/>
      <w:r w:rsidRPr="00A3202A">
        <w:rPr>
          <w:rFonts w:ascii="inherit" w:eastAsia="Times New Roman" w:hAnsi="inherit" w:cs="Times New Roman"/>
          <w:sz w:val="18"/>
          <w:szCs w:val="18"/>
        </w:rPr>
        <w:t xml:space="preserve"> ponuđena cijena</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object w:dxaOrig="1440" w:dyaOrig="1440">
          <v:shape id="_x0000_i1049" type="#_x0000_t75" style="width:20.25pt;height:17.25pt" o:ole="">
            <v:imagedata r:id="rId5" o:title=""/>
          </v:shape>
          <w:control r:id="rId17" w:name="DefaultOcxName10" w:shapeid="_x0000_i1049"/>
        </w:object>
      </w:r>
      <w:r w:rsidRPr="00A3202A">
        <w:rPr>
          <w:rFonts w:ascii="inherit" w:eastAsia="Times New Roman" w:hAnsi="inherit" w:cs="Times New Roman"/>
          <w:sz w:val="18"/>
          <w:szCs w:val="18"/>
        </w:rPr>
        <w:t>ekonomski najpovoljnija ponuda</w:t>
      </w:r>
    </w:p>
    <w:p w:rsidR="00A3202A" w:rsidRPr="00A3202A" w:rsidRDefault="00A3202A" w:rsidP="00A3202A">
      <w:pPr>
        <w:pBdr>
          <w:top w:val="single" w:sz="6" w:space="1" w:color="auto"/>
        </w:pBdr>
        <w:ind w:left="0" w:right="0"/>
        <w:rPr>
          <w:rFonts w:ascii="Arial" w:eastAsia="Times New Roman" w:hAnsi="Arial" w:cs="Arial"/>
          <w:vanish/>
          <w:sz w:val="16"/>
          <w:szCs w:val="16"/>
        </w:rPr>
      </w:pPr>
      <w:r w:rsidRPr="00A3202A">
        <w:rPr>
          <w:rFonts w:ascii="Arial" w:eastAsia="Times New Roman" w:hAnsi="Arial" w:cs="Arial"/>
          <w:vanish/>
          <w:sz w:val="16"/>
          <w:szCs w:val="16"/>
        </w:rPr>
        <w:t>Bottom of Form</w:t>
      </w:r>
    </w:p>
    <w:p w:rsidR="00A3202A" w:rsidRPr="00A3202A" w:rsidRDefault="00A3202A" w:rsidP="00A3202A">
      <w:pPr>
        <w:ind w:left="384" w:right="360"/>
        <w:jc w:val="left"/>
        <w:textAlignment w:val="baseline"/>
        <w:rPr>
          <w:rFonts w:ascii="inherit" w:eastAsia="Times New Roman" w:hAnsi="inherit" w:cs="Times New Roman"/>
          <w:sz w:val="18"/>
          <w:szCs w:val="18"/>
        </w:rPr>
      </w:pPr>
      <w:proofErr w:type="gramStart"/>
      <w:r w:rsidRPr="00A3202A">
        <w:rPr>
          <w:rFonts w:ascii="inherit" w:eastAsia="Times New Roman" w:hAnsi="inherit" w:cs="Times New Roman"/>
          <w:b/>
          <w:bCs/>
          <w:sz w:val="18"/>
        </w:rPr>
        <w:t>sa</w:t>
      </w:r>
      <w:proofErr w:type="gramEnd"/>
      <w:r w:rsidRPr="00A3202A">
        <w:rPr>
          <w:rFonts w:ascii="inherit" w:eastAsia="Times New Roman" w:hAnsi="inherit" w:cs="Times New Roman"/>
          <w:b/>
          <w:bCs/>
          <w:sz w:val="18"/>
        </w:rPr>
        <w:t xml:space="preserve"> sljedećim podkriterijumima, prema opadajućem redosljedu:</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IX Jezik ponude</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Službeni jezik u Crnoj Gori</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X Uvid, otkup i preuzimanje tenderske dokumentacije</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Zainteresovana lica imaju pravo da izvrše uvid i otkup tenderske dokumentacije </w:t>
      </w:r>
      <w:proofErr w:type="gramStart"/>
      <w:r w:rsidRPr="00A3202A">
        <w:rPr>
          <w:rFonts w:ascii="inherit" w:eastAsia="Times New Roman" w:hAnsi="inherit" w:cs="Times New Roman"/>
          <w:sz w:val="18"/>
          <w:szCs w:val="18"/>
        </w:rPr>
        <w:t>od</w:t>
      </w:r>
      <w:proofErr w:type="gramEnd"/>
      <w:r w:rsidRPr="00A3202A">
        <w:rPr>
          <w:rFonts w:ascii="inherit" w:eastAsia="Times New Roman" w:hAnsi="inherit" w:cs="Times New Roman"/>
          <w:sz w:val="18"/>
          <w:szCs w:val="18"/>
        </w:rPr>
        <w:t xml:space="preserve"> dana objavljivanja poziva za javno nadmetanje</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Uvid u tendersku dokumentaciju može se izvršiti svakog dana od 10 h do 13 h sati, počevši od 28/04/2015 godine, zaključno sa 25/05/2015 godine, adresa Bulevar Sv. Petra Cetinjskog broj 22 </w:t>
      </w:r>
      <w:proofErr w:type="gramStart"/>
      <w:r w:rsidRPr="00A3202A">
        <w:rPr>
          <w:rFonts w:ascii="inherit" w:eastAsia="Times New Roman" w:hAnsi="inherit" w:cs="Times New Roman"/>
          <w:sz w:val="18"/>
          <w:szCs w:val="18"/>
        </w:rPr>
        <w:t>Podgorica ,</w:t>
      </w:r>
      <w:proofErr w:type="gramEnd"/>
      <w:r w:rsidRPr="00A3202A">
        <w:rPr>
          <w:rFonts w:ascii="inherit" w:eastAsia="Times New Roman" w:hAnsi="inherit" w:cs="Times New Roman"/>
          <w:sz w:val="18"/>
          <w:szCs w:val="18"/>
        </w:rPr>
        <w:t xml:space="preserve"> kod ovlašćenog lica Službenik za javne nabavke Nataša Ivanović</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Za otkup tenderske dokumentacije potrebno je podnijeti pisani zahtjev i priložiti dokaz o uplati u iznosu </w:t>
      </w:r>
      <w:proofErr w:type="gramStart"/>
      <w:r w:rsidRPr="00A3202A">
        <w:rPr>
          <w:rFonts w:ascii="inherit" w:eastAsia="Times New Roman" w:hAnsi="inherit" w:cs="Times New Roman"/>
          <w:sz w:val="18"/>
          <w:szCs w:val="18"/>
        </w:rPr>
        <w:t>od</w:t>
      </w:r>
      <w:proofErr w:type="gramEnd"/>
      <w:r w:rsidRPr="00A3202A">
        <w:rPr>
          <w:rFonts w:ascii="inherit" w:eastAsia="Times New Roman" w:hAnsi="inherit" w:cs="Times New Roman"/>
          <w:sz w:val="18"/>
          <w:szCs w:val="18"/>
        </w:rPr>
        <w:t xml:space="preserve"> 10.0 eura na žiro račun broj 825-79-81 kod Državni trezor (uz napomenu za preuzimanje tenderske dokumentacije po pozivu broj) 302001417</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Instrukcije plaćanja za zainteresovana lica iz inostranstva:</w:t>
      </w:r>
      <w:r w:rsidRPr="00A3202A">
        <w:rPr>
          <w:rFonts w:ascii="inherit" w:eastAsia="Times New Roman" w:hAnsi="inherit" w:cs="Times New Roman"/>
          <w:sz w:val="18"/>
        </w:rPr>
        <w:t> </w:t>
      </w:r>
      <w:r w:rsidRPr="00A3202A">
        <w:rPr>
          <w:rFonts w:ascii="inherit" w:eastAsia="Times New Roman" w:hAnsi="inherit" w:cs="Times New Roman"/>
          <w:sz w:val="18"/>
          <w:szCs w:val="18"/>
        </w:rPr>
        <w:br/>
        <w:t>56A :Inermidiary bank: COMMERZBANK AG</w:t>
      </w:r>
      <w:r w:rsidRPr="00A3202A">
        <w:rPr>
          <w:rFonts w:ascii="inherit" w:eastAsia="Times New Roman" w:hAnsi="inherit" w:cs="Times New Roman"/>
          <w:sz w:val="18"/>
        </w:rPr>
        <w:t> </w:t>
      </w:r>
      <w:r w:rsidRPr="00A3202A">
        <w:rPr>
          <w:rFonts w:ascii="inherit" w:eastAsia="Times New Roman" w:hAnsi="inherit" w:cs="Times New Roman"/>
          <w:sz w:val="18"/>
          <w:szCs w:val="18"/>
        </w:rPr>
        <w:br/>
        <w:t>FRANKFURT AM MAIN DE</w:t>
      </w:r>
      <w:r w:rsidRPr="00A3202A">
        <w:rPr>
          <w:rFonts w:ascii="inherit" w:eastAsia="Times New Roman" w:hAnsi="inherit" w:cs="Times New Roman"/>
          <w:sz w:val="18"/>
        </w:rPr>
        <w:t> </w:t>
      </w:r>
      <w:r w:rsidRPr="00A3202A">
        <w:rPr>
          <w:rFonts w:ascii="inherit" w:eastAsia="Times New Roman" w:hAnsi="inherit" w:cs="Times New Roman"/>
          <w:sz w:val="18"/>
          <w:szCs w:val="18"/>
        </w:rPr>
        <w:br/>
        <w:t>SWIFT CODE: COBADEFF</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57A :Account with institucion: PRVA BANKA CRNE GORE</w:t>
      </w:r>
      <w:r w:rsidRPr="00A3202A">
        <w:rPr>
          <w:rFonts w:ascii="inherit" w:eastAsia="Times New Roman" w:hAnsi="inherit" w:cs="Times New Roman"/>
          <w:sz w:val="18"/>
        </w:rPr>
        <w:t> </w:t>
      </w:r>
      <w:r w:rsidRPr="00A3202A">
        <w:rPr>
          <w:rFonts w:ascii="inherit" w:eastAsia="Times New Roman" w:hAnsi="inherit" w:cs="Times New Roman"/>
          <w:sz w:val="18"/>
          <w:szCs w:val="18"/>
        </w:rPr>
        <w:br/>
        <w:t xml:space="preserve">PODGORICA </w:t>
      </w:r>
      <w:r w:rsidRPr="00A3202A">
        <w:rPr>
          <w:rFonts w:ascii="inherit" w:eastAsia="Times New Roman" w:hAnsi="inherit" w:cs="Times New Roman"/>
          <w:sz w:val="18"/>
          <w:szCs w:val="18"/>
        </w:rPr>
        <w:br/>
        <w:t>SWIFT CODE: PRVAMEPG</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59:Beneficiary customers: ME25535005200000015921 </w:t>
      </w:r>
      <w:r w:rsidRPr="00A3202A">
        <w:rPr>
          <w:rFonts w:ascii="inherit" w:eastAsia="Times New Roman" w:hAnsi="inherit" w:cs="Times New Roman"/>
          <w:sz w:val="18"/>
          <w:szCs w:val="18"/>
        </w:rPr>
        <w:br/>
        <w:t>MUP CG</w:t>
      </w:r>
      <w:r w:rsidRPr="00A3202A">
        <w:rPr>
          <w:rFonts w:ascii="inherit" w:eastAsia="Times New Roman" w:hAnsi="inherit" w:cs="Times New Roman"/>
          <w:sz w:val="18"/>
        </w:rPr>
        <w:t> </w:t>
      </w:r>
      <w:r w:rsidRPr="00A3202A">
        <w:rPr>
          <w:rFonts w:ascii="inherit" w:eastAsia="Times New Roman" w:hAnsi="inherit" w:cs="Times New Roman"/>
          <w:sz w:val="18"/>
          <w:szCs w:val="18"/>
        </w:rPr>
        <w:br/>
        <w:t>PODGORICA</w:t>
      </w:r>
      <w:r w:rsidRPr="00A3202A">
        <w:rPr>
          <w:rFonts w:ascii="inherit" w:eastAsia="Times New Roman" w:hAnsi="inherit" w:cs="Times New Roman"/>
          <w:sz w:val="18"/>
        </w:rPr>
        <w:t> </w:t>
      </w:r>
      <w:r w:rsidRPr="00A3202A">
        <w:rPr>
          <w:rFonts w:ascii="inherit" w:eastAsia="Times New Roman" w:hAnsi="inherit" w:cs="Times New Roman"/>
          <w:sz w:val="18"/>
          <w:szCs w:val="18"/>
        </w:rPr>
        <w:br/>
        <w:t>MONTENEGRO</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56A :Inermidiary bank: LHB INTERNATIONALE</w:t>
      </w:r>
      <w:r w:rsidRPr="00A3202A">
        <w:rPr>
          <w:rFonts w:ascii="inherit" w:eastAsia="Times New Roman" w:hAnsi="inherit" w:cs="Times New Roman"/>
          <w:sz w:val="18"/>
        </w:rPr>
        <w:t> </w:t>
      </w:r>
      <w:r w:rsidRPr="00A3202A">
        <w:rPr>
          <w:rFonts w:ascii="inherit" w:eastAsia="Times New Roman" w:hAnsi="inherit" w:cs="Times New Roman"/>
          <w:sz w:val="18"/>
          <w:szCs w:val="18"/>
        </w:rPr>
        <w:br/>
        <w:t>HANDELSBANK AG F/M</w:t>
      </w:r>
      <w:r w:rsidRPr="00A3202A">
        <w:rPr>
          <w:rFonts w:ascii="inherit" w:eastAsia="Times New Roman" w:hAnsi="inherit" w:cs="Times New Roman"/>
          <w:sz w:val="18"/>
        </w:rPr>
        <w:t> </w:t>
      </w:r>
      <w:r w:rsidRPr="00A3202A">
        <w:rPr>
          <w:rFonts w:ascii="inherit" w:eastAsia="Times New Roman" w:hAnsi="inherit" w:cs="Times New Roman"/>
          <w:sz w:val="18"/>
          <w:szCs w:val="18"/>
        </w:rPr>
        <w:br/>
        <w:t>SWIFT CODE: LHBIDEFF</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57A :Account with institucion: PRVA BANKA CRNE GORE</w:t>
      </w:r>
      <w:r w:rsidRPr="00A3202A">
        <w:rPr>
          <w:rFonts w:ascii="inherit" w:eastAsia="Times New Roman" w:hAnsi="inherit" w:cs="Times New Roman"/>
          <w:sz w:val="18"/>
        </w:rPr>
        <w:t> </w:t>
      </w:r>
      <w:r w:rsidRPr="00A3202A">
        <w:rPr>
          <w:rFonts w:ascii="inherit" w:eastAsia="Times New Roman" w:hAnsi="inherit" w:cs="Times New Roman"/>
          <w:sz w:val="18"/>
          <w:szCs w:val="18"/>
        </w:rPr>
        <w:br/>
        <w:t xml:space="preserve">PODGORICA </w:t>
      </w:r>
      <w:r w:rsidRPr="00A3202A">
        <w:rPr>
          <w:rFonts w:ascii="inherit" w:eastAsia="Times New Roman" w:hAnsi="inherit" w:cs="Times New Roman"/>
          <w:sz w:val="18"/>
          <w:szCs w:val="18"/>
        </w:rPr>
        <w:br/>
        <w:t>SWIFT CODE: PRVAMEPG</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59:Beneficiary customers: ME25535005200000015921 </w:t>
      </w:r>
      <w:r w:rsidRPr="00A3202A">
        <w:rPr>
          <w:rFonts w:ascii="inherit" w:eastAsia="Times New Roman" w:hAnsi="inherit" w:cs="Times New Roman"/>
          <w:sz w:val="18"/>
          <w:szCs w:val="18"/>
        </w:rPr>
        <w:br/>
        <w:t>MUP CG</w:t>
      </w:r>
      <w:r w:rsidRPr="00A3202A">
        <w:rPr>
          <w:rFonts w:ascii="inherit" w:eastAsia="Times New Roman" w:hAnsi="inherit" w:cs="Times New Roman"/>
          <w:sz w:val="18"/>
        </w:rPr>
        <w:t> </w:t>
      </w:r>
      <w:r w:rsidRPr="00A3202A">
        <w:rPr>
          <w:rFonts w:ascii="inherit" w:eastAsia="Times New Roman" w:hAnsi="inherit" w:cs="Times New Roman"/>
          <w:sz w:val="18"/>
          <w:szCs w:val="18"/>
        </w:rPr>
        <w:br/>
        <w:t>PODGORICA</w:t>
      </w:r>
      <w:r w:rsidRPr="00A3202A">
        <w:rPr>
          <w:rFonts w:ascii="inherit" w:eastAsia="Times New Roman" w:hAnsi="inherit" w:cs="Times New Roman"/>
          <w:sz w:val="18"/>
        </w:rPr>
        <w:t> </w:t>
      </w:r>
      <w:r w:rsidRPr="00A3202A">
        <w:rPr>
          <w:rFonts w:ascii="inherit" w:eastAsia="Times New Roman" w:hAnsi="inherit" w:cs="Times New Roman"/>
          <w:sz w:val="18"/>
          <w:szCs w:val="18"/>
        </w:rPr>
        <w:br/>
        <w:t>MONTENEGRO</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56A :Inermidiary bank: DEUTSCHE BANK AG</w:t>
      </w:r>
      <w:r w:rsidRPr="00A3202A">
        <w:rPr>
          <w:rFonts w:ascii="inherit" w:eastAsia="Times New Roman" w:hAnsi="inherit" w:cs="Times New Roman"/>
          <w:sz w:val="18"/>
        </w:rPr>
        <w:t> </w:t>
      </w:r>
      <w:r w:rsidRPr="00A3202A">
        <w:rPr>
          <w:rFonts w:ascii="inherit" w:eastAsia="Times New Roman" w:hAnsi="inherit" w:cs="Times New Roman"/>
          <w:sz w:val="18"/>
          <w:szCs w:val="18"/>
        </w:rPr>
        <w:br/>
        <w:t>FRANKFURT</w:t>
      </w:r>
      <w:r w:rsidRPr="00A3202A">
        <w:rPr>
          <w:rFonts w:ascii="inherit" w:eastAsia="Times New Roman" w:hAnsi="inherit" w:cs="Times New Roman"/>
          <w:sz w:val="18"/>
        </w:rPr>
        <w:t> </w:t>
      </w:r>
      <w:r w:rsidRPr="00A3202A">
        <w:rPr>
          <w:rFonts w:ascii="inherit" w:eastAsia="Times New Roman" w:hAnsi="inherit" w:cs="Times New Roman"/>
          <w:sz w:val="18"/>
          <w:szCs w:val="18"/>
        </w:rPr>
        <w:br/>
        <w:t>SWIFT CODE: DEUTDEFF</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57A :Account with institucion: PRVA BANKA CRNE GORE</w:t>
      </w:r>
      <w:r w:rsidRPr="00A3202A">
        <w:rPr>
          <w:rFonts w:ascii="inherit" w:eastAsia="Times New Roman" w:hAnsi="inherit" w:cs="Times New Roman"/>
          <w:sz w:val="18"/>
        </w:rPr>
        <w:t> </w:t>
      </w:r>
      <w:r w:rsidRPr="00A3202A">
        <w:rPr>
          <w:rFonts w:ascii="inherit" w:eastAsia="Times New Roman" w:hAnsi="inherit" w:cs="Times New Roman"/>
          <w:sz w:val="18"/>
          <w:szCs w:val="18"/>
        </w:rPr>
        <w:br/>
        <w:t xml:space="preserve">PODGORICA </w:t>
      </w:r>
      <w:r w:rsidRPr="00A3202A">
        <w:rPr>
          <w:rFonts w:ascii="inherit" w:eastAsia="Times New Roman" w:hAnsi="inherit" w:cs="Times New Roman"/>
          <w:sz w:val="18"/>
          <w:szCs w:val="18"/>
        </w:rPr>
        <w:br/>
        <w:t>SWIFT CODE: PRVAMEPG</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59:Beneficiary customers: ME25535005200000015921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lastRenderedPageBreak/>
        <w:t>MUP CG</w:t>
      </w:r>
      <w:r w:rsidRPr="00A3202A">
        <w:rPr>
          <w:rFonts w:ascii="inherit" w:eastAsia="Times New Roman" w:hAnsi="inherit" w:cs="Times New Roman"/>
          <w:sz w:val="18"/>
        </w:rPr>
        <w:t> </w:t>
      </w:r>
      <w:r w:rsidRPr="00A3202A">
        <w:rPr>
          <w:rFonts w:ascii="inherit" w:eastAsia="Times New Roman" w:hAnsi="inherit" w:cs="Times New Roman"/>
          <w:sz w:val="18"/>
          <w:szCs w:val="18"/>
        </w:rPr>
        <w:br/>
        <w:t>PODGORICA</w:t>
      </w:r>
      <w:r w:rsidRPr="00A3202A">
        <w:rPr>
          <w:rFonts w:ascii="inherit" w:eastAsia="Times New Roman" w:hAnsi="inherit" w:cs="Times New Roman"/>
          <w:sz w:val="18"/>
        </w:rPr>
        <w:t> </w:t>
      </w:r>
      <w:r w:rsidRPr="00A3202A">
        <w:rPr>
          <w:rFonts w:ascii="inherit" w:eastAsia="Times New Roman" w:hAnsi="inherit" w:cs="Times New Roman"/>
          <w:sz w:val="18"/>
          <w:szCs w:val="18"/>
        </w:rPr>
        <w:br/>
        <w:t>MONTENEGRO</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56A :Inermidiary bank: RAIFFEISEN ZENTRALBANK</w:t>
      </w:r>
      <w:r w:rsidRPr="00A3202A">
        <w:rPr>
          <w:rFonts w:ascii="inherit" w:eastAsia="Times New Roman" w:hAnsi="inherit" w:cs="Times New Roman"/>
          <w:sz w:val="18"/>
        </w:rPr>
        <w:t> </w:t>
      </w:r>
      <w:r w:rsidRPr="00A3202A">
        <w:rPr>
          <w:rFonts w:ascii="inherit" w:eastAsia="Times New Roman" w:hAnsi="inherit" w:cs="Times New Roman"/>
          <w:sz w:val="18"/>
          <w:szCs w:val="18"/>
        </w:rPr>
        <w:br/>
        <w:t>OESTERREICH AG VIENNA</w:t>
      </w:r>
      <w:r w:rsidRPr="00A3202A">
        <w:rPr>
          <w:rFonts w:ascii="inherit" w:eastAsia="Times New Roman" w:hAnsi="inherit" w:cs="Times New Roman"/>
          <w:sz w:val="18"/>
        </w:rPr>
        <w:t> </w:t>
      </w:r>
      <w:r w:rsidRPr="00A3202A">
        <w:rPr>
          <w:rFonts w:ascii="inherit" w:eastAsia="Times New Roman" w:hAnsi="inherit" w:cs="Times New Roman"/>
          <w:sz w:val="18"/>
          <w:szCs w:val="18"/>
        </w:rPr>
        <w:br/>
        <w:t>SWIFT CODE: RZBAATWW</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57A :Account with institucion: PRVA BANKA CRNE GORE</w:t>
      </w:r>
      <w:r w:rsidRPr="00A3202A">
        <w:rPr>
          <w:rFonts w:ascii="inherit" w:eastAsia="Times New Roman" w:hAnsi="inherit" w:cs="Times New Roman"/>
          <w:sz w:val="18"/>
        </w:rPr>
        <w:t> </w:t>
      </w:r>
      <w:r w:rsidRPr="00A3202A">
        <w:rPr>
          <w:rFonts w:ascii="inherit" w:eastAsia="Times New Roman" w:hAnsi="inherit" w:cs="Times New Roman"/>
          <w:sz w:val="18"/>
          <w:szCs w:val="18"/>
        </w:rPr>
        <w:br/>
        <w:t xml:space="preserve">PODGORICA </w:t>
      </w:r>
      <w:r w:rsidRPr="00A3202A">
        <w:rPr>
          <w:rFonts w:ascii="inherit" w:eastAsia="Times New Roman" w:hAnsi="inherit" w:cs="Times New Roman"/>
          <w:sz w:val="18"/>
          <w:szCs w:val="18"/>
        </w:rPr>
        <w:br/>
        <w:t>SWIFT CODE: PRVAMEPG</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59:Beneficiary customers: ME25535005200000015921 </w:t>
      </w:r>
      <w:r w:rsidRPr="00A3202A">
        <w:rPr>
          <w:rFonts w:ascii="inherit" w:eastAsia="Times New Roman" w:hAnsi="inherit" w:cs="Times New Roman"/>
          <w:sz w:val="18"/>
          <w:szCs w:val="18"/>
        </w:rPr>
        <w:br/>
        <w:t>MUP CG</w:t>
      </w:r>
      <w:r w:rsidRPr="00A3202A">
        <w:rPr>
          <w:rFonts w:ascii="inherit" w:eastAsia="Times New Roman" w:hAnsi="inherit" w:cs="Times New Roman"/>
          <w:sz w:val="18"/>
        </w:rPr>
        <w:t> </w:t>
      </w:r>
      <w:r w:rsidRPr="00A3202A">
        <w:rPr>
          <w:rFonts w:ascii="inherit" w:eastAsia="Times New Roman" w:hAnsi="inherit" w:cs="Times New Roman"/>
          <w:sz w:val="18"/>
          <w:szCs w:val="18"/>
        </w:rPr>
        <w:br/>
        <w:t>PODGORICA</w:t>
      </w:r>
      <w:r w:rsidRPr="00A3202A">
        <w:rPr>
          <w:rFonts w:ascii="inherit" w:eastAsia="Times New Roman" w:hAnsi="inherit" w:cs="Times New Roman"/>
          <w:sz w:val="18"/>
        </w:rPr>
        <w:t> </w:t>
      </w:r>
      <w:r w:rsidRPr="00A3202A">
        <w:rPr>
          <w:rFonts w:ascii="inherit" w:eastAsia="Times New Roman" w:hAnsi="inherit" w:cs="Times New Roman"/>
          <w:sz w:val="18"/>
          <w:szCs w:val="18"/>
        </w:rPr>
        <w:br/>
        <w:t>MONTENEGRO</w:t>
      </w:r>
      <w:r w:rsidRPr="00A3202A">
        <w:rPr>
          <w:rFonts w:ascii="inherit" w:eastAsia="Times New Roman" w:hAnsi="inherit" w:cs="Times New Roman"/>
          <w:sz w:val="18"/>
        </w:rPr>
        <w:t> </w:t>
      </w:r>
    </w:p>
    <w:p w:rsidR="00A3202A" w:rsidRPr="00A3202A" w:rsidRDefault="00A3202A" w:rsidP="00A3202A">
      <w:pPr>
        <w:ind w:left="384" w:right="360"/>
        <w:jc w:val="left"/>
        <w:textAlignment w:val="baseline"/>
        <w:rPr>
          <w:rFonts w:ascii="inherit" w:eastAsia="Times New Roman" w:hAnsi="inherit" w:cs="Times New Roman"/>
          <w:sz w:val="18"/>
          <w:szCs w:val="18"/>
        </w:rPr>
      </w:pPr>
      <w:proofErr w:type="gramStart"/>
      <w:r w:rsidRPr="00A3202A">
        <w:rPr>
          <w:rFonts w:ascii="inherit" w:eastAsia="Times New Roman" w:hAnsi="inherit" w:cs="Times New Roman"/>
          <w:sz w:val="18"/>
          <w:szCs w:val="18"/>
        </w:rPr>
        <w:t>Dokaz o uplati naknade dostavlja se uz zahtjev.</w:t>
      </w:r>
      <w:proofErr w:type="gramEnd"/>
      <w:r w:rsidRPr="00A3202A">
        <w:rPr>
          <w:rFonts w:ascii="inherit" w:eastAsia="Times New Roman" w:hAnsi="inherit" w:cs="Times New Roman"/>
          <w:sz w:val="18"/>
          <w:szCs w:val="18"/>
        </w:rPr>
        <w:br/>
        <w:t xml:space="preserve">Ukoliko uz zahtjev nije priložen dokaz o uplati troškova otkupa naručilac </w:t>
      </w:r>
      <w:proofErr w:type="gramStart"/>
      <w:r w:rsidRPr="00A3202A">
        <w:rPr>
          <w:rFonts w:ascii="inherit" w:eastAsia="Times New Roman" w:hAnsi="inherit" w:cs="Times New Roman"/>
          <w:sz w:val="18"/>
          <w:szCs w:val="18"/>
        </w:rPr>
        <w:t>će</w:t>
      </w:r>
      <w:proofErr w:type="gramEnd"/>
      <w:r w:rsidRPr="00A3202A">
        <w:rPr>
          <w:rFonts w:ascii="inherit" w:eastAsia="Times New Roman" w:hAnsi="inherit" w:cs="Times New Roman"/>
          <w:sz w:val="18"/>
          <w:szCs w:val="18"/>
        </w:rPr>
        <w:t xml:space="preserve"> odbaciti zahtjev zainteresovanog lica.</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XI Rok i mjesto podnošenja ponuda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Ponude se predaju radnim danima od 10 h do 13 h sati, zaključno sa 25/05/2015 godine do 11 h sati, nesporednom predajom na arhivi naručioca, adresa Bulevar Svetog Petra Cetinjskog br.22 Podgorica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Ponude se mogu predati i elektronskim putem (u skladu </w:t>
      </w:r>
      <w:proofErr w:type="gramStart"/>
      <w:r w:rsidRPr="00A3202A">
        <w:rPr>
          <w:rFonts w:ascii="inherit" w:eastAsia="Times New Roman" w:hAnsi="inherit" w:cs="Times New Roman"/>
          <w:sz w:val="18"/>
          <w:szCs w:val="18"/>
        </w:rPr>
        <w:t>sa</w:t>
      </w:r>
      <w:proofErr w:type="gramEnd"/>
      <w:r w:rsidRPr="00A3202A">
        <w:rPr>
          <w:rFonts w:ascii="inherit" w:eastAsia="Times New Roman" w:hAnsi="inherit" w:cs="Times New Roman"/>
          <w:sz w:val="18"/>
          <w:szCs w:val="18"/>
        </w:rPr>
        <w:t xml:space="preserve"> Zakonom o elektronskom potpisu i Zakonom o elektronskoj trgovini), kao i preporučenom pošiljkom sa povratnicom.</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proofErr w:type="gramStart"/>
      <w:r w:rsidRPr="00A3202A">
        <w:rPr>
          <w:rFonts w:ascii="inherit" w:eastAsia="Times New Roman" w:hAnsi="inherit" w:cs="Times New Roman"/>
          <w:sz w:val="18"/>
          <w:szCs w:val="18"/>
        </w:rPr>
        <w:t>Blagovremena ponuda je ponuda koja je dostavljena u roku određenom u pozivu za javno nadmetanje i tenderskoj dokumentaciji.</w:t>
      </w:r>
      <w:proofErr w:type="gramEnd"/>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XII Vrijeme i mjesto javnog otvaranja ponuda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Javno otvaranje ponuda, kome mogu prisustvovati ovlašćeni predstavnici ponuđača </w:t>
      </w:r>
      <w:proofErr w:type="gramStart"/>
      <w:r w:rsidRPr="00A3202A">
        <w:rPr>
          <w:rFonts w:ascii="inherit" w:eastAsia="Times New Roman" w:hAnsi="inherit" w:cs="Times New Roman"/>
          <w:sz w:val="18"/>
          <w:szCs w:val="18"/>
        </w:rPr>
        <w:t>sa</w:t>
      </w:r>
      <w:proofErr w:type="gramEnd"/>
      <w:r w:rsidRPr="00A3202A">
        <w:rPr>
          <w:rFonts w:ascii="inherit" w:eastAsia="Times New Roman" w:hAnsi="inherit" w:cs="Times New Roman"/>
          <w:sz w:val="18"/>
          <w:szCs w:val="18"/>
        </w:rPr>
        <w:t xml:space="preserve"> priloženim punomoćjem potpisanim od strane ovlašćenog lica biće održano 25/05/2015 godine u 12 h sati, adresa Bulevar Svetog Petra Cetinjskog br.22, Podgorica</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XIII Rok za donošenje odluke</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Rok za donošenje odluke o izboru najpovoljnije ponude odnosno odluke o obustavljanju postupka javne nabavke</w:t>
      </w:r>
      <w:r w:rsidRPr="00A3202A">
        <w:rPr>
          <w:rFonts w:ascii="inherit" w:eastAsia="Times New Roman" w:hAnsi="inherit" w:cs="Times New Roman"/>
          <w:sz w:val="18"/>
        </w:rPr>
        <w:t> </w:t>
      </w:r>
      <w:r w:rsidRPr="00A3202A">
        <w:rPr>
          <w:rFonts w:ascii="inherit" w:eastAsia="Times New Roman" w:hAnsi="inherit" w:cs="Times New Roman"/>
          <w:sz w:val="18"/>
          <w:szCs w:val="18"/>
        </w:rPr>
        <w:br/>
        <w:t>25/07/2015</w:t>
      </w:r>
      <w:r w:rsidRPr="00A3202A">
        <w:rPr>
          <w:rFonts w:ascii="inherit" w:eastAsia="Times New Roman" w:hAnsi="inherit" w:cs="Times New Roman"/>
          <w:sz w:val="18"/>
        </w:rPr>
        <w:t> </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XIV Pravna pouka</w:t>
      </w:r>
    </w:p>
    <w:p w:rsidR="00A3202A" w:rsidRPr="00A3202A" w:rsidRDefault="00A3202A" w:rsidP="00A3202A">
      <w:pPr>
        <w:spacing w:after="360"/>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 xml:space="preserve">Ukoliko smatraju da su im pozivom za javno nadmetanje, povrijeđena prava i </w:t>
      </w:r>
      <w:proofErr w:type="gramStart"/>
      <w:r w:rsidRPr="00A3202A">
        <w:rPr>
          <w:rFonts w:ascii="inherit" w:eastAsia="Times New Roman" w:hAnsi="inherit" w:cs="Times New Roman"/>
          <w:sz w:val="18"/>
          <w:szCs w:val="18"/>
        </w:rPr>
        <w:t>na</w:t>
      </w:r>
      <w:proofErr w:type="gramEnd"/>
      <w:r w:rsidRPr="00A3202A">
        <w:rPr>
          <w:rFonts w:ascii="inherit" w:eastAsia="Times New Roman" w:hAnsi="inherit" w:cs="Times New Roman"/>
          <w:sz w:val="18"/>
          <w:szCs w:val="18"/>
        </w:rPr>
        <w:t xml:space="preserve"> pravu zasnovani interesi, aktivno legitimisana lica mogu izjaviti žalbu Državnoj komisiji za kontrolu postupaka javnih nabavki u roku od 10 dana od dana objavljivanja poziva za javno nadmetanje</w:t>
      </w:r>
    </w:p>
    <w:p w:rsidR="00A3202A" w:rsidRPr="00A3202A" w:rsidRDefault="00A3202A" w:rsidP="00A3202A">
      <w:pPr>
        <w:shd w:val="clear" w:color="auto" w:fill="BEC9A5"/>
        <w:spacing w:line="600" w:lineRule="atLeast"/>
        <w:ind w:left="0" w:right="0"/>
        <w:jc w:val="left"/>
        <w:textAlignment w:val="baseline"/>
        <w:outlineLvl w:val="2"/>
        <w:rPr>
          <w:rFonts w:ascii="inherit" w:eastAsia="Times New Roman" w:hAnsi="inherit" w:cs="Times New Roman"/>
          <w:b/>
          <w:bCs/>
          <w:color w:val="2F3520"/>
          <w:sz w:val="36"/>
          <w:szCs w:val="36"/>
        </w:rPr>
      </w:pPr>
      <w:r w:rsidRPr="00A3202A">
        <w:rPr>
          <w:rFonts w:ascii="inherit" w:eastAsia="Times New Roman" w:hAnsi="inherit" w:cs="Times New Roman"/>
          <w:b/>
          <w:bCs/>
          <w:color w:val="2F3520"/>
          <w:sz w:val="36"/>
          <w:szCs w:val="36"/>
        </w:rPr>
        <w:t>XV Dodatne informacije</w:t>
      </w:r>
    </w:p>
    <w:p w:rsidR="00A3202A" w:rsidRPr="00A3202A" w:rsidRDefault="00A3202A" w:rsidP="00A3202A">
      <w:pPr>
        <w:ind w:left="384" w:right="360"/>
        <w:jc w:val="left"/>
        <w:textAlignment w:val="baseline"/>
        <w:rPr>
          <w:rFonts w:ascii="inherit" w:eastAsia="Times New Roman" w:hAnsi="inherit" w:cs="Times New Roman"/>
          <w:sz w:val="18"/>
          <w:szCs w:val="18"/>
        </w:rPr>
      </w:pPr>
      <w:r w:rsidRPr="00A3202A">
        <w:rPr>
          <w:rFonts w:ascii="inherit" w:eastAsia="Times New Roman" w:hAnsi="inherit" w:cs="Times New Roman"/>
          <w:sz w:val="18"/>
          <w:szCs w:val="18"/>
        </w:rPr>
        <w:t>Kako se radi o nabavci koju treba sprovesti u što kraćem roku kako bi se obezbijedilo nesmetano funkcionisanje Avio-helikopterske jedinice, a pošto Naručilac nije postavio zahtjeve koji bi učesnicima iziskivali dodatno vrijeme za pripremu dokumentacije ili pribavljanje posebnih informacija vezanih za postupak, smatramo da su se stekli uslovi da se navedena nabavka sprovede u otvorenom postupku sa skraćenim rokom.</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Za vrijeme trajanja poziva o nadmetanju, zainteresovani ponudjači preko svog ovlašćenog predstavnika, mogu dobiti sva potrebna obavještenja u vezi sa predmetnim nadmetanjem, neposredno u prostorijama MUP-a, ul.Bulevar Svetog </w:t>
      </w:r>
      <w:r w:rsidRPr="00A3202A">
        <w:rPr>
          <w:rFonts w:ascii="inherit" w:eastAsia="Times New Roman" w:hAnsi="inherit" w:cs="Times New Roman"/>
          <w:sz w:val="18"/>
          <w:szCs w:val="18"/>
        </w:rPr>
        <w:lastRenderedPageBreak/>
        <w:t>Petra Cetinjskog br.22, svakog radnog dana od 10 do 13 časova, odnosno na telefon 020 241 967, e-mail mup.comercijala@t-com.me ili milicaabramovic@t-com.me</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Učesnici na tenderu će biti obaviješteni o ishodu istog, najkasnije u roku od 60 dana od dana otvaranja ponuda.</w:t>
      </w:r>
      <w:r w:rsidRPr="00A3202A">
        <w:rPr>
          <w:rFonts w:ascii="inherit" w:eastAsia="Times New Roman" w:hAnsi="inherit" w:cs="Times New Roman"/>
          <w:sz w:val="18"/>
        </w:rPr>
        <w:t> </w:t>
      </w:r>
      <w:r w:rsidRPr="00A3202A">
        <w:rPr>
          <w:rFonts w:ascii="inherit" w:eastAsia="Times New Roman" w:hAnsi="inherit" w:cs="Times New Roman"/>
          <w:sz w:val="18"/>
          <w:szCs w:val="18"/>
        </w:rPr>
        <w:br/>
      </w:r>
      <w:r w:rsidRPr="00A3202A">
        <w:rPr>
          <w:rFonts w:ascii="inherit" w:eastAsia="Times New Roman" w:hAnsi="inherit" w:cs="Times New Roman"/>
          <w:sz w:val="18"/>
          <w:szCs w:val="18"/>
        </w:rPr>
        <w:br/>
        <w:t xml:space="preserve">Svi ponuđači su dužni da pripreme ponudu u skladu </w:t>
      </w:r>
      <w:proofErr w:type="gramStart"/>
      <w:r w:rsidRPr="00A3202A">
        <w:rPr>
          <w:rFonts w:ascii="inherit" w:eastAsia="Times New Roman" w:hAnsi="inherit" w:cs="Times New Roman"/>
          <w:sz w:val="18"/>
          <w:szCs w:val="18"/>
        </w:rPr>
        <w:t>sa</w:t>
      </w:r>
      <w:proofErr w:type="gramEnd"/>
      <w:r w:rsidRPr="00A3202A">
        <w:rPr>
          <w:rFonts w:ascii="inherit" w:eastAsia="Times New Roman" w:hAnsi="inherit" w:cs="Times New Roman"/>
          <w:sz w:val="18"/>
          <w:szCs w:val="18"/>
        </w:rPr>
        <w:t xml:space="preserve"> članom 76. </w:t>
      </w:r>
      <w:proofErr w:type="gramStart"/>
      <w:r w:rsidRPr="00A3202A">
        <w:rPr>
          <w:rFonts w:ascii="inherit" w:eastAsia="Times New Roman" w:hAnsi="inherit" w:cs="Times New Roman"/>
          <w:sz w:val="18"/>
          <w:szCs w:val="18"/>
        </w:rPr>
        <w:t>ZJN.</w:t>
      </w:r>
      <w:proofErr w:type="gramEnd"/>
      <w:r w:rsidRPr="00A3202A">
        <w:rPr>
          <w:rFonts w:ascii="inherit" w:eastAsia="Times New Roman" w:hAnsi="inherit" w:cs="Times New Roman"/>
          <w:sz w:val="18"/>
        </w:rPr>
        <w:t> </w:t>
      </w:r>
    </w:p>
    <w:p w:rsidR="004A3F72" w:rsidRDefault="004A3F72" w:rsidP="00A3202A">
      <w:pPr>
        <w:ind w:left="0" w:right="4"/>
      </w:pPr>
    </w:p>
    <w:sectPr w:rsidR="004A3F72" w:rsidSect="004A3F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3202A"/>
    <w:rsid w:val="00037629"/>
    <w:rsid w:val="003F715C"/>
    <w:rsid w:val="004A3F72"/>
    <w:rsid w:val="00677161"/>
    <w:rsid w:val="007A664B"/>
    <w:rsid w:val="00816315"/>
    <w:rsid w:val="009A07EA"/>
    <w:rsid w:val="00A3202A"/>
    <w:rsid w:val="00B36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0" w:right="440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15"/>
  </w:style>
  <w:style w:type="paragraph" w:styleId="Heading2">
    <w:name w:val="heading 2"/>
    <w:basedOn w:val="Normal"/>
    <w:link w:val="Heading2Char"/>
    <w:uiPriority w:val="9"/>
    <w:qFormat/>
    <w:rsid w:val="00A3202A"/>
    <w:pPr>
      <w:spacing w:before="100" w:beforeAutospacing="1" w:after="100" w:afterAutospacing="1"/>
      <w:ind w:left="0" w:right="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202A"/>
    <w:pPr>
      <w:spacing w:before="100" w:beforeAutospacing="1" w:after="100" w:afterAutospacing="1"/>
      <w:ind w:left="0" w:right="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0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202A"/>
    <w:rPr>
      <w:rFonts w:ascii="Times New Roman" w:eastAsia="Times New Roman" w:hAnsi="Times New Roman" w:cs="Times New Roman"/>
      <w:b/>
      <w:bCs/>
      <w:sz w:val="27"/>
      <w:szCs w:val="27"/>
    </w:rPr>
  </w:style>
  <w:style w:type="character" w:styleId="Strong">
    <w:name w:val="Strong"/>
    <w:basedOn w:val="DefaultParagraphFont"/>
    <w:uiPriority w:val="22"/>
    <w:qFormat/>
    <w:rsid w:val="00A3202A"/>
    <w:rPr>
      <w:b/>
      <w:bCs/>
    </w:rPr>
  </w:style>
  <w:style w:type="character" w:customStyle="1" w:styleId="apple-converted-space">
    <w:name w:val="apple-converted-space"/>
    <w:basedOn w:val="DefaultParagraphFont"/>
    <w:rsid w:val="00A3202A"/>
  </w:style>
  <w:style w:type="paragraph" w:styleId="NormalWeb">
    <w:name w:val="Normal (Web)"/>
    <w:basedOn w:val="Normal"/>
    <w:uiPriority w:val="99"/>
    <w:semiHidden/>
    <w:unhideWhenUsed/>
    <w:rsid w:val="00A3202A"/>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3202A"/>
    <w:pPr>
      <w:pBdr>
        <w:bottom w:val="single" w:sz="6" w:space="1" w:color="auto"/>
      </w:pBdr>
      <w:ind w:left="0" w:right="0"/>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20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202A"/>
    <w:pPr>
      <w:pBdr>
        <w:top w:val="single" w:sz="6" w:space="1" w:color="auto"/>
      </w:pBdr>
      <w:ind w:left="0" w:right="0"/>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202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3202A"/>
    <w:rPr>
      <w:rFonts w:ascii="Tahoma" w:hAnsi="Tahoma" w:cs="Tahoma"/>
      <w:sz w:val="16"/>
      <w:szCs w:val="16"/>
    </w:rPr>
  </w:style>
  <w:style w:type="character" w:customStyle="1" w:styleId="BalloonTextChar">
    <w:name w:val="Balloon Text Char"/>
    <w:basedOn w:val="DefaultParagraphFont"/>
    <w:link w:val="BalloonText"/>
    <w:uiPriority w:val="99"/>
    <w:semiHidden/>
    <w:rsid w:val="00A32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554024">
      <w:bodyDiv w:val="1"/>
      <w:marLeft w:val="0"/>
      <w:marRight w:val="0"/>
      <w:marTop w:val="0"/>
      <w:marBottom w:val="0"/>
      <w:divBdr>
        <w:top w:val="none" w:sz="0" w:space="0" w:color="auto"/>
        <w:left w:val="none" w:sz="0" w:space="0" w:color="auto"/>
        <w:bottom w:val="none" w:sz="0" w:space="0" w:color="auto"/>
        <w:right w:val="none" w:sz="0" w:space="0" w:color="auto"/>
      </w:divBdr>
      <w:divsChild>
        <w:div w:id="1545023423">
          <w:marLeft w:val="0"/>
          <w:marRight w:val="0"/>
          <w:marTop w:val="0"/>
          <w:marBottom w:val="0"/>
          <w:divBdr>
            <w:top w:val="none" w:sz="0" w:space="0" w:color="auto"/>
            <w:left w:val="none" w:sz="0" w:space="0" w:color="auto"/>
            <w:bottom w:val="none" w:sz="0" w:space="0" w:color="auto"/>
            <w:right w:val="none" w:sz="0" w:space="0" w:color="auto"/>
          </w:divBdr>
        </w:div>
        <w:div w:id="1241523753">
          <w:marLeft w:val="0"/>
          <w:marRight w:val="0"/>
          <w:marTop w:val="0"/>
          <w:marBottom w:val="0"/>
          <w:divBdr>
            <w:top w:val="none" w:sz="0" w:space="0" w:color="auto"/>
            <w:left w:val="none" w:sz="0" w:space="0" w:color="auto"/>
            <w:bottom w:val="none" w:sz="0" w:space="0" w:color="auto"/>
            <w:right w:val="none" w:sz="0" w:space="0" w:color="auto"/>
          </w:divBdr>
        </w:div>
        <w:div w:id="1988319897">
          <w:marLeft w:val="0"/>
          <w:marRight w:val="0"/>
          <w:marTop w:val="0"/>
          <w:marBottom w:val="0"/>
          <w:divBdr>
            <w:top w:val="none" w:sz="0" w:space="0" w:color="auto"/>
            <w:left w:val="none" w:sz="0" w:space="0" w:color="auto"/>
            <w:bottom w:val="none" w:sz="0" w:space="0" w:color="auto"/>
            <w:right w:val="none" w:sz="0" w:space="0" w:color="auto"/>
          </w:divBdr>
        </w:div>
        <w:div w:id="1293366253">
          <w:marLeft w:val="0"/>
          <w:marRight w:val="0"/>
          <w:marTop w:val="0"/>
          <w:marBottom w:val="0"/>
          <w:divBdr>
            <w:top w:val="none" w:sz="0" w:space="0" w:color="auto"/>
            <w:left w:val="none" w:sz="0" w:space="0" w:color="auto"/>
            <w:bottom w:val="none" w:sz="0" w:space="0" w:color="auto"/>
            <w:right w:val="none" w:sz="0" w:space="0" w:color="auto"/>
          </w:divBdr>
        </w:div>
        <w:div w:id="792555803">
          <w:marLeft w:val="0"/>
          <w:marRight w:val="0"/>
          <w:marTop w:val="0"/>
          <w:marBottom w:val="0"/>
          <w:divBdr>
            <w:top w:val="none" w:sz="0" w:space="0" w:color="auto"/>
            <w:left w:val="none" w:sz="0" w:space="0" w:color="auto"/>
            <w:bottom w:val="none" w:sz="0" w:space="0" w:color="auto"/>
            <w:right w:val="none" w:sz="0" w:space="0" w:color="auto"/>
          </w:divBdr>
        </w:div>
        <w:div w:id="124441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7.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2.wmf"/><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9336</Characters>
  <Application>Microsoft Office Word</Application>
  <DocSecurity>0</DocSecurity>
  <Lines>77</Lines>
  <Paragraphs>21</Paragraphs>
  <ScaleCrop>false</ScaleCrop>
  <Company>MUP I JU CG</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SEKNACUPRAVE</dc:creator>
  <cp:keywords/>
  <dc:description/>
  <cp:lastModifiedBy>SEKNACUPRAVE</cp:lastModifiedBy>
  <cp:revision>1</cp:revision>
  <dcterms:created xsi:type="dcterms:W3CDTF">2015-04-28T14:53:00Z</dcterms:created>
  <dcterms:modified xsi:type="dcterms:W3CDTF">2015-04-28T14:54:00Z</dcterms:modified>
</cp:coreProperties>
</file>