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2B9" w:rsidRDefault="00AD0BB0">
      <w:pPr>
        <w:pStyle w:val="Header"/>
        <w:jc w:val="center"/>
        <w:rPr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  <w:lang w:val="en-GB" w:eastAsia="en-GB"/>
        </w:rPr>
        <w:drawing>
          <wp:inline distT="0" distB="0" distL="0" distR="0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2B9" w:rsidRDefault="00AD0BB0">
      <w:pPr>
        <w:pStyle w:val="Header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Crna Gora</w:t>
      </w:r>
    </w:p>
    <w:p w:rsidR="003132B9" w:rsidRDefault="00AD0BB0">
      <w:pPr>
        <w:pStyle w:val="Header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Ministarstvo finansija </w:t>
      </w:r>
    </w:p>
    <w:p w:rsidR="003132B9" w:rsidRDefault="003132B9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jc w:val="center"/>
        <w:rPr>
          <w:rFonts w:ascii="Garamond" w:hAnsi="Garamond"/>
          <w:sz w:val="28"/>
          <w:szCs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jc w:val="center"/>
        <w:rPr>
          <w:rFonts w:ascii="Garamond" w:hAnsi="Garamond"/>
          <w:sz w:val="28"/>
          <w:szCs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AD0BB0">
      <w:pPr>
        <w:pStyle w:val="Footer"/>
        <w:jc w:val="center"/>
        <w:rPr>
          <w:rFonts w:ascii="Garamond" w:hAnsi="Garamond"/>
          <w:sz w:val="28"/>
          <w:szCs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Garamond" w:hAnsi="Garamond"/>
          <w:sz w:val="28"/>
          <w:szCs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IZVJEŠTAJ O PRELIMINARNIM NIVOIMA BUDŽETSKOG GOTOVINSKOG DEFICITA, JAVNOG DUGA I NETO ZADUŽENJA ZA 202</w:t>
      </w:r>
      <w:r>
        <w:rPr>
          <w:rFonts w:ascii="Garamond" w:hAnsi="Garamond"/>
          <w:sz w:val="28"/>
          <w:szCs w:val="28"/>
          <w:lang w:val="en-US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5</w:t>
      </w:r>
      <w:r>
        <w:rPr>
          <w:rFonts w:ascii="Garamond" w:hAnsi="Garamond"/>
          <w:sz w:val="28"/>
          <w:szCs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GODINU</w:t>
      </w:r>
    </w:p>
    <w:p w:rsidR="003132B9" w:rsidRDefault="003132B9">
      <w:pPr>
        <w:pStyle w:val="Footer"/>
        <w:rPr>
          <w:rFonts w:ascii="Garamond" w:hAnsi="Garamond"/>
          <w:sz w:val="28"/>
          <w:szCs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3132B9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:rsidR="003132B9" w:rsidRDefault="00AD0BB0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Mart, 202</w:t>
      </w:r>
      <w:r>
        <w:rPr>
          <w:rFonts w:ascii="Garamond" w:hAnsi="Garamond"/>
          <w:b/>
          <w:sz w:val="24"/>
          <w:szCs w:val="24"/>
          <w:lang w:val="en-US"/>
        </w:rPr>
        <w:t>6</w:t>
      </w:r>
      <w:r>
        <w:rPr>
          <w:rFonts w:ascii="Garamond" w:hAnsi="Garamond"/>
          <w:b/>
          <w:sz w:val="24"/>
          <w:szCs w:val="24"/>
        </w:rPr>
        <w:t>. godine</w:t>
      </w:r>
    </w:p>
    <w:p w:rsidR="003132B9" w:rsidRDefault="00AD0BB0">
      <w:pPr>
        <w:pStyle w:val="Footer"/>
        <w:suppressAutoHyphens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Shodno članu 25 Zakona o budžetu i fiskalnoj odgovornosti, Ministarstvo finansija priprema i objavljuje Izvještaj o preliminarnim nivoima budžetskog gotovinskog suficita, odnosno deficita, javnog duga i neto zaduženja iz člana 20 stav 2 ovog zakona u roku od 90 dana, od isteka fiskalne godine na svojoj internet stranici.</w:t>
      </w:r>
    </w:p>
    <w:p w:rsidR="003132B9" w:rsidRDefault="003132B9">
      <w:pPr>
        <w:pStyle w:val="Footer"/>
        <w:suppressAutoHyphens/>
        <w:jc w:val="both"/>
        <w:rPr>
          <w:rFonts w:ascii="Garamond" w:hAnsi="Garamond"/>
          <w:b/>
          <w:sz w:val="28"/>
          <w:szCs w:val="24"/>
        </w:rPr>
      </w:pPr>
    </w:p>
    <w:p w:rsidR="003132B9" w:rsidRDefault="00AD0BB0">
      <w:pPr>
        <w:pStyle w:val="Footer"/>
        <w:suppressAutoHyphens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Podaci su preliminarni, dok će konačni podaci za 202</w:t>
      </w:r>
      <w:r>
        <w:rPr>
          <w:rFonts w:ascii="Garamond" w:hAnsi="Garamond"/>
          <w:b/>
          <w:sz w:val="24"/>
          <w:szCs w:val="24"/>
          <w:lang w:val="en-US"/>
        </w:rPr>
        <w:t>5</w:t>
      </w:r>
      <w:r>
        <w:rPr>
          <w:rFonts w:ascii="Garamond" w:hAnsi="Garamond"/>
          <w:b/>
          <w:sz w:val="24"/>
          <w:szCs w:val="24"/>
        </w:rPr>
        <w:t>. godinu biti sastavni dio Zakona o završnom računu budžeta Crne Gore za 202</w:t>
      </w:r>
      <w:r>
        <w:rPr>
          <w:rFonts w:ascii="Garamond" w:hAnsi="Garamond"/>
          <w:b/>
          <w:sz w:val="24"/>
          <w:szCs w:val="24"/>
          <w:lang w:val="en-US"/>
        </w:rPr>
        <w:t>5</w:t>
      </w:r>
      <w:r>
        <w:rPr>
          <w:rFonts w:ascii="Garamond" w:hAnsi="Garamond"/>
          <w:b/>
          <w:sz w:val="24"/>
          <w:szCs w:val="24"/>
        </w:rPr>
        <w:t>. godinu.</w:t>
      </w:r>
    </w:p>
    <w:p w:rsidR="003132B9" w:rsidRDefault="003132B9">
      <w:pPr>
        <w:jc w:val="both"/>
        <w:rPr>
          <w:rFonts w:ascii="Garamond" w:eastAsia="Times New Roman" w:hAnsi="Garamond" w:cs="Arial"/>
          <w:sz w:val="24"/>
          <w:szCs w:val="24"/>
          <w:lang w:eastAsia="sr-Latn-RS"/>
        </w:rPr>
      </w:pPr>
    </w:p>
    <w:p w:rsidR="003132B9" w:rsidRDefault="00AD0BB0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JAVNE FINANSIJE</w:t>
      </w:r>
    </w:p>
    <w:p w:rsidR="003132B9" w:rsidRDefault="00AD0BB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Prema preliminarnim podacima,</w:t>
      </w:r>
      <w:r>
        <w:rPr>
          <w:rFonts w:ascii="Garamond" w:hAnsi="Garamond"/>
          <w:b/>
          <w:sz w:val="24"/>
          <w:szCs w:val="24"/>
        </w:rPr>
        <w:t xml:space="preserve"> javni prihodi</w:t>
      </w:r>
      <w:r>
        <w:rPr>
          <w:rFonts w:ascii="Garamond" w:hAnsi="Garamond"/>
          <w:sz w:val="24"/>
          <w:szCs w:val="24"/>
        </w:rPr>
        <w:t xml:space="preserve"> u periodu januar - decembar 2025. godine iznosili su 3.358 mil. € ili 41.1 % procijenjenog BDP-a (</w:t>
      </w:r>
      <w:r w:rsidR="00271251" w:rsidRPr="00271251">
        <w:rPr>
          <w:rFonts w:ascii="Garamond" w:hAnsi="Garamond"/>
          <w:sz w:val="24"/>
          <w:szCs w:val="24"/>
        </w:rPr>
        <w:t>8.170,7 mil. €</w:t>
      </w:r>
      <w:r>
        <w:rPr>
          <w:rFonts w:ascii="Garamond" w:hAnsi="Garamond"/>
          <w:sz w:val="24"/>
          <w:szCs w:val="24"/>
        </w:rPr>
        <w:t>) i u odnosu na planirane niži su za 1.3 mil. € ili 0.04%. U odnosu na 2024. godinu, javni prihodi su veći za 169.6 mil. € ili 5.3%.</w:t>
      </w:r>
    </w:p>
    <w:p w:rsidR="003132B9" w:rsidRDefault="00AD0BB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Javna potrošnja </w:t>
      </w:r>
      <w:r>
        <w:rPr>
          <w:rFonts w:ascii="Garamond" w:hAnsi="Garamond"/>
          <w:sz w:val="24"/>
          <w:szCs w:val="24"/>
        </w:rPr>
        <w:t>u periodu januar - decembar 2025. godine iznosila je 3.704,8 mil. € ili 45.3 % BDP-a i viša je za 44 mil. € ili 1.2% u odnosu na planiranu, a u odnosu na prethodnu godinu veća je za 267.1 mil. € ili 7.8%.</w:t>
      </w:r>
    </w:p>
    <w:p w:rsidR="003132B9" w:rsidRDefault="00AD0BB0">
      <w:pPr>
        <w:jc w:val="both"/>
        <w:rPr>
          <w:rFonts w:ascii="Garamond" w:eastAsia="Times New Roman" w:hAnsi="Garamond" w:cs="Arial"/>
          <w:bCs/>
          <w:sz w:val="24"/>
          <w:szCs w:val="24"/>
          <w:lang w:eastAsia="sr-Latn-RS"/>
        </w:rPr>
      </w:pPr>
      <w:r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Prema preliminarnim podacima, </w:t>
      </w:r>
      <w:r>
        <w:rPr>
          <w:rFonts w:ascii="Garamond" w:eastAsia="Times New Roman" w:hAnsi="Garamond" w:cs="Arial"/>
          <w:bCs/>
          <w:sz w:val="24"/>
          <w:szCs w:val="24"/>
          <w:lang w:eastAsia="sr-Latn-RS"/>
        </w:rPr>
        <w:t>deficit budžeta države iznosi 319,1 mil. €, odnosno na nivou je od 3,91% procijenjenog BDP-a, dok deficit lokalne samouprave iznosi 27,7 mil. €. ili 0,3% BDP-a.</w:t>
      </w:r>
    </w:p>
    <w:p w:rsidR="006D5032" w:rsidRDefault="006D5032">
      <w:pPr>
        <w:jc w:val="both"/>
        <w:rPr>
          <w:rFonts w:ascii="Garamond" w:hAnsi="Garamond"/>
          <w:sz w:val="24"/>
          <w:szCs w:val="24"/>
        </w:rPr>
      </w:pPr>
    </w:p>
    <w:p w:rsidR="003132B9" w:rsidRDefault="00AD0BB0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0" w:name="_Hlk156198262"/>
    </w:p>
    <w:p w:rsidR="003132B9" w:rsidRDefault="003132B9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:rsidR="003132B9" w:rsidRDefault="00AD0BB0">
      <w:pPr>
        <w:shd w:val="clear" w:color="auto" w:fill="FFFFFF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Prema preliminarnim podacima</w:t>
      </w:r>
      <w:r>
        <w:rPr>
          <w:rStyle w:val="FootnoteReference"/>
          <w:rFonts w:ascii="Garamond" w:hAnsi="Garamond"/>
          <w:b/>
          <w:sz w:val="24"/>
          <w:szCs w:val="24"/>
        </w:rPr>
        <w:footnoteReference w:id="1"/>
      </w:r>
      <w:r>
        <w:rPr>
          <w:rFonts w:ascii="Garamond" w:hAnsi="Garamond"/>
          <w:b/>
          <w:sz w:val="24"/>
          <w:szCs w:val="24"/>
        </w:rPr>
        <w:t>, prihodi budžeta</w:t>
      </w:r>
      <w:bookmarkStart w:id="1" w:name="_Hlk171580505"/>
      <w:r>
        <w:rPr>
          <w:rFonts w:ascii="Garamond" w:hAnsi="Garamond"/>
          <w:b/>
          <w:sz w:val="24"/>
          <w:szCs w:val="24"/>
        </w:rPr>
        <w:t xml:space="preserve"> na kraju 2025. godine iznosili su 2.874,1 mil. € ili 35,2% preliminarnog BDP-a (8.170,7 mil. €) i premašili su prošlogodišnju naplatu  za značajnih 118,4 mil. € ili 4,3%</w:t>
      </w:r>
      <w:bookmarkEnd w:id="1"/>
      <w:r>
        <w:rPr>
          <w:rFonts w:ascii="Garamond" w:hAnsi="Garamond"/>
          <w:b/>
          <w:sz w:val="24"/>
          <w:szCs w:val="24"/>
        </w:rPr>
        <w:t xml:space="preserve">, a u istom periodu realizovano je 99,6% plana. </w:t>
      </w:r>
    </w:p>
    <w:p w:rsidR="003132B9" w:rsidRDefault="00AD0BB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3459480" cy="2499360"/>
            <wp:effectExtent l="0" t="0" r="7620" b="15240"/>
            <wp:wrapThrough wrapText="bothSides">
              <wp:wrapPolygon edited="0">
                <wp:start x="0" y="0"/>
                <wp:lineTo x="0" y="21402"/>
                <wp:lineTo x="21529" y="21402"/>
                <wp:lineTo x="21529" y="0"/>
                <wp:lineTo x="0" y="0"/>
              </wp:wrapPolygon>
            </wp:wrapThrough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3132B9" w:rsidRDefault="00AD0BB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Snažna sezona i povoljni makroekonomski uslovi u potpunosti su ispunili očekivanja, što se direktno odrazilo na izuzetno uspješnu naplatu budžetskih prihoda. Već u prvoj godini primjene, mjere iz Fiskalne strategije proizvele su vidljive i mjerljive efekte u kontekstu povećanja prihoda, unapređenja fiskalne discipline i jačanja stabilnosti javnih finansija. Navedenim je dodatno potvrđen jasan i održiv pravac fiskalne politike.</w:t>
      </w:r>
    </w:p>
    <w:bookmarkEnd w:id="0"/>
    <w:p w:rsidR="003132B9" w:rsidRDefault="003132B9">
      <w:pPr>
        <w:shd w:val="clear" w:color="auto" w:fill="FFFFFF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3132B9" w:rsidRDefault="00AD0BB0">
      <w:pPr>
        <w:shd w:val="clear" w:color="auto" w:fill="FFFFFF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Glavne poreske kategorije ostvarile su rast kako u odnosu na prethodnu godinu, tako i u odnosu na plan za 2025. godinu, potvrđujući rastuće trendove u naplati budžetskih prihoda. </w:t>
      </w:r>
      <w:r>
        <w:rPr>
          <w:rFonts w:ascii="Garamond" w:hAnsi="Garamond"/>
          <w:b/>
          <w:sz w:val="24"/>
          <w:szCs w:val="24"/>
        </w:rPr>
        <w:t xml:space="preserve">Ukupan rast </w:t>
      </w:r>
      <w:r>
        <w:rPr>
          <w:rFonts w:ascii="Garamond" w:hAnsi="Garamond"/>
          <w:b/>
          <w:sz w:val="24"/>
          <w:szCs w:val="24"/>
        </w:rPr>
        <w:lastRenderedPageBreak/>
        <w:t>naplate poreskih kategorija iznosio je 55,0 mil. € ili 2,5% u odnosu na plan, kao i 270,0 mil. € ili 13,7% u odnosu na prošlu godinu.</w:t>
      </w:r>
    </w:p>
    <w:p w:rsidR="003132B9" w:rsidRDefault="003132B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Na kraju 2025. godine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porez na dobit pravnih lica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iznosio je 233,4 mil. €, što predstavlja snažan rast, i to u iznosu od 19,5 mil. € ili 9,1% u odnosu na isti period 2024. godine, što je  i za 13,6 mil. € ili 6,2% više u odnosu na plan za 2025. godinu.</w:t>
      </w: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U istom periodu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porez na dohodak fizičkih lica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112,0 mil. €, što je za 23,9 mil. € ili 27,1% veće u odnosu na 2024. godinu i iznad je godišnjeg plana za 3,7 mil. € ili 3,4%.</w:t>
      </w:r>
    </w:p>
    <w:p w:rsidR="003132B9" w:rsidRDefault="00AD0BB0">
      <w:pPr>
        <w:spacing w:line="256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Snažan rast bilježi i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porez na dodatu vrijednost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koji je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ostvaren u iznosu od 1.403,7 mil. €. Ova kategorija prihoda budžeta veća je u odnosu na prethodnu godinu za čak 181,1 mil. € ili 14,8% i za značajnih 31,1 mil. € ili 2,3% veća je u odnosu na plan za 2025. godinu. U navedenom periodu, snažna naplata PDV-a ostvarena je uz istovremeno značajan rast povraćaja PDV-a (bez transfera) koji je u istom periodu iznosio 105,6 mil. € i veći je u poređenju sa prethodnom godinom za 12,8 mil. € ili 13,8%.</w:t>
      </w:r>
    </w:p>
    <w:p w:rsidR="003132B9" w:rsidRDefault="00AD0BB0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Prihodi budžeta po osnovu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akciza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su ostvareni u iznosu od 403,2 mil. €, što je za 34,6 mil. € ili 9,4% veće u odnosu na 2024. godinu, što je i na nivou planiranog za 2025. godinu. Posmatrano po strukturi akciza, najveći rast bilježe akcize na mineralna ulja i njihove derivate, i to za 11,1 mil. € ili 5,6% u odnosu na 2024. godinu i akcize na duvan i duvanske proizvode, za čak 20,5 mil. € ili 17,2% u odnosu na prethodnu godinu.</w:t>
      </w:r>
    </w:p>
    <w:p w:rsidR="003132B9" w:rsidRDefault="003132B9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:rsidR="003132B9" w:rsidRDefault="00AD0BB0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Ostali prihodi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u posmatranom periodu ostvareni su u iznosu od 54,5 mil. €, što je za 2,2 mil. € ili 4,2% veće u odnosu na plan, dok je navedena kategorija prihoda manja u odnosu na posmatrani period 2024. godine za 37,7 mil. € ili 40,9%. Razlog odstupanja je prvenstveno izvršenje ove kategorije prihoda budžeta u 2024. godini po osnovu jednokratnih prihoda.</w:t>
      </w:r>
    </w:p>
    <w:p w:rsidR="003132B9" w:rsidRDefault="003132B9">
      <w:pPr>
        <w:spacing w:after="0" w:line="256" w:lineRule="auto"/>
        <w:jc w:val="both"/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</w:pPr>
    </w:p>
    <w:p w:rsidR="003132B9" w:rsidRDefault="00AD0BB0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Sa druge strane, u 2025. godini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doprinosi 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>su ostvareni u iznosu od 420,4 mil. € što je za 164,3 mil. € ili 28,1% manje posmatrano u odnosu na 2024. godinu i 28,7 mil. € ili 6,4% manje u odnosu na plan.</w:t>
      </w:r>
    </w:p>
    <w:p w:rsidR="003132B9" w:rsidRDefault="003132B9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:rsidR="003132B9" w:rsidRDefault="00AD0BB0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Rast naplate u okviru poreskih kategorija tokom 2025. godine u potpunosti je nadomjestio pad prihoda po osnovu doprinosa. Istovremeno, pojedine mjere predviđene Fiskalnom strategijom Vlade premašile su planirane efekte, zahvaljujući unaprijeđenoj efikasnosti poreske administracije, jačanju fiskalne discipline i smanjenju obima neformalne ekonomije.</w:t>
      </w:r>
    </w:p>
    <w:p w:rsidR="003132B9" w:rsidRDefault="003132B9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Takođe, negativno odstupanje u 2025. godini u odnosu na plan bilježi i kategorija </w:t>
      </w: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>donacija,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što je ujedno i glavni razlog nižeg ostvarenja prihoda budžeta u odnosu na plan. Donacije su realizovane na nižem nivou dominantno kao rezultat priliva sredstava u okviru Plana rasta, koja su isplaćena drugim mehanizmom Crnoj Gori, kao i po osnovu sredstava granta za drugu dionicu autoputa koja su prenesena za 2026. godinu.</w:t>
      </w: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>Izdaci budžeta prema preliminarnim podacima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za period januar-decembar 2025. godine iznosili su 3.193,2 mil. € ili 39,1% procijenjenog BDP-a. </w:t>
      </w: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Tekući izdaci u posmatranom periodu ostvareni su u iznosu od 1.250,3 mil. €, što predstavlja 99,1% plana. Manje ostvarenje zabilježeno je dominantno na pozicijima Rashoda za tekuće održavanje i Rashoda za materijal. Razlika u ostvarenju u odnosu na plan za 27,3 mil. € ili 3,8% zabilježena je i kod Bruto zarada i doprinosa na teret poslodavca koji su ostvareni u iznosu od 687.1 mil. € što predstavlja 96,2% plana i kod Subvencija koja se ostvarene u iznosu od 91,1 mil. € što predstavlja </w:t>
      </w:r>
      <w:r w:rsidR="0052112A">
        <w:rPr>
          <w:rFonts w:ascii="Garamond" w:eastAsia="Times New Roman" w:hAnsi="Garamond" w:cstheme="minorHAnsi"/>
          <w:sz w:val="24"/>
          <w:szCs w:val="24"/>
          <w:lang w:eastAsia="en-GB"/>
        </w:rPr>
        <w:lastRenderedPageBreak/>
        <w:t>128,9</w:t>
      </w: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% plana dominantno kod Zavoda za zapošljavanje za Subvencije poslodavcima koji zaposle lica sa invaliditetom. </w:t>
      </w:r>
    </w:p>
    <w:p w:rsidR="003132B9" w:rsidRDefault="003132B9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noProof/>
        </w:rPr>
        <w:drawing>
          <wp:inline distT="0" distB="0" distL="114300" distR="114300">
            <wp:extent cx="5055235" cy="3315970"/>
            <wp:effectExtent l="4445" t="4445" r="7620" b="13335"/>
            <wp:docPr id="5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Transferi za socijalnu zaštitu ostvareni su u iznosu od 1.107,2 mil. € što predstavlja 103,9% plana, odnosno za 41,5 mil.€ više od planiranog. U odnosu na isti period prethodne godine ostvarenje je veće za 99 mil. € ili 9,8%. Transferi institucijama, pojedincima, nevladinom i javnom sektoru za period januar-decembar iznosili su 467,9 mil. € i odstupaju od plana za 12 mil. € ili 2,6%. </w:t>
      </w: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sz w:val="24"/>
          <w:szCs w:val="24"/>
          <w:lang w:eastAsia="en-GB"/>
        </w:rPr>
        <w:t>Kapitalni izdaci u posmatranom periodu ostvareni su u iznosu od 330 mil. € što predstavlja ostvarenje 97,2% plana. U odnosu na isti period prethodne godine izvršenje kapitalnih izdataka veće je za 30,8 mil. € ili 10,3%. Najznačajnije izdvajanje u okviru ove kategorije izdataka odnosi se na Kapitalni budžet u iznosu od 223,52 mil. €, dok se preostali iznos odnosi na kapitalne izdatke u okviru Tekućeg budžeta i budžeta fondova.</w:t>
      </w:r>
    </w:p>
    <w:p w:rsidR="003132B9" w:rsidRDefault="00AD0BB0">
      <w:pPr>
        <w:spacing w:line="256" w:lineRule="auto"/>
        <w:jc w:val="both"/>
        <w:rPr>
          <w:rFonts w:ascii="Garamond" w:eastAsia="Times New Roman" w:hAnsi="Garamond" w:cstheme="minorHAnsi"/>
          <w:b/>
          <w:sz w:val="24"/>
          <w:szCs w:val="24"/>
          <w:lang w:eastAsia="en-GB"/>
        </w:rPr>
      </w:pPr>
      <w:r>
        <w:rPr>
          <w:rFonts w:ascii="Garamond" w:eastAsia="Times New Roman" w:hAnsi="Garamond" w:cstheme="minorHAnsi"/>
          <w:b/>
          <w:sz w:val="24"/>
          <w:szCs w:val="24"/>
          <w:lang w:eastAsia="en-GB"/>
        </w:rPr>
        <w:t>Uzimajući u obzir ostvarene prihode i rashode, prema preliminarnim podacima za period januar-decembar 2025. godine ostvaren je deficit budžeta u iznosu od 319,1 mil. €, odnosno na nivou je od 3,91% procijenjenog BDP-a, dok je suficit tekuće potrošnje u ostvaren u iznosu od 10,8 mil. €.</w:t>
      </w:r>
    </w:p>
    <w:p w:rsidR="003132B9" w:rsidRDefault="00AD0BB0">
      <w:pPr>
        <w:shd w:val="clear" w:color="auto" w:fill="FFFFFF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LOKALNA SAMOUPRAVA</w:t>
      </w:r>
    </w:p>
    <w:p w:rsidR="003132B9" w:rsidRDefault="00AD0BB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>
        <w:rPr>
          <w:rFonts w:ascii="Garamond" w:hAnsi="Garamond" w:cstheme="minorHAnsi"/>
          <w:sz w:val="24"/>
          <w:szCs w:val="24"/>
          <w:lang w:val="sr-Latn-RS"/>
        </w:rPr>
        <w:t xml:space="preserve">Prema preliminarnim podacima, </w:t>
      </w:r>
      <w:r>
        <w:rPr>
          <w:rFonts w:ascii="Garamond" w:hAnsi="Garamond" w:cstheme="minorHAnsi"/>
          <w:b/>
          <w:sz w:val="24"/>
          <w:szCs w:val="24"/>
          <w:lang w:val="sr-Latn-RS"/>
        </w:rPr>
        <w:t>izvorni prihodi budžeta jedinica lokalne samouprave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 u periodu januar - decembar 2025. godine iznosili su 483,9 mil. € ili </w:t>
      </w:r>
      <w:r w:rsidR="00BD5892">
        <w:rPr>
          <w:rFonts w:ascii="Garamond" w:hAnsi="Garamond" w:cstheme="minorHAnsi"/>
          <w:sz w:val="24"/>
          <w:szCs w:val="24"/>
          <w:lang w:val="sr-Latn-RS"/>
        </w:rPr>
        <w:t>5,9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% BDP-a i odnosu na ostvarene u istom periodu 2024. veći su za 51,2 mil. € ili 11,8%, dok su u odnosu na planirane veći za 10,7 mil. € ili 2,3%. Prihodi od poreza iznosili su 302,0 mil.€ ili 3,7% BDP-a, a u odnosu na uporedni period prethodne godine veći su za 50,7 mil. €. </w:t>
      </w:r>
    </w:p>
    <w:p w:rsidR="003132B9" w:rsidRDefault="00AD0BB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 u periodu januar-decembar 2025. godine iznosili su 511,6 mil. €, što je za 15,0 mil. € ili 3,0% više u odnosu na planirane, dok su u odnosu na uporedni period </w:t>
      </w:r>
      <w:r>
        <w:rPr>
          <w:rFonts w:ascii="Garamond" w:hAnsi="Garamond" w:cstheme="minorHAnsi"/>
          <w:sz w:val="24"/>
          <w:szCs w:val="24"/>
          <w:lang w:val="sr-Latn-RS"/>
        </w:rPr>
        <w:lastRenderedPageBreak/>
        <w:t xml:space="preserve">2024. godine izdaci veći za 77,1 mil. € ili 17,7%. Kapitalni izdaci su iznosili 179,2 mil. € ili 2,2% BDP-a. U odnosu na izvršenje od prethodne godine, ovi izdaci su veći za 33,8 mil. €. </w:t>
      </w:r>
    </w:p>
    <w:p w:rsidR="003132B9" w:rsidRDefault="00AD0BB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>
        <w:rPr>
          <w:rFonts w:ascii="Garamond" w:hAnsi="Garamond" w:cstheme="minorHAnsi"/>
          <w:sz w:val="24"/>
          <w:szCs w:val="24"/>
          <w:lang w:val="sr-Latn-RS"/>
        </w:rPr>
        <w:t xml:space="preserve">Na kraju 2025. godine zabilježen </w:t>
      </w:r>
      <w:r>
        <w:rPr>
          <w:rFonts w:ascii="Garamond" w:hAnsi="Garamond" w:cstheme="minorHAnsi"/>
          <w:b/>
          <w:sz w:val="24"/>
          <w:szCs w:val="24"/>
          <w:lang w:val="sr-Latn-RS"/>
        </w:rPr>
        <w:t>je gotovinski deficit lokalne samouprave</w:t>
      </w:r>
      <w:r>
        <w:rPr>
          <w:rFonts w:ascii="Garamond" w:hAnsi="Garamond" w:cstheme="minorHAnsi"/>
          <w:sz w:val="24"/>
          <w:szCs w:val="24"/>
          <w:lang w:val="sr-Latn-RS"/>
        </w:rPr>
        <w:t xml:space="preserve"> u iznosu od 27,7 mil. €.</w:t>
      </w:r>
    </w:p>
    <w:p w:rsidR="003132B9" w:rsidRDefault="00AD0BB0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>
        <w:rPr>
          <w:rFonts w:ascii="Garamond" w:hAnsi="Garamond" w:cstheme="minorHAnsi"/>
          <w:sz w:val="24"/>
          <w:szCs w:val="24"/>
          <w:lang w:val="sr-Latn-RS"/>
        </w:rPr>
        <w:t>U posmatranom periodu došlo je do smanjenja depozita lokalnih samouprava u iznosu od 2,9 mil. € što je 0,04% procijenjenog BDP-a za 2025. godinu.</w:t>
      </w:r>
    </w:p>
    <w:p w:rsidR="006D5032" w:rsidRDefault="006D5032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3132B9" w:rsidRPr="00A256AA" w:rsidRDefault="00AD0BB0">
      <w:pPr>
        <w:numPr>
          <w:ilvl w:val="1"/>
          <w:numId w:val="0"/>
        </w:numPr>
        <w:spacing w:before="240" w:after="120"/>
        <w:jc w:val="both"/>
        <w:rPr>
          <w:rFonts w:ascii="Garamond" w:hAnsi="Garamond"/>
          <w:color w:val="548DD4"/>
          <w:spacing w:val="15"/>
          <w:sz w:val="24"/>
          <w:shd w:val="clear" w:color="auto" w:fill="FFFFFF"/>
        </w:rPr>
      </w:pPr>
      <w:r w:rsidRPr="00A256AA">
        <w:rPr>
          <w:rFonts w:ascii="Garamond" w:hAnsi="Garamond"/>
          <w:color w:val="548DD4"/>
          <w:spacing w:val="15"/>
          <w:sz w:val="24"/>
          <w:shd w:val="clear" w:color="auto" w:fill="FFFFFF"/>
        </w:rPr>
        <w:t>JAVNI DUG U 202</w:t>
      </w:r>
      <w:r w:rsidR="00A256AA" w:rsidRPr="00A256AA">
        <w:rPr>
          <w:rFonts w:ascii="Garamond" w:hAnsi="Garamond"/>
          <w:color w:val="548DD4"/>
          <w:spacing w:val="15"/>
          <w:sz w:val="24"/>
          <w:shd w:val="clear" w:color="auto" w:fill="FFFFFF"/>
        </w:rPr>
        <w:t>5</w:t>
      </w:r>
      <w:r w:rsidRPr="00A256AA">
        <w:rPr>
          <w:rFonts w:ascii="Garamond" w:hAnsi="Garamond"/>
          <w:color w:val="548DD4"/>
          <w:spacing w:val="15"/>
          <w:sz w:val="24"/>
          <w:shd w:val="clear" w:color="auto" w:fill="FFFFFF"/>
        </w:rPr>
        <w:t>. GODINI</w:t>
      </w:r>
    </w:p>
    <w:p w:rsidR="00A256AA" w:rsidRDefault="00A256AA" w:rsidP="00A256AA">
      <w:pPr>
        <w:pStyle w:val="Footer"/>
        <w:suppressAutoHyphens/>
        <w:jc w:val="both"/>
        <w:rPr>
          <w:rFonts w:ascii="Garamond" w:hAnsi="Garamond"/>
          <w:color w:val="000000" w:themeColor="text1"/>
          <w:sz w:val="24"/>
        </w:rPr>
      </w:pPr>
    </w:p>
    <w:p w:rsidR="0006006F" w:rsidRPr="00D11368" w:rsidRDefault="0006006F" w:rsidP="0006006F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D11368">
        <w:rPr>
          <w:rFonts w:ascii="Garamond" w:hAnsi="Garamond" w:cstheme="minorHAnsi"/>
          <w:sz w:val="24"/>
          <w:szCs w:val="24"/>
          <w:lang w:val="sr-Latn-RS"/>
        </w:rPr>
        <w:t xml:space="preserve">Uzimajući u obzir depozite Ministarstva finansija, uključujući i 38.477 unci zlata, koji su na kraju 2025. godine iznosili 804,68 miliona eura, </w:t>
      </w:r>
      <w:r w:rsidRPr="00D11368">
        <w:rPr>
          <w:rFonts w:ascii="Garamond" w:hAnsi="Garamond" w:cstheme="minorHAnsi"/>
          <w:b/>
          <w:sz w:val="24"/>
          <w:szCs w:val="24"/>
          <w:lang w:val="sr-Latn-RS"/>
        </w:rPr>
        <w:t>neto javni dug Crne Gore na dan 31.12.2025. godine iznosio je 4.383,72 miliona eura, odnosno 53,65% BDP-a, što je za 1,14 procentnih poena manje u odnosu na kraj 2024. godine. Na taj način dodatno je unaprijeđena neto pozicija Crne Gore u pogledu zaduženosti.</w:t>
      </w:r>
    </w:p>
    <w:p w:rsidR="0006006F" w:rsidRPr="00D11368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D11368">
        <w:rPr>
          <w:rFonts w:ascii="Garamond" w:hAnsi="Garamond" w:cstheme="minorHAnsi"/>
          <w:sz w:val="24"/>
          <w:szCs w:val="24"/>
          <w:lang w:val="sr-Latn-RS"/>
        </w:rPr>
        <w:t>Ukupan javni dug na kraju 2025. godine odražava strateško i plansko upravljanje javnim finansijama, usmjereno na jačanje fiskalne stabilnosti i podršku razvojnim prioritetima i na dan 31.12.2025. godine, iznosio je 5.188,41 miliona eura, odnosno 63,50% BDP-a</w:t>
      </w:r>
      <w:r w:rsidRPr="00D11368">
        <w:rPr>
          <w:rFonts w:ascii="Garamond" w:hAnsi="Garamond" w:cstheme="minorHAnsi"/>
          <w:sz w:val="24"/>
          <w:szCs w:val="24"/>
          <w:lang w:val="sr-Latn-RS"/>
        </w:rPr>
        <w:footnoteReference w:id="2"/>
      </w:r>
      <w:r w:rsidRPr="00D11368">
        <w:rPr>
          <w:rFonts w:ascii="Garamond" w:hAnsi="Garamond" w:cstheme="minorHAnsi"/>
          <w:sz w:val="24"/>
          <w:szCs w:val="24"/>
          <w:lang w:val="sr-Latn-RS"/>
        </w:rPr>
        <w:t xml:space="preserve">. </w:t>
      </w:r>
    </w:p>
    <w:p w:rsidR="0006006F" w:rsidRPr="00D11368" w:rsidRDefault="0006006F" w:rsidP="0006006F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D11368">
        <w:rPr>
          <w:rFonts w:ascii="Garamond" w:hAnsi="Garamond" w:cstheme="minorHAnsi"/>
          <w:sz w:val="24"/>
          <w:szCs w:val="24"/>
          <w:lang w:val="sr-Latn-RS"/>
        </w:rPr>
        <w:t>Tokom 2025. godine država se primarno zaduživala radi redovne otplate duga i formiranja fiskalne rezerve za 2026. i 2027. godinu. Zahvaljujući tome,</w:t>
      </w:r>
      <w:r w:rsidRPr="00D11368">
        <w:rPr>
          <w:rFonts w:ascii="Garamond" w:hAnsi="Garamond" w:cstheme="minorHAnsi"/>
          <w:b/>
          <w:sz w:val="24"/>
          <w:szCs w:val="24"/>
          <w:lang w:val="sr-Latn-RS"/>
        </w:rPr>
        <w:t xml:space="preserve"> ukupno raspoloživa sredstva na kraju 2025. godine iznosila su 661,74 miliona eura, što predstavlja snažnu finansijsku osnovu za naredni period.</w:t>
      </w:r>
    </w:p>
    <w:p w:rsidR="0006006F" w:rsidRPr="00D11368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D11368">
        <w:rPr>
          <w:rFonts w:ascii="Garamond" w:hAnsi="Garamond" w:cstheme="minorHAnsi"/>
          <w:sz w:val="24"/>
          <w:szCs w:val="24"/>
          <w:lang w:val="sr-Latn-RS"/>
        </w:rPr>
        <w:t xml:space="preserve">Tokom 2025. godine država je emitovala obveznicu na međunarodnom tržištu u iznosu od 850 miliona eura, kao i domaće obveznice namijenjene fizičkim i pravnim licima u iznosu od 49,87 miliona eura. Pored toga, zaključen je i kreditni aranžman za obezbjeđenje fiskalne rezerve za 2026. i 2027. godinu u iznosu od 450 miliona eura. U istom periodu, zaključen je i kreditni aranžman sa Evropskom komisijom za realizaciju Instrumenta za reforme i rast (Plan rasta), a realizovana su i povlačenja kreditnih sredstava iz aranžmana zaključenih tokom 2025. godine, kao i iz ranijih ugovora, namijenjenih finansiranju razvojnih i infrastrukturnih projekata. </w:t>
      </w:r>
    </w:p>
    <w:p w:rsidR="0006006F" w:rsidRPr="00D11368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D11368">
        <w:rPr>
          <w:rFonts w:ascii="Garamond" w:hAnsi="Garamond" w:cstheme="minorHAnsi"/>
          <w:sz w:val="24"/>
          <w:szCs w:val="24"/>
          <w:lang w:val="sr-Latn-RS"/>
        </w:rPr>
        <w:t>Uporedo, tokom 2025. godine, izvršena je redovna otplata duga po osnovu postojećih zaduženja u iznosu od 803,7</w:t>
      </w:r>
      <w:r>
        <w:rPr>
          <w:rFonts w:ascii="Garamond" w:hAnsi="Garamond" w:cstheme="minorHAnsi"/>
          <w:sz w:val="24"/>
          <w:szCs w:val="24"/>
          <w:lang w:val="sr-Latn-RS"/>
        </w:rPr>
        <w:t>1</w:t>
      </w:r>
      <w:r w:rsidRPr="00D11368">
        <w:rPr>
          <w:rFonts w:ascii="Garamond" w:hAnsi="Garamond" w:cstheme="minorHAnsi"/>
          <w:sz w:val="24"/>
          <w:szCs w:val="24"/>
          <w:lang w:val="sr-Latn-RS"/>
        </w:rPr>
        <w:t xml:space="preserve"> miliona eura. </w:t>
      </w:r>
    </w:p>
    <w:p w:rsidR="0006006F" w:rsidRPr="00D11368" w:rsidRDefault="0006006F" w:rsidP="0006006F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D11368">
        <w:rPr>
          <w:rFonts w:ascii="Garamond" w:hAnsi="Garamond" w:cstheme="minorHAnsi"/>
          <w:b/>
          <w:sz w:val="24"/>
          <w:szCs w:val="24"/>
          <w:lang w:val="sr-Latn-RS"/>
        </w:rPr>
        <w:t xml:space="preserve">Na kraju 2025. godine, javni dug rezultat je unaprijed planiranog finansiranja budućih obaveza i realizacije kapitalnih ulaganja. </w:t>
      </w:r>
    </w:p>
    <w:p w:rsidR="0006006F" w:rsidRPr="00D11368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06006F" w:rsidRPr="00D11368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06006F" w:rsidRDefault="0006006F" w:rsidP="0006006F">
      <w:pPr>
        <w:pStyle w:val="Footer"/>
        <w:suppressAutoHyphens/>
        <w:jc w:val="both"/>
        <w:rPr>
          <w:rFonts w:ascii="Garamond" w:hAnsi="Garamond"/>
          <w:color w:val="000000" w:themeColor="text1"/>
          <w:sz w:val="24"/>
        </w:rPr>
      </w:pPr>
    </w:p>
    <w:p w:rsidR="0006006F" w:rsidRDefault="0006006F" w:rsidP="0006006F">
      <w:pPr>
        <w:pStyle w:val="Footer"/>
        <w:suppressAutoHyphens/>
        <w:jc w:val="both"/>
        <w:rPr>
          <w:rFonts w:ascii="Garamond" w:hAnsi="Garamond"/>
          <w:color w:val="000000" w:themeColor="text1"/>
          <w:sz w:val="24"/>
        </w:rPr>
      </w:pPr>
    </w:p>
    <w:p w:rsidR="0006006F" w:rsidRDefault="0006006F" w:rsidP="0006006F">
      <w:pPr>
        <w:pStyle w:val="Footer"/>
        <w:suppressAutoHyphens/>
        <w:jc w:val="both"/>
        <w:rPr>
          <w:rFonts w:ascii="Garamond" w:hAnsi="Garamond"/>
          <w:color w:val="000000" w:themeColor="text1"/>
          <w:sz w:val="24"/>
        </w:rPr>
      </w:pPr>
    </w:p>
    <w:p w:rsidR="0006006F" w:rsidRDefault="0006006F" w:rsidP="0006006F">
      <w:pPr>
        <w:pStyle w:val="Footer"/>
        <w:suppressAutoHyphens/>
        <w:jc w:val="both"/>
        <w:rPr>
          <w:rFonts w:ascii="Garamond" w:hAnsi="Garamond"/>
          <w:color w:val="000000" w:themeColor="text1"/>
          <w:sz w:val="24"/>
        </w:rPr>
      </w:pPr>
    </w:p>
    <w:p w:rsidR="0006006F" w:rsidRDefault="0006006F" w:rsidP="0006006F">
      <w:pPr>
        <w:pStyle w:val="Footer"/>
        <w:suppressAutoHyphens/>
        <w:jc w:val="both"/>
        <w:rPr>
          <w:rFonts w:ascii="Garamond" w:hAnsi="Garamond"/>
          <w:color w:val="000000" w:themeColor="text1"/>
          <w:sz w:val="24"/>
        </w:rPr>
      </w:pPr>
      <w:r w:rsidRPr="00782096">
        <w:rPr>
          <w:rFonts w:ascii="Garamond" w:hAnsi="Garamond"/>
          <w:color w:val="000000" w:themeColor="text1"/>
          <w:sz w:val="24"/>
        </w:rPr>
        <w:lastRenderedPageBreak/>
        <w:t>Uporedni prikaz kretanja bruto i neto javnog duga na kraju 2024. i 2025. godine može se vidjeti na graficima 1 i 2.</w:t>
      </w:r>
    </w:p>
    <w:p w:rsidR="0006006F" w:rsidRDefault="0006006F" w:rsidP="0006006F">
      <w:pPr>
        <w:pStyle w:val="Footer"/>
        <w:suppressAutoHyphens/>
        <w:jc w:val="both"/>
        <w:rPr>
          <w:rFonts w:ascii="Garamond" w:hAnsi="Garamond"/>
          <w:color w:val="000000" w:themeColor="text1"/>
          <w:sz w:val="24"/>
        </w:rPr>
      </w:pPr>
    </w:p>
    <w:p w:rsidR="0006006F" w:rsidRPr="00D11368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D11368">
        <w:rPr>
          <w:rFonts w:ascii="Garamond" w:hAnsi="Garamond" w:cstheme="minorHAnsi"/>
          <w:sz w:val="24"/>
          <w:szCs w:val="24"/>
          <w:lang w:val="sr-Latn-RS"/>
        </w:rPr>
        <w:t>Grafik 1: Kretanje državnog duga                                       Grafik 2: Kretanje javnog duga</w:t>
      </w:r>
    </w:p>
    <w:p w:rsidR="0006006F" w:rsidRPr="00D11368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D11368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D11368">
        <w:rPr>
          <w:rFonts w:ascii="Garamond" w:hAnsi="Garamond" w:cstheme="minorHAnsi"/>
          <w:noProof/>
          <w:sz w:val="24"/>
          <w:szCs w:val="24"/>
          <w:lang w:val="sr-Latn-RS"/>
        </w:rPr>
        <w:drawing>
          <wp:inline distT="0" distB="0" distL="0" distR="0" wp14:anchorId="180B6C80" wp14:editId="094E3090">
            <wp:extent cx="2619375" cy="183515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7AF516DA-1D04-4D6D-9669-7FA53681B4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D11368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D11368">
        <w:rPr>
          <w:rFonts w:ascii="Garamond" w:hAnsi="Garamond" w:cstheme="minorHAnsi"/>
          <w:noProof/>
          <w:sz w:val="24"/>
          <w:szCs w:val="24"/>
          <w:lang w:val="sr-Latn-RS"/>
        </w:rPr>
        <w:drawing>
          <wp:inline distT="0" distB="0" distL="0" distR="0" wp14:anchorId="17A9B16C" wp14:editId="64083D0C">
            <wp:extent cx="2851785" cy="1831037"/>
            <wp:effectExtent l="0" t="0" r="5715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DDB3C3D0-284C-462F-AAEF-A38611E304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D11368">
        <w:rPr>
          <w:rFonts w:ascii="Garamond" w:hAnsi="Garamond" w:cstheme="minorHAnsi"/>
          <w:sz w:val="24"/>
          <w:szCs w:val="24"/>
          <w:lang w:val="sr-Latn-RS"/>
        </w:rPr>
        <w:t xml:space="preserve">     </w:t>
      </w:r>
    </w:p>
    <w:p w:rsidR="0006006F" w:rsidRDefault="0006006F" w:rsidP="0006006F">
      <w:pPr>
        <w:spacing w:after="0" w:line="240" w:lineRule="auto"/>
        <w:jc w:val="right"/>
        <w:rPr>
          <w:rFonts w:ascii="Cambria" w:eastAsia="Times New Roman" w:hAnsi="Cambria" w:cs="Times New Roman"/>
          <w:b/>
          <w:color w:val="000000"/>
          <w:sz w:val="20"/>
        </w:rPr>
      </w:pPr>
    </w:p>
    <w:p w:rsidR="0006006F" w:rsidRPr="0064248B" w:rsidRDefault="0006006F" w:rsidP="0006006F">
      <w:pPr>
        <w:numPr>
          <w:ilvl w:val="1"/>
          <w:numId w:val="0"/>
        </w:numPr>
        <w:spacing w:before="240" w:after="120"/>
        <w:jc w:val="both"/>
        <w:rPr>
          <w:rFonts w:ascii="Garamond" w:hAnsi="Garamond"/>
          <w:color w:val="548DD4"/>
          <w:spacing w:val="15"/>
          <w:sz w:val="24"/>
          <w:shd w:val="clear" w:color="auto" w:fill="FFFFFF"/>
        </w:rPr>
      </w:pPr>
      <w:bookmarkStart w:id="2" w:name="_Toc225417608"/>
      <w:r w:rsidRPr="0064248B">
        <w:rPr>
          <w:rFonts w:ascii="Garamond" w:hAnsi="Garamond"/>
          <w:color w:val="548DD4"/>
          <w:spacing w:val="15"/>
          <w:sz w:val="24"/>
          <w:shd w:val="clear" w:color="auto" w:fill="FFFFFF"/>
        </w:rPr>
        <w:t>Parametri kvaliteta državnog duga</w:t>
      </w:r>
      <w:bookmarkStart w:id="3" w:name="_Toc41286676"/>
      <w:bookmarkEnd w:id="2"/>
    </w:p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bookmarkStart w:id="4" w:name="_Hlk193449105"/>
      <w:r>
        <w:rPr>
          <w:rFonts w:ascii="Garamond" w:hAnsi="Garamond" w:cstheme="minorHAnsi"/>
          <w:sz w:val="24"/>
          <w:szCs w:val="24"/>
          <w:lang w:val="sr-Latn-RS"/>
        </w:rPr>
        <w:t>V</w:t>
      </w:r>
      <w:r w:rsidRPr="0064248B">
        <w:rPr>
          <w:rFonts w:ascii="Garamond" w:hAnsi="Garamond" w:cstheme="minorHAnsi"/>
          <w:sz w:val="24"/>
          <w:szCs w:val="24"/>
          <w:lang w:val="sr-Latn-RS"/>
        </w:rPr>
        <w:t>alutna struktura državnog duga na 31.12.2025. godine</w:t>
      </w:r>
    </w:p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4248B">
        <w:rPr>
          <w:rFonts w:ascii="Garamond" w:hAnsi="Garamond" w:cstheme="minorHAnsi"/>
          <w:noProof/>
          <w:sz w:val="24"/>
          <w:szCs w:val="24"/>
          <w:lang w:val="sr-Latn-RS"/>
        </w:rPr>
        <w:drawing>
          <wp:anchor distT="0" distB="0" distL="114300" distR="114300" simplePos="0" relativeHeight="251662336" behindDoc="0" locked="0" layoutInCell="1" allowOverlap="1" wp14:anchorId="2B1AD3C5" wp14:editId="3F3B0150">
            <wp:simplePos x="0" y="0"/>
            <wp:positionH relativeFrom="margin">
              <wp:posOffset>-4445</wp:posOffset>
            </wp:positionH>
            <wp:positionV relativeFrom="paragraph">
              <wp:posOffset>147955</wp:posOffset>
            </wp:positionV>
            <wp:extent cx="2435860" cy="2114550"/>
            <wp:effectExtent l="0" t="0" r="40640" b="0"/>
            <wp:wrapSquare wrapText="bothSides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47E77130-BAE7-4B51-BCED-0F358A34B2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48B">
        <w:rPr>
          <w:rFonts w:ascii="Garamond" w:hAnsi="Garamond" w:cstheme="minorHAnsi"/>
          <w:sz w:val="24"/>
          <w:szCs w:val="24"/>
          <w:lang w:val="sr-Latn-RS"/>
        </w:rPr>
        <w:t xml:space="preserve">            </w:t>
      </w:r>
    </w:p>
    <w:bookmarkEnd w:id="3"/>
    <w:bookmarkEnd w:id="4"/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4248B">
        <w:rPr>
          <w:rFonts w:ascii="Garamond" w:hAnsi="Garamond" w:cstheme="minorHAnsi"/>
          <w:sz w:val="24"/>
          <w:szCs w:val="24"/>
          <w:lang w:val="sr-Latn-RS"/>
        </w:rPr>
        <w:t xml:space="preserve">Valutna struktura državnog duga, na kraju 2025. godine u odnosu na kraj 2024. godine je ostala gotovo nepromijenjena. Zahvaljujući realizovanim hedžing aranžmanima, učešće eurskog duga u ukupnom državnom dugu iznosi 99,75%, dok je svega 0,25% državnog duga izraženo u drugim valutama. </w:t>
      </w:r>
    </w:p>
    <w:p w:rsidR="0006006F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bookmarkStart w:id="5" w:name="_Hlk193449929"/>
      <w:bookmarkStart w:id="6" w:name="_Toc3474460"/>
      <w:bookmarkStart w:id="7" w:name="_Toc35253506"/>
    </w:p>
    <w:p w:rsidR="0006006F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06006F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bookmarkStart w:id="8" w:name="_Toc41286677"/>
      <w:r w:rsidRPr="0064248B">
        <w:rPr>
          <w:rFonts w:ascii="Garamond" w:hAnsi="Garamond" w:cstheme="minorHAnsi"/>
          <w:sz w:val="24"/>
          <w:szCs w:val="24"/>
          <w:lang w:val="sr-Latn-RS"/>
        </w:rPr>
        <w:t>Kamatna struktura državnog duga</w:t>
      </w:r>
      <w:bookmarkEnd w:id="8"/>
      <w:r w:rsidRPr="0064248B">
        <w:rPr>
          <w:rFonts w:ascii="Garamond" w:hAnsi="Garamond" w:cstheme="minorHAnsi"/>
          <w:sz w:val="24"/>
          <w:szCs w:val="24"/>
          <w:lang w:val="sr-Latn-RS"/>
        </w:rPr>
        <w:t xml:space="preserve"> na 31.12.2025. godine</w:t>
      </w:r>
    </w:p>
    <w:bookmarkEnd w:id="5"/>
    <w:bookmarkEnd w:id="6"/>
    <w:bookmarkEnd w:id="7"/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4248B">
        <w:rPr>
          <w:rFonts w:ascii="Garamond" w:hAnsi="Garamond" w:cstheme="minorHAnsi"/>
          <w:noProof/>
          <w:sz w:val="24"/>
          <w:szCs w:val="24"/>
          <w:lang w:val="sr-Latn-RS"/>
        </w:rPr>
        <w:drawing>
          <wp:anchor distT="0" distB="0" distL="114300" distR="114300" simplePos="0" relativeHeight="251663360" behindDoc="0" locked="0" layoutInCell="1" allowOverlap="1" wp14:anchorId="55AE1E3F" wp14:editId="13CB3BF8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2578735" cy="2277110"/>
            <wp:effectExtent l="0" t="0" r="31115" b="8890"/>
            <wp:wrapSquare wrapText="bothSides"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EE74380D-94E2-4699-AD8B-73EE9DAC55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48B">
        <w:rPr>
          <w:rFonts w:ascii="Garamond" w:hAnsi="Garamond" w:cstheme="minorHAnsi"/>
          <w:sz w:val="24"/>
          <w:szCs w:val="24"/>
          <w:lang w:val="sr-Latn-RS"/>
        </w:rPr>
        <w:t xml:space="preserve">Kada govorimo o kamatnoj strukturi državnog duga, došlo je do povećanja učešća duga sa varijabilnom kamatnom stopom za oko 4,2 procentna poena u odnosu na kraj 2024. godine. I pored navedenog, ukupan dug sa fiksnom kamatnom stopom i dalje preovladava sa 78,8% učešća u ukupnom državnom dugu. </w:t>
      </w:r>
    </w:p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06006F" w:rsidRPr="0064248B" w:rsidRDefault="0006006F" w:rsidP="0006006F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:rsidR="00A256AA" w:rsidRDefault="0006006F" w:rsidP="0006006F">
      <w:pPr>
        <w:jc w:val="both"/>
        <w:rPr>
          <w:rFonts w:ascii="Garamond" w:hAnsi="Garamond" w:cstheme="minorHAnsi"/>
          <w:sz w:val="24"/>
          <w:szCs w:val="24"/>
        </w:rPr>
      </w:pPr>
      <w:r w:rsidRPr="0064248B">
        <w:rPr>
          <w:rFonts w:ascii="Garamond" w:hAnsi="Garamond" w:cstheme="minorHAnsi"/>
          <w:sz w:val="24"/>
          <w:szCs w:val="24"/>
          <w:lang w:val="sr-Latn-RS"/>
        </w:rPr>
        <w:t xml:space="preserve">                                                   </w:t>
      </w:r>
      <w:r w:rsidRPr="0064248B">
        <w:rPr>
          <w:rFonts w:ascii="Garamond" w:hAnsi="Garamond" w:cstheme="minorHAnsi"/>
          <w:sz w:val="24"/>
          <w:szCs w:val="24"/>
          <w:lang w:val="sr-Latn-RS"/>
        </w:rPr>
        <w:tab/>
      </w:r>
      <w:bookmarkStart w:id="9" w:name="_GoBack"/>
      <w:bookmarkEnd w:id="9"/>
    </w:p>
    <w:sectPr w:rsidR="00A2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5E7" w:rsidRDefault="000045E7">
      <w:pPr>
        <w:spacing w:line="240" w:lineRule="auto"/>
      </w:pPr>
      <w:r>
        <w:separator/>
      </w:r>
    </w:p>
  </w:endnote>
  <w:endnote w:type="continuationSeparator" w:id="0">
    <w:p w:rsidR="000045E7" w:rsidRDefault="00004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5E7" w:rsidRDefault="000045E7">
      <w:pPr>
        <w:spacing w:after="0"/>
      </w:pPr>
      <w:r>
        <w:separator/>
      </w:r>
    </w:p>
  </w:footnote>
  <w:footnote w:type="continuationSeparator" w:id="0">
    <w:p w:rsidR="000045E7" w:rsidRDefault="000045E7">
      <w:pPr>
        <w:spacing w:after="0"/>
      </w:pPr>
      <w:r>
        <w:continuationSeparator/>
      </w:r>
    </w:p>
  </w:footnote>
  <w:footnote w:id="1">
    <w:p w:rsidR="003132B9" w:rsidRDefault="00AD0BB0">
      <w:pPr>
        <w:pStyle w:val="Footer"/>
        <w:suppressAutoHyphens/>
        <w:jc w:val="both"/>
        <w:rPr>
          <w:rFonts w:ascii="Garamond" w:hAnsi="Garamond"/>
          <w:b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Garamond" w:hAnsi="Garamond"/>
          <w:b/>
          <w:sz w:val="18"/>
          <w:szCs w:val="18"/>
        </w:rPr>
        <w:t>Konačni podaci za 2025. godinu biće sastavni dio Zakona o završnom računu budžeta Crne Gore za 2025. godinu</w:t>
      </w:r>
    </w:p>
    <w:p w:rsidR="003132B9" w:rsidRDefault="003132B9">
      <w:pPr>
        <w:pStyle w:val="FootnoteText"/>
      </w:pPr>
    </w:p>
  </w:footnote>
  <w:footnote w:id="2">
    <w:p w:rsidR="0006006F" w:rsidRPr="00496F91" w:rsidRDefault="0006006F" w:rsidP="0006006F">
      <w:pPr>
        <w:pStyle w:val="FootnoteText"/>
        <w:jc w:val="both"/>
        <w:rPr>
          <w:rFonts w:ascii="Cambria" w:hAnsi="Cambria"/>
          <w:sz w:val="18"/>
          <w:szCs w:val="18"/>
          <w:lang w:val="sr-Latn-RS"/>
        </w:rPr>
      </w:pPr>
      <w:r w:rsidRPr="00496F91">
        <w:rPr>
          <w:rStyle w:val="FootnoteReference"/>
          <w:rFonts w:ascii="Cambria" w:hAnsi="Cambria"/>
          <w:sz w:val="18"/>
          <w:szCs w:val="18"/>
        </w:rPr>
        <w:footnoteRef/>
      </w:r>
      <w:r w:rsidRPr="00496F91">
        <w:rPr>
          <w:rFonts w:ascii="Cambria" w:hAnsi="Cambria"/>
          <w:sz w:val="18"/>
          <w:szCs w:val="18"/>
        </w:rPr>
        <w:t xml:space="preserve"> </w:t>
      </w:r>
      <w:r w:rsidRPr="00496F91">
        <w:rPr>
          <w:rFonts w:ascii="Cambria" w:hAnsi="Cambria"/>
          <w:sz w:val="18"/>
          <w:szCs w:val="18"/>
          <w:lang w:val="sr-Latn-RS"/>
        </w:rPr>
        <w:t>Prema preliminarnim podacima Monstata, BDP za 2025. godinu iznosi 8.170,74 miliona eura.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1999"/>
    <w:rsid w:val="000045E7"/>
    <w:rsid w:val="00005D36"/>
    <w:rsid w:val="000063A8"/>
    <w:rsid w:val="000074D7"/>
    <w:rsid w:val="00007DB9"/>
    <w:rsid w:val="00010AB6"/>
    <w:rsid w:val="00010CE2"/>
    <w:rsid w:val="000171F7"/>
    <w:rsid w:val="00017B87"/>
    <w:rsid w:val="0002025C"/>
    <w:rsid w:val="00022F86"/>
    <w:rsid w:val="0002466D"/>
    <w:rsid w:val="00034611"/>
    <w:rsid w:val="000353F1"/>
    <w:rsid w:val="00037238"/>
    <w:rsid w:val="00041116"/>
    <w:rsid w:val="00043279"/>
    <w:rsid w:val="000443B2"/>
    <w:rsid w:val="00047BF5"/>
    <w:rsid w:val="0005016F"/>
    <w:rsid w:val="000501C9"/>
    <w:rsid w:val="00051E94"/>
    <w:rsid w:val="00052525"/>
    <w:rsid w:val="00054CED"/>
    <w:rsid w:val="00056671"/>
    <w:rsid w:val="00056988"/>
    <w:rsid w:val="0006006F"/>
    <w:rsid w:val="00060B94"/>
    <w:rsid w:val="00064179"/>
    <w:rsid w:val="0006455C"/>
    <w:rsid w:val="000651F4"/>
    <w:rsid w:val="00071016"/>
    <w:rsid w:val="00074483"/>
    <w:rsid w:val="00080CAB"/>
    <w:rsid w:val="00081CC3"/>
    <w:rsid w:val="00082F6C"/>
    <w:rsid w:val="00083959"/>
    <w:rsid w:val="0008737F"/>
    <w:rsid w:val="00090721"/>
    <w:rsid w:val="0009129B"/>
    <w:rsid w:val="000A0E81"/>
    <w:rsid w:val="000A212A"/>
    <w:rsid w:val="000B092C"/>
    <w:rsid w:val="000B26F4"/>
    <w:rsid w:val="000B366D"/>
    <w:rsid w:val="000B5A7D"/>
    <w:rsid w:val="000C203F"/>
    <w:rsid w:val="000C7BC4"/>
    <w:rsid w:val="000D02B0"/>
    <w:rsid w:val="000D05F9"/>
    <w:rsid w:val="000D253E"/>
    <w:rsid w:val="000D27F3"/>
    <w:rsid w:val="000D29FB"/>
    <w:rsid w:val="000D6583"/>
    <w:rsid w:val="000D6B3D"/>
    <w:rsid w:val="000E5F6A"/>
    <w:rsid w:val="000F17E9"/>
    <w:rsid w:val="000F2621"/>
    <w:rsid w:val="000F4609"/>
    <w:rsid w:val="000F6011"/>
    <w:rsid w:val="000F7A47"/>
    <w:rsid w:val="001020A6"/>
    <w:rsid w:val="001109BB"/>
    <w:rsid w:val="00111A0F"/>
    <w:rsid w:val="00112D0E"/>
    <w:rsid w:val="00126322"/>
    <w:rsid w:val="00132034"/>
    <w:rsid w:val="001321BB"/>
    <w:rsid w:val="001325F1"/>
    <w:rsid w:val="00133167"/>
    <w:rsid w:val="0013587E"/>
    <w:rsid w:val="001358EF"/>
    <w:rsid w:val="001421B2"/>
    <w:rsid w:val="00142C8A"/>
    <w:rsid w:val="0014798E"/>
    <w:rsid w:val="00147F59"/>
    <w:rsid w:val="001511BA"/>
    <w:rsid w:val="00152005"/>
    <w:rsid w:val="00153E8F"/>
    <w:rsid w:val="00157BCE"/>
    <w:rsid w:val="00162121"/>
    <w:rsid w:val="00162C3F"/>
    <w:rsid w:val="001638EA"/>
    <w:rsid w:val="00164E6D"/>
    <w:rsid w:val="00170760"/>
    <w:rsid w:val="00175484"/>
    <w:rsid w:val="00177592"/>
    <w:rsid w:val="00184E48"/>
    <w:rsid w:val="0018700E"/>
    <w:rsid w:val="00187EC0"/>
    <w:rsid w:val="0019596A"/>
    <w:rsid w:val="00196191"/>
    <w:rsid w:val="0019796A"/>
    <w:rsid w:val="00197BA8"/>
    <w:rsid w:val="001A0301"/>
    <w:rsid w:val="001A2304"/>
    <w:rsid w:val="001A5B3F"/>
    <w:rsid w:val="001B0664"/>
    <w:rsid w:val="001B5492"/>
    <w:rsid w:val="001C12ED"/>
    <w:rsid w:val="001C23C1"/>
    <w:rsid w:val="001D258B"/>
    <w:rsid w:val="001D3F35"/>
    <w:rsid w:val="001D64ED"/>
    <w:rsid w:val="001D6984"/>
    <w:rsid w:val="001D6F34"/>
    <w:rsid w:val="001D785F"/>
    <w:rsid w:val="001E2337"/>
    <w:rsid w:val="001E2C15"/>
    <w:rsid w:val="001E5765"/>
    <w:rsid w:val="001E57F6"/>
    <w:rsid w:val="001E742A"/>
    <w:rsid w:val="001E7E59"/>
    <w:rsid w:val="001F12C2"/>
    <w:rsid w:val="001F27EE"/>
    <w:rsid w:val="001F3D96"/>
    <w:rsid w:val="001F43C2"/>
    <w:rsid w:val="002011D4"/>
    <w:rsid w:val="00207A44"/>
    <w:rsid w:val="00212FB5"/>
    <w:rsid w:val="00215787"/>
    <w:rsid w:val="00221465"/>
    <w:rsid w:val="00227434"/>
    <w:rsid w:val="002329E4"/>
    <w:rsid w:val="0023527C"/>
    <w:rsid w:val="002419C7"/>
    <w:rsid w:val="00241AC3"/>
    <w:rsid w:val="002516E5"/>
    <w:rsid w:val="00257C18"/>
    <w:rsid w:val="00257CD7"/>
    <w:rsid w:val="00261680"/>
    <w:rsid w:val="002624B5"/>
    <w:rsid w:val="00262E17"/>
    <w:rsid w:val="00266D70"/>
    <w:rsid w:val="00271251"/>
    <w:rsid w:val="00274588"/>
    <w:rsid w:val="0028143D"/>
    <w:rsid w:val="002818BD"/>
    <w:rsid w:val="00284477"/>
    <w:rsid w:val="00284AC8"/>
    <w:rsid w:val="00285555"/>
    <w:rsid w:val="002872ED"/>
    <w:rsid w:val="00291EA9"/>
    <w:rsid w:val="00293C86"/>
    <w:rsid w:val="002941A0"/>
    <w:rsid w:val="002971C1"/>
    <w:rsid w:val="002A1882"/>
    <w:rsid w:val="002A37B6"/>
    <w:rsid w:val="002A4AC8"/>
    <w:rsid w:val="002A4D7B"/>
    <w:rsid w:val="002B1BCF"/>
    <w:rsid w:val="002B23C6"/>
    <w:rsid w:val="002B3681"/>
    <w:rsid w:val="002B4224"/>
    <w:rsid w:val="002B6301"/>
    <w:rsid w:val="002C1009"/>
    <w:rsid w:val="002C1960"/>
    <w:rsid w:val="002C414E"/>
    <w:rsid w:val="002D1671"/>
    <w:rsid w:val="002D5E90"/>
    <w:rsid w:val="002D677C"/>
    <w:rsid w:val="002D6EA8"/>
    <w:rsid w:val="002E1E69"/>
    <w:rsid w:val="002E678A"/>
    <w:rsid w:val="002E7A78"/>
    <w:rsid w:val="002F044E"/>
    <w:rsid w:val="002F148D"/>
    <w:rsid w:val="002F29D6"/>
    <w:rsid w:val="002F31DF"/>
    <w:rsid w:val="002F478C"/>
    <w:rsid w:val="002F73DC"/>
    <w:rsid w:val="002F7866"/>
    <w:rsid w:val="002F7EBE"/>
    <w:rsid w:val="00301BCD"/>
    <w:rsid w:val="0030254C"/>
    <w:rsid w:val="003039FE"/>
    <w:rsid w:val="00305A1D"/>
    <w:rsid w:val="00310470"/>
    <w:rsid w:val="003132B9"/>
    <w:rsid w:val="00313D79"/>
    <w:rsid w:val="003154F1"/>
    <w:rsid w:val="00320435"/>
    <w:rsid w:val="00332FE1"/>
    <w:rsid w:val="0033473B"/>
    <w:rsid w:val="00335DD6"/>
    <w:rsid w:val="00336B21"/>
    <w:rsid w:val="003427CF"/>
    <w:rsid w:val="00354B23"/>
    <w:rsid w:val="0036020A"/>
    <w:rsid w:val="0036104E"/>
    <w:rsid w:val="003625AD"/>
    <w:rsid w:val="00364853"/>
    <w:rsid w:val="0037061E"/>
    <w:rsid w:val="003709BB"/>
    <w:rsid w:val="003727FA"/>
    <w:rsid w:val="00381EEC"/>
    <w:rsid w:val="00382C9F"/>
    <w:rsid w:val="003878DD"/>
    <w:rsid w:val="003903BD"/>
    <w:rsid w:val="0039084B"/>
    <w:rsid w:val="0039206C"/>
    <w:rsid w:val="00395619"/>
    <w:rsid w:val="0039591F"/>
    <w:rsid w:val="00397C40"/>
    <w:rsid w:val="003A0C91"/>
    <w:rsid w:val="003A1A73"/>
    <w:rsid w:val="003A2E12"/>
    <w:rsid w:val="003A303F"/>
    <w:rsid w:val="003A4339"/>
    <w:rsid w:val="003A7675"/>
    <w:rsid w:val="003B432B"/>
    <w:rsid w:val="003B5284"/>
    <w:rsid w:val="003B6F6D"/>
    <w:rsid w:val="003B7FF1"/>
    <w:rsid w:val="003C0DC8"/>
    <w:rsid w:val="003C2AD1"/>
    <w:rsid w:val="003C402A"/>
    <w:rsid w:val="003C4F7B"/>
    <w:rsid w:val="003C7D73"/>
    <w:rsid w:val="003D0441"/>
    <w:rsid w:val="003D17B8"/>
    <w:rsid w:val="003D274D"/>
    <w:rsid w:val="003D3937"/>
    <w:rsid w:val="003D3D23"/>
    <w:rsid w:val="003D3D94"/>
    <w:rsid w:val="003D5F1F"/>
    <w:rsid w:val="003D6E25"/>
    <w:rsid w:val="003E1B0F"/>
    <w:rsid w:val="003E209A"/>
    <w:rsid w:val="003E6974"/>
    <w:rsid w:val="003F5AAF"/>
    <w:rsid w:val="003F7829"/>
    <w:rsid w:val="00401070"/>
    <w:rsid w:val="004071D9"/>
    <w:rsid w:val="00410065"/>
    <w:rsid w:val="0041095A"/>
    <w:rsid w:val="00414405"/>
    <w:rsid w:val="004167EA"/>
    <w:rsid w:val="0042055A"/>
    <w:rsid w:val="00422E10"/>
    <w:rsid w:val="00423CD3"/>
    <w:rsid w:val="0042557D"/>
    <w:rsid w:val="00425A3F"/>
    <w:rsid w:val="00433531"/>
    <w:rsid w:val="00436C06"/>
    <w:rsid w:val="00441D18"/>
    <w:rsid w:val="00441DCD"/>
    <w:rsid w:val="00443082"/>
    <w:rsid w:val="0044358A"/>
    <w:rsid w:val="00444B3D"/>
    <w:rsid w:val="00453A21"/>
    <w:rsid w:val="00454F0D"/>
    <w:rsid w:val="00457629"/>
    <w:rsid w:val="00465725"/>
    <w:rsid w:val="00470D7F"/>
    <w:rsid w:val="00473324"/>
    <w:rsid w:val="00473387"/>
    <w:rsid w:val="004752BC"/>
    <w:rsid w:val="0048100D"/>
    <w:rsid w:val="00481335"/>
    <w:rsid w:val="00481641"/>
    <w:rsid w:val="004867A0"/>
    <w:rsid w:val="00490E91"/>
    <w:rsid w:val="00491596"/>
    <w:rsid w:val="00493929"/>
    <w:rsid w:val="004952BF"/>
    <w:rsid w:val="004A0430"/>
    <w:rsid w:val="004A04F9"/>
    <w:rsid w:val="004A3B0C"/>
    <w:rsid w:val="004B0889"/>
    <w:rsid w:val="004B0CFE"/>
    <w:rsid w:val="004B2312"/>
    <w:rsid w:val="004B2A3E"/>
    <w:rsid w:val="004C09F8"/>
    <w:rsid w:val="004C0EE9"/>
    <w:rsid w:val="004C33B9"/>
    <w:rsid w:val="004C42E0"/>
    <w:rsid w:val="004C443A"/>
    <w:rsid w:val="004C5D7A"/>
    <w:rsid w:val="004C791B"/>
    <w:rsid w:val="004D0F8E"/>
    <w:rsid w:val="004D21F0"/>
    <w:rsid w:val="004D7F4F"/>
    <w:rsid w:val="004E4420"/>
    <w:rsid w:val="004E531E"/>
    <w:rsid w:val="004F083D"/>
    <w:rsid w:val="004F719C"/>
    <w:rsid w:val="00501DA6"/>
    <w:rsid w:val="00503A56"/>
    <w:rsid w:val="00506B6B"/>
    <w:rsid w:val="00506CBA"/>
    <w:rsid w:val="00507C64"/>
    <w:rsid w:val="00512C51"/>
    <w:rsid w:val="00514A22"/>
    <w:rsid w:val="00514C05"/>
    <w:rsid w:val="005153A4"/>
    <w:rsid w:val="00515D97"/>
    <w:rsid w:val="0052112A"/>
    <w:rsid w:val="00523064"/>
    <w:rsid w:val="005257C9"/>
    <w:rsid w:val="00527A5D"/>
    <w:rsid w:val="0053153F"/>
    <w:rsid w:val="005332F8"/>
    <w:rsid w:val="00535662"/>
    <w:rsid w:val="00535B9F"/>
    <w:rsid w:val="00547997"/>
    <w:rsid w:val="0055248F"/>
    <w:rsid w:val="005543AF"/>
    <w:rsid w:val="00555C8E"/>
    <w:rsid w:val="005570DF"/>
    <w:rsid w:val="005640B2"/>
    <w:rsid w:val="00565230"/>
    <w:rsid w:val="00566DA0"/>
    <w:rsid w:val="00567898"/>
    <w:rsid w:val="00571345"/>
    <w:rsid w:val="00575B78"/>
    <w:rsid w:val="00580CEC"/>
    <w:rsid w:val="005813BD"/>
    <w:rsid w:val="00581723"/>
    <w:rsid w:val="00581F4F"/>
    <w:rsid w:val="0058275E"/>
    <w:rsid w:val="00583E20"/>
    <w:rsid w:val="00585804"/>
    <w:rsid w:val="0058786E"/>
    <w:rsid w:val="005937C6"/>
    <w:rsid w:val="00594943"/>
    <w:rsid w:val="005974D2"/>
    <w:rsid w:val="00597C48"/>
    <w:rsid w:val="005A14AC"/>
    <w:rsid w:val="005A3172"/>
    <w:rsid w:val="005C480A"/>
    <w:rsid w:val="005C61F1"/>
    <w:rsid w:val="005D279C"/>
    <w:rsid w:val="005D45B9"/>
    <w:rsid w:val="005E0346"/>
    <w:rsid w:val="005E2048"/>
    <w:rsid w:val="005E2552"/>
    <w:rsid w:val="005E2CC7"/>
    <w:rsid w:val="005F01DE"/>
    <w:rsid w:val="005F515F"/>
    <w:rsid w:val="005F5E81"/>
    <w:rsid w:val="005F77D3"/>
    <w:rsid w:val="00607253"/>
    <w:rsid w:val="00607E9D"/>
    <w:rsid w:val="00612480"/>
    <w:rsid w:val="00617866"/>
    <w:rsid w:val="00621EA2"/>
    <w:rsid w:val="00624FBD"/>
    <w:rsid w:val="006276E2"/>
    <w:rsid w:val="00631259"/>
    <w:rsid w:val="00633723"/>
    <w:rsid w:val="006341AF"/>
    <w:rsid w:val="0063617B"/>
    <w:rsid w:val="00637E2D"/>
    <w:rsid w:val="00640165"/>
    <w:rsid w:val="0064042E"/>
    <w:rsid w:val="00653095"/>
    <w:rsid w:val="00656903"/>
    <w:rsid w:val="0066351C"/>
    <w:rsid w:val="006639F2"/>
    <w:rsid w:val="00666234"/>
    <w:rsid w:val="00676B90"/>
    <w:rsid w:val="006805F6"/>
    <w:rsid w:val="006839DD"/>
    <w:rsid w:val="00683BA6"/>
    <w:rsid w:val="0068466F"/>
    <w:rsid w:val="0068481C"/>
    <w:rsid w:val="00685D47"/>
    <w:rsid w:val="00695610"/>
    <w:rsid w:val="00696616"/>
    <w:rsid w:val="006A3D5C"/>
    <w:rsid w:val="006A53DE"/>
    <w:rsid w:val="006A6CDA"/>
    <w:rsid w:val="006C0718"/>
    <w:rsid w:val="006C129A"/>
    <w:rsid w:val="006C2138"/>
    <w:rsid w:val="006C46F7"/>
    <w:rsid w:val="006D5032"/>
    <w:rsid w:val="006D51E6"/>
    <w:rsid w:val="006D6D67"/>
    <w:rsid w:val="006F06B8"/>
    <w:rsid w:val="00701AAC"/>
    <w:rsid w:val="00701AC0"/>
    <w:rsid w:val="00707183"/>
    <w:rsid w:val="0071385B"/>
    <w:rsid w:val="00715A59"/>
    <w:rsid w:val="00720407"/>
    <w:rsid w:val="0072206F"/>
    <w:rsid w:val="00725634"/>
    <w:rsid w:val="007261E0"/>
    <w:rsid w:val="0072749D"/>
    <w:rsid w:val="00730D70"/>
    <w:rsid w:val="00737EC9"/>
    <w:rsid w:val="00740CE2"/>
    <w:rsid w:val="00746EEE"/>
    <w:rsid w:val="00751D37"/>
    <w:rsid w:val="0075204A"/>
    <w:rsid w:val="0075226F"/>
    <w:rsid w:val="00753487"/>
    <w:rsid w:val="007535DC"/>
    <w:rsid w:val="007538BD"/>
    <w:rsid w:val="00753C6F"/>
    <w:rsid w:val="00754599"/>
    <w:rsid w:val="00760C6A"/>
    <w:rsid w:val="00765854"/>
    <w:rsid w:val="007728D0"/>
    <w:rsid w:val="00772D9E"/>
    <w:rsid w:val="00781824"/>
    <w:rsid w:val="00782801"/>
    <w:rsid w:val="007841E8"/>
    <w:rsid w:val="00790E34"/>
    <w:rsid w:val="00793671"/>
    <w:rsid w:val="00794220"/>
    <w:rsid w:val="007967C1"/>
    <w:rsid w:val="00797AB5"/>
    <w:rsid w:val="007A37A2"/>
    <w:rsid w:val="007A5877"/>
    <w:rsid w:val="007A64D9"/>
    <w:rsid w:val="007B049A"/>
    <w:rsid w:val="007B0C04"/>
    <w:rsid w:val="007C0938"/>
    <w:rsid w:val="007D41C9"/>
    <w:rsid w:val="007D56F8"/>
    <w:rsid w:val="007D58DB"/>
    <w:rsid w:val="007D5961"/>
    <w:rsid w:val="007D6209"/>
    <w:rsid w:val="007D6E89"/>
    <w:rsid w:val="007E1883"/>
    <w:rsid w:val="007E3618"/>
    <w:rsid w:val="007E4413"/>
    <w:rsid w:val="007E7CBA"/>
    <w:rsid w:val="007F4B9D"/>
    <w:rsid w:val="00800347"/>
    <w:rsid w:val="00800F54"/>
    <w:rsid w:val="00804915"/>
    <w:rsid w:val="00804C50"/>
    <w:rsid w:val="00810A53"/>
    <w:rsid w:val="00811FE4"/>
    <w:rsid w:val="00812264"/>
    <w:rsid w:val="00813063"/>
    <w:rsid w:val="00816700"/>
    <w:rsid w:val="0082099A"/>
    <w:rsid w:val="00820D76"/>
    <w:rsid w:val="008215A5"/>
    <w:rsid w:val="008221B7"/>
    <w:rsid w:val="00824877"/>
    <w:rsid w:val="00825742"/>
    <w:rsid w:val="00830D51"/>
    <w:rsid w:val="00835BB0"/>
    <w:rsid w:val="00836FAD"/>
    <w:rsid w:val="00837BE0"/>
    <w:rsid w:val="00841DC0"/>
    <w:rsid w:val="00845F62"/>
    <w:rsid w:val="0084674E"/>
    <w:rsid w:val="00846770"/>
    <w:rsid w:val="00847551"/>
    <w:rsid w:val="00850518"/>
    <w:rsid w:val="00853CC4"/>
    <w:rsid w:val="00854F84"/>
    <w:rsid w:val="0085539B"/>
    <w:rsid w:val="008569A8"/>
    <w:rsid w:val="0086065C"/>
    <w:rsid w:val="00861789"/>
    <w:rsid w:val="00861A8D"/>
    <w:rsid w:val="00865AC0"/>
    <w:rsid w:val="00866F7F"/>
    <w:rsid w:val="00870158"/>
    <w:rsid w:val="008718AA"/>
    <w:rsid w:val="00871A21"/>
    <w:rsid w:val="0087342D"/>
    <w:rsid w:val="00876CD8"/>
    <w:rsid w:val="00880F01"/>
    <w:rsid w:val="0088543E"/>
    <w:rsid w:val="0088551A"/>
    <w:rsid w:val="008902AE"/>
    <w:rsid w:val="008921A4"/>
    <w:rsid w:val="00893B55"/>
    <w:rsid w:val="00894CBA"/>
    <w:rsid w:val="00895784"/>
    <w:rsid w:val="0089708C"/>
    <w:rsid w:val="008A265B"/>
    <w:rsid w:val="008A5D01"/>
    <w:rsid w:val="008A647B"/>
    <w:rsid w:val="008B2995"/>
    <w:rsid w:val="008B4376"/>
    <w:rsid w:val="008B5D58"/>
    <w:rsid w:val="008C0C95"/>
    <w:rsid w:val="008C136D"/>
    <w:rsid w:val="008C1550"/>
    <w:rsid w:val="008C6E8E"/>
    <w:rsid w:val="008D1104"/>
    <w:rsid w:val="008D1962"/>
    <w:rsid w:val="008E3A43"/>
    <w:rsid w:val="008E4A63"/>
    <w:rsid w:val="008E51FD"/>
    <w:rsid w:val="008E5B9A"/>
    <w:rsid w:val="008E7CCF"/>
    <w:rsid w:val="008F17DD"/>
    <w:rsid w:val="008F2749"/>
    <w:rsid w:val="008F2C56"/>
    <w:rsid w:val="008F4724"/>
    <w:rsid w:val="008F7C59"/>
    <w:rsid w:val="00902B29"/>
    <w:rsid w:val="0090305A"/>
    <w:rsid w:val="00906880"/>
    <w:rsid w:val="00906DA9"/>
    <w:rsid w:val="00907DD4"/>
    <w:rsid w:val="00907E77"/>
    <w:rsid w:val="00910109"/>
    <w:rsid w:val="00910ED8"/>
    <w:rsid w:val="00911CF4"/>
    <w:rsid w:val="00913910"/>
    <w:rsid w:val="00913AC7"/>
    <w:rsid w:val="00913FE3"/>
    <w:rsid w:val="0091467A"/>
    <w:rsid w:val="00915B04"/>
    <w:rsid w:val="00915CCA"/>
    <w:rsid w:val="009164A5"/>
    <w:rsid w:val="00916C57"/>
    <w:rsid w:val="0091798B"/>
    <w:rsid w:val="009209EA"/>
    <w:rsid w:val="00921A70"/>
    <w:rsid w:val="0092251E"/>
    <w:rsid w:val="00922E37"/>
    <w:rsid w:val="00926475"/>
    <w:rsid w:val="0092733C"/>
    <w:rsid w:val="00932A38"/>
    <w:rsid w:val="00933992"/>
    <w:rsid w:val="009343B2"/>
    <w:rsid w:val="009363B3"/>
    <w:rsid w:val="009402F8"/>
    <w:rsid w:val="00942BF2"/>
    <w:rsid w:val="009436A8"/>
    <w:rsid w:val="00943A0F"/>
    <w:rsid w:val="00944310"/>
    <w:rsid w:val="0094446C"/>
    <w:rsid w:val="009444B3"/>
    <w:rsid w:val="00944889"/>
    <w:rsid w:val="009504E9"/>
    <w:rsid w:val="00951DF6"/>
    <w:rsid w:val="00957CF9"/>
    <w:rsid w:val="0096195C"/>
    <w:rsid w:val="00961B41"/>
    <w:rsid w:val="009623C0"/>
    <w:rsid w:val="00962DDD"/>
    <w:rsid w:val="00967C34"/>
    <w:rsid w:val="00970EF4"/>
    <w:rsid w:val="00971A1A"/>
    <w:rsid w:val="00973979"/>
    <w:rsid w:val="00975405"/>
    <w:rsid w:val="0097652A"/>
    <w:rsid w:val="00976A89"/>
    <w:rsid w:val="00982C17"/>
    <w:rsid w:val="00983DAE"/>
    <w:rsid w:val="0098460A"/>
    <w:rsid w:val="0099295A"/>
    <w:rsid w:val="00993629"/>
    <w:rsid w:val="00996298"/>
    <w:rsid w:val="009A0AEB"/>
    <w:rsid w:val="009A172B"/>
    <w:rsid w:val="009A60A2"/>
    <w:rsid w:val="009A7A42"/>
    <w:rsid w:val="009B270E"/>
    <w:rsid w:val="009B6D37"/>
    <w:rsid w:val="009B7941"/>
    <w:rsid w:val="009C2641"/>
    <w:rsid w:val="009C2B8F"/>
    <w:rsid w:val="009C315A"/>
    <w:rsid w:val="009C4538"/>
    <w:rsid w:val="009C4A87"/>
    <w:rsid w:val="009C4BA5"/>
    <w:rsid w:val="009C768D"/>
    <w:rsid w:val="009D01EA"/>
    <w:rsid w:val="009D17B1"/>
    <w:rsid w:val="009D18F1"/>
    <w:rsid w:val="009D29CF"/>
    <w:rsid w:val="009D3811"/>
    <w:rsid w:val="009D4601"/>
    <w:rsid w:val="009D68F0"/>
    <w:rsid w:val="009E0299"/>
    <w:rsid w:val="009E06B1"/>
    <w:rsid w:val="009E27B6"/>
    <w:rsid w:val="009E406A"/>
    <w:rsid w:val="009E54F8"/>
    <w:rsid w:val="009F0132"/>
    <w:rsid w:val="009F1181"/>
    <w:rsid w:val="009F2001"/>
    <w:rsid w:val="009F29CC"/>
    <w:rsid w:val="009F2A82"/>
    <w:rsid w:val="00A005E0"/>
    <w:rsid w:val="00A04296"/>
    <w:rsid w:val="00A13182"/>
    <w:rsid w:val="00A1563F"/>
    <w:rsid w:val="00A161E8"/>
    <w:rsid w:val="00A17747"/>
    <w:rsid w:val="00A256AA"/>
    <w:rsid w:val="00A25F75"/>
    <w:rsid w:val="00A30193"/>
    <w:rsid w:val="00A3240E"/>
    <w:rsid w:val="00A32558"/>
    <w:rsid w:val="00A327CE"/>
    <w:rsid w:val="00A353C8"/>
    <w:rsid w:val="00A35D90"/>
    <w:rsid w:val="00A3627B"/>
    <w:rsid w:val="00A37C8D"/>
    <w:rsid w:val="00A421C6"/>
    <w:rsid w:val="00A433C0"/>
    <w:rsid w:val="00A45067"/>
    <w:rsid w:val="00A5057F"/>
    <w:rsid w:val="00A528AA"/>
    <w:rsid w:val="00A5347C"/>
    <w:rsid w:val="00A54C57"/>
    <w:rsid w:val="00A647AB"/>
    <w:rsid w:val="00A71BAE"/>
    <w:rsid w:val="00A72A8D"/>
    <w:rsid w:val="00A753BA"/>
    <w:rsid w:val="00A770E6"/>
    <w:rsid w:val="00A77588"/>
    <w:rsid w:val="00A803F3"/>
    <w:rsid w:val="00A807CE"/>
    <w:rsid w:val="00A81339"/>
    <w:rsid w:val="00A90F55"/>
    <w:rsid w:val="00A914D1"/>
    <w:rsid w:val="00A9258B"/>
    <w:rsid w:val="00A94D69"/>
    <w:rsid w:val="00A979A9"/>
    <w:rsid w:val="00AA0079"/>
    <w:rsid w:val="00AA03E4"/>
    <w:rsid w:val="00AA1E9F"/>
    <w:rsid w:val="00AA42EA"/>
    <w:rsid w:val="00AA7FEC"/>
    <w:rsid w:val="00AB0E43"/>
    <w:rsid w:val="00AB2F27"/>
    <w:rsid w:val="00AB613F"/>
    <w:rsid w:val="00AB7468"/>
    <w:rsid w:val="00AC21CD"/>
    <w:rsid w:val="00AC25B5"/>
    <w:rsid w:val="00AC6E08"/>
    <w:rsid w:val="00AC7B3D"/>
    <w:rsid w:val="00AC7D78"/>
    <w:rsid w:val="00AD0BB0"/>
    <w:rsid w:val="00AD181D"/>
    <w:rsid w:val="00AD3854"/>
    <w:rsid w:val="00AD489D"/>
    <w:rsid w:val="00AD5A5D"/>
    <w:rsid w:val="00AE1EA9"/>
    <w:rsid w:val="00AE2AB4"/>
    <w:rsid w:val="00AE3D17"/>
    <w:rsid w:val="00AE54BD"/>
    <w:rsid w:val="00AE6B73"/>
    <w:rsid w:val="00AE7102"/>
    <w:rsid w:val="00AF227D"/>
    <w:rsid w:val="00B018D2"/>
    <w:rsid w:val="00B0381E"/>
    <w:rsid w:val="00B0536F"/>
    <w:rsid w:val="00B06EF6"/>
    <w:rsid w:val="00B1051C"/>
    <w:rsid w:val="00B12A28"/>
    <w:rsid w:val="00B13DB1"/>
    <w:rsid w:val="00B1671F"/>
    <w:rsid w:val="00B224FD"/>
    <w:rsid w:val="00B24188"/>
    <w:rsid w:val="00B24664"/>
    <w:rsid w:val="00B33B02"/>
    <w:rsid w:val="00B36E56"/>
    <w:rsid w:val="00B37050"/>
    <w:rsid w:val="00B373FD"/>
    <w:rsid w:val="00B4179D"/>
    <w:rsid w:val="00B41D66"/>
    <w:rsid w:val="00B42635"/>
    <w:rsid w:val="00B43206"/>
    <w:rsid w:val="00B44237"/>
    <w:rsid w:val="00B44946"/>
    <w:rsid w:val="00B45391"/>
    <w:rsid w:val="00B45FCB"/>
    <w:rsid w:val="00B47B1A"/>
    <w:rsid w:val="00B51444"/>
    <w:rsid w:val="00B51CB5"/>
    <w:rsid w:val="00B530B8"/>
    <w:rsid w:val="00B5499C"/>
    <w:rsid w:val="00B55278"/>
    <w:rsid w:val="00B60C0C"/>
    <w:rsid w:val="00B61221"/>
    <w:rsid w:val="00B61DE7"/>
    <w:rsid w:val="00B64FB5"/>
    <w:rsid w:val="00B66657"/>
    <w:rsid w:val="00B67881"/>
    <w:rsid w:val="00B72A1C"/>
    <w:rsid w:val="00B7388E"/>
    <w:rsid w:val="00B749CD"/>
    <w:rsid w:val="00B753B5"/>
    <w:rsid w:val="00B75B01"/>
    <w:rsid w:val="00B76775"/>
    <w:rsid w:val="00B83178"/>
    <w:rsid w:val="00B858C6"/>
    <w:rsid w:val="00B91FF7"/>
    <w:rsid w:val="00B94359"/>
    <w:rsid w:val="00B97500"/>
    <w:rsid w:val="00B97DDE"/>
    <w:rsid w:val="00BA1CDA"/>
    <w:rsid w:val="00BB0430"/>
    <w:rsid w:val="00BB1A73"/>
    <w:rsid w:val="00BB4CEC"/>
    <w:rsid w:val="00BB5A5B"/>
    <w:rsid w:val="00BC05F0"/>
    <w:rsid w:val="00BC0A6C"/>
    <w:rsid w:val="00BC1A51"/>
    <w:rsid w:val="00BC36DF"/>
    <w:rsid w:val="00BC4D51"/>
    <w:rsid w:val="00BC7B63"/>
    <w:rsid w:val="00BC7E69"/>
    <w:rsid w:val="00BD048A"/>
    <w:rsid w:val="00BD4294"/>
    <w:rsid w:val="00BD5892"/>
    <w:rsid w:val="00BD5AF3"/>
    <w:rsid w:val="00BD7AB5"/>
    <w:rsid w:val="00BE3268"/>
    <w:rsid w:val="00BE6245"/>
    <w:rsid w:val="00BF056B"/>
    <w:rsid w:val="00BF300F"/>
    <w:rsid w:val="00BF455E"/>
    <w:rsid w:val="00BF5F3F"/>
    <w:rsid w:val="00C02F08"/>
    <w:rsid w:val="00C10911"/>
    <w:rsid w:val="00C1221B"/>
    <w:rsid w:val="00C12940"/>
    <w:rsid w:val="00C1329F"/>
    <w:rsid w:val="00C15B05"/>
    <w:rsid w:val="00C169E7"/>
    <w:rsid w:val="00C16EAF"/>
    <w:rsid w:val="00C17BBA"/>
    <w:rsid w:val="00C25516"/>
    <w:rsid w:val="00C26600"/>
    <w:rsid w:val="00C26BC5"/>
    <w:rsid w:val="00C27793"/>
    <w:rsid w:val="00C30609"/>
    <w:rsid w:val="00C339AE"/>
    <w:rsid w:val="00C33E73"/>
    <w:rsid w:val="00C340A9"/>
    <w:rsid w:val="00C35B3E"/>
    <w:rsid w:val="00C36531"/>
    <w:rsid w:val="00C41D0D"/>
    <w:rsid w:val="00C4459A"/>
    <w:rsid w:val="00C44922"/>
    <w:rsid w:val="00C45741"/>
    <w:rsid w:val="00C4773A"/>
    <w:rsid w:val="00C47843"/>
    <w:rsid w:val="00C53D5B"/>
    <w:rsid w:val="00C5486A"/>
    <w:rsid w:val="00C57535"/>
    <w:rsid w:val="00C61204"/>
    <w:rsid w:val="00C61269"/>
    <w:rsid w:val="00C70D02"/>
    <w:rsid w:val="00C72255"/>
    <w:rsid w:val="00C736E2"/>
    <w:rsid w:val="00C73779"/>
    <w:rsid w:val="00C762A5"/>
    <w:rsid w:val="00C7749B"/>
    <w:rsid w:val="00C81567"/>
    <w:rsid w:val="00C829B2"/>
    <w:rsid w:val="00C85AB2"/>
    <w:rsid w:val="00C8724E"/>
    <w:rsid w:val="00C87EA8"/>
    <w:rsid w:val="00C92068"/>
    <w:rsid w:val="00CA1A2E"/>
    <w:rsid w:val="00CB0DE8"/>
    <w:rsid w:val="00CB1212"/>
    <w:rsid w:val="00CB2A8E"/>
    <w:rsid w:val="00CB41E4"/>
    <w:rsid w:val="00CB61EA"/>
    <w:rsid w:val="00CB6204"/>
    <w:rsid w:val="00CB71B7"/>
    <w:rsid w:val="00CB786B"/>
    <w:rsid w:val="00CC3E1D"/>
    <w:rsid w:val="00CC4041"/>
    <w:rsid w:val="00CC434E"/>
    <w:rsid w:val="00CC6066"/>
    <w:rsid w:val="00CC702E"/>
    <w:rsid w:val="00CD10D9"/>
    <w:rsid w:val="00CD3BE9"/>
    <w:rsid w:val="00CD532A"/>
    <w:rsid w:val="00CD6CDC"/>
    <w:rsid w:val="00CE3755"/>
    <w:rsid w:val="00CE437C"/>
    <w:rsid w:val="00CE454F"/>
    <w:rsid w:val="00CE49A3"/>
    <w:rsid w:val="00CE76CF"/>
    <w:rsid w:val="00CF00C4"/>
    <w:rsid w:val="00CF552F"/>
    <w:rsid w:val="00CF595B"/>
    <w:rsid w:val="00CF74C3"/>
    <w:rsid w:val="00D0033C"/>
    <w:rsid w:val="00D03641"/>
    <w:rsid w:val="00D05605"/>
    <w:rsid w:val="00D0691F"/>
    <w:rsid w:val="00D104B7"/>
    <w:rsid w:val="00D14F54"/>
    <w:rsid w:val="00D15444"/>
    <w:rsid w:val="00D2176F"/>
    <w:rsid w:val="00D233A3"/>
    <w:rsid w:val="00D24402"/>
    <w:rsid w:val="00D26A6C"/>
    <w:rsid w:val="00D26C62"/>
    <w:rsid w:val="00D30399"/>
    <w:rsid w:val="00D30B07"/>
    <w:rsid w:val="00D32993"/>
    <w:rsid w:val="00D33B9A"/>
    <w:rsid w:val="00D343CA"/>
    <w:rsid w:val="00D41EA3"/>
    <w:rsid w:val="00D42D42"/>
    <w:rsid w:val="00D45CDB"/>
    <w:rsid w:val="00D46037"/>
    <w:rsid w:val="00D50388"/>
    <w:rsid w:val="00D51634"/>
    <w:rsid w:val="00D550BE"/>
    <w:rsid w:val="00D63E57"/>
    <w:rsid w:val="00D70034"/>
    <w:rsid w:val="00D71503"/>
    <w:rsid w:val="00D7178F"/>
    <w:rsid w:val="00D71F20"/>
    <w:rsid w:val="00D732DC"/>
    <w:rsid w:val="00D76403"/>
    <w:rsid w:val="00D8199C"/>
    <w:rsid w:val="00D81FD8"/>
    <w:rsid w:val="00D8240A"/>
    <w:rsid w:val="00D85461"/>
    <w:rsid w:val="00D8636B"/>
    <w:rsid w:val="00D8660E"/>
    <w:rsid w:val="00D92570"/>
    <w:rsid w:val="00D93FF5"/>
    <w:rsid w:val="00D945F6"/>
    <w:rsid w:val="00D95D1C"/>
    <w:rsid w:val="00D96574"/>
    <w:rsid w:val="00DA2D59"/>
    <w:rsid w:val="00DA3227"/>
    <w:rsid w:val="00DA6222"/>
    <w:rsid w:val="00DA7BEF"/>
    <w:rsid w:val="00DB10F1"/>
    <w:rsid w:val="00DB113B"/>
    <w:rsid w:val="00DB1A4F"/>
    <w:rsid w:val="00DB1B75"/>
    <w:rsid w:val="00DB2250"/>
    <w:rsid w:val="00DC10AD"/>
    <w:rsid w:val="00DC3094"/>
    <w:rsid w:val="00DC59F8"/>
    <w:rsid w:val="00DC5D7F"/>
    <w:rsid w:val="00DD1C83"/>
    <w:rsid w:val="00DD426D"/>
    <w:rsid w:val="00DD7574"/>
    <w:rsid w:val="00DE1796"/>
    <w:rsid w:val="00DE6197"/>
    <w:rsid w:val="00DE6B95"/>
    <w:rsid w:val="00DE6CB6"/>
    <w:rsid w:val="00DF71EF"/>
    <w:rsid w:val="00DF7238"/>
    <w:rsid w:val="00DF7CE1"/>
    <w:rsid w:val="00E01112"/>
    <w:rsid w:val="00E06882"/>
    <w:rsid w:val="00E06925"/>
    <w:rsid w:val="00E10CBA"/>
    <w:rsid w:val="00E128D2"/>
    <w:rsid w:val="00E140BA"/>
    <w:rsid w:val="00E179D8"/>
    <w:rsid w:val="00E23602"/>
    <w:rsid w:val="00E2598D"/>
    <w:rsid w:val="00E26444"/>
    <w:rsid w:val="00E27342"/>
    <w:rsid w:val="00E27F81"/>
    <w:rsid w:val="00E362BB"/>
    <w:rsid w:val="00E36BC9"/>
    <w:rsid w:val="00E40FE2"/>
    <w:rsid w:val="00E437AA"/>
    <w:rsid w:val="00E51EC9"/>
    <w:rsid w:val="00E5253E"/>
    <w:rsid w:val="00E526F5"/>
    <w:rsid w:val="00E5637C"/>
    <w:rsid w:val="00E56D19"/>
    <w:rsid w:val="00E61725"/>
    <w:rsid w:val="00E64DBC"/>
    <w:rsid w:val="00E666D6"/>
    <w:rsid w:val="00E71676"/>
    <w:rsid w:val="00E71734"/>
    <w:rsid w:val="00E74D2B"/>
    <w:rsid w:val="00E75B51"/>
    <w:rsid w:val="00E84D4D"/>
    <w:rsid w:val="00E95006"/>
    <w:rsid w:val="00EA1575"/>
    <w:rsid w:val="00EA5D8E"/>
    <w:rsid w:val="00EB4D07"/>
    <w:rsid w:val="00EC0C17"/>
    <w:rsid w:val="00EC1FAA"/>
    <w:rsid w:val="00EC3566"/>
    <w:rsid w:val="00EC385D"/>
    <w:rsid w:val="00EC5D80"/>
    <w:rsid w:val="00ED0631"/>
    <w:rsid w:val="00ED14FF"/>
    <w:rsid w:val="00ED2433"/>
    <w:rsid w:val="00ED3366"/>
    <w:rsid w:val="00ED412A"/>
    <w:rsid w:val="00ED5190"/>
    <w:rsid w:val="00EE02A8"/>
    <w:rsid w:val="00EE79E6"/>
    <w:rsid w:val="00EF14AB"/>
    <w:rsid w:val="00EF6679"/>
    <w:rsid w:val="00EF67FB"/>
    <w:rsid w:val="00EF6B2E"/>
    <w:rsid w:val="00EF6FB7"/>
    <w:rsid w:val="00EF7549"/>
    <w:rsid w:val="00EF7CE7"/>
    <w:rsid w:val="00F00B3F"/>
    <w:rsid w:val="00F022AF"/>
    <w:rsid w:val="00F024C1"/>
    <w:rsid w:val="00F033E9"/>
    <w:rsid w:val="00F0371F"/>
    <w:rsid w:val="00F03DC9"/>
    <w:rsid w:val="00F06977"/>
    <w:rsid w:val="00F105D8"/>
    <w:rsid w:val="00F1173E"/>
    <w:rsid w:val="00F13E1D"/>
    <w:rsid w:val="00F14CE2"/>
    <w:rsid w:val="00F20123"/>
    <w:rsid w:val="00F21D2B"/>
    <w:rsid w:val="00F24E67"/>
    <w:rsid w:val="00F35D89"/>
    <w:rsid w:val="00F411D3"/>
    <w:rsid w:val="00F41AAB"/>
    <w:rsid w:val="00F42385"/>
    <w:rsid w:val="00F445AC"/>
    <w:rsid w:val="00F46820"/>
    <w:rsid w:val="00F469C0"/>
    <w:rsid w:val="00F46ACE"/>
    <w:rsid w:val="00F4757D"/>
    <w:rsid w:val="00F533E2"/>
    <w:rsid w:val="00F53D10"/>
    <w:rsid w:val="00F553BF"/>
    <w:rsid w:val="00F64322"/>
    <w:rsid w:val="00F64509"/>
    <w:rsid w:val="00F670C9"/>
    <w:rsid w:val="00F714D3"/>
    <w:rsid w:val="00F72DC5"/>
    <w:rsid w:val="00F7390E"/>
    <w:rsid w:val="00F76F21"/>
    <w:rsid w:val="00F77A93"/>
    <w:rsid w:val="00F77D11"/>
    <w:rsid w:val="00F80B14"/>
    <w:rsid w:val="00F81D9B"/>
    <w:rsid w:val="00F82114"/>
    <w:rsid w:val="00F83329"/>
    <w:rsid w:val="00F85E20"/>
    <w:rsid w:val="00F936D3"/>
    <w:rsid w:val="00F97A11"/>
    <w:rsid w:val="00FA1365"/>
    <w:rsid w:val="00FA1E06"/>
    <w:rsid w:val="00FA2693"/>
    <w:rsid w:val="00FA3522"/>
    <w:rsid w:val="00FA36DF"/>
    <w:rsid w:val="00FB0B9E"/>
    <w:rsid w:val="00FB3958"/>
    <w:rsid w:val="00FB4290"/>
    <w:rsid w:val="00FB5825"/>
    <w:rsid w:val="00FB6424"/>
    <w:rsid w:val="00FB65DF"/>
    <w:rsid w:val="00FB7339"/>
    <w:rsid w:val="00FC0232"/>
    <w:rsid w:val="00FC6B2A"/>
    <w:rsid w:val="00FD14ED"/>
    <w:rsid w:val="00FD2987"/>
    <w:rsid w:val="00FD7AB3"/>
    <w:rsid w:val="00FE07E9"/>
    <w:rsid w:val="00FE1631"/>
    <w:rsid w:val="00FE1A84"/>
    <w:rsid w:val="00FE2D4A"/>
    <w:rsid w:val="00FE2FF2"/>
    <w:rsid w:val="00FE6249"/>
    <w:rsid w:val="00FF1FB6"/>
    <w:rsid w:val="00FF32D3"/>
    <w:rsid w:val="00FF4C42"/>
    <w:rsid w:val="04C23462"/>
    <w:rsid w:val="0B671C2A"/>
    <w:rsid w:val="0DE75017"/>
    <w:rsid w:val="1445100F"/>
    <w:rsid w:val="19602CF6"/>
    <w:rsid w:val="1C5473F0"/>
    <w:rsid w:val="389F12ED"/>
    <w:rsid w:val="3B58020A"/>
    <w:rsid w:val="46967D9E"/>
    <w:rsid w:val="5E702D1B"/>
    <w:rsid w:val="6E197EB5"/>
    <w:rsid w:val="7110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1DBE09A-06DC-4083-A948-489A7B98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hr-HR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aliases w:val="BVI fnr,Footnote symbol,16 Point,Superscript 6 Point,nota pié di pagina,ftref,Footnote text,Ref. de nota al pie1,Times 10 Point,Exposant 3 Point,Footnote reference number,EN Footnote Reference,note TESI,Footnotes re"/>
    <w:basedOn w:val="DefaultParagraphFont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TOC3">
    <w:name w:val="toc 3"/>
    <w:basedOn w:val="Normal"/>
    <w:uiPriority w:val="1"/>
    <w:qFormat/>
    <w:pPr>
      <w:widowControl w:val="0"/>
      <w:autoSpaceDE w:val="0"/>
      <w:autoSpaceDN w:val="0"/>
      <w:spacing w:before="121" w:after="0" w:line="240" w:lineRule="auto"/>
      <w:ind w:left="1577" w:hanging="661"/>
    </w:pPr>
    <w:rPr>
      <w:rFonts w:ascii="Cambria" w:eastAsia="Cambria" w:hAnsi="Cambria" w:cs="Cambria"/>
      <w:b/>
      <w:bCs/>
      <w:lang w:val="hr-H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sr-Latn-M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sz w:val="20"/>
      <w:szCs w:val="20"/>
      <w:lang w:val="sr-Latn-M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Cambria" w:eastAsia="Cambria" w:hAnsi="Cambria" w:cs="Cambria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izvjestaj-o-preliminarnim-nivoima-deficita-i-duga-za-2025%20godinu\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ownloads\IZVJESTAJ%202025\PI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.zivkovic\Desktop\Javni%20dug\Izvje&#353;taj%20o%20javnom%20i%20dr&#382;avnom%20dugu,%20plan%20otplate\Izvje&#353;taj%20o%20dr&#382;avnom%20i%20javnom%20dugu\2025\31.12.2025\Kona&#269;no\Tabela%20i%20grafici%20za%20kvartalni%20izvje&#353;taj%20o%20dugu%20%2031.12.2025.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800" b="1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ME" sz="800" b="1"/>
              <a:t>Uporedni prikaz izvorni prihodi i ukupni porezi (mil. €) </a:t>
            </a:r>
            <a:endParaRPr lang="en-US" sz="8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800" b="1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'Centralna država-ek klas'!$G$18</c:f>
              <c:strCache>
                <c:ptCount val="1"/>
                <c:pt idx="0">
                  <c:v>Q1-Q4 2025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solidFill>
                <a:srgbClr val="FF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klas'!$F$19:$F$20</c:f>
              <c:strCache>
                <c:ptCount val="2"/>
                <c:pt idx="0">
                  <c:v>Izvorni prihodi</c:v>
                </c:pt>
                <c:pt idx="1">
                  <c:v>Ukupni porezi</c:v>
                </c:pt>
              </c:strCache>
            </c:strRef>
          </c:cat>
          <c:val>
            <c:numRef>
              <c:f>'Centralna država-ek klas'!$G$19:$G$20</c:f>
              <c:numCache>
                <c:formatCode>0.0,,</c:formatCode>
                <c:ptCount val="2"/>
                <c:pt idx="0">
                  <c:v>2874088753.3899999</c:v>
                </c:pt>
                <c:pt idx="1">
                  <c:v>2238598161.0300002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2F-474B-B10B-A07771DF5F40}"/>
            </c:ext>
          </c:extLst>
        </c:ser>
        <c:ser>
          <c:idx val="1"/>
          <c:order val="1"/>
          <c:tx>
            <c:strRef>
              <c:f>'Centralna država-ek klas'!$H$18</c:f>
              <c:strCache>
                <c:ptCount val="1"/>
                <c:pt idx="0">
                  <c:v>Q1-Q4 2024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'Centralna država-ek klas'!$F$19:$F$20</c:f>
              <c:strCache>
                <c:ptCount val="2"/>
                <c:pt idx="0">
                  <c:v>Izvorni prihodi</c:v>
                </c:pt>
                <c:pt idx="1">
                  <c:v>Ukupni porezi</c:v>
                </c:pt>
              </c:strCache>
            </c:strRef>
          </c:cat>
          <c:val>
            <c:numRef>
              <c:f>'Centralna država-ek klas'!$H$19:$H$20</c:f>
              <c:numCache>
                <c:formatCode>0.0,,</c:formatCode>
                <c:ptCount val="2"/>
                <c:pt idx="0">
                  <c:v>2755717266.8699999</c:v>
                </c:pt>
                <c:pt idx="1">
                  <c:v>1968599583.26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2F-474B-B10B-A07771DF5F4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339551183"/>
        <c:axId val="231492751"/>
      </c:barChart>
      <c:catAx>
        <c:axId val="339551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1492751"/>
        <c:crosses val="autoZero"/>
        <c:auto val="1"/>
        <c:lblAlgn val="ctr"/>
        <c:lblOffset val="100"/>
        <c:noMultiLvlLbl val="0"/>
      </c:catAx>
      <c:valAx>
        <c:axId val="231492751"/>
        <c:scaling>
          <c:orientation val="minMax"/>
        </c:scaling>
        <c:delete val="1"/>
        <c:axPos val="l"/>
        <c:numFmt formatCode="0.0,," sourceLinked="1"/>
        <c:majorTickMark val="none"/>
        <c:minorTickMark val="none"/>
        <c:tickLblPos val="nextTo"/>
        <c:crossAx val="339551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3486b60-5200-4b78-9299-0811f916d14a}"/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defTabSz="914400">
              <a:defRPr lang="en-US"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Ostvareno januar-</a:t>
            </a:r>
            <a:r>
              <a:rPr lang="en-US" altLang="en-US"/>
              <a:t>dec</a:t>
            </a:r>
            <a:r>
              <a:rPr lang="en-US"/>
              <a:t>embar 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defTabSz="914400">
            <a:defRPr lang="en-US"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[PITA.xlsx]Sheet1!$B$1</c:f>
              <c:strCache>
                <c:ptCount val="1"/>
                <c:pt idx="0">
                  <c:v>Ostvareno januar-novembar 2025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756-4F2A-8158-0C3B718FE18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756-4F2A-8158-0C3B718FE18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756-4F2A-8158-0C3B718FE18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756-4F2A-8158-0C3B718FE18C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756-4F2A-8158-0C3B718FE18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756-4F2A-8158-0C3B718FE18C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[PITA.xlsx]Sheet1!$A$2:$A$7</c:f>
              <c:strCache>
                <c:ptCount val="6"/>
                <c:pt idx="0">
                  <c:v>Kapitalni izdaci</c:v>
                </c:pt>
                <c:pt idx="1">
                  <c:v>Otplata dugova</c:v>
                </c:pt>
                <c:pt idx="2">
                  <c:v>Pozajmice i krediti</c:v>
                </c:pt>
                <c:pt idx="3">
                  <c:v>Tekući izdaci</c:v>
                </c:pt>
                <c:pt idx="4">
                  <c:v>Transferi institucijama, pojedincima, nevladinom i javnom sektoru</c:v>
                </c:pt>
                <c:pt idx="5">
                  <c:v>Transferi za socijalnu zaštitu</c:v>
                </c:pt>
              </c:strCache>
            </c:strRef>
          </c:cat>
          <c:val>
            <c:numRef>
              <c:f>[PITA.xlsx]Sheet1!$B$2:$B$7</c:f>
              <c:numCache>
                <c:formatCode>_(* #,##0.00_);_(* \(#,##0.00\);_(* "-"??_);_(@_)</c:formatCode>
                <c:ptCount val="6"/>
                <c:pt idx="0">
                  <c:v>329966587.49000001</c:v>
                </c:pt>
                <c:pt idx="1">
                  <c:v>803793986.27999997</c:v>
                </c:pt>
                <c:pt idx="2">
                  <c:v>8988807.3900000006</c:v>
                </c:pt>
                <c:pt idx="3">
                  <c:v>1250300725.6500001</c:v>
                </c:pt>
                <c:pt idx="4">
                  <c:v>467876804.86000001</c:v>
                </c:pt>
                <c:pt idx="5">
                  <c:v>1107198702.95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756-4F2A-8158-0C3B718FE1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481cca8-04cf-42db-9f7d-fb1cfb096b05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'Graf. za godiš. izvještaj'!$A$66</c:f>
              <c:strCache>
                <c:ptCount val="1"/>
                <c:pt idx="0">
                  <c:v>Bruto državni dug u % BDP-a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shade val="76000"/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shade val="76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76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'Graf. za godiš. izvještaj'!$B$65:$C$65</c:f>
              <c:strCache>
                <c:ptCount val="2"/>
                <c:pt idx="0">
                  <c:v>31.12.2024.</c:v>
                </c:pt>
                <c:pt idx="1">
                  <c:v>31.12.2025.</c:v>
                </c:pt>
              </c:strCache>
            </c:strRef>
          </c:cat>
          <c:val>
            <c:numRef>
              <c:f>'Graf. za godiš. izvještaj'!$B$66:$C$66</c:f>
              <c:numCache>
                <c:formatCode>0.0%</c:formatCode>
                <c:ptCount val="2"/>
                <c:pt idx="0">
                  <c:v>0.59058882372582588</c:v>
                </c:pt>
                <c:pt idx="1">
                  <c:v>0.63139458755565547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7D-4E5B-BA3D-BE33106769ED}"/>
            </c:ext>
          </c:extLst>
        </c:ser>
        <c:ser>
          <c:idx val="1"/>
          <c:order val="1"/>
          <c:tx>
            <c:strRef>
              <c:f>'Graf. za godiš. izvještaj'!$A$67</c:f>
              <c:strCache>
                <c:ptCount val="1"/>
                <c:pt idx="0">
                  <c:v>Neto državni dug u % BDP-a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tint val="77000"/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tint val="77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tint val="77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'Graf. za godiš. izvještaj'!$B$65:$C$65</c:f>
              <c:strCache>
                <c:ptCount val="2"/>
                <c:pt idx="0">
                  <c:v>31.12.2024.</c:v>
                </c:pt>
                <c:pt idx="1">
                  <c:v>31.12.2025.</c:v>
                </c:pt>
              </c:strCache>
            </c:strRef>
          </c:cat>
          <c:val>
            <c:numRef>
              <c:f>'Graf. za godiš. izvještaj'!$B$67:$C$67</c:f>
              <c:numCache>
                <c:formatCode>0.0%</c:formatCode>
                <c:ptCount val="2"/>
                <c:pt idx="0">
                  <c:v>0.54017915262766802</c:v>
                </c:pt>
                <c:pt idx="1">
                  <c:v>0.53291096152723005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7D-4E5B-BA3D-BE33106769E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031020383"/>
        <c:axId val="1929884831"/>
      </c:barChart>
      <c:catAx>
        <c:axId val="2031020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29884831"/>
        <c:crosses val="autoZero"/>
        <c:auto val="1"/>
        <c:lblAlgn val="ctr"/>
        <c:lblOffset val="100"/>
        <c:noMultiLvlLbl val="0"/>
      </c:catAx>
      <c:valAx>
        <c:axId val="1929884831"/>
        <c:scaling>
          <c:orientation val="minMax"/>
          <c:max val="0.7500000000000001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31020383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20442109065023E-2"/>
          <c:y val="0.7549767817484353"/>
          <c:w val="0.91985791355238911"/>
          <c:h val="0.203997577225923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81684804429506"/>
          <c:y val="7.4626865671641784E-2"/>
          <c:w val="0.78519628934158781"/>
          <c:h val="0.566719195717902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'Graf. za godiš. izvještaj'!$A$81</c:f>
              <c:strCache>
                <c:ptCount val="1"/>
                <c:pt idx="0">
                  <c:v>Bruto javni dug u % BDP-a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shade val="76000"/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shade val="76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76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'Graf. za godiš. izvještaj'!$B$80:$C$80</c:f>
              <c:strCache>
                <c:ptCount val="2"/>
                <c:pt idx="0">
                  <c:v>31.12.2024.</c:v>
                </c:pt>
                <c:pt idx="1">
                  <c:v>31.12.2025.</c:v>
                </c:pt>
              </c:strCache>
            </c:strRef>
          </c:cat>
          <c:val>
            <c:numRef>
              <c:f>'Graf. za godiš. izvještaj'!$B$81:$C$81</c:f>
              <c:numCache>
                <c:formatCode>0.0%</c:formatCode>
                <c:ptCount val="2"/>
                <c:pt idx="0">
                  <c:v>0.59831456508860414</c:v>
                </c:pt>
                <c:pt idx="1">
                  <c:v>0.63499790396478539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5A-4B11-9B6A-C60D93351747}"/>
            </c:ext>
          </c:extLst>
        </c:ser>
        <c:ser>
          <c:idx val="1"/>
          <c:order val="1"/>
          <c:tx>
            <c:strRef>
              <c:f>'Graf. za godiš. izvještaj'!$A$82</c:f>
              <c:strCache>
                <c:ptCount val="1"/>
                <c:pt idx="0">
                  <c:v>Neto javni dug u % BDP-a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tint val="77000"/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tint val="77000"/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tint val="77000"/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'Graf. za godiš. izvještaj'!$B$80:$C$80</c:f>
              <c:strCache>
                <c:ptCount val="2"/>
                <c:pt idx="0">
                  <c:v>31.12.2024.</c:v>
                </c:pt>
                <c:pt idx="1">
                  <c:v>31.12.2025.</c:v>
                </c:pt>
              </c:strCache>
            </c:strRef>
          </c:cat>
          <c:val>
            <c:numRef>
              <c:f>'Graf. za godiš. izvještaj'!$B$82:$C$82</c:f>
              <c:numCache>
                <c:formatCode>0.0%</c:formatCode>
                <c:ptCount val="2"/>
                <c:pt idx="0">
                  <c:v>0.5479048939904464</c:v>
                </c:pt>
                <c:pt idx="1">
                  <c:v>0.53651427793636008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5A-4B11-9B6A-C60D933517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938650223"/>
        <c:axId val="1929883583"/>
      </c:barChart>
      <c:catAx>
        <c:axId val="1938650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29883583"/>
        <c:crosses val="autoZero"/>
        <c:auto val="1"/>
        <c:lblAlgn val="ctr"/>
        <c:lblOffset val="100"/>
        <c:noMultiLvlLbl val="0"/>
      </c:catAx>
      <c:valAx>
        <c:axId val="1929883583"/>
        <c:scaling>
          <c:orientation val="minMax"/>
          <c:max val="0.7000000000000000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8650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7813316922559028E-2"/>
          <c:y val="0.73629394140508708"/>
          <c:w val="0.76194593912233921"/>
          <c:h val="0.223000428796556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588490307324736E-2"/>
          <c:y val="0.18915703104679482"/>
          <c:w val="0.88330469255630606"/>
          <c:h val="0.5581732631679746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373-4850-812D-16744B7CCC4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373-4850-812D-16744B7CCC4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373-4850-812D-16744B7CCC4A}"/>
              </c:ext>
            </c:extLst>
          </c:dPt>
          <c:dLbls>
            <c:dLbl>
              <c:idx val="1"/>
              <c:layout>
                <c:manualLayout>
                  <c:x val="0.12669221964318289"/>
                  <c:y val="-4.421416715914402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373-4850-812D-16744B7CCC4A}"/>
                </c:ext>
              </c:extLst>
            </c:dLbl>
            <c:dLbl>
              <c:idx val="2"/>
              <c:layout>
                <c:manualLayout>
                  <c:x val="-0.15530014020777266"/>
                  <c:y val="-4.421416715914402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373-4850-812D-16744B7CCC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'4.kvartal 25'!$A$75:$A$77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SDR</c:v>
                </c:pt>
              </c:strCache>
            </c:strRef>
          </c:cat>
          <c:val>
            <c:numRef>
              <c:f>'4.kvartal 25'!$W$75:$W$77</c:f>
              <c:numCache>
                <c:formatCode>0.00%</c:formatCode>
                <c:ptCount val="3"/>
                <c:pt idx="0" formatCode="0.0%">
                  <c:v>0.99746069437013718</c:v>
                </c:pt>
                <c:pt idx="1">
                  <c:v>2.1396289517799792E-3</c:v>
                </c:pt>
                <c:pt idx="2">
                  <c:v>3.9967667808217988E-4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373-4850-812D-16744B7CCC4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6309886446676"/>
          <c:y val="0.87750312412797393"/>
          <c:w val="0.41556247074955044"/>
          <c:h val="9.4098035042916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92449709495469"/>
          <c:y val="0.12288033352131979"/>
          <c:w val="0.83396429126790039"/>
          <c:h val="0.6617152457030812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1A0C-4E3E-965D-06A4ACB3A7A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1A0C-4E3E-965D-06A4ACB3A7A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'4.kvartal 25'!$A$80:$A$81</c:f>
              <c:strCache>
                <c:ptCount val="2"/>
                <c:pt idx="0">
                  <c:v>Fix</c:v>
                </c:pt>
                <c:pt idx="1">
                  <c:v>Var</c:v>
                </c:pt>
              </c:strCache>
            </c:strRef>
          </c:cat>
          <c:val>
            <c:numRef>
              <c:f>'4.kvartal 25'!$W$80:$W$81</c:f>
              <c:numCache>
                <c:formatCode>0.0%</c:formatCode>
                <c:ptCount val="2"/>
                <c:pt idx="0">
                  <c:v>0.78771590303481931</c:v>
                </c:pt>
                <c:pt idx="1">
                  <c:v>0.2122840969651808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A0C-4E3E-965D-06A4ACB3A7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C1DFB-59AC-4E82-989F-0D0E1B077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 Bulatovic</dc:creator>
  <cp:lastModifiedBy>Dragana Nedic</cp:lastModifiedBy>
  <cp:revision>35</cp:revision>
  <cp:lastPrinted>2024-03-29T12:38:00Z</cp:lastPrinted>
  <dcterms:created xsi:type="dcterms:W3CDTF">2025-03-26T09:33:00Z</dcterms:created>
  <dcterms:modified xsi:type="dcterms:W3CDTF">2026-03-31T12:33:00Z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87AC5C039B444D43BB1BE5DA57761AAC_13</vt:lpwstr>
  </property>
</Properties>
</file>